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94892" w14:textId="63A51972" w:rsidR="009774F6" w:rsidRDefault="009774F6" w:rsidP="005734D6">
      <w:pPr>
        <w:pStyle w:val="Title"/>
        <w:rPr>
          <w:rFonts w:asciiTheme="majorHAnsi" w:hAnsiTheme="majorHAnsi" w:cstheme="majorHAnsi"/>
        </w:rPr>
      </w:pPr>
      <w:r>
        <w:rPr>
          <w:rFonts w:asciiTheme="majorHAnsi" w:hAnsiTheme="majorHAnsi" w:cstheme="majorHAnsi"/>
        </w:rPr>
        <w:t>Sustainability Victoria</w:t>
      </w:r>
    </w:p>
    <w:p w14:paraId="3266BBFB" w14:textId="5902BF7F" w:rsidR="005734D6" w:rsidRPr="0012521E" w:rsidRDefault="00215F69" w:rsidP="005734D6">
      <w:pPr>
        <w:pStyle w:val="Title"/>
        <w:rPr>
          <w:rFonts w:asciiTheme="majorHAnsi" w:hAnsiTheme="majorHAnsi" w:cstheme="majorHAnsi"/>
        </w:rPr>
      </w:pPr>
      <w:r w:rsidRPr="0012521E">
        <w:rPr>
          <w:rFonts w:asciiTheme="majorHAnsi" w:hAnsiTheme="majorHAnsi" w:cstheme="majorHAnsi"/>
        </w:rPr>
        <w:t>Annual Report</w:t>
      </w:r>
    </w:p>
    <w:p w14:paraId="10E02741" w14:textId="276A3B9D" w:rsidR="005734D6" w:rsidRPr="00BF1434" w:rsidRDefault="00540D43" w:rsidP="00DD16A9">
      <w:pPr>
        <w:pStyle w:val="Subtitle"/>
        <w:sectPr w:rsidR="005734D6" w:rsidRPr="00BF1434" w:rsidSect="00D36FDD">
          <w:headerReference w:type="default" r:id="rId11"/>
          <w:footerReference w:type="even" r:id="rId12"/>
          <w:footerReference w:type="default" r:id="rId13"/>
          <w:headerReference w:type="first" r:id="rId14"/>
          <w:footerReference w:type="first" r:id="rId15"/>
          <w:pgSz w:w="11906" w:h="16838" w:code="9"/>
          <w:pgMar w:top="2828" w:right="1296" w:bottom="1296" w:left="1584" w:header="0" w:footer="864" w:gutter="0"/>
          <w:cols w:space="720"/>
          <w:titlePg/>
          <w:docGrid w:linePitch="360"/>
        </w:sectPr>
      </w:pPr>
      <w:r w:rsidRPr="0012521E">
        <w:t>202</w:t>
      </w:r>
      <w:r w:rsidR="00215F69" w:rsidRPr="0012521E">
        <w:t>3</w:t>
      </w:r>
      <w:r w:rsidR="00BF1434">
        <w:t>–</w:t>
      </w:r>
      <w:r w:rsidR="00215F69" w:rsidRPr="0012521E">
        <w:t>2024</w:t>
      </w:r>
    </w:p>
    <w:p w14:paraId="2C9AC10A" w14:textId="00DCBFBB" w:rsidR="00B35742" w:rsidRPr="00B35742" w:rsidRDefault="00B35742" w:rsidP="000F5783">
      <w:pPr>
        <w:rPr>
          <w:rFonts w:asciiTheme="majorHAnsi" w:hAnsiTheme="majorHAnsi" w:cstheme="majorHAnsi"/>
          <w:b/>
          <w:bCs/>
        </w:rPr>
      </w:pPr>
      <w:r w:rsidRPr="00B35742">
        <w:rPr>
          <w:rFonts w:asciiTheme="majorHAnsi" w:hAnsiTheme="majorHAnsi" w:cstheme="majorHAnsi"/>
          <w:b/>
          <w:bCs/>
        </w:rPr>
        <w:lastRenderedPageBreak/>
        <w:t>Sustainability Victoria Annual Report 2023</w:t>
      </w:r>
      <w:r w:rsidR="003F2826">
        <w:rPr>
          <w:rFonts w:asciiTheme="majorHAnsi" w:hAnsiTheme="majorHAnsi" w:cstheme="majorHAnsi"/>
          <w:b/>
          <w:bCs/>
        </w:rPr>
        <w:t>–</w:t>
      </w:r>
      <w:r w:rsidRPr="00B35742">
        <w:rPr>
          <w:rFonts w:asciiTheme="majorHAnsi" w:hAnsiTheme="majorHAnsi" w:cstheme="majorHAnsi"/>
          <w:b/>
          <w:bCs/>
        </w:rPr>
        <w:t>24</w:t>
      </w:r>
    </w:p>
    <w:p w14:paraId="1C41C01F" w14:textId="38DDB5F8" w:rsidR="000F5783" w:rsidRPr="0012521E" w:rsidRDefault="000F5783" w:rsidP="000F5783">
      <w:pPr>
        <w:rPr>
          <w:rFonts w:asciiTheme="majorHAnsi" w:hAnsiTheme="majorHAnsi" w:cstheme="majorHAnsi"/>
        </w:rPr>
      </w:pPr>
      <w:r w:rsidRPr="0012521E">
        <w:rPr>
          <w:rFonts w:asciiTheme="majorHAnsi" w:hAnsiTheme="majorHAnsi" w:cstheme="majorHAnsi"/>
        </w:rPr>
        <w:t xml:space="preserve">Authorised and published by </w:t>
      </w:r>
      <w:r w:rsidRPr="0012521E">
        <w:rPr>
          <w:rFonts w:asciiTheme="majorHAnsi" w:hAnsiTheme="majorHAnsi" w:cstheme="majorHAnsi"/>
        </w:rPr>
        <w:br/>
        <w:t>Sustainability Victoria</w:t>
      </w:r>
      <w:r w:rsidRPr="0012521E">
        <w:rPr>
          <w:rFonts w:asciiTheme="majorHAnsi" w:hAnsiTheme="majorHAnsi" w:cstheme="majorHAnsi"/>
        </w:rPr>
        <w:br/>
        <w:t xml:space="preserve">Level </w:t>
      </w:r>
      <w:r w:rsidR="009F7171" w:rsidRPr="0012521E">
        <w:rPr>
          <w:rFonts w:asciiTheme="majorHAnsi" w:hAnsiTheme="majorHAnsi" w:cstheme="majorHAnsi"/>
        </w:rPr>
        <w:t>12</w:t>
      </w:r>
      <w:r w:rsidRPr="0012521E">
        <w:rPr>
          <w:rFonts w:asciiTheme="majorHAnsi" w:hAnsiTheme="majorHAnsi" w:cstheme="majorHAnsi"/>
        </w:rPr>
        <w:t xml:space="preserve">, </w:t>
      </w:r>
      <w:r w:rsidR="009F7171" w:rsidRPr="0012521E">
        <w:rPr>
          <w:rFonts w:asciiTheme="majorHAnsi" w:hAnsiTheme="majorHAnsi" w:cstheme="majorHAnsi"/>
        </w:rPr>
        <w:t>321</w:t>
      </w:r>
      <w:r w:rsidRPr="0012521E">
        <w:rPr>
          <w:rFonts w:asciiTheme="majorHAnsi" w:hAnsiTheme="majorHAnsi" w:cstheme="majorHAnsi"/>
        </w:rPr>
        <w:t xml:space="preserve"> </w:t>
      </w:r>
      <w:r w:rsidR="009F7171" w:rsidRPr="0012521E">
        <w:rPr>
          <w:rFonts w:asciiTheme="majorHAnsi" w:hAnsiTheme="majorHAnsi" w:cstheme="majorHAnsi"/>
        </w:rPr>
        <w:t>Exhibition</w:t>
      </w:r>
      <w:r w:rsidRPr="0012521E">
        <w:rPr>
          <w:rFonts w:asciiTheme="majorHAnsi" w:hAnsiTheme="majorHAnsi" w:cstheme="majorHAnsi"/>
        </w:rPr>
        <w:t xml:space="preserve"> Street </w:t>
      </w:r>
      <w:r w:rsidR="009F7171" w:rsidRPr="0012521E">
        <w:rPr>
          <w:rFonts w:asciiTheme="majorHAnsi" w:hAnsiTheme="majorHAnsi" w:cstheme="majorHAnsi"/>
        </w:rPr>
        <w:br/>
      </w:r>
      <w:r w:rsidRPr="0012521E">
        <w:rPr>
          <w:rFonts w:asciiTheme="majorHAnsi" w:hAnsiTheme="majorHAnsi" w:cstheme="majorHAnsi"/>
        </w:rPr>
        <w:t>Melbourne Victoria 3000 Australia</w:t>
      </w:r>
    </w:p>
    <w:p w14:paraId="1665E61C" w14:textId="77777777" w:rsidR="00473489" w:rsidRPr="0012521E" w:rsidRDefault="00473489" w:rsidP="00473489">
      <w:r w:rsidRPr="0012521E">
        <w:t>Annual Report 2023</w:t>
      </w:r>
      <w:r>
        <w:t>–</w:t>
      </w:r>
      <w:r w:rsidRPr="0012521E">
        <w:t>24</w:t>
      </w:r>
    </w:p>
    <w:p w14:paraId="0080BE55" w14:textId="70776CD4" w:rsidR="000F5783" w:rsidRPr="0012521E" w:rsidRDefault="000F5783" w:rsidP="000F5783">
      <w:pPr>
        <w:rPr>
          <w:rFonts w:asciiTheme="majorHAnsi" w:hAnsiTheme="majorHAnsi" w:cstheme="majorHAnsi"/>
        </w:rPr>
      </w:pPr>
      <w:r w:rsidRPr="0012521E">
        <w:rPr>
          <w:rFonts w:asciiTheme="majorHAnsi" w:hAnsiTheme="majorHAnsi" w:cstheme="majorHAnsi"/>
        </w:rPr>
        <w:t xml:space="preserve">© Sustainability Victoria </w:t>
      </w:r>
      <w:r w:rsidRPr="0012521E">
        <w:rPr>
          <w:rFonts w:asciiTheme="majorHAnsi" w:hAnsiTheme="majorHAnsi" w:cstheme="majorHAnsi"/>
        </w:rPr>
        <w:fldChar w:fldCharType="begin"/>
      </w:r>
      <w:r w:rsidRPr="0012521E">
        <w:rPr>
          <w:rFonts w:asciiTheme="majorHAnsi" w:hAnsiTheme="majorHAnsi" w:cstheme="majorHAnsi"/>
        </w:rPr>
        <w:instrText xml:space="preserve"> DATE  \@ "YYYY" </w:instrText>
      </w:r>
      <w:r w:rsidRPr="0012521E">
        <w:rPr>
          <w:rFonts w:asciiTheme="majorHAnsi" w:hAnsiTheme="majorHAnsi" w:cstheme="majorHAnsi"/>
        </w:rPr>
        <w:fldChar w:fldCharType="separate"/>
      </w:r>
      <w:r w:rsidR="006B5042">
        <w:rPr>
          <w:rFonts w:asciiTheme="majorHAnsi" w:hAnsiTheme="majorHAnsi" w:cstheme="majorHAnsi"/>
          <w:noProof/>
        </w:rPr>
        <w:t>2025</w:t>
      </w:r>
      <w:r w:rsidRPr="0012521E">
        <w:rPr>
          <w:rFonts w:asciiTheme="majorHAnsi" w:hAnsiTheme="majorHAnsi" w:cstheme="majorHAnsi"/>
        </w:rPr>
        <w:fldChar w:fldCharType="end"/>
      </w:r>
      <w:r w:rsidRPr="0012521E">
        <w:rPr>
          <w:rFonts w:asciiTheme="majorHAnsi" w:hAnsiTheme="majorHAnsi" w:cstheme="majorHAnsi"/>
        </w:rPr>
        <w:t xml:space="preserve"> </w:t>
      </w:r>
      <w:r w:rsidRPr="0012521E">
        <w:rPr>
          <w:rFonts w:asciiTheme="majorHAnsi" w:hAnsiTheme="majorHAnsi" w:cstheme="majorHAnsi"/>
        </w:rPr>
        <w:br/>
      </w:r>
      <w:r w:rsidR="00295660">
        <w:rPr>
          <w:rFonts w:asciiTheme="majorHAnsi" w:hAnsiTheme="majorHAnsi" w:cstheme="majorHAnsi"/>
        </w:rPr>
        <w:t xml:space="preserve">October </w:t>
      </w:r>
      <w:r w:rsidR="00DC6BA1" w:rsidRPr="0012521E">
        <w:rPr>
          <w:rFonts w:asciiTheme="majorHAnsi" w:hAnsiTheme="majorHAnsi" w:cstheme="majorHAnsi"/>
        </w:rPr>
        <w:t>2024</w:t>
      </w:r>
    </w:p>
    <w:p w14:paraId="661278E6" w14:textId="30EED16B" w:rsidR="000F5783" w:rsidRPr="0012521E" w:rsidRDefault="000F5783" w:rsidP="000F5783">
      <w:pPr>
        <w:rPr>
          <w:rFonts w:asciiTheme="majorHAnsi" w:hAnsiTheme="majorHAnsi" w:cstheme="majorHAnsi"/>
        </w:rPr>
      </w:pPr>
      <w:r w:rsidRPr="0012521E">
        <w:rPr>
          <w:rFonts w:asciiTheme="majorHAnsi" w:hAnsiTheme="majorHAnsi" w:cstheme="majorHAnsi"/>
          <w:b/>
          <w:bCs/>
        </w:rPr>
        <w:t>Accessibility</w:t>
      </w:r>
      <w:r w:rsidRPr="0012521E">
        <w:rPr>
          <w:rFonts w:asciiTheme="majorHAnsi" w:hAnsiTheme="majorHAnsi" w:cstheme="majorHAnsi"/>
        </w:rPr>
        <w:t xml:space="preserve"> </w:t>
      </w:r>
      <w:r w:rsidRPr="0012521E">
        <w:rPr>
          <w:rFonts w:asciiTheme="majorHAnsi" w:hAnsiTheme="majorHAnsi" w:cstheme="majorHAnsi"/>
        </w:rPr>
        <w:br/>
        <w:t xml:space="preserve">This document is available in PDF and Word format at </w:t>
      </w:r>
      <w:hyperlink r:id="rId16" w:history="1">
        <w:r w:rsidRPr="0012521E">
          <w:rPr>
            <w:rStyle w:val="Hyperlink"/>
            <w:rFonts w:asciiTheme="majorHAnsi" w:hAnsiTheme="majorHAnsi" w:cstheme="majorHAnsi"/>
          </w:rPr>
          <w:t>sustainability.vic.gov.au</w:t>
        </w:r>
      </w:hyperlink>
    </w:p>
    <w:p w14:paraId="6DB50E55" w14:textId="77777777" w:rsidR="000F5783" w:rsidRPr="0012521E" w:rsidRDefault="000F5783" w:rsidP="000F5783">
      <w:pPr>
        <w:rPr>
          <w:rFonts w:asciiTheme="majorHAnsi" w:hAnsiTheme="majorHAnsi" w:cstheme="majorHAnsi"/>
        </w:rPr>
      </w:pPr>
      <w:r w:rsidRPr="0012521E">
        <w:rPr>
          <w:rFonts w:asciiTheme="majorHAnsi" w:hAnsiTheme="majorHAnsi" w:cstheme="majorHAnsi"/>
        </w:rPr>
        <w:t xml:space="preserve">While reasonable efforts have been made to ensure that the contents of this publication </w:t>
      </w:r>
      <w:r w:rsidRPr="0012521E">
        <w:rPr>
          <w:rFonts w:asciiTheme="majorHAnsi" w:hAnsiTheme="majorHAnsi" w:cstheme="majorHAnsi"/>
        </w:rPr>
        <w:br/>
        <w:t xml:space="preserve">are factually correct, Sustainability Victoria gives no warranty regarding its accuracy, completeness, currency or suitability for any particular purpose and to the extent permitted by law, does not accept any liability for loss or damages incurred </w:t>
      </w:r>
      <w:proofErr w:type="gramStart"/>
      <w:r w:rsidRPr="0012521E">
        <w:rPr>
          <w:rFonts w:asciiTheme="majorHAnsi" w:hAnsiTheme="majorHAnsi" w:cstheme="majorHAnsi"/>
        </w:rPr>
        <w:t>as a result of</w:t>
      </w:r>
      <w:proofErr w:type="gramEnd"/>
      <w:r w:rsidRPr="0012521E">
        <w:rPr>
          <w:rFonts w:asciiTheme="majorHAnsi" w:hAnsiTheme="majorHAnsi" w:cstheme="majorHAnsi"/>
        </w:rPr>
        <w:t xml:space="preserve"> reliance placed upon the content of this publication. </w:t>
      </w:r>
      <w:r w:rsidRPr="0012521E">
        <w:rPr>
          <w:rFonts w:asciiTheme="majorHAnsi" w:hAnsiTheme="majorHAnsi" w:cstheme="majorHAnsi"/>
        </w:rPr>
        <w:br/>
        <w:t>This publication is provided on the basis that all persons accessing it undertake responsibility for assessing the relevance and accuracy of its content.</w:t>
      </w:r>
    </w:p>
    <w:p w14:paraId="55F3C512" w14:textId="77777777" w:rsidR="000F5783" w:rsidRPr="0012521E" w:rsidRDefault="000F5783" w:rsidP="000F5783">
      <w:pPr>
        <w:rPr>
          <w:rFonts w:asciiTheme="majorHAnsi" w:hAnsiTheme="majorHAnsi" w:cstheme="majorHAnsi"/>
        </w:rPr>
      </w:pPr>
      <w:r w:rsidRPr="0012521E">
        <w:rPr>
          <w:rFonts w:asciiTheme="majorHAnsi" w:hAnsiTheme="majorHAnsi" w:cstheme="majorHAnsi"/>
        </w:rPr>
        <w:t>This report should be attributed to Sustainability Victoria.</w:t>
      </w:r>
    </w:p>
    <w:p w14:paraId="03DC167D" w14:textId="65663E23" w:rsidR="000F5783" w:rsidRPr="0012521E" w:rsidRDefault="000F5783" w:rsidP="000F5783">
      <w:pPr>
        <w:rPr>
          <w:rFonts w:asciiTheme="majorHAnsi" w:hAnsiTheme="majorHAnsi" w:cstheme="majorHAnsi"/>
        </w:rPr>
      </w:pPr>
      <w:r w:rsidRPr="0012521E">
        <w:rPr>
          <w:rFonts w:asciiTheme="majorHAnsi" w:hAnsiTheme="majorHAnsi" w:cstheme="majorHAnsi"/>
        </w:rPr>
        <w:t xml:space="preserve">This report is licensed under a Creative Commons Attribution 4.0 International licence. </w:t>
      </w:r>
      <w:r w:rsidRPr="0012521E">
        <w:rPr>
          <w:rFonts w:asciiTheme="majorHAnsi" w:hAnsiTheme="majorHAnsi" w:cstheme="majorHAnsi"/>
        </w:rPr>
        <w:br/>
        <w:t xml:space="preserve">In essence, you are free to copy, distribute and adapt the work, </w:t>
      </w:r>
      <w:proofErr w:type="gramStart"/>
      <w:r w:rsidRPr="0012521E">
        <w:rPr>
          <w:rFonts w:asciiTheme="majorHAnsi" w:hAnsiTheme="majorHAnsi" w:cstheme="majorHAnsi"/>
        </w:rPr>
        <w:t>as long as</w:t>
      </w:r>
      <w:proofErr w:type="gramEnd"/>
      <w:r w:rsidRPr="0012521E">
        <w:rPr>
          <w:rFonts w:asciiTheme="majorHAnsi" w:hAnsiTheme="majorHAnsi" w:cstheme="majorHAnsi"/>
        </w:rPr>
        <w:t xml:space="preserve"> you attribute the work and abide by the other licence terms. Go to </w:t>
      </w:r>
      <w:hyperlink r:id="rId17" w:history="1">
        <w:r w:rsidRPr="0012521E">
          <w:rPr>
            <w:rStyle w:val="Hyperlink"/>
            <w:rFonts w:asciiTheme="majorHAnsi" w:hAnsiTheme="majorHAnsi" w:cstheme="majorHAnsi"/>
          </w:rPr>
          <w:t>http://creativecommons.org/licenses/by/4.0/</w:t>
        </w:r>
      </w:hyperlink>
      <w:r w:rsidRPr="0012521E">
        <w:rPr>
          <w:rFonts w:asciiTheme="majorHAnsi" w:hAnsiTheme="majorHAnsi" w:cstheme="majorHAnsi"/>
        </w:rPr>
        <w:t xml:space="preserve"> to view a copy of this licence.</w:t>
      </w:r>
    </w:p>
    <w:p w14:paraId="64B80EC8" w14:textId="792C65BA" w:rsidR="00F30662" w:rsidRPr="0012521E" w:rsidRDefault="000F5783" w:rsidP="00B54882">
      <w:pPr>
        <w:pStyle w:val="Title"/>
        <w:rPr>
          <w:rFonts w:asciiTheme="majorHAnsi" w:hAnsiTheme="majorHAnsi"/>
        </w:rPr>
      </w:pPr>
      <w:r w:rsidRPr="0012521E">
        <w:rPr>
          <w:rFonts w:asciiTheme="majorHAnsi" w:hAnsiTheme="majorHAnsi" w:cstheme="majorHAnsi"/>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14:paraId="04FC2674" w14:textId="77777777" w:rsidR="00FE1C44" w:rsidRDefault="00FE1C44">
      <w:pPr>
        <w:spacing w:line="259" w:lineRule="auto"/>
        <w:rPr>
          <w:rFonts w:asciiTheme="majorHAnsi" w:eastAsiaTheme="majorEastAsia" w:hAnsiTheme="majorHAnsi" w:cstheme="majorHAnsi"/>
          <w:b/>
          <w:color w:val="174F37"/>
          <w:sz w:val="40"/>
          <w:szCs w:val="32"/>
        </w:rPr>
      </w:pPr>
      <w:bookmarkStart w:id="0" w:name="_Toc165637115"/>
      <w:bookmarkStart w:id="1" w:name="_Toc166585654"/>
      <w:r>
        <w:rPr>
          <w:rFonts w:asciiTheme="majorHAnsi" w:hAnsiTheme="majorHAnsi" w:cstheme="majorHAnsi"/>
        </w:rPr>
        <w:br w:type="page"/>
      </w:r>
    </w:p>
    <w:p w14:paraId="6C783694" w14:textId="253BDF8F" w:rsidR="00AE4530" w:rsidRPr="0012521E" w:rsidRDefault="00AE4530" w:rsidP="00C75D63">
      <w:pPr>
        <w:pStyle w:val="TOCHeading"/>
      </w:pPr>
      <w:r w:rsidRPr="0012521E">
        <w:lastRenderedPageBreak/>
        <w:t>Acknowledgement of Country</w:t>
      </w:r>
      <w:bookmarkEnd w:id="0"/>
      <w:bookmarkEnd w:id="1"/>
    </w:p>
    <w:p w14:paraId="5AD2B616" w14:textId="5D5E890F" w:rsidR="00AE4530" w:rsidRPr="0012521E" w:rsidRDefault="00AE4530" w:rsidP="00105389">
      <w:pPr>
        <w:pStyle w:val="Body"/>
      </w:pPr>
      <w:r w:rsidRPr="0012521E">
        <w:t>We acknowledge and respect Victorian Traditional Owners as the original custodians of Victoria’s land and waters, and for their unique ability to care for Country and deep spiritual connection to it. We honour Elders past and present whose knowledge and wisdom has ensured the continuation of culture and traditional practices.</w:t>
      </w:r>
    </w:p>
    <w:p w14:paraId="60A0609A" w14:textId="0EBCEFE6" w:rsidR="00AE4530" w:rsidRPr="0012521E" w:rsidRDefault="00AE4530" w:rsidP="00105389">
      <w:pPr>
        <w:pStyle w:val="Body"/>
      </w:pPr>
      <w:r w:rsidRPr="0012521E">
        <w:t>We acknowledge that we live and work on the lands of the world’s oldest and most sustainable culture. We acknowledge the deep connection to Earth of First Nations peoples and their invaluable contributions to our understanding of climate change and the environment.</w:t>
      </w:r>
    </w:p>
    <w:p w14:paraId="03A6E265" w14:textId="014C102B" w:rsidR="00AE4530" w:rsidRPr="0012521E" w:rsidRDefault="00AE4530" w:rsidP="00105389">
      <w:pPr>
        <w:pStyle w:val="Body"/>
      </w:pPr>
      <w:r w:rsidRPr="0012521E">
        <w:t>We are committed to genuinely partner, and meaningfully engage, with Victoria’s Traditional Owners and Aboriginal communities to support the protection of Country, the maintenance of spiritual and cultural practices and their broader aspirations in the 21</w:t>
      </w:r>
      <w:r w:rsidRPr="0012521E">
        <w:rPr>
          <w:vertAlign w:val="superscript"/>
        </w:rPr>
        <w:t>st</w:t>
      </w:r>
      <w:r w:rsidRPr="0012521E">
        <w:t xml:space="preserve"> century and beyond.</w:t>
      </w:r>
    </w:p>
    <w:p w14:paraId="45D0EAC9" w14:textId="77777777" w:rsidR="00C507B4" w:rsidRDefault="00AE4530" w:rsidP="00105389">
      <w:pPr>
        <w:pStyle w:val="Body"/>
      </w:pPr>
      <w:r w:rsidRPr="0012521E">
        <w:t>Sustainability Victoria acknowledges Aboriginal and Torres Strait Islander people as the Traditional Custodians of the land and acknowledges and pays respect to their Elders, past and present.</w:t>
      </w:r>
    </w:p>
    <w:p w14:paraId="7A916775" w14:textId="77777777" w:rsidR="004F385A" w:rsidRDefault="004F385A" w:rsidP="00105389">
      <w:pPr>
        <w:pStyle w:val="Body"/>
      </w:pPr>
    </w:p>
    <w:p w14:paraId="373AE52C" w14:textId="77777777" w:rsidR="004F385A" w:rsidRDefault="004F385A" w:rsidP="004F385A">
      <w:r>
        <w:rPr>
          <w:noProof/>
        </w:rPr>
        <w:drawing>
          <wp:inline distT="0" distB="0" distL="0" distR="0" wp14:anchorId="360C3316" wp14:editId="0D10A318">
            <wp:extent cx="3336100" cy="2632363"/>
            <wp:effectExtent l="0" t="0" r="4445" b="0"/>
            <wp:docPr id="729305175" name="Picture 729305175" descr="Aboriginal artwork depicting two birds in a circle with patterns around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boriginal artwork depicting two birds in a circle with patterns around them. "/>
                    <pic:cNvPicPr/>
                  </pic:nvPicPr>
                  <pic:blipFill>
                    <a:blip r:embed="rId19" cstate="screen">
                      <a:extLst>
                        <a:ext uri="{28A0092B-C50C-407E-A947-70E740481C1C}">
                          <a14:useLocalDpi xmlns:a14="http://schemas.microsoft.com/office/drawing/2010/main"/>
                        </a:ext>
                      </a:extLst>
                    </a:blip>
                    <a:stretch>
                      <a:fillRect/>
                    </a:stretch>
                  </pic:blipFill>
                  <pic:spPr>
                    <a:xfrm>
                      <a:off x="0" y="0"/>
                      <a:ext cx="3342801" cy="2637650"/>
                    </a:xfrm>
                    <a:prstGeom prst="rect">
                      <a:avLst/>
                    </a:prstGeom>
                  </pic:spPr>
                </pic:pic>
              </a:graphicData>
            </a:graphic>
          </wp:inline>
        </w:drawing>
      </w:r>
    </w:p>
    <w:p w14:paraId="69769196" w14:textId="77777777" w:rsidR="004F385A" w:rsidRDefault="004F385A" w:rsidP="004F385A">
      <w:r>
        <w:rPr>
          <w:noProof/>
        </w:rPr>
        <w:drawing>
          <wp:inline distT="0" distB="0" distL="0" distR="0" wp14:anchorId="524D89DD" wp14:editId="03AEBB54">
            <wp:extent cx="710046" cy="568037"/>
            <wp:effectExtent l="0" t="0" r="1270" b="3810"/>
            <wp:docPr id="18" name="Picture 18" descr="Image showing The To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The Torch logo"/>
                    <pic:cNvPicPr/>
                  </pic:nvPicPr>
                  <pic:blipFill>
                    <a:blip r:embed="rId20" cstate="screen">
                      <a:extLst>
                        <a:ext uri="{28A0092B-C50C-407E-A947-70E740481C1C}">
                          <a14:useLocalDpi xmlns:a14="http://schemas.microsoft.com/office/drawing/2010/main"/>
                        </a:ext>
                      </a:extLst>
                    </a:blip>
                    <a:stretch>
                      <a:fillRect/>
                    </a:stretch>
                  </pic:blipFill>
                  <pic:spPr>
                    <a:xfrm>
                      <a:off x="0" y="0"/>
                      <a:ext cx="714212" cy="571370"/>
                    </a:xfrm>
                    <a:prstGeom prst="rect">
                      <a:avLst/>
                    </a:prstGeom>
                  </pic:spPr>
                </pic:pic>
              </a:graphicData>
            </a:graphic>
          </wp:inline>
        </w:drawing>
      </w:r>
    </w:p>
    <w:p w14:paraId="04BC2813" w14:textId="77777777" w:rsidR="004F385A" w:rsidRPr="000C1195" w:rsidRDefault="004F385A" w:rsidP="004F385A">
      <w:r>
        <w:t>This artwork was created through The Torch, a not-for-profit organisation, that provides art, cultural and arts industry support to Indigenous offenders and ex-offenders in Victoria.</w:t>
      </w:r>
    </w:p>
    <w:p w14:paraId="12B09B47" w14:textId="415A08B1" w:rsidR="004F385A" w:rsidRPr="0012521E" w:rsidRDefault="004F385A" w:rsidP="00105389">
      <w:pPr>
        <w:pStyle w:val="Body"/>
        <w:rPr>
          <w:rFonts w:asciiTheme="majorHAnsi" w:hAnsiTheme="majorHAnsi" w:cstheme="majorHAnsi"/>
        </w:rPr>
        <w:sectPr w:rsidR="004F385A" w:rsidRPr="0012521E" w:rsidSect="00D36FDD">
          <w:headerReference w:type="default" r:id="rId21"/>
          <w:footerReference w:type="even" r:id="rId22"/>
          <w:footerReference w:type="default" r:id="rId23"/>
          <w:footerReference w:type="first" r:id="rId24"/>
          <w:pgSz w:w="11900" w:h="16820" w:code="9"/>
          <w:pgMar w:top="1176" w:right="1298" w:bottom="1298" w:left="1582" w:header="0" w:footer="862" w:gutter="0"/>
          <w:cols w:space="720"/>
          <w:docGrid w:linePitch="360"/>
        </w:sectPr>
      </w:pPr>
      <w:r>
        <w:rPr>
          <w:noProof/>
        </w:rPr>
        <w:drawing>
          <wp:inline distT="0" distB="0" distL="0" distR="0" wp14:anchorId="61554966" wp14:editId="1FEDBDA0">
            <wp:extent cx="1104900" cy="317500"/>
            <wp:effectExtent l="0" t="0" r="0" b="0"/>
            <wp:docPr id="19" name="Picture 19" descr="Image of the Torres Strait Islander Flag and 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Torres Strait Islander Flag and the Aboriginal Flag"/>
                    <pic:cNvPicPr/>
                  </pic:nvPicPr>
                  <pic:blipFill>
                    <a:blip r:embed="rId25" cstate="screen">
                      <a:extLst>
                        <a:ext uri="{28A0092B-C50C-407E-A947-70E740481C1C}">
                          <a14:useLocalDpi xmlns:a14="http://schemas.microsoft.com/office/drawing/2010/main"/>
                        </a:ext>
                      </a:extLst>
                    </a:blip>
                    <a:stretch>
                      <a:fillRect/>
                    </a:stretch>
                  </pic:blipFill>
                  <pic:spPr>
                    <a:xfrm>
                      <a:off x="0" y="0"/>
                      <a:ext cx="1104900" cy="317500"/>
                    </a:xfrm>
                    <a:prstGeom prst="rect">
                      <a:avLst/>
                    </a:prstGeom>
                  </pic:spPr>
                </pic:pic>
              </a:graphicData>
            </a:graphic>
          </wp:inline>
        </w:drawing>
      </w:r>
    </w:p>
    <w:p w14:paraId="4562392A" w14:textId="01FBE0D8" w:rsidR="00F53853" w:rsidRPr="0012521E" w:rsidRDefault="00EB3195" w:rsidP="00EB3195">
      <w:pPr>
        <w:pStyle w:val="Title"/>
        <w:rPr>
          <w:rFonts w:asciiTheme="majorHAnsi" w:hAnsiTheme="majorHAnsi" w:cstheme="majorHAnsi"/>
        </w:rPr>
      </w:pPr>
      <w:r w:rsidRPr="0012521E">
        <w:rPr>
          <w:rFonts w:asciiTheme="majorHAnsi" w:hAnsiTheme="majorHAnsi" w:cstheme="majorHAnsi"/>
        </w:rPr>
        <w:lastRenderedPageBreak/>
        <w:t>Contents</w:t>
      </w:r>
    </w:p>
    <w:p w14:paraId="6A8FFD9B" w14:textId="1AB4B167" w:rsidR="003B1BDF" w:rsidRDefault="008208EE">
      <w:pPr>
        <w:pStyle w:val="TOC1"/>
        <w:rPr>
          <w:rFonts w:asciiTheme="minorHAnsi" w:eastAsiaTheme="minorEastAsia" w:hAnsiTheme="minorHAnsi"/>
          <w:b w:val="0"/>
          <w:noProof/>
          <w:color w:val="auto"/>
          <w:kern w:val="2"/>
          <w:sz w:val="24"/>
          <w:szCs w:val="24"/>
          <w:lang w:eastAsia="en-AU"/>
          <w14:ligatures w14:val="standardContextual"/>
        </w:rPr>
      </w:pPr>
      <w:r>
        <w:rPr>
          <w:rFonts w:asciiTheme="majorHAnsi" w:hAnsiTheme="majorHAnsi" w:cstheme="majorBidi"/>
        </w:rPr>
        <w:fldChar w:fldCharType="begin"/>
      </w:r>
      <w:r w:rsidRPr="3C051683">
        <w:rPr>
          <w:rFonts w:asciiTheme="majorHAnsi" w:hAnsiTheme="majorHAnsi" w:cstheme="majorBidi"/>
        </w:rPr>
        <w:instrText xml:space="preserve"> TOC \o "1-1" \h \z \u </w:instrText>
      </w:r>
      <w:r>
        <w:rPr>
          <w:rFonts w:asciiTheme="majorHAnsi" w:hAnsiTheme="majorHAnsi" w:cstheme="majorBidi"/>
        </w:rPr>
        <w:fldChar w:fldCharType="separate"/>
      </w:r>
      <w:hyperlink w:anchor="_Toc179469472" w:history="1">
        <w:r w:rsidR="003B1BDF" w:rsidRPr="006A2BB5">
          <w:rPr>
            <w:rStyle w:val="Hyperlink"/>
            <w:rFonts w:asciiTheme="majorHAnsi" w:hAnsiTheme="majorHAnsi" w:cstheme="majorHAnsi"/>
            <w:noProof/>
          </w:rPr>
          <w:t>Declaration in report of operations</w:t>
        </w:r>
        <w:r w:rsidR="003B1BDF">
          <w:rPr>
            <w:noProof/>
            <w:webHidden/>
          </w:rPr>
          <w:tab/>
        </w:r>
        <w:r w:rsidR="003B1BDF">
          <w:rPr>
            <w:noProof/>
            <w:webHidden/>
          </w:rPr>
          <w:fldChar w:fldCharType="begin"/>
        </w:r>
        <w:r w:rsidR="003B1BDF">
          <w:rPr>
            <w:noProof/>
            <w:webHidden/>
          </w:rPr>
          <w:instrText xml:space="preserve"> PAGEREF _Toc179469472 \h </w:instrText>
        </w:r>
        <w:r w:rsidR="003B1BDF">
          <w:rPr>
            <w:noProof/>
            <w:webHidden/>
          </w:rPr>
        </w:r>
        <w:r w:rsidR="003B1BDF">
          <w:rPr>
            <w:noProof/>
            <w:webHidden/>
          </w:rPr>
          <w:fldChar w:fldCharType="separate"/>
        </w:r>
        <w:r w:rsidR="003B1BDF">
          <w:rPr>
            <w:noProof/>
            <w:webHidden/>
          </w:rPr>
          <w:t>2</w:t>
        </w:r>
        <w:r w:rsidR="003B1BDF">
          <w:rPr>
            <w:noProof/>
            <w:webHidden/>
          </w:rPr>
          <w:fldChar w:fldCharType="end"/>
        </w:r>
      </w:hyperlink>
    </w:p>
    <w:p w14:paraId="31010E02" w14:textId="00F508EF"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73" w:history="1">
        <w:r w:rsidRPr="006A2BB5">
          <w:rPr>
            <w:rStyle w:val="Hyperlink"/>
            <w:rFonts w:asciiTheme="majorHAnsi" w:hAnsiTheme="majorHAnsi" w:cstheme="majorHAnsi"/>
            <w:noProof/>
          </w:rPr>
          <w:t>Message from the Chair and CEO</w:t>
        </w:r>
        <w:r>
          <w:rPr>
            <w:noProof/>
            <w:webHidden/>
          </w:rPr>
          <w:tab/>
        </w:r>
        <w:r>
          <w:rPr>
            <w:noProof/>
            <w:webHidden/>
          </w:rPr>
          <w:fldChar w:fldCharType="begin"/>
        </w:r>
        <w:r>
          <w:rPr>
            <w:noProof/>
            <w:webHidden/>
          </w:rPr>
          <w:instrText xml:space="preserve"> PAGEREF _Toc179469473 \h </w:instrText>
        </w:r>
        <w:r>
          <w:rPr>
            <w:noProof/>
            <w:webHidden/>
          </w:rPr>
        </w:r>
        <w:r>
          <w:rPr>
            <w:noProof/>
            <w:webHidden/>
          </w:rPr>
          <w:fldChar w:fldCharType="separate"/>
        </w:r>
        <w:r>
          <w:rPr>
            <w:noProof/>
            <w:webHidden/>
          </w:rPr>
          <w:t>3</w:t>
        </w:r>
        <w:r>
          <w:rPr>
            <w:noProof/>
            <w:webHidden/>
          </w:rPr>
          <w:fldChar w:fldCharType="end"/>
        </w:r>
      </w:hyperlink>
    </w:p>
    <w:p w14:paraId="10832F62" w14:textId="16A96601"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74" w:history="1">
        <w:r w:rsidRPr="006A2BB5">
          <w:rPr>
            <w:rStyle w:val="Hyperlink"/>
            <w:noProof/>
          </w:rPr>
          <w:t>About Sustainability Victoria</w:t>
        </w:r>
        <w:r>
          <w:rPr>
            <w:noProof/>
            <w:webHidden/>
          </w:rPr>
          <w:tab/>
        </w:r>
        <w:r>
          <w:rPr>
            <w:noProof/>
            <w:webHidden/>
          </w:rPr>
          <w:fldChar w:fldCharType="begin"/>
        </w:r>
        <w:r>
          <w:rPr>
            <w:noProof/>
            <w:webHidden/>
          </w:rPr>
          <w:instrText xml:space="preserve"> PAGEREF _Toc179469474 \h </w:instrText>
        </w:r>
        <w:r>
          <w:rPr>
            <w:noProof/>
            <w:webHidden/>
          </w:rPr>
        </w:r>
        <w:r>
          <w:rPr>
            <w:noProof/>
            <w:webHidden/>
          </w:rPr>
          <w:fldChar w:fldCharType="separate"/>
        </w:r>
        <w:r>
          <w:rPr>
            <w:noProof/>
            <w:webHidden/>
          </w:rPr>
          <w:t>4</w:t>
        </w:r>
        <w:r>
          <w:rPr>
            <w:noProof/>
            <w:webHidden/>
          </w:rPr>
          <w:fldChar w:fldCharType="end"/>
        </w:r>
      </w:hyperlink>
    </w:p>
    <w:p w14:paraId="13BD6F1D" w14:textId="6FFA8D6D"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75" w:history="1">
        <w:r w:rsidRPr="006A2BB5">
          <w:rPr>
            <w:rStyle w:val="Hyperlink"/>
            <w:noProof/>
          </w:rPr>
          <w:t>The Circular Economy</w:t>
        </w:r>
        <w:r>
          <w:rPr>
            <w:noProof/>
            <w:webHidden/>
          </w:rPr>
          <w:tab/>
        </w:r>
        <w:r>
          <w:rPr>
            <w:noProof/>
            <w:webHidden/>
          </w:rPr>
          <w:fldChar w:fldCharType="begin"/>
        </w:r>
        <w:r>
          <w:rPr>
            <w:noProof/>
            <w:webHidden/>
          </w:rPr>
          <w:instrText xml:space="preserve"> PAGEREF _Toc179469475 \h </w:instrText>
        </w:r>
        <w:r>
          <w:rPr>
            <w:noProof/>
            <w:webHidden/>
          </w:rPr>
        </w:r>
        <w:r>
          <w:rPr>
            <w:noProof/>
            <w:webHidden/>
          </w:rPr>
          <w:fldChar w:fldCharType="separate"/>
        </w:r>
        <w:r>
          <w:rPr>
            <w:noProof/>
            <w:webHidden/>
          </w:rPr>
          <w:t>6</w:t>
        </w:r>
        <w:r>
          <w:rPr>
            <w:noProof/>
            <w:webHidden/>
          </w:rPr>
          <w:fldChar w:fldCharType="end"/>
        </w:r>
      </w:hyperlink>
    </w:p>
    <w:p w14:paraId="655C5AF6" w14:textId="3347940C"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76" w:history="1">
        <w:r w:rsidRPr="006A2BB5">
          <w:rPr>
            <w:rStyle w:val="Hyperlink"/>
            <w:noProof/>
          </w:rPr>
          <w:t>Delivering impact – the outcomes</w:t>
        </w:r>
        <w:r>
          <w:rPr>
            <w:noProof/>
            <w:webHidden/>
          </w:rPr>
          <w:tab/>
        </w:r>
        <w:r>
          <w:rPr>
            <w:noProof/>
            <w:webHidden/>
          </w:rPr>
          <w:fldChar w:fldCharType="begin"/>
        </w:r>
        <w:r>
          <w:rPr>
            <w:noProof/>
            <w:webHidden/>
          </w:rPr>
          <w:instrText xml:space="preserve"> PAGEREF _Toc179469476 \h </w:instrText>
        </w:r>
        <w:r>
          <w:rPr>
            <w:noProof/>
            <w:webHidden/>
          </w:rPr>
        </w:r>
        <w:r>
          <w:rPr>
            <w:noProof/>
            <w:webHidden/>
          </w:rPr>
          <w:fldChar w:fldCharType="separate"/>
        </w:r>
        <w:r>
          <w:rPr>
            <w:noProof/>
            <w:webHidden/>
          </w:rPr>
          <w:t>7</w:t>
        </w:r>
        <w:r>
          <w:rPr>
            <w:noProof/>
            <w:webHidden/>
          </w:rPr>
          <w:fldChar w:fldCharType="end"/>
        </w:r>
      </w:hyperlink>
    </w:p>
    <w:p w14:paraId="231A8EBF" w14:textId="5C6ABC63"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77" w:history="1">
        <w:r w:rsidRPr="006A2BB5">
          <w:rPr>
            <w:rStyle w:val="Hyperlink"/>
            <w:rFonts w:asciiTheme="majorHAnsi" w:hAnsiTheme="majorHAnsi" w:cstheme="majorHAnsi"/>
            <w:noProof/>
          </w:rPr>
          <w:t>Our culture</w:t>
        </w:r>
        <w:r>
          <w:rPr>
            <w:noProof/>
            <w:webHidden/>
          </w:rPr>
          <w:tab/>
        </w:r>
        <w:r>
          <w:rPr>
            <w:noProof/>
            <w:webHidden/>
          </w:rPr>
          <w:fldChar w:fldCharType="begin"/>
        </w:r>
        <w:r>
          <w:rPr>
            <w:noProof/>
            <w:webHidden/>
          </w:rPr>
          <w:instrText xml:space="preserve"> PAGEREF _Toc179469477 \h </w:instrText>
        </w:r>
        <w:r>
          <w:rPr>
            <w:noProof/>
            <w:webHidden/>
          </w:rPr>
        </w:r>
        <w:r>
          <w:rPr>
            <w:noProof/>
            <w:webHidden/>
          </w:rPr>
          <w:fldChar w:fldCharType="separate"/>
        </w:r>
        <w:r>
          <w:rPr>
            <w:noProof/>
            <w:webHidden/>
          </w:rPr>
          <w:t>20</w:t>
        </w:r>
        <w:r>
          <w:rPr>
            <w:noProof/>
            <w:webHidden/>
          </w:rPr>
          <w:fldChar w:fldCharType="end"/>
        </w:r>
      </w:hyperlink>
    </w:p>
    <w:p w14:paraId="4CE30722" w14:textId="253D1B02"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78" w:history="1">
        <w:r w:rsidRPr="006A2BB5">
          <w:rPr>
            <w:rStyle w:val="Hyperlink"/>
            <w:rFonts w:asciiTheme="majorHAnsi" w:hAnsiTheme="majorHAnsi" w:cstheme="majorHAnsi"/>
            <w:noProof/>
          </w:rPr>
          <w:t>Non-financial performance</w:t>
        </w:r>
        <w:r>
          <w:rPr>
            <w:noProof/>
            <w:webHidden/>
          </w:rPr>
          <w:tab/>
        </w:r>
        <w:r>
          <w:rPr>
            <w:noProof/>
            <w:webHidden/>
          </w:rPr>
          <w:fldChar w:fldCharType="begin"/>
        </w:r>
        <w:r>
          <w:rPr>
            <w:noProof/>
            <w:webHidden/>
          </w:rPr>
          <w:instrText xml:space="preserve"> PAGEREF _Toc179469478 \h </w:instrText>
        </w:r>
        <w:r>
          <w:rPr>
            <w:noProof/>
            <w:webHidden/>
          </w:rPr>
        </w:r>
        <w:r>
          <w:rPr>
            <w:noProof/>
            <w:webHidden/>
          </w:rPr>
          <w:fldChar w:fldCharType="separate"/>
        </w:r>
        <w:r>
          <w:rPr>
            <w:noProof/>
            <w:webHidden/>
          </w:rPr>
          <w:t>23</w:t>
        </w:r>
        <w:r>
          <w:rPr>
            <w:noProof/>
            <w:webHidden/>
          </w:rPr>
          <w:fldChar w:fldCharType="end"/>
        </w:r>
      </w:hyperlink>
    </w:p>
    <w:p w14:paraId="3C9583B6" w14:textId="6543FC8B"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79" w:history="1">
        <w:r w:rsidRPr="006A2BB5">
          <w:rPr>
            <w:rStyle w:val="Hyperlink"/>
            <w:rFonts w:asciiTheme="majorHAnsi" w:hAnsiTheme="majorHAnsi" w:cstheme="majorHAnsi"/>
            <w:noProof/>
          </w:rPr>
          <w:t>Performance reporting (financial)</w:t>
        </w:r>
        <w:r>
          <w:rPr>
            <w:noProof/>
            <w:webHidden/>
          </w:rPr>
          <w:tab/>
        </w:r>
        <w:r>
          <w:rPr>
            <w:noProof/>
            <w:webHidden/>
          </w:rPr>
          <w:fldChar w:fldCharType="begin"/>
        </w:r>
        <w:r>
          <w:rPr>
            <w:noProof/>
            <w:webHidden/>
          </w:rPr>
          <w:instrText xml:space="preserve"> PAGEREF _Toc179469479 \h </w:instrText>
        </w:r>
        <w:r>
          <w:rPr>
            <w:noProof/>
            <w:webHidden/>
          </w:rPr>
        </w:r>
        <w:r>
          <w:rPr>
            <w:noProof/>
            <w:webHidden/>
          </w:rPr>
          <w:fldChar w:fldCharType="separate"/>
        </w:r>
        <w:r>
          <w:rPr>
            <w:noProof/>
            <w:webHidden/>
          </w:rPr>
          <w:t>31</w:t>
        </w:r>
        <w:r>
          <w:rPr>
            <w:noProof/>
            <w:webHidden/>
          </w:rPr>
          <w:fldChar w:fldCharType="end"/>
        </w:r>
      </w:hyperlink>
    </w:p>
    <w:p w14:paraId="4EEAA738" w14:textId="4F342E7E"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0" w:history="1">
        <w:r w:rsidRPr="006A2BB5">
          <w:rPr>
            <w:rStyle w:val="Hyperlink"/>
            <w:rFonts w:asciiTheme="majorHAnsi" w:hAnsiTheme="majorHAnsi" w:cstheme="majorHAnsi"/>
            <w:noProof/>
          </w:rPr>
          <w:t>Governance and organisational structure</w:t>
        </w:r>
        <w:r>
          <w:rPr>
            <w:noProof/>
            <w:webHidden/>
          </w:rPr>
          <w:tab/>
        </w:r>
        <w:r>
          <w:rPr>
            <w:noProof/>
            <w:webHidden/>
          </w:rPr>
          <w:fldChar w:fldCharType="begin"/>
        </w:r>
        <w:r>
          <w:rPr>
            <w:noProof/>
            <w:webHidden/>
          </w:rPr>
          <w:instrText xml:space="preserve"> PAGEREF _Toc179469480 \h </w:instrText>
        </w:r>
        <w:r>
          <w:rPr>
            <w:noProof/>
            <w:webHidden/>
          </w:rPr>
        </w:r>
        <w:r>
          <w:rPr>
            <w:noProof/>
            <w:webHidden/>
          </w:rPr>
          <w:fldChar w:fldCharType="separate"/>
        </w:r>
        <w:r>
          <w:rPr>
            <w:noProof/>
            <w:webHidden/>
          </w:rPr>
          <w:t>33</w:t>
        </w:r>
        <w:r>
          <w:rPr>
            <w:noProof/>
            <w:webHidden/>
          </w:rPr>
          <w:fldChar w:fldCharType="end"/>
        </w:r>
      </w:hyperlink>
    </w:p>
    <w:p w14:paraId="1B1E01D6" w14:textId="5DFB3B91"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1" w:history="1">
        <w:r w:rsidRPr="006A2BB5">
          <w:rPr>
            <w:rStyle w:val="Hyperlink"/>
            <w:rFonts w:asciiTheme="majorHAnsi" w:hAnsiTheme="majorHAnsi" w:cstheme="majorHAnsi"/>
            <w:noProof/>
          </w:rPr>
          <w:t>Workforce data</w:t>
        </w:r>
        <w:r>
          <w:rPr>
            <w:noProof/>
            <w:webHidden/>
          </w:rPr>
          <w:tab/>
        </w:r>
        <w:r>
          <w:rPr>
            <w:noProof/>
            <w:webHidden/>
          </w:rPr>
          <w:fldChar w:fldCharType="begin"/>
        </w:r>
        <w:r>
          <w:rPr>
            <w:noProof/>
            <w:webHidden/>
          </w:rPr>
          <w:instrText xml:space="preserve"> PAGEREF _Toc179469481 \h </w:instrText>
        </w:r>
        <w:r>
          <w:rPr>
            <w:noProof/>
            <w:webHidden/>
          </w:rPr>
        </w:r>
        <w:r>
          <w:rPr>
            <w:noProof/>
            <w:webHidden/>
          </w:rPr>
          <w:fldChar w:fldCharType="separate"/>
        </w:r>
        <w:r>
          <w:rPr>
            <w:noProof/>
            <w:webHidden/>
          </w:rPr>
          <w:t>39</w:t>
        </w:r>
        <w:r>
          <w:rPr>
            <w:noProof/>
            <w:webHidden/>
          </w:rPr>
          <w:fldChar w:fldCharType="end"/>
        </w:r>
      </w:hyperlink>
    </w:p>
    <w:p w14:paraId="69393732" w14:textId="36A27D98"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2" w:history="1">
        <w:r w:rsidRPr="006A2BB5">
          <w:rPr>
            <w:rStyle w:val="Hyperlink"/>
            <w:rFonts w:asciiTheme="majorHAnsi" w:hAnsiTheme="majorHAnsi" w:cstheme="majorHAnsi"/>
            <w:noProof/>
          </w:rPr>
          <w:t>Other disclosures</w:t>
        </w:r>
        <w:r>
          <w:rPr>
            <w:noProof/>
            <w:webHidden/>
          </w:rPr>
          <w:tab/>
        </w:r>
        <w:r>
          <w:rPr>
            <w:noProof/>
            <w:webHidden/>
          </w:rPr>
          <w:fldChar w:fldCharType="begin"/>
        </w:r>
        <w:r>
          <w:rPr>
            <w:noProof/>
            <w:webHidden/>
          </w:rPr>
          <w:instrText xml:space="preserve"> PAGEREF _Toc179469482 \h </w:instrText>
        </w:r>
        <w:r>
          <w:rPr>
            <w:noProof/>
            <w:webHidden/>
          </w:rPr>
        </w:r>
        <w:r>
          <w:rPr>
            <w:noProof/>
            <w:webHidden/>
          </w:rPr>
          <w:fldChar w:fldCharType="separate"/>
        </w:r>
        <w:r>
          <w:rPr>
            <w:noProof/>
            <w:webHidden/>
          </w:rPr>
          <w:t>49</w:t>
        </w:r>
        <w:r>
          <w:rPr>
            <w:noProof/>
            <w:webHidden/>
          </w:rPr>
          <w:fldChar w:fldCharType="end"/>
        </w:r>
      </w:hyperlink>
    </w:p>
    <w:p w14:paraId="53076BCE" w14:textId="1366EAEA"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3" w:history="1">
        <w:r w:rsidRPr="006A2BB5">
          <w:rPr>
            <w:rStyle w:val="Hyperlink"/>
            <w:rFonts w:asciiTheme="majorHAnsi" w:hAnsiTheme="majorHAnsi"/>
            <w:noProof/>
          </w:rPr>
          <w:t>Annual financial statements 2023–24</w:t>
        </w:r>
        <w:r>
          <w:rPr>
            <w:noProof/>
            <w:webHidden/>
          </w:rPr>
          <w:tab/>
        </w:r>
        <w:r>
          <w:rPr>
            <w:noProof/>
            <w:webHidden/>
          </w:rPr>
          <w:fldChar w:fldCharType="begin"/>
        </w:r>
        <w:r>
          <w:rPr>
            <w:noProof/>
            <w:webHidden/>
          </w:rPr>
          <w:instrText xml:space="preserve"> PAGEREF _Toc179469483 \h </w:instrText>
        </w:r>
        <w:r>
          <w:rPr>
            <w:noProof/>
            <w:webHidden/>
          </w:rPr>
        </w:r>
        <w:r>
          <w:rPr>
            <w:noProof/>
            <w:webHidden/>
          </w:rPr>
          <w:fldChar w:fldCharType="separate"/>
        </w:r>
        <w:r>
          <w:rPr>
            <w:noProof/>
            <w:webHidden/>
          </w:rPr>
          <w:t>63</w:t>
        </w:r>
        <w:r>
          <w:rPr>
            <w:noProof/>
            <w:webHidden/>
          </w:rPr>
          <w:fldChar w:fldCharType="end"/>
        </w:r>
      </w:hyperlink>
    </w:p>
    <w:p w14:paraId="5EBF943A" w14:textId="1A1A5D88"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4" w:history="1">
        <w:r w:rsidRPr="006A2BB5">
          <w:rPr>
            <w:rStyle w:val="Hyperlink"/>
            <w:rFonts w:asciiTheme="majorHAnsi" w:hAnsiTheme="majorHAnsi" w:cstheme="majorHAnsi"/>
            <w:noProof/>
          </w:rPr>
          <w:t>Appendix 1: Disclosure index</w:t>
        </w:r>
        <w:r>
          <w:rPr>
            <w:noProof/>
            <w:webHidden/>
          </w:rPr>
          <w:tab/>
        </w:r>
        <w:r>
          <w:rPr>
            <w:noProof/>
            <w:webHidden/>
          </w:rPr>
          <w:fldChar w:fldCharType="begin"/>
        </w:r>
        <w:r>
          <w:rPr>
            <w:noProof/>
            <w:webHidden/>
          </w:rPr>
          <w:instrText xml:space="preserve"> PAGEREF _Toc179469484 \h </w:instrText>
        </w:r>
        <w:r>
          <w:rPr>
            <w:noProof/>
            <w:webHidden/>
          </w:rPr>
        </w:r>
        <w:r>
          <w:rPr>
            <w:noProof/>
            <w:webHidden/>
          </w:rPr>
          <w:fldChar w:fldCharType="separate"/>
        </w:r>
        <w:r>
          <w:rPr>
            <w:noProof/>
            <w:webHidden/>
          </w:rPr>
          <w:t>117</w:t>
        </w:r>
        <w:r>
          <w:rPr>
            <w:noProof/>
            <w:webHidden/>
          </w:rPr>
          <w:fldChar w:fldCharType="end"/>
        </w:r>
      </w:hyperlink>
    </w:p>
    <w:p w14:paraId="76A65F77" w14:textId="57BD4AAE"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5" w:history="1">
        <w:r w:rsidRPr="006A2BB5">
          <w:rPr>
            <w:rStyle w:val="Hyperlink"/>
            <w:rFonts w:eastAsia="SimHei" w:cs="Arial"/>
            <w:noProof/>
          </w:rPr>
          <w:t>Appendix 2: Environmental reporting</w:t>
        </w:r>
        <w:r>
          <w:rPr>
            <w:noProof/>
            <w:webHidden/>
          </w:rPr>
          <w:tab/>
        </w:r>
        <w:r>
          <w:rPr>
            <w:noProof/>
            <w:webHidden/>
          </w:rPr>
          <w:fldChar w:fldCharType="begin"/>
        </w:r>
        <w:r>
          <w:rPr>
            <w:noProof/>
            <w:webHidden/>
          </w:rPr>
          <w:instrText xml:space="preserve"> PAGEREF _Toc179469485 \h </w:instrText>
        </w:r>
        <w:r>
          <w:rPr>
            <w:noProof/>
            <w:webHidden/>
          </w:rPr>
        </w:r>
        <w:r>
          <w:rPr>
            <w:noProof/>
            <w:webHidden/>
          </w:rPr>
          <w:fldChar w:fldCharType="separate"/>
        </w:r>
        <w:r>
          <w:rPr>
            <w:noProof/>
            <w:webHidden/>
          </w:rPr>
          <w:t>120</w:t>
        </w:r>
        <w:r>
          <w:rPr>
            <w:noProof/>
            <w:webHidden/>
          </w:rPr>
          <w:fldChar w:fldCharType="end"/>
        </w:r>
      </w:hyperlink>
    </w:p>
    <w:p w14:paraId="67A955BC" w14:textId="62B5461C"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6" w:history="1">
        <w:r w:rsidRPr="006A2BB5">
          <w:rPr>
            <w:rStyle w:val="Hyperlink"/>
            <w:rFonts w:asciiTheme="majorHAnsi" w:hAnsiTheme="majorHAnsi" w:cstheme="majorHAnsi"/>
            <w:noProof/>
          </w:rPr>
          <w:t>Appendix 3: Grant allocations</w:t>
        </w:r>
        <w:r>
          <w:rPr>
            <w:noProof/>
            <w:webHidden/>
          </w:rPr>
          <w:tab/>
        </w:r>
        <w:r>
          <w:rPr>
            <w:noProof/>
            <w:webHidden/>
          </w:rPr>
          <w:fldChar w:fldCharType="begin"/>
        </w:r>
        <w:r>
          <w:rPr>
            <w:noProof/>
            <w:webHidden/>
          </w:rPr>
          <w:instrText xml:space="preserve"> PAGEREF _Toc179469486 \h </w:instrText>
        </w:r>
        <w:r>
          <w:rPr>
            <w:noProof/>
            <w:webHidden/>
          </w:rPr>
        </w:r>
        <w:r>
          <w:rPr>
            <w:noProof/>
            <w:webHidden/>
          </w:rPr>
          <w:fldChar w:fldCharType="separate"/>
        </w:r>
        <w:r>
          <w:rPr>
            <w:noProof/>
            <w:webHidden/>
          </w:rPr>
          <w:t>127</w:t>
        </w:r>
        <w:r>
          <w:rPr>
            <w:noProof/>
            <w:webHidden/>
          </w:rPr>
          <w:fldChar w:fldCharType="end"/>
        </w:r>
      </w:hyperlink>
    </w:p>
    <w:p w14:paraId="664AF0BA" w14:textId="76E9E645"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7" w:history="1">
        <w:r w:rsidRPr="006A2BB5">
          <w:rPr>
            <w:rStyle w:val="Hyperlink"/>
            <w:rFonts w:asciiTheme="majorHAnsi" w:hAnsiTheme="majorHAnsi" w:cstheme="majorHAnsi"/>
            <w:noProof/>
          </w:rPr>
          <w:t>Appendix 4: Attestation for compliance with Ministerial Standing Directions</w:t>
        </w:r>
        <w:r>
          <w:rPr>
            <w:noProof/>
            <w:webHidden/>
          </w:rPr>
          <w:tab/>
        </w:r>
        <w:r>
          <w:rPr>
            <w:noProof/>
            <w:webHidden/>
          </w:rPr>
          <w:fldChar w:fldCharType="begin"/>
        </w:r>
        <w:r>
          <w:rPr>
            <w:noProof/>
            <w:webHidden/>
          </w:rPr>
          <w:instrText xml:space="preserve"> PAGEREF _Toc179469487 \h </w:instrText>
        </w:r>
        <w:r>
          <w:rPr>
            <w:noProof/>
            <w:webHidden/>
          </w:rPr>
        </w:r>
        <w:r>
          <w:rPr>
            <w:noProof/>
            <w:webHidden/>
          </w:rPr>
          <w:fldChar w:fldCharType="separate"/>
        </w:r>
        <w:r>
          <w:rPr>
            <w:noProof/>
            <w:webHidden/>
          </w:rPr>
          <w:t>140</w:t>
        </w:r>
        <w:r>
          <w:rPr>
            <w:noProof/>
            <w:webHidden/>
          </w:rPr>
          <w:fldChar w:fldCharType="end"/>
        </w:r>
      </w:hyperlink>
    </w:p>
    <w:p w14:paraId="6401EAD5" w14:textId="260D79E4"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8" w:history="1">
        <w:r w:rsidRPr="006A2BB5">
          <w:rPr>
            <w:rStyle w:val="Hyperlink"/>
            <w:rFonts w:asciiTheme="majorHAnsi" w:hAnsiTheme="majorHAnsi" w:cstheme="majorHAnsi"/>
            <w:noProof/>
          </w:rPr>
          <w:t>Appendix 5: Ministerial Statement of Expectations</w:t>
        </w:r>
        <w:r>
          <w:rPr>
            <w:noProof/>
            <w:webHidden/>
          </w:rPr>
          <w:tab/>
        </w:r>
        <w:r>
          <w:rPr>
            <w:noProof/>
            <w:webHidden/>
          </w:rPr>
          <w:fldChar w:fldCharType="begin"/>
        </w:r>
        <w:r>
          <w:rPr>
            <w:noProof/>
            <w:webHidden/>
          </w:rPr>
          <w:instrText xml:space="preserve"> PAGEREF _Toc179469488 \h </w:instrText>
        </w:r>
        <w:r>
          <w:rPr>
            <w:noProof/>
            <w:webHidden/>
          </w:rPr>
        </w:r>
        <w:r>
          <w:rPr>
            <w:noProof/>
            <w:webHidden/>
          </w:rPr>
          <w:fldChar w:fldCharType="separate"/>
        </w:r>
        <w:r>
          <w:rPr>
            <w:noProof/>
            <w:webHidden/>
          </w:rPr>
          <w:t>141</w:t>
        </w:r>
        <w:r>
          <w:rPr>
            <w:noProof/>
            <w:webHidden/>
          </w:rPr>
          <w:fldChar w:fldCharType="end"/>
        </w:r>
      </w:hyperlink>
    </w:p>
    <w:p w14:paraId="389AD05C" w14:textId="56B3ABA7" w:rsidR="003B1BDF" w:rsidRDefault="003B1BDF">
      <w:pPr>
        <w:pStyle w:val="TOC1"/>
        <w:rPr>
          <w:rFonts w:asciiTheme="minorHAnsi" w:eastAsiaTheme="minorEastAsia" w:hAnsiTheme="minorHAnsi"/>
          <w:b w:val="0"/>
          <w:noProof/>
          <w:color w:val="auto"/>
          <w:kern w:val="2"/>
          <w:sz w:val="24"/>
          <w:szCs w:val="24"/>
          <w:lang w:eastAsia="en-AU"/>
          <w14:ligatures w14:val="standardContextual"/>
        </w:rPr>
      </w:pPr>
      <w:hyperlink w:anchor="_Toc179469489" w:history="1">
        <w:r w:rsidRPr="006A2BB5">
          <w:rPr>
            <w:rStyle w:val="Hyperlink"/>
            <w:rFonts w:asciiTheme="majorHAnsi" w:hAnsiTheme="majorHAnsi" w:cstheme="majorHAnsi"/>
            <w:noProof/>
          </w:rPr>
          <w:t>Acronyms</w:t>
        </w:r>
        <w:r>
          <w:rPr>
            <w:noProof/>
            <w:webHidden/>
          </w:rPr>
          <w:tab/>
        </w:r>
        <w:r>
          <w:rPr>
            <w:noProof/>
            <w:webHidden/>
          </w:rPr>
          <w:fldChar w:fldCharType="begin"/>
        </w:r>
        <w:r>
          <w:rPr>
            <w:noProof/>
            <w:webHidden/>
          </w:rPr>
          <w:instrText xml:space="preserve"> PAGEREF _Toc179469489 \h </w:instrText>
        </w:r>
        <w:r>
          <w:rPr>
            <w:noProof/>
            <w:webHidden/>
          </w:rPr>
        </w:r>
        <w:r>
          <w:rPr>
            <w:noProof/>
            <w:webHidden/>
          </w:rPr>
          <w:fldChar w:fldCharType="separate"/>
        </w:r>
        <w:r>
          <w:rPr>
            <w:noProof/>
            <w:webHidden/>
          </w:rPr>
          <w:t>142</w:t>
        </w:r>
        <w:r>
          <w:rPr>
            <w:noProof/>
            <w:webHidden/>
          </w:rPr>
          <w:fldChar w:fldCharType="end"/>
        </w:r>
      </w:hyperlink>
    </w:p>
    <w:p w14:paraId="313028B1" w14:textId="2638313D" w:rsidR="00AA40DE" w:rsidRPr="0012521E" w:rsidRDefault="008208EE" w:rsidP="00105389">
      <w:pPr>
        <w:pStyle w:val="Body"/>
      </w:pPr>
      <w:r>
        <w:fldChar w:fldCharType="end"/>
      </w:r>
    </w:p>
    <w:p w14:paraId="5075AF39" w14:textId="77777777" w:rsidR="004C75AB" w:rsidRDefault="004C75AB">
      <w:pPr>
        <w:spacing w:line="259" w:lineRule="auto"/>
        <w:rPr>
          <w:rStyle w:val="Heading1Char"/>
          <w:rFonts w:asciiTheme="majorHAnsi" w:hAnsiTheme="majorHAnsi" w:cstheme="majorHAnsi"/>
        </w:rPr>
      </w:pPr>
      <w:bookmarkStart w:id="2" w:name="_Ref85023376"/>
      <w:bookmarkStart w:id="3" w:name="_Toc144883442"/>
      <w:bookmarkStart w:id="4" w:name="_Toc144884391"/>
      <w:bookmarkStart w:id="5" w:name="_Toc147395346"/>
      <w:bookmarkStart w:id="6" w:name="_Toc166585655"/>
      <w:r>
        <w:rPr>
          <w:rStyle w:val="Heading1Char"/>
          <w:rFonts w:asciiTheme="majorHAnsi" w:hAnsiTheme="majorHAnsi" w:cstheme="majorHAnsi"/>
        </w:rPr>
        <w:br w:type="page"/>
      </w:r>
    </w:p>
    <w:p w14:paraId="6AEB4A24" w14:textId="282938D3" w:rsidR="00AA40DE" w:rsidRPr="0012521E" w:rsidRDefault="00AA40DE" w:rsidP="00AA40DE">
      <w:pPr>
        <w:rPr>
          <w:rFonts w:asciiTheme="majorHAnsi" w:hAnsiTheme="majorHAnsi" w:cstheme="majorHAnsi"/>
        </w:rPr>
      </w:pPr>
      <w:bookmarkStart w:id="7" w:name="_Toc179469472"/>
      <w:r w:rsidRPr="0012521E">
        <w:rPr>
          <w:rStyle w:val="Heading1Char"/>
          <w:rFonts w:asciiTheme="majorHAnsi" w:hAnsiTheme="majorHAnsi" w:cstheme="majorHAnsi"/>
        </w:rPr>
        <w:lastRenderedPageBreak/>
        <w:t>Declaration in report of operations</w:t>
      </w:r>
      <w:bookmarkEnd w:id="2"/>
      <w:bookmarkEnd w:id="3"/>
      <w:bookmarkEnd w:id="4"/>
      <w:bookmarkEnd w:id="5"/>
      <w:bookmarkEnd w:id="6"/>
      <w:bookmarkEnd w:id="7"/>
    </w:p>
    <w:p w14:paraId="5F88360C" w14:textId="77777777" w:rsidR="00AA40DE" w:rsidRPr="0012521E" w:rsidRDefault="00AA40DE" w:rsidP="00AA40DE">
      <w:pPr>
        <w:pStyle w:val="Heading2"/>
      </w:pPr>
      <w:bookmarkStart w:id="8" w:name="_Ref139545493"/>
      <w:bookmarkStart w:id="9" w:name="_Toc144884392"/>
      <w:bookmarkStart w:id="10" w:name="_Toc166585656"/>
      <w:r w:rsidRPr="0012521E">
        <w:t>Responsible Body Declaration</w:t>
      </w:r>
      <w:bookmarkEnd w:id="8"/>
      <w:bookmarkEnd w:id="9"/>
      <w:bookmarkEnd w:id="10"/>
    </w:p>
    <w:p w14:paraId="078E44A7" w14:textId="45D20602" w:rsidR="00AA40DE" w:rsidRDefault="00AA40DE" w:rsidP="00105389">
      <w:pPr>
        <w:pStyle w:val="Body"/>
      </w:pPr>
      <w:r w:rsidRPr="007B189A">
        <w:t xml:space="preserve">In accordance with the </w:t>
      </w:r>
      <w:r w:rsidRPr="007B189A">
        <w:rPr>
          <w:i/>
        </w:rPr>
        <w:t>Financial Management Act 1994</w:t>
      </w:r>
      <w:r w:rsidRPr="007B189A">
        <w:t>, I am pleased to present Sustainability Victoria’s Annual Report for the year ending 30 June 2024.</w:t>
      </w:r>
    </w:p>
    <w:p w14:paraId="77EC696C" w14:textId="341E2D84" w:rsidR="00AA40DE" w:rsidRPr="007B189A" w:rsidRDefault="00AA40DE" w:rsidP="00105389">
      <w:pPr>
        <w:pStyle w:val="Body"/>
        <w:rPr>
          <w:shd w:val="clear" w:color="auto" w:fill="FFFFFF"/>
        </w:rPr>
      </w:pPr>
      <w:r w:rsidRPr="007B189A">
        <w:rPr>
          <w:shd w:val="clear" w:color="auto" w:fill="FFFFFF"/>
        </w:rPr>
        <w:t>Johan Scheffer</w:t>
      </w:r>
    </w:p>
    <w:p w14:paraId="43953B43" w14:textId="77777777" w:rsidR="00AA40DE" w:rsidRPr="007B189A" w:rsidRDefault="00AA40DE" w:rsidP="00105389">
      <w:pPr>
        <w:pStyle w:val="Body"/>
      </w:pPr>
      <w:r w:rsidRPr="007B189A">
        <w:t>Chairperson</w:t>
      </w:r>
    </w:p>
    <w:p w14:paraId="4F0F49E3" w14:textId="77777777" w:rsidR="00AA40DE" w:rsidRPr="007B189A" w:rsidRDefault="00AA40DE" w:rsidP="00105389">
      <w:pPr>
        <w:pStyle w:val="Body"/>
      </w:pPr>
      <w:r w:rsidRPr="007B189A">
        <w:t>Sustainability Victoria</w:t>
      </w:r>
    </w:p>
    <w:p w14:paraId="18926D6C" w14:textId="2ADA9EBC" w:rsidR="00AA40DE" w:rsidRPr="0012521E" w:rsidRDefault="00295660" w:rsidP="00105389">
      <w:pPr>
        <w:pStyle w:val="Body"/>
      </w:pPr>
      <w:r>
        <w:t>24</w:t>
      </w:r>
      <w:r w:rsidR="00AA40DE" w:rsidRPr="00CE698E">
        <w:t xml:space="preserve"> September 2024</w:t>
      </w:r>
    </w:p>
    <w:p w14:paraId="699AD4EB" w14:textId="77777777" w:rsidR="00AA40DE" w:rsidRPr="0012521E" w:rsidRDefault="00AA40DE" w:rsidP="00BA75FF">
      <w:pPr>
        <w:rPr>
          <w:rFonts w:asciiTheme="majorHAnsi" w:hAnsiTheme="majorHAnsi" w:cstheme="majorHAnsi"/>
        </w:rPr>
      </w:pPr>
    </w:p>
    <w:p w14:paraId="0AA0A403" w14:textId="77777777" w:rsidR="00AA40DE" w:rsidRPr="0012521E" w:rsidRDefault="00AA40DE" w:rsidP="00BA75FF">
      <w:pPr>
        <w:rPr>
          <w:rFonts w:asciiTheme="majorHAnsi" w:hAnsiTheme="majorHAnsi" w:cstheme="majorHAnsi"/>
        </w:rPr>
      </w:pPr>
    </w:p>
    <w:p w14:paraId="41A6FE8C" w14:textId="77777777" w:rsidR="00AA40DE" w:rsidRPr="0012521E" w:rsidRDefault="00AA40DE" w:rsidP="00BA75FF">
      <w:pPr>
        <w:rPr>
          <w:rFonts w:asciiTheme="majorHAnsi" w:hAnsiTheme="majorHAnsi" w:cstheme="majorHAnsi"/>
        </w:rPr>
      </w:pPr>
    </w:p>
    <w:p w14:paraId="1B88CF51" w14:textId="77777777" w:rsidR="00AA40DE" w:rsidRPr="0012521E" w:rsidRDefault="00AA40DE" w:rsidP="00BA75FF">
      <w:pPr>
        <w:rPr>
          <w:rFonts w:asciiTheme="majorHAnsi" w:hAnsiTheme="majorHAnsi" w:cstheme="majorHAnsi"/>
        </w:rPr>
      </w:pPr>
    </w:p>
    <w:p w14:paraId="17B5E39F" w14:textId="77777777" w:rsidR="00AA40DE" w:rsidRPr="0012521E" w:rsidRDefault="00AA40DE" w:rsidP="00BA75FF">
      <w:pPr>
        <w:rPr>
          <w:rFonts w:asciiTheme="majorHAnsi" w:hAnsiTheme="majorHAnsi" w:cstheme="majorHAnsi"/>
        </w:rPr>
      </w:pPr>
    </w:p>
    <w:p w14:paraId="034A8727" w14:textId="77777777" w:rsidR="00AA40DE" w:rsidRPr="0012521E" w:rsidRDefault="00AA40DE" w:rsidP="00BA75FF">
      <w:pPr>
        <w:rPr>
          <w:rFonts w:asciiTheme="majorHAnsi" w:hAnsiTheme="majorHAnsi" w:cstheme="majorHAnsi"/>
        </w:rPr>
      </w:pPr>
    </w:p>
    <w:p w14:paraId="7C95AF51" w14:textId="77777777" w:rsidR="00AA40DE" w:rsidRPr="0012521E" w:rsidRDefault="00AA40DE" w:rsidP="00BA75FF">
      <w:pPr>
        <w:rPr>
          <w:rFonts w:asciiTheme="majorHAnsi" w:hAnsiTheme="majorHAnsi" w:cstheme="majorHAnsi"/>
        </w:rPr>
      </w:pPr>
    </w:p>
    <w:p w14:paraId="4CEF0943" w14:textId="77777777" w:rsidR="00AA40DE" w:rsidRPr="0012521E" w:rsidRDefault="00AA40DE" w:rsidP="00BA75FF">
      <w:pPr>
        <w:rPr>
          <w:rFonts w:asciiTheme="majorHAnsi" w:hAnsiTheme="majorHAnsi" w:cstheme="majorHAnsi"/>
        </w:rPr>
      </w:pPr>
    </w:p>
    <w:p w14:paraId="6F33CB07" w14:textId="77777777" w:rsidR="00AA40DE" w:rsidRPr="0012521E" w:rsidRDefault="00AA40DE" w:rsidP="00BA75FF">
      <w:pPr>
        <w:rPr>
          <w:rFonts w:asciiTheme="majorHAnsi" w:hAnsiTheme="majorHAnsi" w:cstheme="majorHAnsi"/>
        </w:rPr>
      </w:pPr>
    </w:p>
    <w:p w14:paraId="068110F8" w14:textId="77777777" w:rsidR="00AA40DE" w:rsidRPr="0012521E" w:rsidRDefault="00AA40DE" w:rsidP="00BA75FF">
      <w:pPr>
        <w:rPr>
          <w:rFonts w:asciiTheme="majorHAnsi" w:hAnsiTheme="majorHAnsi" w:cstheme="majorHAnsi"/>
        </w:rPr>
      </w:pPr>
    </w:p>
    <w:p w14:paraId="35B53CEA" w14:textId="77777777" w:rsidR="00AA40DE" w:rsidRPr="0012521E" w:rsidRDefault="00AA40DE" w:rsidP="00BA75FF">
      <w:pPr>
        <w:rPr>
          <w:rFonts w:asciiTheme="majorHAnsi" w:hAnsiTheme="majorHAnsi" w:cstheme="majorHAnsi"/>
        </w:rPr>
      </w:pPr>
    </w:p>
    <w:p w14:paraId="50BF047C" w14:textId="77777777" w:rsidR="00AA40DE" w:rsidRPr="0012521E" w:rsidRDefault="00AA40DE" w:rsidP="00BA75FF">
      <w:pPr>
        <w:rPr>
          <w:rFonts w:asciiTheme="majorHAnsi" w:hAnsiTheme="majorHAnsi" w:cstheme="majorHAnsi"/>
        </w:rPr>
      </w:pPr>
    </w:p>
    <w:p w14:paraId="06F31A9E" w14:textId="77777777" w:rsidR="00AA40DE" w:rsidRPr="0012521E" w:rsidRDefault="00AA40DE" w:rsidP="00BA75FF">
      <w:pPr>
        <w:rPr>
          <w:rFonts w:asciiTheme="majorHAnsi" w:hAnsiTheme="majorHAnsi" w:cstheme="majorHAnsi"/>
        </w:rPr>
      </w:pPr>
    </w:p>
    <w:p w14:paraId="30EDA19C" w14:textId="77777777" w:rsidR="00AA40DE" w:rsidRPr="0012521E" w:rsidRDefault="00AA40DE" w:rsidP="00BA75FF">
      <w:pPr>
        <w:rPr>
          <w:rFonts w:asciiTheme="majorHAnsi" w:hAnsiTheme="majorHAnsi" w:cstheme="majorHAnsi"/>
        </w:rPr>
      </w:pPr>
    </w:p>
    <w:p w14:paraId="51BA89BC" w14:textId="77777777" w:rsidR="00AA40DE" w:rsidRPr="0012521E" w:rsidRDefault="00AA40DE" w:rsidP="00BA75FF">
      <w:pPr>
        <w:rPr>
          <w:rFonts w:asciiTheme="majorHAnsi" w:hAnsiTheme="majorHAnsi" w:cstheme="majorHAnsi"/>
        </w:rPr>
      </w:pPr>
    </w:p>
    <w:p w14:paraId="2AC82042" w14:textId="77777777" w:rsidR="00AA40DE" w:rsidRPr="0012521E" w:rsidRDefault="00AA40DE" w:rsidP="00BA75FF">
      <w:pPr>
        <w:rPr>
          <w:rFonts w:asciiTheme="majorHAnsi" w:hAnsiTheme="majorHAnsi" w:cstheme="majorHAnsi"/>
        </w:rPr>
      </w:pPr>
    </w:p>
    <w:p w14:paraId="05EB12E2" w14:textId="77777777" w:rsidR="00AA40DE" w:rsidRPr="0012521E" w:rsidRDefault="00AA40DE" w:rsidP="00BA75FF">
      <w:pPr>
        <w:rPr>
          <w:rFonts w:asciiTheme="majorHAnsi" w:hAnsiTheme="majorHAnsi" w:cstheme="majorHAnsi"/>
        </w:rPr>
      </w:pPr>
    </w:p>
    <w:p w14:paraId="03329CAB" w14:textId="77777777" w:rsidR="00AA40DE" w:rsidRPr="0012521E" w:rsidRDefault="00AA40DE" w:rsidP="00BA75FF">
      <w:pPr>
        <w:rPr>
          <w:rFonts w:asciiTheme="majorHAnsi" w:hAnsiTheme="majorHAnsi" w:cstheme="majorHAnsi"/>
        </w:rPr>
      </w:pPr>
    </w:p>
    <w:p w14:paraId="6B2AEF30" w14:textId="77777777" w:rsidR="00AA40DE" w:rsidRPr="0012521E" w:rsidRDefault="00AA40DE" w:rsidP="00BA75FF">
      <w:pPr>
        <w:rPr>
          <w:rFonts w:asciiTheme="majorHAnsi" w:hAnsiTheme="majorHAnsi" w:cstheme="majorHAnsi"/>
        </w:rPr>
      </w:pPr>
    </w:p>
    <w:p w14:paraId="150FE59D" w14:textId="77777777" w:rsidR="00AA40DE" w:rsidRPr="0012521E" w:rsidRDefault="00AA40DE" w:rsidP="00BA75FF">
      <w:pPr>
        <w:rPr>
          <w:rFonts w:asciiTheme="majorHAnsi" w:hAnsiTheme="majorHAnsi" w:cstheme="majorHAnsi"/>
        </w:rPr>
      </w:pPr>
    </w:p>
    <w:p w14:paraId="777CFD40" w14:textId="77777777" w:rsidR="00AA40DE" w:rsidRPr="0012521E" w:rsidRDefault="00AA40DE" w:rsidP="00BA75FF">
      <w:pPr>
        <w:rPr>
          <w:rFonts w:asciiTheme="majorHAnsi" w:hAnsiTheme="majorHAnsi" w:cstheme="majorHAnsi"/>
        </w:rPr>
      </w:pPr>
    </w:p>
    <w:p w14:paraId="28580BED" w14:textId="77777777" w:rsidR="00AA40DE" w:rsidRPr="0012521E" w:rsidRDefault="00AA40DE" w:rsidP="00BA75FF">
      <w:pPr>
        <w:rPr>
          <w:rFonts w:asciiTheme="majorHAnsi" w:hAnsiTheme="majorHAnsi" w:cstheme="majorHAnsi"/>
        </w:rPr>
      </w:pPr>
    </w:p>
    <w:p w14:paraId="4C56B73B" w14:textId="77777777" w:rsidR="00AA40DE" w:rsidRPr="0012521E" w:rsidRDefault="00AA40DE" w:rsidP="00BA75FF">
      <w:pPr>
        <w:rPr>
          <w:rFonts w:asciiTheme="majorHAnsi" w:hAnsiTheme="majorHAnsi" w:cstheme="majorHAnsi"/>
        </w:rPr>
      </w:pPr>
    </w:p>
    <w:p w14:paraId="57DC41E9" w14:textId="77777777" w:rsidR="00473CF9" w:rsidRPr="0012521E" w:rsidRDefault="00473CF9" w:rsidP="00473CF9">
      <w:pPr>
        <w:pStyle w:val="Heading1"/>
        <w:rPr>
          <w:rFonts w:asciiTheme="majorHAnsi" w:hAnsiTheme="majorHAnsi" w:cstheme="majorHAnsi"/>
          <w:color w:val="FF0000"/>
          <w:sz w:val="32"/>
        </w:rPr>
      </w:pPr>
      <w:bookmarkStart w:id="11" w:name="_Toc56627321"/>
      <w:bookmarkStart w:id="12" w:name="_Toc57039850"/>
      <w:bookmarkStart w:id="13" w:name="_Toc144883443"/>
      <w:bookmarkStart w:id="14" w:name="_Toc144884393"/>
      <w:bookmarkStart w:id="15" w:name="_Toc147395347"/>
      <w:bookmarkStart w:id="16" w:name="_Toc166585657"/>
      <w:bookmarkStart w:id="17" w:name="_Toc179469473"/>
      <w:r w:rsidRPr="0012521E">
        <w:rPr>
          <w:rFonts w:asciiTheme="majorHAnsi" w:hAnsiTheme="majorHAnsi" w:cstheme="majorHAnsi"/>
        </w:rPr>
        <w:lastRenderedPageBreak/>
        <w:t>Message from the Chair and CEO</w:t>
      </w:r>
      <w:bookmarkEnd w:id="11"/>
      <w:bookmarkEnd w:id="12"/>
      <w:bookmarkEnd w:id="13"/>
      <w:bookmarkEnd w:id="14"/>
      <w:bookmarkEnd w:id="15"/>
      <w:bookmarkEnd w:id="16"/>
      <w:bookmarkEnd w:id="17"/>
    </w:p>
    <w:p w14:paraId="5841D5A6" w14:textId="66747DC1" w:rsidR="00DB2EEC" w:rsidRDefault="473C6CA0" w:rsidP="00105389">
      <w:pPr>
        <w:pStyle w:val="Body"/>
      </w:pPr>
      <w:r>
        <w:t>This</w:t>
      </w:r>
      <w:r w:rsidR="00083D3D" w:rsidRPr="006B4A56">
        <w:t xml:space="preserve"> has been a transitional year for Sustainability Victoria</w:t>
      </w:r>
      <w:r w:rsidR="00BE5501">
        <w:t>. W</w:t>
      </w:r>
      <w:r w:rsidR="000C07FB">
        <w:t xml:space="preserve">e </w:t>
      </w:r>
      <w:r w:rsidR="00453FBA">
        <w:t>finished</w:t>
      </w:r>
      <w:r w:rsidR="000C07FB">
        <w:t xml:space="preserve"> many </w:t>
      </w:r>
      <w:r w:rsidR="00453FBA">
        <w:t>long-term</w:t>
      </w:r>
      <w:r w:rsidR="11A7D941">
        <w:t xml:space="preserve"> projects </w:t>
      </w:r>
      <w:r w:rsidR="000C07FB">
        <w:t xml:space="preserve">and </w:t>
      </w:r>
      <w:r w:rsidR="0020134B">
        <w:t xml:space="preserve">made </w:t>
      </w:r>
      <w:r w:rsidR="000435A4">
        <w:t xml:space="preserve">a </w:t>
      </w:r>
      <w:r w:rsidR="104CE877">
        <w:t xml:space="preserve">new strategic </w:t>
      </w:r>
      <w:r w:rsidR="0020134B">
        <w:t xml:space="preserve">plan for the next </w:t>
      </w:r>
      <w:r w:rsidR="104CE877">
        <w:t>three</w:t>
      </w:r>
      <w:r w:rsidR="0020134B">
        <w:t xml:space="preserve"> years</w:t>
      </w:r>
      <w:r w:rsidR="00F65035">
        <w:t xml:space="preserve"> </w:t>
      </w:r>
      <w:r w:rsidR="104CE877">
        <w:t xml:space="preserve">to </w:t>
      </w:r>
      <w:r w:rsidR="00B1688F">
        <w:t>help move Victoria</w:t>
      </w:r>
      <w:r w:rsidR="104CE877">
        <w:t xml:space="preserve"> to a circular economy and </w:t>
      </w:r>
      <w:r w:rsidR="00B1688F">
        <w:t>reach</w:t>
      </w:r>
      <w:r w:rsidR="104CE877">
        <w:t xml:space="preserve"> net zero emissions by 2045.</w:t>
      </w:r>
    </w:p>
    <w:p w14:paraId="75525AC8" w14:textId="131C8F11" w:rsidR="00083D3D" w:rsidRPr="006B4A56" w:rsidRDefault="5B07FC00" w:rsidP="00105389">
      <w:pPr>
        <w:pStyle w:val="Body"/>
      </w:pPr>
      <w:r>
        <w:t>It</w:t>
      </w:r>
      <w:r w:rsidR="00B1688F">
        <w:t xml:space="preserve">’s great to see how our </w:t>
      </w:r>
      <w:r w:rsidR="002F0B37">
        <w:t xml:space="preserve">projects </w:t>
      </w:r>
      <w:r>
        <w:t xml:space="preserve">are </w:t>
      </w:r>
      <w:r w:rsidR="00AD0CB4">
        <w:t>making a difference</w:t>
      </w:r>
      <w:r>
        <w:t xml:space="preserve"> across the state. </w:t>
      </w:r>
      <w:r w:rsidR="00083D3D" w:rsidDel="5B07FC00">
        <w:t xml:space="preserve">For example, </w:t>
      </w:r>
      <w:r w:rsidR="00AD0CB4">
        <w:t>o</w:t>
      </w:r>
      <w:r w:rsidR="00083D3D" w:rsidRPr="006B4A56">
        <w:t xml:space="preserve">ur recycling infrastructure projects have </w:t>
      </w:r>
      <w:r w:rsidR="00AD0CB4">
        <w:t>helped</w:t>
      </w:r>
      <w:r w:rsidR="00083D3D" w:rsidRPr="006B4A56">
        <w:t xml:space="preserve"> </w:t>
      </w:r>
      <w:r w:rsidR="004F3E72">
        <w:t xml:space="preserve">Victoria </w:t>
      </w:r>
      <w:r w:rsidR="00083D3D" w:rsidRPr="006B4A56">
        <w:t xml:space="preserve">build </w:t>
      </w:r>
      <w:r w:rsidR="00BE2FE6">
        <w:t>more</w:t>
      </w:r>
      <w:r w:rsidR="00083D3D" w:rsidRPr="006B4A56">
        <w:t xml:space="preserve"> capacity for processing and recover</w:t>
      </w:r>
      <w:r w:rsidR="00BE2FE6">
        <w:t>ing</w:t>
      </w:r>
      <w:r w:rsidR="00083D3D" w:rsidRPr="006B4A56">
        <w:t xml:space="preserve"> materials. Through joint state funding, new technology </w:t>
      </w:r>
      <w:r w:rsidR="0016060E">
        <w:t xml:space="preserve">has been </w:t>
      </w:r>
      <w:r w:rsidR="00083D3D" w:rsidRPr="006B4A56">
        <w:t>implemented across the waste industry</w:t>
      </w:r>
      <w:r w:rsidR="0016060E">
        <w:t xml:space="preserve">, </w:t>
      </w:r>
      <w:r w:rsidR="00083D3D" w:rsidRPr="006B4A56">
        <w:t>boost</w:t>
      </w:r>
      <w:r w:rsidR="0016060E">
        <w:t xml:space="preserve">ing </w:t>
      </w:r>
      <w:r w:rsidR="007B4987" w:rsidRPr="006B4A56">
        <w:t xml:space="preserve">Victoria’s </w:t>
      </w:r>
      <w:r w:rsidR="00083D3D" w:rsidRPr="006B4A56">
        <w:t>capacity to recycle paper</w:t>
      </w:r>
      <w:r w:rsidR="00665A8D">
        <w:t xml:space="preserve">, </w:t>
      </w:r>
      <w:r w:rsidR="00083D3D" w:rsidRPr="006B4A56">
        <w:t>cardboard</w:t>
      </w:r>
      <w:r w:rsidR="00665A8D">
        <w:t xml:space="preserve"> and plastics. </w:t>
      </w:r>
      <w:r w:rsidR="00543EE3">
        <w:t xml:space="preserve">We </w:t>
      </w:r>
      <w:r w:rsidR="00627AAF">
        <w:t>have n</w:t>
      </w:r>
      <w:r w:rsidR="00083D3D" w:rsidRPr="006B4A56">
        <w:t>ew machine</w:t>
      </w:r>
      <w:r w:rsidR="003B09BA">
        <w:t>s</w:t>
      </w:r>
      <w:r w:rsidR="00083D3D" w:rsidRPr="006B4A56" w:rsidDel="00BD4683">
        <w:t xml:space="preserve"> </w:t>
      </w:r>
      <w:r w:rsidR="00083D3D" w:rsidRPr="006B4A56">
        <w:t xml:space="preserve">that can </w:t>
      </w:r>
      <w:r w:rsidR="003B09BA">
        <w:t>turn</w:t>
      </w:r>
      <w:r w:rsidR="00C54BB1">
        <w:t xml:space="preserve"> recycled</w:t>
      </w:r>
      <w:r w:rsidR="00BD4683">
        <w:t xml:space="preserve"> </w:t>
      </w:r>
      <w:r w:rsidR="00083D3D" w:rsidRPr="006B4A56">
        <w:t>plastic flakes</w:t>
      </w:r>
      <w:r w:rsidR="00083D3D" w:rsidRPr="006B4A56" w:rsidDel="00BD4683">
        <w:t xml:space="preserve"> </w:t>
      </w:r>
      <w:r w:rsidR="003B09BA">
        <w:t>into</w:t>
      </w:r>
      <w:r w:rsidR="000320B2">
        <w:t xml:space="preserve"> a</w:t>
      </w:r>
      <w:r w:rsidR="00083D3D" w:rsidRPr="006B4A56" w:rsidDel="000320B2">
        <w:t xml:space="preserve"> </w:t>
      </w:r>
      <w:r w:rsidR="00083D3D" w:rsidRPr="006B4A56">
        <w:t>plastic that is 99.5% pure</w:t>
      </w:r>
      <w:r w:rsidR="004A2D06">
        <w:t xml:space="preserve">. This new technology is reducing energy use and carbon dioxide </w:t>
      </w:r>
      <w:r w:rsidR="004D616B">
        <w:t>emissions,</w:t>
      </w:r>
      <w:r w:rsidR="004A2D06">
        <w:t xml:space="preserve"> and</w:t>
      </w:r>
      <w:r w:rsidR="004D616B">
        <w:t xml:space="preserve"> we are seeing newly</w:t>
      </w:r>
      <w:r w:rsidR="00083D3D" w:rsidRPr="006B4A56">
        <w:t xml:space="preserve"> recycled</w:t>
      </w:r>
      <w:r w:rsidR="004D616B">
        <w:t xml:space="preserve"> plastic being turned</w:t>
      </w:r>
      <w:r w:rsidR="00083D3D" w:rsidRPr="006B4A56">
        <w:t xml:space="preserve"> into new products </w:t>
      </w:r>
      <w:r w:rsidR="00691C34">
        <w:t xml:space="preserve">which </w:t>
      </w:r>
      <w:r w:rsidR="00C54BB1">
        <w:t xml:space="preserve">you </w:t>
      </w:r>
      <w:r w:rsidR="3F8CE6F7">
        <w:t>can</w:t>
      </w:r>
      <w:r w:rsidR="002C7A9D">
        <w:t xml:space="preserve"> </w:t>
      </w:r>
      <w:r w:rsidR="00C54BB1">
        <w:t xml:space="preserve">find </w:t>
      </w:r>
      <w:r w:rsidR="004249D9">
        <w:t>in stores.</w:t>
      </w:r>
      <w:r w:rsidR="3F8CE6F7">
        <w:t xml:space="preserve"> </w:t>
      </w:r>
    </w:p>
    <w:p w14:paraId="4B32071D" w14:textId="570F6EC9" w:rsidR="00164BF3" w:rsidRDefault="00E55599" w:rsidP="00105389">
      <w:pPr>
        <w:pStyle w:val="Body"/>
        <w:rPr>
          <w:rStyle w:val="cf01"/>
          <w:rFonts w:asciiTheme="minorHAnsi" w:hAnsiTheme="minorHAnsi" w:cstheme="minorBidi"/>
          <w:sz w:val="20"/>
          <w:szCs w:val="20"/>
        </w:rPr>
      </w:pPr>
      <w:r>
        <w:rPr>
          <w:rStyle w:val="cf01"/>
          <w:rFonts w:asciiTheme="minorHAnsi" w:hAnsiTheme="minorHAnsi" w:cstheme="minorBidi"/>
          <w:sz w:val="20"/>
          <w:szCs w:val="20"/>
        </w:rPr>
        <w:t xml:space="preserve">Our </w:t>
      </w:r>
      <w:r w:rsidR="00C870AE">
        <w:rPr>
          <w:rStyle w:val="cf01"/>
          <w:rFonts w:asciiTheme="minorHAnsi" w:hAnsiTheme="minorHAnsi" w:cstheme="minorBidi"/>
          <w:sz w:val="20"/>
          <w:szCs w:val="20"/>
        </w:rPr>
        <w:t xml:space="preserve">Circular Economy Communities Fund finished </w:t>
      </w:r>
      <w:r w:rsidR="00164BF3">
        <w:rPr>
          <w:rStyle w:val="cf01"/>
          <w:rFonts w:asciiTheme="minorHAnsi" w:hAnsiTheme="minorHAnsi" w:cstheme="minorBidi"/>
          <w:sz w:val="20"/>
          <w:szCs w:val="20"/>
        </w:rPr>
        <w:t>in June 2024</w:t>
      </w:r>
      <w:r w:rsidR="00C61B43">
        <w:rPr>
          <w:rStyle w:val="cf01"/>
          <w:rFonts w:asciiTheme="minorHAnsi" w:hAnsiTheme="minorHAnsi" w:cstheme="minorBidi"/>
          <w:sz w:val="20"/>
          <w:szCs w:val="20"/>
        </w:rPr>
        <w:t xml:space="preserve"> after providing </w:t>
      </w:r>
      <w:r w:rsidR="00BA54A6">
        <w:rPr>
          <w:rStyle w:val="cf01"/>
          <w:rFonts w:asciiTheme="minorHAnsi" w:hAnsiTheme="minorHAnsi" w:cstheme="minorBidi"/>
          <w:sz w:val="20"/>
          <w:szCs w:val="20"/>
        </w:rPr>
        <w:t>more than</w:t>
      </w:r>
      <w:r w:rsidR="00C61B43">
        <w:rPr>
          <w:rStyle w:val="cf01"/>
          <w:rFonts w:asciiTheme="minorHAnsi" w:hAnsiTheme="minorHAnsi" w:cstheme="minorBidi"/>
          <w:sz w:val="20"/>
          <w:szCs w:val="20"/>
        </w:rPr>
        <w:t xml:space="preserve"> $5.</w:t>
      </w:r>
      <w:r w:rsidR="00C61B43" w:rsidRPr="6E1914E5">
        <w:rPr>
          <w:rStyle w:val="cf01"/>
          <w:rFonts w:asciiTheme="minorHAnsi" w:hAnsiTheme="minorHAnsi" w:cstheme="minorBidi"/>
          <w:sz w:val="20"/>
          <w:szCs w:val="20"/>
        </w:rPr>
        <w:t>1</w:t>
      </w:r>
      <w:r w:rsidR="7ED8995E" w:rsidRPr="6E1914E5">
        <w:rPr>
          <w:rStyle w:val="cf01"/>
          <w:rFonts w:asciiTheme="minorHAnsi" w:hAnsiTheme="minorHAnsi" w:cstheme="minorBidi"/>
          <w:sz w:val="20"/>
          <w:szCs w:val="20"/>
        </w:rPr>
        <w:t>6</w:t>
      </w:r>
      <w:r w:rsidR="00C61B43">
        <w:rPr>
          <w:rStyle w:val="cf01"/>
          <w:rFonts w:asciiTheme="minorHAnsi" w:hAnsiTheme="minorHAnsi" w:cstheme="minorBidi"/>
          <w:sz w:val="20"/>
          <w:szCs w:val="20"/>
        </w:rPr>
        <w:t xml:space="preserve"> million </w:t>
      </w:r>
      <w:r w:rsidR="00FC7EDD">
        <w:rPr>
          <w:rStyle w:val="cf01"/>
          <w:rFonts w:asciiTheme="minorHAnsi" w:hAnsiTheme="minorHAnsi" w:cstheme="minorBidi"/>
          <w:sz w:val="20"/>
          <w:szCs w:val="20"/>
        </w:rPr>
        <w:t>in grants to not-for-profits, charities, community organisations and social enterprises to deliver circular economy</w:t>
      </w:r>
      <w:r w:rsidR="0046158B">
        <w:rPr>
          <w:rStyle w:val="cf01"/>
          <w:rFonts w:asciiTheme="minorHAnsi" w:hAnsiTheme="minorHAnsi" w:cstheme="minorBidi"/>
          <w:sz w:val="20"/>
          <w:szCs w:val="20"/>
        </w:rPr>
        <w:t xml:space="preserve"> projects that creatively repurpose, repair, reuse and recycle everyday items. </w:t>
      </w:r>
      <w:r w:rsidR="008E4207">
        <w:rPr>
          <w:rStyle w:val="cf01"/>
          <w:rFonts w:asciiTheme="minorHAnsi" w:hAnsiTheme="minorHAnsi" w:cstheme="minorBidi"/>
          <w:sz w:val="20"/>
          <w:szCs w:val="20"/>
        </w:rPr>
        <w:t xml:space="preserve">We were able to </w:t>
      </w:r>
      <w:r w:rsidR="00164BF3" w:rsidRPr="00164BF3">
        <w:t>achieve positive behaviour change impacts on over 82,000 Victorians and reduc</w:t>
      </w:r>
      <w:r w:rsidR="008E4207">
        <w:t>e</w:t>
      </w:r>
      <w:r w:rsidR="00164BF3" w:rsidRPr="00164BF3">
        <w:t xml:space="preserve"> waste to landfill by 2,229 tonnes over the program lifetime.</w:t>
      </w:r>
    </w:p>
    <w:p w14:paraId="6ADCC9DB" w14:textId="67A84F1E" w:rsidR="00083D3D" w:rsidRPr="006B4A56" w:rsidRDefault="00083D3D" w:rsidP="00105389">
      <w:pPr>
        <w:pStyle w:val="Body"/>
      </w:pPr>
      <w:r w:rsidRPr="006B4A56">
        <w:t xml:space="preserve">We also released our </w:t>
      </w:r>
      <w:r w:rsidRPr="006E2C92">
        <w:rPr>
          <w:i/>
          <w:iCs/>
        </w:rPr>
        <w:t>State of Sustainability Report</w:t>
      </w:r>
      <w:r w:rsidR="00AC4382">
        <w:t>, which is</w:t>
      </w:r>
      <w:r w:rsidR="00DF7823">
        <w:t xml:space="preserve"> based on </w:t>
      </w:r>
      <w:r w:rsidRPr="006B4A56">
        <w:t xml:space="preserve">research into what Victorians think about climate change and </w:t>
      </w:r>
      <w:r w:rsidR="004F0C93">
        <w:t>how they try</w:t>
      </w:r>
      <w:r w:rsidRPr="006B4A56">
        <w:t xml:space="preserve"> to live more sustainably. This re</w:t>
      </w:r>
      <w:r w:rsidR="004F0C93">
        <w:t>port helps us understand</w:t>
      </w:r>
      <w:r w:rsidRPr="006B4A56">
        <w:t xml:space="preserve"> </w:t>
      </w:r>
      <w:r w:rsidR="00020C39">
        <w:t>wh</w:t>
      </w:r>
      <w:r w:rsidR="00173E74">
        <w:t xml:space="preserve">ere </w:t>
      </w:r>
      <w:r w:rsidR="004F0C93">
        <w:t xml:space="preserve">we are doing well and where we can improve. </w:t>
      </w:r>
      <w:r w:rsidR="007F2707">
        <w:t xml:space="preserve">This information helped shape </w:t>
      </w:r>
      <w:r w:rsidR="006F0AA3">
        <w:t xml:space="preserve">our </w:t>
      </w:r>
      <w:r w:rsidRPr="006B4A56">
        <w:t>three-year strategic plan</w:t>
      </w:r>
      <w:r w:rsidR="526878C7">
        <w:t xml:space="preserve"> and </w:t>
      </w:r>
      <w:r w:rsidR="000435A4">
        <w:t>supports</w:t>
      </w:r>
      <w:r w:rsidR="526878C7">
        <w:t xml:space="preserve"> our campaigns</w:t>
      </w:r>
      <w:r w:rsidR="000435A4">
        <w:t xml:space="preserve"> to encourage more sustainable behaviours</w:t>
      </w:r>
      <w:r w:rsidR="526878C7">
        <w:t xml:space="preserve">. </w:t>
      </w:r>
    </w:p>
    <w:p w14:paraId="3338CA06" w14:textId="3DC5C3F8" w:rsidR="00083D3D" w:rsidRPr="006B4A56" w:rsidRDefault="003017C0" w:rsidP="00105389">
      <w:pPr>
        <w:pStyle w:val="Body"/>
      </w:pPr>
      <w:r>
        <w:t xml:space="preserve">Towards the end of </w:t>
      </w:r>
      <w:r w:rsidR="000435A4">
        <w:t>this year</w:t>
      </w:r>
      <w:r w:rsidR="00083D3D" w:rsidRPr="006B4A56">
        <w:t>,</w:t>
      </w:r>
      <w:r w:rsidR="00083D3D" w:rsidRPr="006B4A56" w:rsidDel="003017C0">
        <w:t xml:space="preserve"> we </w:t>
      </w:r>
      <w:r w:rsidR="000435A4">
        <w:t>started putting</w:t>
      </w:r>
      <w:r w:rsidR="006F0AA3">
        <w:t xml:space="preserve"> our three-year plan </w:t>
      </w:r>
      <w:r w:rsidR="000435A4">
        <w:t>into action</w:t>
      </w:r>
      <w:r w:rsidR="00E364B7">
        <w:t xml:space="preserve">. </w:t>
      </w:r>
      <w:r w:rsidR="00E50DAB">
        <w:t>T</w:t>
      </w:r>
      <w:r w:rsidR="00E50DAB" w:rsidRPr="00E50DAB">
        <w:t xml:space="preserve">his plan shows how we can work </w:t>
      </w:r>
      <w:r w:rsidR="00925759">
        <w:t>in partnership</w:t>
      </w:r>
      <w:r w:rsidR="00E50DAB" w:rsidRPr="00E50DAB">
        <w:t xml:space="preserve"> to move towards a circular economy and reduce waste</w:t>
      </w:r>
      <w:r w:rsidR="00E50DAB">
        <w:t xml:space="preserve"> – </w:t>
      </w:r>
      <w:r w:rsidR="00E50DAB" w:rsidRPr="006B4A56">
        <w:t>stop</w:t>
      </w:r>
      <w:r w:rsidR="00E50DAB">
        <w:t>ping</w:t>
      </w:r>
      <w:r w:rsidR="00E50DAB" w:rsidRPr="006B4A56">
        <w:t xml:space="preserve"> waste before it starts</w:t>
      </w:r>
      <w:r w:rsidR="00112AEA">
        <w:t xml:space="preserve"> and reducing related emissions</w:t>
      </w:r>
      <w:r w:rsidR="00925759">
        <w:t xml:space="preserve">. </w:t>
      </w:r>
      <w:r w:rsidR="00930715">
        <w:t>By 2027, we hope to see</w:t>
      </w:r>
      <w:r w:rsidR="00083D3D" w:rsidRPr="006B4A56">
        <w:t xml:space="preserve"> Victoria as a national leader in the circular economy </w:t>
      </w:r>
      <w:r w:rsidR="00930715">
        <w:t>space</w:t>
      </w:r>
      <w:r w:rsidR="00BC5BDD">
        <w:t>. W</w:t>
      </w:r>
      <w:r w:rsidR="00083D3D" w:rsidRPr="006B4A56">
        <w:t>e</w:t>
      </w:r>
      <w:r w:rsidR="00E50DAB">
        <w:t>’</w:t>
      </w:r>
      <w:r w:rsidR="00083D3D" w:rsidRPr="006B4A56">
        <w:t xml:space="preserve">re excited to see this work </w:t>
      </w:r>
      <w:r w:rsidR="00E50DAB">
        <w:t>continue</w:t>
      </w:r>
      <w:r w:rsidR="00083D3D" w:rsidRPr="006B4A56">
        <w:t>.</w:t>
      </w:r>
    </w:p>
    <w:p w14:paraId="286C20E0" w14:textId="77777777" w:rsidR="00962100" w:rsidRPr="006B4A56" w:rsidRDefault="00962100" w:rsidP="00105389">
      <w:pPr>
        <w:pStyle w:val="Body"/>
      </w:pPr>
    </w:p>
    <w:p w14:paraId="65A3315C" w14:textId="77777777" w:rsidR="00DF5D33" w:rsidRPr="00AB155E" w:rsidRDefault="00DF5D33" w:rsidP="00DF5D33">
      <w:pPr>
        <w:spacing w:line="240" w:lineRule="auto"/>
        <w:rPr>
          <w:rFonts w:cs="Arial"/>
          <w:sz w:val="19"/>
          <w:szCs w:val="19"/>
        </w:rPr>
      </w:pPr>
      <w:r w:rsidRPr="00AB155E">
        <w:rPr>
          <w:rFonts w:cs="Arial"/>
          <w:sz w:val="19"/>
          <w:szCs w:val="19"/>
        </w:rPr>
        <w:t>Johan Scheffer</w:t>
      </w:r>
    </w:p>
    <w:p w14:paraId="40A97B33" w14:textId="77777777" w:rsidR="00DF5D33" w:rsidRPr="00AB155E" w:rsidRDefault="00DF5D33" w:rsidP="00DF5D33">
      <w:pPr>
        <w:spacing w:line="240" w:lineRule="auto"/>
        <w:rPr>
          <w:rFonts w:cs="Arial"/>
          <w:sz w:val="19"/>
          <w:szCs w:val="19"/>
        </w:rPr>
      </w:pPr>
      <w:r w:rsidRPr="00AB155E">
        <w:rPr>
          <w:rFonts w:cs="Arial"/>
          <w:sz w:val="19"/>
          <w:szCs w:val="19"/>
        </w:rPr>
        <w:t>Chair</w:t>
      </w:r>
      <w:r>
        <w:rPr>
          <w:rFonts w:cs="Arial"/>
          <w:sz w:val="19"/>
          <w:szCs w:val="19"/>
        </w:rPr>
        <w:t xml:space="preserve"> - </w:t>
      </w:r>
      <w:r w:rsidRPr="00AB155E">
        <w:rPr>
          <w:rFonts w:cs="Arial"/>
          <w:sz w:val="19"/>
          <w:szCs w:val="19"/>
        </w:rPr>
        <w:t>Sustainability Victoria</w:t>
      </w:r>
    </w:p>
    <w:p w14:paraId="40E83921" w14:textId="77777777" w:rsidR="00DF5D33" w:rsidRPr="00AB155E" w:rsidRDefault="00DF5D33" w:rsidP="00DF5D33">
      <w:pPr>
        <w:spacing w:line="240" w:lineRule="auto"/>
        <w:rPr>
          <w:rFonts w:cs="Arial"/>
          <w:sz w:val="19"/>
          <w:szCs w:val="19"/>
        </w:rPr>
      </w:pPr>
      <w:r w:rsidRPr="00AB155E">
        <w:rPr>
          <w:rFonts w:cs="Arial"/>
          <w:sz w:val="19"/>
          <w:szCs w:val="19"/>
        </w:rPr>
        <w:t>Matt Genever</w:t>
      </w:r>
    </w:p>
    <w:p w14:paraId="27E48C85" w14:textId="77777777" w:rsidR="00DF5D33" w:rsidRPr="00AB155E" w:rsidRDefault="00DF5D33" w:rsidP="00DF5D33">
      <w:pPr>
        <w:spacing w:line="240" w:lineRule="auto"/>
        <w:rPr>
          <w:rFonts w:cs="Arial"/>
          <w:sz w:val="19"/>
          <w:szCs w:val="19"/>
        </w:rPr>
      </w:pPr>
      <w:r w:rsidRPr="00AB155E">
        <w:rPr>
          <w:rFonts w:cs="Arial"/>
          <w:sz w:val="19"/>
          <w:szCs w:val="19"/>
        </w:rPr>
        <w:t>Chief Executive Officer</w:t>
      </w:r>
      <w:r>
        <w:rPr>
          <w:rFonts w:cs="Arial"/>
          <w:sz w:val="19"/>
          <w:szCs w:val="19"/>
        </w:rPr>
        <w:t xml:space="preserve"> - </w:t>
      </w:r>
      <w:r w:rsidRPr="00AB155E">
        <w:rPr>
          <w:rFonts w:cs="Arial"/>
          <w:sz w:val="19"/>
          <w:szCs w:val="19"/>
        </w:rPr>
        <w:t>Sustainability Victoria</w:t>
      </w:r>
    </w:p>
    <w:p w14:paraId="55F3D327" w14:textId="77777777" w:rsidR="00566BD8" w:rsidRDefault="00566BD8">
      <w:pPr>
        <w:spacing w:line="259" w:lineRule="auto"/>
        <w:rPr>
          <w:rFonts w:eastAsiaTheme="majorEastAsia" w:cstheme="majorBidi"/>
          <w:b/>
          <w:color w:val="174F37"/>
          <w:sz w:val="40"/>
          <w:szCs w:val="32"/>
        </w:rPr>
      </w:pPr>
      <w:r>
        <w:br w:type="page"/>
      </w:r>
    </w:p>
    <w:p w14:paraId="165516F7" w14:textId="6F9C303F" w:rsidR="00510DE0" w:rsidRDefault="00510DE0" w:rsidP="004D0652">
      <w:pPr>
        <w:pStyle w:val="Heading1"/>
      </w:pPr>
      <w:bookmarkStart w:id="18" w:name="_Toc179469474"/>
      <w:r>
        <w:lastRenderedPageBreak/>
        <w:t xml:space="preserve">About </w:t>
      </w:r>
      <w:r w:rsidR="00F73E36">
        <w:t>Sustainability</w:t>
      </w:r>
      <w:r>
        <w:t xml:space="preserve"> Victoria</w:t>
      </w:r>
      <w:bookmarkEnd w:id="18"/>
    </w:p>
    <w:p w14:paraId="2FCC49F6" w14:textId="3706EB6E" w:rsidR="00780046" w:rsidRDefault="00510DE0" w:rsidP="00105389">
      <w:pPr>
        <w:pStyle w:val="Body"/>
      </w:pPr>
      <w:r>
        <w:t>Sustainability Victoria (SV)</w:t>
      </w:r>
      <w:r w:rsidRPr="00EF395A">
        <w:t xml:space="preserve"> </w:t>
      </w:r>
      <w:r>
        <w:t>is</w:t>
      </w:r>
      <w:r w:rsidRPr="00EF395A">
        <w:t xml:space="preserve"> shaping Victoria’s circular economy on behalf of the </w:t>
      </w:r>
      <w:r w:rsidR="5C0D8291">
        <w:t>Victorian</w:t>
      </w:r>
      <w:r>
        <w:t xml:space="preserve"> </w:t>
      </w:r>
      <w:r w:rsidR="000A2F16">
        <w:t>G</w:t>
      </w:r>
      <w:r>
        <w:t>overnment</w:t>
      </w:r>
      <w:r w:rsidRPr="00EF395A">
        <w:t>.</w:t>
      </w:r>
    </w:p>
    <w:p w14:paraId="7D483FE6" w14:textId="594D13B7" w:rsidR="00510DE0" w:rsidRDefault="00510DE0" w:rsidP="00105389">
      <w:pPr>
        <w:pStyle w:val="Body"/>
      </w:pPr>
      <w:r>
        <w:t>We partner across industry</w:t>
      </w:r>
      <w:r w:rsidR="00540FE7">
        <w:t>, government</w:t>
      </w:r>
      <w:r>
        <w:t xml:space="preserve"> and the community as a transition broker for the circular economy </w:t>
      </w:r>
      <w:r w:rsidR="00821F3B">
        <w:t>–</w:t>
      </w:r>
      <w:r>
        <w:t xml:space="preserve"> with the intent of reducing or stopping waste before it starts, in every part of the system.</w:t>
      </w:r>
    </w:p>
    <w:p w14:paraId="74164780" w14:textId="137EC34F" w:rsidR="001A7C68" w:rsidRDefault="001A7C68" w:rsidP="00105389">
      <w:pPr>
        <w:pStyle w:val="Body"/>
      </w:pPr>
      <w:r w:rsidRPr="001A7C68">
        <w:t>We do this through our core sustainability services: undertaking research, developing frameworks, providing policy and technical advice on sustainability topics, delivering world-class behaviour change initiatives and campaigns, piloting and trialling ideas, matching investments to innovations</w:t>
      </w:r>
      <w:r w:rsidR="006D5B08">
        <w:t>,</w:t>
      </w:r>
      <w:r w:rsidRPr="001A7C68">
        <w:t xml:space="preserve"> and kickstarting collaboration and community action across our state.</w:t>
      </w:r>
    </w:p>
    <w:p w14:paraId="15EC10AB" w14:textId="7E338FEF" w:rsidR="00F40F81" w:rsidRDefault="00583DCB" w:rsidP="00105389">
      <w:pPr>
        <w:pStyle w:val="Body"/>
      </w:pPr>
      <w:r w:rsidRPr="00186678">
        <w:t xml:space="preserve">We </w:t>
      </w:r>
      <w:r w:rsidR="00F40F81" w:rsidRPr="00F40F81">
        <w:t>embrace shared knowledge</w:t>
      </w:r>
      <w:r w:rsidR="00887B23" w:rsidRPr="00186678">
        <w:t xml:space="preserve"> and</w:t>
      </w:r>
      <w:r w:rsidR="00F40F81" w:rsidRPr="00F40F81">
        <w:t xml:space="preserve"> innovation</w:t>
      </w:r>
      <w:r w:rsidR="00EF6A5F" w:rsidRPr="00186678">
        <w:t xml:space="preserve"> to </w:t>
      </w:r>
      <w:r w:rsidR="00707AC7" w:rsidRPr="00186678">
        <w:t>reduce waste</w:t>
      </w:r>
      <w:r w:rsidR="00ED004A" w:rsidRPr="00186678">
        <w:t xml:space="preserve"> and emissions</w:t>
      </w:r>
      <w:r w:rsidR="00707AC7" w:rsidRPr="00186678">
        <w:t xml:space="preserve">, create new jobs and </w:t>
      </w:r>
      <w:r w:rsidR="00F616F6" w:rsidRPr="00186678">
        <w:t xml:space="preserve">build a </w:t>
      </w:r>
      <w:r w:rsidR="00EA4341" w:rsidRPr="00E50044">
        <w:t>sustainable and thriving circular economy for a cleaner, greener Victoria</w:t>
      </w:r>
      <w:r w:rsidR="00F40F81" w:rsidRPr="00F40F81">
        <w:t xml:space="preserve"> for current and future generations to enjoy.</w:t>
      </w:r>
    </w:p>
    <w:p w14:paraId="182EF6D3" w14:textId="469A38BA" w:rsidR="00510DE0" w:rsidRDefault="0049665B" w:rsidP="00207FA0">
      <w:pPr>
        <w:pStyle w:val="Heading2"/>
      </w:pPr>
      <w:r w:rsidRPr="0049665B">
        <w:t>Our</w:t>
      </w:r>
      <w:r w:rsidR="003A567E">
        <w:t xml:space="preserve"> impact</w:t>
      </w:r>
    </w:p>
    <w:p w14:paraId="5CBFB213" w14:textId="77777777" w:rsidR="00510DE0" w:rsidRDefault="00510DE0" w:rsidP="00C356CE">
      <w:pPr>
        <w:pStyle w:val="Body"/>
        <w:numPr>
          <w:ilvl w:val="0"/>
          <w:numId w:val="21"/>
        </w:numPr>
      </w:pPr>
      <w:r>
        <w:t xml:space="preserve">We enable big system </w:t>
      </w:r>
      <w:proofErr w:type="gramStart"/>
      <w:r>
        <w:t>change</w:t>
      </w:r>
      <w:proofErr w:type="gramEnd"/>
      <w:r>
        <w:t xml:space="preserve"> to make the economy circular</w:t>
      </w:r>
    </w:p>
    <w:p w14:paraId="411F704C" w14:textId="77777777" w:rsidR="00510DE0" w:rsidRDefault="00510DE0" w:rsidP="00C356CE">
      <w:pPr>
        <w:pStyle w:val="Body"/>
        <w:numPr>
          <w:ilvl w:val="0"/>
          <w:numId w:val="21"/>
        </w:numPr>
      </w:pPr>
      <w:r>
        <w:t>We stop waste before it starts</w:t>
      </w:r>
    </w:p>
    <w:p w14:paraId="6E23F4F0" w14:textId="77777777" w:rsidR="00510DE0" w:rsidRDefault="00510DE0" w:rsidP="00C356CE">
      <w:pPr>
        <w:pStyle w:val="Body"/>
        <w:numPr>
          <w:ilvl w:val="0"/>
          <w:numId w:val="21"/>
        </w:numPr>
      </w:pPr>
      <w:r>
        <w:t>We leverage community and industry action to reduce emissions</w:t>
      </w:r>
    </w:p>
    <w:p w14:paraId="74789984" w14:textId="77777777" w:rsidR="00510DE0" w:rsidRDefault="00510DE0" w:rsidP="00C356CE">
      <w:pPr>
        <w:pStyle w:val="Body"/>
        <w:numPr>
          <w:ilvl w:val="0"/>
          <w:numId w:val="21"/>
        </w:numPr>
      </w:pPr>
      <w:r>
        <w:t>We make it easy for Victorians to go circular</w:t>
      </w:r>
    </w:p>
    <w:p w14:paraId="51A64062" w14:textId="1C6A3CC6" w:rsidR="00B706DB" w:rsidRPr="00B706DB" w:rsidRDefault="00510DE0" w:rsidP="00C356CE">
      <w:pPr>
        <w:pStyle w:val="Body"/>
        <w:numPr>
          <w:ilvl w:val="0"/>
          <w:numId w:val="21"/>
        </w:numPr>
      </w:pPr>
      <w:r>
        <w:t>We build an evidence base for government policy and action</w:t>
      </w:r>
    </w:p>
    <w:p w14:paraId="51A75D3B" w14:textId="467D28FF" w:rsidR="00F87A1A" w:rsidRPr="00C861A4" w:rsidRDefault="00F87A1A" w:rsidP="004D0652">
      <w:pPr>
        <w:pStyle w:val="Heading2"/>
      </w:pPr>
      <w:bookmarkStart w:id="19" w:name="_Toc166585658"/>
      <w:r>
        <w:t>Our strategic direction</w:t>
      </w:r>
      <w:bookmarkEnd w:id="19"/>
    </w:p>
    <w:p w14:paraId="2C7DA4E4" w14:textId="29D4105B" w:rsidR="00C861A4" w:rsidRDefault="00C861A4" w:rsidP="00105389">
      <w:pPr>
        <w:pStyle w:val="Body"/>
        <w:rPr>
          <w:rStyle w:val="ui-provider"/>
        </w:rPr>
      </w:pPr>
      <w:r>
        <w:t xml:space="preserve">This year we developed and launched our </w:t>
      </w:r>
      <w:r w:rsidRPr="00AF0E77">
        <w:rPr>
          <w:i/>
          <w:iCs/>
        </w:rPr>
        <w:t>Strategic Plan 2024</w:t>
      </w:r>
      <w:r w:rsidR="00867702">
        <w:rPr>
          <w:i/>
          <w:iCs/>
        </w:rPr>
        <w:t>–</w:t>
      </w:r>
      <w:r w:rsidRPr="00AF0E77">
        <w:rPr>
          <w:i/>
          <w:iCs/>
        </w:rPr>
        <w:t>2027</w:t>
      </w:r>
      <w:r w:rsidR="001667D9">
        <w:t xml:space="preserve">, </w:t>
      </w:r>
      <w:r w:rsidR="00D12DCF">
        <w:t>outlin</w:t>
      </w:r>
      <w:r w:rsidR="001667D9">
        <w:t xml:space="preserve">ing </w:t>
      </w:r>
      <w:r>
        <w:t xml:space="preserve">the work to be delivered and </w:t>
      </w:r>
      <w:r w:rsidR="002841C2">
        <w:t xml:space="preserve">our </w:t>
      </w:r>
      <w:r>
        <w:t>priorities over the next three years</w:t>
      </w:r>
      <w:r w:rsidR="000F646B">
        <w:t xml:space="preserve">. </w:t>
      </w:r>
      <w:r w:rsidR="001667D9">
        <w:rPr>
          <w:rStyle w:val="ui-provider"/>
        </w:rPr>
        <w:t xml:space="preserve">The plan </w:t>
      </w:r>
      <w:r w:rsidR="000F646B">
        <w:rPr>
          <w:rStyle w:val="ui-provider"/>
        </w:rPr>
        <w:t>supports</w:t>
      </w:r>
      <w:r w:rsidR="000F646B" w:rsidDel="00136D5F">
        <w:rPr>
          <w:rStyle w:val="ui-provider"/>
        </w:rPr>
        <w:t xml:space="preserve"> </w:t>
      </w:r>
      <w:r w:rsidR="00E633BF">
        <w:rPr>
          <w:rStyle w:val="ui-provider"/>
        </w:rPr>
        <w:t>the</w:t>
      </w:r>
      <w:r w:rsidR="000F646B">
        <w:rPr>
          <w:rStyle w:val="ui-provider"/>
        </w:rPr>
        <w:t xml:space="preserve"> long</w:t>
      </w:r>
      <w:r w:rsidR="003B25F8">
        <w:rPr>
          <w:rStyle w:val="ui-provider"/>
        </w:rPr>
        <w:t>-</w:t>
      </w:r>
      <w:r w:rsidR="000F646B">
        <w:rPr>
          <w:rStyle w:val="ui-provider"/>
        </w:rPr>
        <w:t xml:space="preserve">term </w:t>
      </w:r>
      <w:r w:rsidR="002A79D6">
        <w:rPr>
          <w:rStyle w:val="ui-provider"/>
        </w:rPr>
        <w:t>purpose</w:t>
      </w:r>
      <w:r w:rsidR="000F646B">
        <w:rPr>
          <w:rStyle w:val="ui-provider"/>
        </w:rPr>
        <w:t xml:space="preserve"> and goals</w:t>
      </w:r>
      <w:r w:rsidR="005512F4" w:rsidRPr="005512F4">
        <w:rPr>
          <w:rStyle w:val="ui-provider"/>
        </w:rPr>
        <w:t xml:space="preserve"> </w:t>
      </w:r>
      <w:r w:rsidR="005512F4">
        <w:rPr>
          <w:rStyle w:val="ui-provider"/>
        </w:rPr>
        <w:t>in SV2030, our 10-year strategy</w:t>
      </w:r>
      <w:r w:rsidR="003727DE">
        <w:rPr>
          <w:rStyle w:val="ui-provider"/>
        </w:rPr>
        <w:t>.</w:t>
      </w:r>
    </w:p>
    <w:p w14:paraId="5D1E0B88" w14:textId="69E10B56" w:rsidR="00F2751E" w:rsidRDefault="00F2751E" w:rsidP="00105389">
      <w:pPr>
        <w:pStyle w:val="Body"/>
      </w:pPr>
      <w:r>
        <w:t xml:space="preserve">We have already begun our work as a transition broker for circular economy. Our day-to-day sees us building key relationships, creating conditions for change and helping develop impactful circular initiatives. </w:t>
      </w:r>
      <w:r w:rsidR="00153B7A">
        <w:t>W</w:t>
      </w:r>
      <w:r>
        <w:t xml:space="preserve">e are excited </w:t>
      </w:r>
      <w:r w:rsidR="00153B7A">
        <w:t xml:space="preserve">to see this work progress </w:t>
      </w:r>
      <w:r>
        <w:t xml:space="preserve">as we </w:t>
      </w:r>
      <w:r w:rsidR="00153B7A">
        <w:t xml:space="preserve">continue </w:t>
      </w:r>
      <w:r>
        <w:t xml:space="preserve">to embed our strategic </w:t>
      </w:r>
      <w:r w:rsidRPr="006C7C10">
        <w:t>plan</w:t>
      </w:r>
      <w:r>
        <w:t>.</w:t>
      </w:r>
    </w:p>
    <w:p w14:paraId="56A8F48B" w14:textId="77777777" w:rsidR="000B4353" w:rsidRPr="003A567E" w:rsidRDefault="000B4353" w:rsidP="000B4353">
      <w:pPr>
        <w:pStyle w:val="Heading3"/>
      </w:pPr>
      <w:r w:rsidRPr="003A567E">
        <w:t>Our vision</w:t>
      </w:r>
    </w:p>
    <w:p w14:paraId="4899C9B6" w14:textId="276FD674" w:rsidR="000B4353" w:rsidRPr="004D0652" w:rsidRDefault="004A4328" w:rsidP="00105389">
      <w:pPr>
        <w:pStyle w:val="Body"/>
      </w:pPr>
      <w:r w:rsidRPr="00275C2E">
        <w:t xml:space="preserve">By 2027, Victoria will be the leading circular economy in Australia. The case for circularity will be clear, the foundations laid and the transition well </w:t>
      </w:r>
      <w:r w:rsidR="0080277A">
        <w:t>underway.</w:t>
      </w:r>
    </w:p>
    <w:p w14:paraId="6B2B7E4A" w14:textId="513B0205" w:rsidR="00C861A4" w:rsidRPr="00126908" w:rsidRDefault="003F2F7B" w:rsidP="00C75D63">
      <w:pPr>
        <w:pStyle w:val="Heading3"/>
      </w:pPr>
      <w:r w:rsidRPr="00126908">
        <w:t xml:space="preserve">Our </w:t>
      </w:r>
      <w:r w:rsidR="000B2008">
        <w:t>purpose</w:t>
      </w:r>
    </w:p>
    <w:p w14:paraId="066F2DBB" w14:textId="736269CB" w:rsidR="000B2008" w:rsidRPr="003420A6" w:rsidRDefault="000B2008" w:rsidP="000B2008">
      <w:pPr>
        <w:rPr>
          <w:rStyle w:val="Emphasis"/>
        </w:rPr>
      </w:pPr>
      <w:r w:rsidRPr="003420A6">
        <w:rPr>
          <w:rStyle w:val="Emphasis"/>
        </w:rPr>
        <w:t>Towards 2030 …</w:t>
      </w:r>
    </w:p>
    <w:p w14:paraId="335AC832" w14:textId="0CFE5E14" w:rsidR="000B2008" w:rsidRPr="000B2008" w:rsidRDefault="000B2008" w:rsidP="00105389">
      <w:pPr>
        <w:pStyle w:val="Body"/>
      </w:pPr>
      <w:r>
        <w:t>To accelerate Victoria’s transition to a circular, climate resilient and clean economy</w:t>
      </w:r>
    </w:p>
    <w:p w14:paraId="77160DD3" w14:textId="781F64E0" w:rsidR="00262D57" w:rsidRPr="003A567E" w:rsidRDefault="00262D57" w:rsidP="00C75D63">
      <w:pPr>
        <w:pStyle w:val="Heading3"/>
      </w:pPr>
      <w:r w:rsidRPr="003A567E">
        <w:t>Our challenge</w:t>
      </w:r>
    </w:p>
    <w:p w14:paraId="32DDCE48" w14:textId="22414B55" w:rsidR="00505D05" w:rsidRDefault="00505D05" w:rsidP="00105389">
      <w:pPr>
        <w:pStyle w:val="Body"/>
      </w:pPr>
      <w:r w:rsidRPr="00505D05">
        <w:t xml:space="preserve">The emissions from </w:t>
      </w:r>
      <w:r w:rsidR="00126908">
        <w:t xml:space="preserve">the </w:t>
      </w:r>
      <w:r w:rsidRPr="00505D05">
        <w:t>materials and products we use are a growing problem.</w:t>
      </w:r>
      <w:r w:rsidR="00B24333">
        <w:t xml:space="preserve"> </w:t>
      </w:r>
      <w:r w:rsidR="053F3840">
        <w:t xml:space="preserve">Producing, using, and throwing away these resources means more greenhouse gases ending up in our atmosphere and driving climate change. </w:t>
      </w:r>
      <w:r w:rsidR="00067E8A">
        <w:t>We need to i</w:t>
      </w:r>
      <w:r w:rsidR="00B24333" w:rsidRPr="00B24333">
        <w:t>nvest in circularity now if we are to achieve our net</w:t>
      </w:r>
      <w:r w:rsidR="003B25F8">
        <w:t xml:space="preserve"> </w:t>
      </w:r>
      <w:r w:rsidR="00B24333" w:rsidRPr="00B24333">
        <w:t>zero targets and ensure a thriving and healthy natural environment into the future</w:t>
      </w:r>
      <w:r w:rsidR="00BB4A20">
        <w:t>.</w:t>
      </w:r>
    </w:p>
    <w:p w14:paraId="43D57627" w14:textId="042DBEA4" w:rsidR="00ED2349" w:rsidRPr="00F460DC" w:rsidRDefault="00ED2349" w:rsidP="00C75D63">
      <w:pPr>
        <w:pStyle w:val="Heading3"/>
      </w:pPr>
      <w:r w:rsidRPr="00F460DC">
        <w:t>Our values</w:t>
      </w:r>
    </w:p>
    <w:p w14:paraId="40D63207" w14:textId="755B1460" w:rsidR="00506379" w:rsidRDefault="00F66B31" w:rsidP="00105389">
      <w:pPr>
        <w:pStyle w:val="Body"/>
      </w:pPr>
      <w:r w:rsidRPr="00F66B31">
        <w:t>SV champions the values of the Victorian Public Service and demonstrates responsiveness, respect, integrity, human rights, leadership, impartiality and accountability in the work that we do.</w:t>
      </w:r>
      <w:bookmarkStart w:id="20" w:name="_Toc166585661"/>
    </w:p>
    <w:p w14:paraId="6C8C56D9" w14:textId="77777777" w:rsidR="001332C5" w:rsidRPr="0012521E" w:rsidRDefault="001332C5" w:rsidP="001332C5">
      <w:pPr>
        <w:pStyle w:val="Heading2"/>
        <w:rPr>
          <w:highlight w:val="yellow"/>
        </w:rPr>
      </w:pPr>
      <w:r w:rsidRPr="0012521E">
        <w:lastRenderedPageBreak/>
        <w:t>Function and responsibilities</w:t>
      </w:r>
    </w:p>
    <w:p w14:paraId="5EECBA44" w14:textId="77777777" w:rsidR="001332C5" w:rsidRPr="00BE7BF4" w:rsidRDefault="001332C5" w:rsidP="00105389">
      <w:pPr>
        <w:pStyle w:val="Body"/>
      </w:pPr>
      <w:r w:rsidRPr="00BE7BF4">
        <w:t xml:space="preserve">SV is a statutory agency established in 2005 under the </w:t>
      </w:r>
      <w:r w:rsidRPr="00BE7BF4">
        <w:rPr>
          <w:i/>
        </w:rPr>
        <w:t xml:space="preserve">Sustainability Victoria Act </w:t>
      </w:r>
      <w:r w:rsidRPr="660B47C1">
        <w:rPr>
          <w:i/>
        </w:rPr>
        <w:t>2005</w:t>
      </w:r>
      <w:r w:rsidRPr="00BE7BF4">
        <w:rPr>
          <w:i/>
        </w:rPr>
        <w:t xml:space="preserve"> </w:t>
      </w:r>
      <w:r w:rsidRPr="00BE7BF4">
        <w:t xml:space="preserve">(SV Act). </w:t>
      </w:r>
      <w:r>
        <w:t>SV’s objective</w:t>
      </w:r>
      <w:r w:rsidRPr="00BE7BF4">
        <w:t xml:space="preserve"> is to facilitate and promote environmental sustainability in the use of resources, in improving energy efficiency and in reducing impacts from emissions.</w:t>
      </w:r>
    </w:p>
    <w:p w14:paraId="3AB2B139" w14:textId="19C62C0D" w:rsidR="001332C5" w:rsidRPr="00C75D63" w:rsidRDefault="001332C5" w:rsidP="00105389">
      <w:pPr>
        <w:pStyle w:val="Body"/>
      </w:pPr>
      <w:r w:rsidRPr="00C75D63">
        <w:t xml:space="preserve">SV’s functions are set out in the </w:t>
      </w:r>
      <w:hyperlink r:id="rId26" w:history="1">
        <w:r w:rsidRPr="00C75D63">
          <w:t>SV Act</w:t>
        </w:r>
      </w:hyperlink>
      <w:r w:rsidRPr="00C75D63">
        <w:t xml:space="preserve">. SV is a key delivery partner for </w:t>
      </w:r>
      <w:hyperlink r:id="rId27">
        <w:r w:rsidRPr="00C75D63">
          <w:t>Recycling Victoria: A New Economy</w:t>
        </w:r>
      </w:hyperlink>
      <w:r w:rsidRPr="00351269">
        <w:rPr>
          <w:vertAlign w:val="superscript"/>
        </w:rPr>
        <w:footnoteReference w:id="2"/>
      </w:r>
      <w:r w:rsidRPr="00C75D63">
        <w:t xml:space="preserve">, </w:t>
      </w:r>
      <w:r w:rsidR="00A9011E">
        <w:t>now named the</w:t>
      </w:r>
      <w:r w:rsidR="00A9011E" w:rsidRPr="00C75D63">
        <w:t xml:space="preserve"> </w:t>
      </w:r>
      <w:r w:rsidRPr="00C75D63">
        <w:t xml:space="preserve">Victorian Government’s circular economy </w:t>
      </w:r>
      <w:r w:rsidRPr="00C75D63" w:rsidDel="6A609C32">
        <w:t>policy</w:t>
      </w:r>
      <w:r w:rsidR="00A9011E">
        <w:t>,</w:t>
      </w:r>
      <w:r w:rsidRPr="00C75D63" w:rsidDel="6A609C32">
        <w:t xml:space="preserve"> </w:t>
      </w:r>
      <w:r w:rsidRPr="00C75D63">
        <w:t>to deliver a cleaner, greener Victoria with less waste and pollution, better recycling, more jobs and a stronger economy. Our responsibilities under this policy are listed in Appendix 5.</w:t>
      </w:r>
    </w:p>
    <w:p w14:paraId="7445AE79" w14:textId="77777777" w:rsidR="001332C5" w:rsidRDefault="001332C5" w:rsidP="00105389">
      <w:pPr>
        <w:pStyle w:val="Body"/>
      </w:pPr>
      <w:r w:rsidRPr="00290D38">
        <w:t>SV delivers a range of services and programs based on strong technical skills, research, data and engagement</w:t>
      </w:r>
      <w:r>
        <w:t xml:space="preserve">. </w:t>
      </w:r>
      <w:r w:rsidRPr="00290D38">
        <w:t xml:space="preserve">SV supports meeting the Victorian Government’s greenhouse gas emission reduction targets set out in the </w:t>
      </w:r>
      <w:r w:rsidRPr="00290D38">
        <w:rPr>
          <w:i/>
        </w:rPr>
        <w:t xml:space="preserve">Climate Change Act </w:t>
      </w:r>
      <w:r w:rsidRPr="00C75D63">
        <w:rPr>
          <w:i/>
        </w:rPr>
        <w:t>2017</w:t>
      </w:r>
      <w:r w:rsidRPr="00290D38">
        <w:t xml:space="preserve"> and is working to support Victoria to achieve net zero emissions by 2045.</w:t>
      </w:r>
    </w:p>
    <w:p w14:paraId="30433ED6" w14:textId="1C20A1F0" w:rsidR="001332C5" w:rsidRPr="00BE7BF4" w:rsidRDefault="009B4044" w:rsidP="00105389">
      <w:pPr>
        <w:pStyle w:val="Body"/>
      </w:pPr>
      <w:r>
        <w:t>SV is accountable to two Ministers during this reporting period</w:t>
      </w:r>
      <w:r w:rsidR="00DF774F">
        <w:t xml:space="preserve">, </w:t>
      </w:r>
      <w:r w:rsidR="00C63ED1">
        <w:t xml:space="preserve">Minister for Environment, the </w:t>
      </w:r>
      <w:r w:rsidRPr="009B4044">
        <w:t xml:space="preserve">Hon Ingrid Stitt from 1 July 2023 - 1 October 2023 </w:t>
      </w:r>
      <w:r w:rsidR="00DF774F">
        <w:t xml:space="preserve">and </w:t>
      </w:r>
      <w:r w:rsidR="00C63ED1">
        <w:t xml:space="preserve">then the Minister for Environment, </w:t>
      </w:r>
      <w:r w:rsidRPr="009B4044">
        <w:t>Hon Steve Dimopoulos from 2 October 2023 to 30 June 2024</w:t>
      </w:r>
      <w:r w:rsidR="001332C5">
        <w:t>.</w:t>
      </w:r>
      <w:r w:rsidR="001332C5" w:rsidRPr="00F30DC2">
        <w:t xml:space="preserve"> SV also supports the Hon Lily D’Ambrosio MP, Minister for Energy and </w:t>
      </w:r>
      <w:r w:rsidR="001332C5">
        <w:t>Resources</w:t>
      </w:r>
      <w:r w:rsidR="00021022">
        <w:t xml:space="preserve">, </w:t>
      </w:r>
      <w:r w:rsidR="001332C5">
        <w:t xml:space="preserve">Minister for </w:t>
      </w:r>
      <w:r w:rsidR="001332C5" w:rsidRPr="00F30DC2">
        <w:t>Climate Action</w:t>
      </w:r>
      <w:r w:rsidR="00021022">
        <w:t xml:space="preserve"> and Minister for </w:t>
      </w:r>
      <w:r w:rsidR="0076489E">
        <w:t>the State Electricity Commission</w:t>
      </w:r>
      <w:r w:rsidR="001332C5">
        <w:t xml:space="preserve">, particularly by delivering targeted energy grant programs on behalf of the Victorian Government. </w:t>
      </w:r>
      <w:r w:rsidR="001332C5" w:rsidRPr="00BE7BF4">
        <w:t>As set out in the SV Act, SV is governed by a Board whose members are appointed by the Minister</w:t>
      </w:r>
      <w:r w:rsidR="001332C5">
        <w:t xml:space="preserve"> for Environment</w:t>
      </w:r>
      <w:r w:rsidR="001332C5" w:rsidRPr="00BE7BF4">
        <w:t>.</w:t>
      </w:r>
    </w:p>
    <w:p w14:paraId="1ECE5A5B" w14:textId="77777777" w:rsidR="001332C5" w:rsidRPr="0012521E" w:rsidRDefault="001332C5" w:rsidP="001332C5">
      <w:pPr>
        <w:pStyle w:val="Heading2"/>
      </w:pPr>
      <w:r w:rsidRPr="0012521E">
        <w:t>Our government partners</w:t>
      </w:r>
    </w:p>
    <w:p w14:paraId="6D6D1AE4" w14:textId="77777777" w:rsidR="001332C5" w:rsidRPr="00EA4251" w:rsidRDefault="001332C5" w:rsidP="00105389">
      <w:pPr>
        <w:pStyle w:val="Body"/>
      </w:pPr>
      <w:r>
        <w:t>SV works</w:t>
      </w:r>
      <w:r w:rsidRPr="00EA4251">
        <w:t xml:space="preserve"> with D</w:t>
      </w:r>
      <w:r>
        <w:t>EECA</w:t>
      </w:r>
      <w:r w:rsidRPr="00EA4251">
        <w:t>, the Environment Protection Authority (EPA</w:t>
      </w:r>
      <w:r>
        <w:t>), and</w:t>
      </w:r>
      <w:r w:rsidRPr="00EA4251">
        <w:t xml:space="preserve"> Recycling Victoria (RV</w:t>
      </w:r>
      <w:r>
        <w:t xml:space="preserve">) </w:t>
      </w:r>
      <w:r w:rsidRPr="00EA4251">
        <w:t xml:space="preserve">as part of the Victorian Government’s environment and climate </w:t>
      </w:r>
      <w:r>
        <w:t>action</w:t>
      </w:r>
      <w:r w:rsidRPr="00EA4251">
        <w:t xml:space="preserve"> portfolio.</w:t>
      </w:r>
    </w:p>
    <w:p w14:paraId="0DAD81C3" w14:textId="77777777" w:rsidR="001332C5" w:rsidRPr="00EA4251" w:rsidRDefault="001332C5" w:rsidP="00105389">
      <w:pPr>
        <w:pStyle w:val="Body"/>
      </w:pPr>
      <w:r w:rsidRPr="00EA4251">
        <w:t>SV also works closely with other Victorian Government departments and agencies.</w:t>
      </w:r>
    </w:p>
    <w:p w14:paraId="5457BCBA" w14:textId="77777777" w:rsidR="001332C5" w:rsidRPr="00AA250B" w:rsidRDefault="001332C5" w:rsidP="00105389">
      <w:pPr>
        <w:pStyle w:val="Body"/>
      </w:pPr>
      <w:r w:rsidRPr="00EA4251">
        <w:t>These departments and agencies act as program delivery leads responsible for achieving specified program outcomes under the circular economy policy.</w:t>
      </w:r>
      <w:r>
        <w:t xml:space="preserve"> </w:t>
      </w:r>
      <w:r w:rsidRPr="00EA4251">
        <w:t xml:space="preserve">SV is responsible for delivering </w:t>
      </w:r>
      <w:r>
        <w:t>11</w:t>
      </w:r>
      <w:r w:rsidRPr="00EA4251">
        <w:t xml:space="preserve"> of the 26 actions under the policy and action plan worth over $200 million (state and federal funding).</w:t>
      </w:r>
    </w:p>
    <w:p w14:paraId="44F00FD3" w14:textId="77777777" w:rsidR="001332C5" w:rsidRDefault="001332C5" w:rsidP="001332C5">
      <w:pPr>
        <w:spacing w:line="259" w:lineRule="auto"/>
        <w:rPr>
          <w:rFonts w:asciiTheme="majorHAnsi" w:eastAsiaTheme="majorEastAsia" w:hAnsiTheme="majorHAnsi" w:cstheme="majorHAnsi"/>
          <w:b/>
          <w:color w:val="174F37"/>
          <w:sz w:val="40"/>
          <w:szCs w:val="32"/>
        </w:rPr>
      </w:pPr>
      <w:r>
        <w:rPr>
          <w:rFonts w:asciiTheme="majorHAnsi" w:hAnsiTheme="majorHAnsi" w:cstheme="majorHAnsi"/>
        </w:rPr>
        <w:br w:type="page"/>
      </w:r>
    </w:p>
    <w:p w14:paraId="5DE317FB" w14:textId="6C3DDFEF" w:rsidR="0088013D" w:rsidRDefault="0088013D" w:rsidP="00095C93">
      <w:pPr>
        <w:pStyle w:val="Heading1"/>
      </w:pPr>
      <w:bookmarkStart w:id="21" w:name="_Toc179469475"/>
      <w:bookmarkStart w:id="22" w:name="_Toc166500851"/>
      <w:bookmarkStart w:id="23" w:name="_Toc166585663"/>
      <w:bookmarkStart w:id="24" w:name="_Toc167807877"/>
      <w:bookmarkEnd w:id="20"/>
      <w:r>
        <w:lastRenderedPageBreak/>
        <w:t>The Circular Economy</w:t>
      </w:r>
      <w:bookmarkEnd w:id="21"/>
    </w:p>
    <w:p w14:paraId="00270DE8" w14:textId="08C52DE5" w:rsidR="0090118B" w:rsidRPr="0090118B" w:rsidRDefault="00BF0C33" w:rsidP="0090118B">
      <w:r>
        <w:rPr>
          <w:noProof/>
        </w:rPr>
        <w:drawing>
          <wp:inline distT="0" distB="0" distL="0" distR="0" wp14:anchorId="0F7E5A4D" wp14:editId="7FE2D2D7">
            <wp:extent cx="5731510" cy="3540125"/>
            <wp:effectExtent l="0" t="0" r="2540" b="3175"/>
            <wp:docPr id="1385441500" name="Picture 1" descr="A comparison of circular economy and circular econo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1500" name="Picture 1" descr="A comparison of circular economy and circular economy&#10;&#10;Description automatically generated"/>
                    <pic:cNvPicPr/>
                  </pic:nvPicPr>
                  <pic:blipFill>
                    <a:blip r:embed="rId28"/>
                    <a:stretch>
                      <a:fillRect/>
                    </a:stretch>
                  </pic:blipFill>
                  <pic:spPr>
                    <a:xfrm>
                      <a:off x="0" y="0"/>
                      <a:ext cx="5731510" cy="3540125"/>
                    </a:xfrm>
                    <a:prstGeom prst="rect">
                      <a:avLst/>
                    </a:prstGeom>
                  </pic:spPr>
                </pic:pic>
              </a:graphicData>
            </a:graphic>
          </wp:inline>
        </w:drawing>
      </w:r>
    </w:p>
    <w:p w14:paraId="46457E3D" w14:textId="486EF00A" w:rsidR="0090118B" w:rsidRPr="00132505" w:rsidRDefault="0090118B" w:rsidP="0090118B">
      <w:pPr>
        <w:pStyle w:val="Heading2"/>
        <w:rPr>
          <w:rStyle w:val="A2"/>
          <w:rFonts w:cstheme="majorBidi"/>
          <w:color w:val="595959" w:themeColor="text1" w:themeTint="A6"/>
          <w:sz w:val="32"/>
          <w:szCs w:val="32"/>
        </w:rPr>
      </w:pPr>
      <w:r>
        <w:rPr>
          <w:rStyle w:val="A2"/>
          <w:rFonts w:cstheme="majorBidi"/>
          <w:color w:val="595959" w:themeColor="text1" w:themeTint="A6"/>
          <w:sz w:val="32"/>
          <w:szCs w:val="32"/>
        </w:rPr>
        <w:t>Why we need a new system</w:t>
      </w:r>
    </w:p>
    <w:p w14:paraId="483FA82C" w14:textId="77777777" w:rsidR="0090118B" w:rsidRPr="0090118B" w:rsidRDefault="0090118B" w:rsidP="0090118B">
      <w:pPr>
        <w:pStyle w:val="Body"/>
      </w:pPr>
      <w:r w:rsidRPr="0090118B">
        <w:t>Almost half (45%) of global CO</w:t>
      </w:r>
      <w:r w:rsidRPr="0090118B">
        <w:rPr>
          <w:vertAlign w:val="subscript"/>
        </w:rPr>
        <w:t>2</w:t>
      </w:r>
      <w:r w:rsidRPr="0090118B">
        <w:t xml:space="preserve">e emissions come from the manufacture, consumption, and disposal of products and material goods. If we transitioned to 100% renewable energy today, it wouldn’t be enough to meet global emission targets and reach net-zero. </w:t>
      </w:r>
    </w:p>
    <w:p w14:paraId="7A784D91" w14:textId="4D2370FB" w:rsidR="0088013D" w:rsidRDefault="0090118B" w:rsidP="0090118B">
      <w:pPr>
        <w:pStyle w:val="Body"/>
      </w:pPr>
      <w:r w:rsidRPr="0090118B">
        <w:t>The linear system of ‘take, make, and waste’ represents a market failure. It assumes constant supply of natural resources, when most are finite. With 90% of global biodiversity loss caused by the extraction and processing of these resources, it makes sense to use what we already have to its full potential.</w:t>
      </w:r>
    </w:p>
    <w:p w14:paraId="528AB556" w14:textId="194333F4" w:rsidR="0010606F" w:rsidRDefault="0010606F" w:rsidP="0090118B">
      <w:pPr>
        <w:pStyle w:val="Body"/>
      </w:pPr>
      <w:r w:rsidRPr="0010606F">
        <w:t>In a circular economy, the environmental impacts for all stages of a product’s lifecycle – the design, manufacture, and end-of-life – are considered through circular economy principles:</w:t>
      </w:r>
    </w:p>
    <w:p w14:paraId="11347076" w14:textId="6B6F50C6" w:rsidR="0010606F" w:rsidRPr="0010606F" w:rsidRDefault="0010606F" w:rsidP="0010606F">
      <w:pPr>
        <w:pStyle w:val="Body"/>
      </w:pPr>
      <w:r>
        <w:t>Circular economy principles:</w:t>
      </w:r>
    </w:p>
    <w:p w14:paraId="23CB20F5" w14:textId="77777777" w:rsidR="0010606F" w:rsidRPr="0010606F" w:rsidRDefault="0010606F" w:rsidP="00196A67">
      <w:pPr>
        <w:pStyle w:val="Body"/>
        <w:numPr>
          <w:ilvl w:val="0"/>
          <w:numId w:val="30"/>
        </w:numPr>
      </w:pPr>
      <w:r w:rsidRPr="0010606F">
        <w:t>Circulate products and materials at their highest value</w:t>
      </w:r>
    </w:p>
    <w:p w14:paraId="42BC126C" w14:textId="6CD7F92B" w:rsidR="0010606F" w:rsidRPr="0010606F" w:rsidRDefault="0010606F" w:rsidP="00196A67">
      <w:pPr>
        <w:pStyle w:val="Body"/>
        <w:numPr>
          <w:ilvl w:val="0"/>
          <w:numId w:val="30"/>
        </w:numPr>
      </w:pPr>
      <w:r w:rsidRPr="0010606F">
        <w:t>Eliminate waste and pollution</w:t>
      </w:r>
    </w:p>
    <w:p w14:paraId="7D9AB18A" w14:textId="60AE4FF8" w:rsidR="0010606F" w:rsidRDefault="0010606F" w:rsidP="00196A67">
      <w:pPr>
        <w:pStyle w:val="Body"/>
        <w:numPr>
          <w:ilvl w:val="0"/>
          <w:numId w:val="30"/>
        </w:numPr>
      </w:pPr>
      <w:r w:rsidRPr="0010606F">
        <w:t xml:space="preserve">Regenerate natural systems </w:t>
      </w:r>
    </w:p>
    <w:p w14:paraId="417D8AF9" w14:textId="575D836C" w:rsidR="006875BE" w:rsidRPr="00132505" w:rsidRDefault="006875BE" w:rsidP="006875BE">
      <w:pPr>
        <w:pStyle w:val="Heading2"/>
        <w:rPr>
          <w:rStyle w:val="A2"/>
          <w:rFonts w:cstheme="majorBidi"/>
          <w:color w:val="595959" w:themeColor="text1" w:themeTint="A6"/>
          <w:sz w:val="32"/>
          <w:szCs w:val="32"/>
        </w:rPr>
      </w:pPr>
      <w:r>
        <w:rPr>
          <w:rStyle w:val="A2"/>
          <w:rFonts w:cstheme="majorBidi"/>
          <w:color w:val="595959" w:themeColor="text1" w:themeTint="A6"/>
          <w:sz w:val="32"/>
          <w:szCs w:val="32"/>
        </w:rPr>
        <w:t>What is a circular economy?</w:t>
      </w:r>
    </w:p>
    <w:p w14:paraId="593EA48F" w14:textId="77777777" w:rsidR="006875BE" w:rsidRPr="006875BE" w:rsidRDefault="006875BE" w:rsidP="006875BE">
      <w:pPr>
        <w:pStyle w:val="Body"/>
      </w:pPr>
      <w:r w:rsidRPr="006875BE">
        <w:t>The circular economy is an entire shift in how we source, make, buy, and use things. A system where we keep the resources and materials we have in circulation for as long as possible.</w:t>
      </w:r>
    </w:p>
    <w:p w14:paraId="533BEB39" w14:textId="77777777" w:rsidR="006875BE" w:rsidRPr="006875BE" w:rsidRDefault="006875BE" w:rsidP="006875BE">
      <w:pPr>
        <w:pStyle w:val="Body"/>
      </w:pPr>
      <w:r w:rsidRPr="006875BE">
        <w:t>New products are designed for quality and longevity. Recycled materials are used instead of new resources. Products can be repaired, disassembled, and recycled, ready to be made into something new, again and again.</w:t>
      </w:r>
    </w:p>
    <w:p w14:paraId="482F2803" w14:textId="3CBBCB6A" w:rsidR="0088013D" w:rsidRDefault="006875BE" w:rsidP="006875BE">
      <w:pPr>
        <w:pStyle w:val="Body"/>
      </w:pPr>
      <w:r w:rsidRPr="006875BE">
        <w:t>The whole supply chain is committed to eliminating waste, reducing emissions, and removing the use of our finite natural resources.</w:t>
      </w:r>
    </w:p>
    <w:p w14:paraId="4EEA35E4" w14:textId="3443C959" w:rsidR="006875BE" w:rsidRPr="00132505" w:rsidRDefault="006875BE" w:rsidP="006875BE">
      <w:pPr>
        <w:pStyle w:val="Heading2"/>
        <w:rPr>
          <w:rStyle w:val="A2"/>
          <w:rFonts w:cstheme="majorBidi"/>
          <w:color w:val="595959" w:themeColor="text1" w:themeTint="A6"/>
          <w:sz w:val="32"/>
          <w:szCs w:val="32"/>
        </w:rPr>
      </w:pPr>
      <w:r>
        <w:rPr>
          <w:rStyle w:val="A2"/>
          <w:rFonts w:cstheme="majorBidi"/>
          <w:color w:val="595959" w:themeColor="text1" w:themeTint="A6"/>
          <w:sz w:val="32"/>
          <w:szCs w:val="32"/>
        </w:rPr>
        <w:lastRenderedPageBreak/>
        <w:t>The value of a circular economy</w:t>
      </w:r>
    </w:p>
    <w:p w14:paraId="28DB1803" w14:textId="77777777" w:rsidR="006875BE" w:rsidRPr="006875BE" w:rsidRDefault="006875BE" w:rsidP="006875BE">
      <w:pPr>
        <w:pStyle w:val="Body"/>
      </w:pPr>
      <w:r w:rsidRPr="006875BE">
        <w:t>Shifting to a circular system means reducing the pressure on our environment and our waste systems. It has the potential to generate jobs, attract investment, and grow income for Victoria.</w:t>
      </w:r>
    </w:p>
    <w:p w14:paraId="1496C0B0" w14:textId="4BA86C53" w:rsidR="006875BE" w:rsidRPr="00BF0C33" w:rsidRDefault="006875BE" w:rsidP="00BF0C33">
      <w:pPr>
        <w:pStyle w:val="Body"/>
      </w:pPr>
      <w:r w:rsidRPr="006875BE">
        <w:t>Modelling shows that shifting to a circular economy could create an economic opportunity of $23 billion by 2025 for Australia, and tens of thousands of jobs. A circular economy could also halt and even partially reverse biodiversity loss by 2035.</w:t>
      </w:r>
    </w:p>
    <w:p w14:paraId="7E0ADD51" w14:textId="271CBD4B" w:rsidR="00095C93" w:rsidRPr="0012521E" w:rsidRDefault="00095C93" w:rsidP="00095C93">
      <w:pPr>
        <w:pStyle w:val="Heading1"/>
      </w:pPr>
      <w:bookmarkStart w:id="25" w:name="_Toc179469476"/>
      <w:r>
        <w:t>Delivering impact</w:t>
      </w:r>
      <w:r w:rsidR="00CF5223">
        <w:t xml:space="preserve"> – the outcomes</w:t>
      </w:r>
      <w:bookmarkEnd w:id="25"/>
    </w:p>
    <w:p w14:paraId="1D595480" w14:textId="420F582F" w:rsidR="006A7327" w:rsidRPr="006A7327" w:rsidRDefault="006A7327" w:rsidP="00105389">
      <w:pPr>
        <w:pStyle w:val="Body"/>
        <w:rPr>
          <w:rStyle w:val="cf01"/>
          <w:rFonts w:asciiTheme="minorHAnsi" w:hAnsiTheme="minorHAnsi" w:cstheme="minorBidi"/>
          <w:sz w:val="20"/>
          <w:szCs w:val="20"/>
        </w:rPr>
      </w:pPr>
      <w:r w:rsidRPr="5137B2C2">
        <w:rPr>
          <w:rStyle w:val="cf01"/>
          <w:rFonts w:asciiTheme="minorHAnsi" w:hAnsiTheme="minorHAnsi" w:cstheme="minorBidi"/>
          <w:sz w:val="20"/>
          <w:szCs w:val="20"/>
        </w:rPr>
        <w:t xml:space="preserve">In 2023–24, we continued to deliver on our SV2030 goals. For much of last year, we focused on supporting the final delivery stages of </w:t>
      </w:r>
      <w:r w:rsidR="009F067C" w:rsidRPr="009F067C">
        <w:rPr>
          <w:rFonts w:cstheme="minorBidi"/>
        </w:rPr>
        <w:t>the Victorian Government's circular economy policy, Recycling Victoria: A New Economy</w:t>
      </w:r>
      <w:r w:rsidR="009F067C">
        <w:rPr>
          <w:rFonts w:cstheme="minorBidi"/>
        </w:rPr>
        <w:t xml:space="preserve">. </w:t>
      </w:r>
      <w:r w:rsidRPr="5137B2C2">
        <w:rPr>
          <w:rStyle w:val="cf01"/>
          <w:rFonts w:asciiTheme="minorHAnsi" w:hAnsiTheme="minorHAnsi" w:cstheme="minorBidi"/>
          <w:sz w:val="20"/>
          <w:szCs w:val="20"/>
        </w:rPr>
        <w:t xml:space="preserve">We also worked on next steps by establishing our three-year strategic plan which will move us further towards a circular and clean economy. </w:t>
      </w:r>
      <w:r w:rsidR="003E208B" w:rsidRPr="003E208B">
        <w:rPr>
          <w:rStyle w:val="cf01"/>
          <w:rFonts w:asciiTheme="minorHAnsi" w:hAnsiTheme="minorHAnsi" w:cstheme="minorBidi"/>
          <w:sz w:val="20"/>
          <w:szCs w:val="20"/>
        </w:rPr>
        <w:t>In combination with decarbonising our energy systems, transitioning to a circular economy is an important part of reducing emissions from materials and products we are using as Victoria transitions to net zero emissions by 2045</w:t>
      </w:r>
      <w:r w:rsidR="0087160D">
        <w:rPr>
          <w:rStyle w:val="cf01"/>
          <w:rFonts w:asciiTheme="minorHAnsi" w:hAnsiTheme="minorHAnsi" w:cstheme="minorBidi"/>
          <w:sz w:val="20"/>
          <w:szCs w:val="20"/>
        </w:rPr>
        <w:t>.</w:t>
      </w:r>
      <w:r w:rsidR="30B3E4DD" w:rsidRPr="5137B2C2">
        <w:rPr>
          <w:rStyle w:val="cf01"/>
          <w:rFonts w:asciiTheme="minorHAnsi" w:hAnsiTheme="minorHAnsi" w:cstheme="minorBidi"/>
          <w:sz w:val="20"/>
          <w:szCs w:val="20"/>
        </w:rPr>
        <w:t xml:space="preserve"> </w:t>
      </w:r>
      <w:r w:rsidRPr="5137B2C2">
        <w:rPr>
          <w:rStyle w:val="cf01"/>
          <w:rFonts w:asciiTheme="minorHAnsi" w:hAnsiTheme="minorHAnsi" w:cstheme="minorBidi"/>
          <w:sz w:val="20"/>
          <w:szCs w:val="20"/>
        </w:rPr>
        <w:t>We achieved several significant milestones in 2023–24 which will have lasting impact for Victorians, as highlighted below and in this report.</w:t>
      </w:r>
    </w:p>
    <w:p w14:paraId="5D3F1389" w14:textId="760DA1AE" w:rsidR="006F516C" w:rsidRPr="00132505" w:rsidRDefault="006F516C" w:rsidP="00132505">
      <w:pPr>
        <w:pStyle w:val="Heading2"/>
        <w:rPr>
          <w:rStyle w:val="A2"/>
          <w:rFonts w:cstheme="majorBidi"/>
          <w:color w:val="595959" w:themeColor="text1" w:themeTint="A6"/>
          <w:sz w:val="32"/>
          <w:szCs w:val="32"/>
        </w:rPr>
      </w:pPr>
      <w:r w:rsidRPr="5137B2C2">
        <w:rPr>
          <w:rStyle w:val="A2"/>
          <w:rFonts w:cstheme="majorBidi"/>
          <w:color w:val="595959" w:themeColor="text1" w:themeTint="A6"/>
          <w:sz w:val="32"/>
          <w:szCs w:val="32"/>
        </w:rPr>
        <w:t xml:space="preserve">Enabling big system </w:t>
      </w:r>
      <w:proofErr w:type="gramStart"/>
      <w:r w:rsidRPr="5137B2C2">
        <w:rPr>
          <w:rStyle w:val="A2"/>
          <w:rFonts w:cstheme="majorBidi"/>
          <w:color w:val="595959" w:themeColor="text1" w:themeTint="A6"/>
          <w:sz w:val="32"/>
          <w:szCs w:val="32"/>
        </w:rPr>
        <w:t>change</w:t>
      </w:r>
      <w:proofErr w:type="gramEnd"/>
      <w:r w:rsidRPr="5137B2C2">
        <w:rPr>
          <w:rStyle w:val="A2"/>
          <w:rFonts w:cstheme="majorBidi"/>
          <w:color w:val="595959" w:themeColor="text1" w:themeTint="A6"/>
          <w:sz w:val="32"/>
          <w:szCs w:val="32"/>
        </w:rPr>
        <w:t xml:space="preserve"> to make the economy circular</w:t>
      </w:r>
      <w:bookmarkEnd w:id="22"/>
      <w:bookmarkEnd w:id="23"/>
      <w:bookmarkEnd w:id="24"/>
    </w:p>
    <w:p w14:paraId="0F6A27E1" w14:textId="626A80BD" w:rsidR="00E74866" w:rsidRDefault="00E74866" w:rsidP="00105389">
      <w:pPr>
        <w:pStyle w:val="Body"/>
      </w:pPr>
      <w:r w:rsidRPr="00A654AB">
        <w:t xml:space="preserve">SV </w:t>
      </w:r>
      <w:r w:rsidR="004C0BAD">
        <w:t>accelerat</w:t>
      </w:r>
      <w:r w:rsidR="00195A9E">
        <w:t>e</w:t>
      </w:r>
      <w:r w:rsidR="5CC537BA">
        <w:t>d</w:t>
      </w:r>
      <w:r w:rsidR="00F745CC">
        <w:t xml:space="preserve"> </w:t>
      </w:r>
      <w:r w:rsidRPr="00A654AB">
        <w:t>Victoria’s transition</w:t>
      </w:r>
      <w:r>
        <w:t xml:space="preserve"> to a circular </w:t>
      </w:r>
      <w:r w:rsidR="61F46CA9">
        <w:t xml:space="preserve">and clean </w:t>
      </w:r>
      <w:r>
        <w:t>economy</w:t>
      </w:r>
      <w:r w:rsidR="50622987">
        <w:t xml:space="preserve"> by</w:t>
      </w:r>
      <w:r w:rsidRPr="00A654AB">
        <w:t xml:space="preserve"> </w:t>
      </w:r>
      <w:r w:rsidR="00273F76">
        <w:t>supporting</w:t>
      </w:r>
      <w:r w:rsidRPr="00A654AB">
        <w:t xml:space="preserve"> big system changes, such as </w:t>
      </w:r>
      <w:r w:rsidRPr="00F54802">
        <w:t xml:space="preserve">modernising recycling infrastructure </w:t>
      </w:r>
      <w:r>
        <w:t>and developing new markets for recovered materials.</w:t>
      </w:r>
    </w:p>
    <w:p w14:paraId="76888B1F" w14:textId="113279F5" w:rsidR="00E74866" w:rsidRDefault="00E74866" w:rsidP="00105389">
      <w:pPr>
        <w:pStyle w:val="Body"/>
      </w:pPr>
      <w:bookmarkStart w:id="26" w:name="_Toc166585664"/>
      <w:r>
        <w:t xml:space="preserve">We </w:t>
      </w:r>
      <w:r w:rsidR="70565E7D">
        <w:t>have continued</w:t>
      </w:r>
      <w:r>
        <w:t xml:space="preserve"> to build a recycling system all Victorians can trust, </w:t>
      </w:r>
      <w:r w:rsidR="6DD3FF01">
        <w:t xml:space="preserve">and </w:t>
      </w:r>
      <w:r>
        <w:t>which can tackle</w:t>
      </w:r>
      <w:r w:rsidR="00C9696B">
        <w:t xml:space="preserve"> the challenges emerging due to the </w:t>
      </w:r>
      <w:r w:rsidR="00E02F0F">
        <w:t xml:space="preserve">changing </w:t>
      </w:r>
      <w:r w:rsidR="00C9696B">
        <w:t xml:space="preserve">climate and </w:t>
      </w:r>
      <w:r w:rsidR="00E02F0F">
        <w:t xml:space="preserve">growing </w:t>
      </w:r>
      <w:r w:rsidR="00C9696B">
        <w:t>population</w:t>
      </w:r>
      <w:r w:rsidR="002C3F36" w:rsidRPr="5137B2C2">
        <w:rPr>
          <w:rStyle w:val="CommentReference"/>
          <w:rFonts w:ascii="Arial" w:hAnsi="Arial" w:cstheme="minorBidi"/>
          <w:color w:val="000000" w:themeColor="text1"/>
          <w:lang w:eastAsia="en-US"/>
        </w:rPr>
        <w:t xml:space="preserve">. </w:t>
      </w:r>
      <w:r w:rsidR="70A7651B">
        <w:t>Our</w:t>
      </w:r>
      <w:r>
        <w:t xml:space="preserve"> work </w:t>
      </w:r>
      <w:r w:rsidR="53212161">
        <w:t>continued to prepare</w:t>
      </w:r>
      <w:r>
        <w:t xml:space="preserve"> Victorian businesses for the transition to a circular economy.</w:t>
      </w:r>
    </w:p>
    <w:p w14:paraId="6A5692DE" w14:textId="6F6714FE" w:rsidR="006F516C" w:rsidRPr="00133665" w:rsidRDefault="006F516C" w:rsidP="00126908">
      <w:pPr>
        <w:pStyle w:val="Heading3"/>
      </w:pPr>
      <w:r w:rsidRPr="00133665">
        <w:t>Building a foundation for our circular economy</w:t>
      </w:r>
      <w:bookmarkEnd w:id="26"/>
    </w:p>
    <w:p w14:paraId="27062BCD" w14:textId="28B71279" w:rsidR="001D4508" w:rsidRPr="00CA4507" w:rsidRDefault="00A942B6" w:rsidP="00105389">
      <w:pPr>
        <w:pStyle w:val="Body"/>
      </w:pPr>
      <w:r w:rsidRPr="00CA4507">
        <w:t xml:space="preserve">We’ve </w:t>
      </w:r>
      <w:r w:rsidR="00A7366A">
        <w:t>helped</w:t>
      </w:r>
      <w:r w:rsidR="00E21AAE">
        <w:t xml:space="preserve"> Victoria</w:t>
      </w:r>
      <w:r w:rsidR="00A7366A">
        <w:t xml:space="preserve"> </w:t>
      </w:r>
      <w:r w:rsidR="00AC61B5">
        <w:t>invest</w:t>
      </w:r>
      <w:r w:rsidRPr="00CA4507">
        <w:t xml:space="preserve"> millions in</w:t>
      </w:r>
      <w:r w:rsidR="00E21AAE">
        <w:t>to big</w:t>
      </w:r>
      <w:r w:rsidRPr="00CA4507">
        <w:t xml:space="preserve"> projects </w:t>
      </w:r>
      <w:r w:rsidR="005F3A6F">
        <w:t>t</w:t>
      </w:r>
      <w:r w:rsidR="00BD1E4A">
        <w:t xml:space="preserve">o </w:t>
      </w:r>
      <w:r w:rsidRPr="00CA4507">
        <w:t>transform Victoria’s recycling system.</w:t>
      </w:r>
    </w:p>
    <w:p w14:paraId="4A87D80B" w14:textId="1FE08573" w:rsidR="00A33A8E" w:rsidRPr="00244E2E" w:rsidRDefault="00A942B6" w:rsidP="00105389">
      <w:pPr>
        <w:pStyle w:val="Body"/>
        <w:rPr>
          <w:i/>
        </w:rPr>
      </w:pPr>
      <w:r>
        <w:t>In</w:t>
      </w:r>
      <w:r w:rsidRPr="00F229CD">
        <w:t xml:space="preserve"> 2023</w:t>
      </w:r>
      <w:r>
        <w:t>–24, w</w:t>
      </w:r>
      <w:r w:rsidRPr="002B4845">
        <w:t xml:space="preserve">e invested more than </w:t>
      </w:r>
      <w:r>
        <w:t>$9.5</w:t>
      </w:r>
      <w:r w:rsidRPr="002B4845">
        <w:t xml:space="preserve"> million in recycling infrastructure </w:t>
      </w:r>
      <w:r w:rsidR="00A33A8E" w:rsidRPr="002B4845">
        <w:t>to process more paper, plastic, glass, tyres, textiles, organics, hazardous waste and e-waste</w:t>
      </w:r>
      <w:r w:rsidR="00A33A8E">
        <w:t>.</w:t>
      </w:r>
      <w:r w:rsidR="00404069">
        <w:t xml:space="preserve"> In total, we funded </w:t>
      </w:r>
      <w:r w:rsidR="00A31291">
        <w:t>23 projects through grants</w:t>
      </w:r>
      <w:r w:rsidR="002679E6">
        <w:t xml:space="preserve">. </w:t>
      </w:r>
    </w:p>
    <w:p w14:paraId="0D84D8DB" w14:textId="3B6E51E8" w:rsidR="00B65532" w:rsidRDefault="0041450C" w:rsidP="00105389">
      <w:pPr>
        <w:pStyle w:val="Body"/>
      </w:pPr>
      <w:r>
        <w:t>We</w:t>
      </w:r>
      <w:r w:rsidR="00A942B6" w:rsidRPr="002B4845">
        <w:t xml:space="preserve"> </w:t>
      </w:r>
      <w:r w:rsidR="00F05044">
        <w:t>were able</w:t>
      </w:r>
      <w:r w:rsidR="00A942B6" w:rsidRPr="00F229CD">
        <w:t xml:space="preserve"> to </w:t>
      </w:r>
      <w:r w:rsidR="00F05044">
        <w:t>influence</w:t>
      </w:r>
      <w:r w:rsidR="00A942B6" w:rsidRPr="002B4845">
        <w:t xml:space="preserve"> over $</w:t>
      </w:r>
      <w:r w:rsidR="00A942B6">
        <w:t>57.9</w:t>
      </w:r>
      <w:r w:rsidR="00A942B6" w:rsidRPr="002B4845">
        <w:t xml:space="preserve"> million from 79 industry partners and </w:t>
      </w:r>
      <w:r w:rsidR="005A1CCB" w:rsidRPr="002B4845">
        <w:t>$</w:t>
      </w:r>
      <w:r w:rsidR="005A1CCB">
        <w:t>1.4</w:t>
      </w:r>
      <w:r w:rsidR="004500C5">
        <w:t> </w:t>
      </w:r>
      <w:r w:rsidR="005A1CCB" w:rsidRPr="002B4845">
        <w:t xml:space="preserve">million </w:t>
      </w:r>
      <w:r w:rsidR="00A942B6" w:rsidRPr="002B4845">
        <w:t xml:space="preserve">from the </w:t>
      </w:r>
      <w:r w:rsidR="00A942B6">
        <w:t xml:space="preserve">Australian </w:t>
      </w:r>
      <w:r w:rsidR="00A942B6" w:rsidRPr="002B4845">
        <w:t>Government</w:t>
      </w:r>
      <w:r w:rsidR="00A942B6">
        <w:t xml:space="preserve"> </w:t>
      </w:r>
      <w:r w:rsidR="00A942B6" w:rsidRPr="008D070D">
        <w:t>to</w:t>
      </w:r>
      <w:r w:rsidR="00A942B6" w:rsidRPr="00C02512">
        <w:t xml:space="preserve"> jointly invest in the systems, infrastructure and technology </w:t>
      </w:r>
      <w:r w:rsidR="006865D8">
        <w:t>needed</w:t>
      </w:r>
      <w:r w:rsidR="00A942B6" w:rsidRPr="00C02512">
        <w:t xml:space="preserve"> to repurpose and recycle </w:t>
      </w:r>
      <w:r w:rsidR="0034547D">
        <w:t>materials</w:t>
      </w:r>
      <w:r w:rsidR="00A942B6" w:rsidRPr="00C02512">
        <w:t xml:space="preserve"> in a circular economy</w:t>
      </w:r>
      <w:r w:rsidR="00A942B6" w:rsidRPr="008D070D">
        <w:t xml:space="preserve">. </w:t>
      </w:r>
    </w:p>
    <w:p w14:paraId="5340EECC" w14:textId="3742A0F5" w:rsidR="00430CDB" w:rsidRDefault="000A1845" w:rsidP="00105389">
      <w:pPr>
        <w:pStyle w:val="Body"/>
      </w:pPr>
      <w:r>
        <w:t>Our</w:t>
      </w:r>
      <w:r w:rsidR="00430CDB">
        <w:t xml:space="preserve"> wor</w:t>
      </w:r>
      <w:r w:rsidR="0028660A">
        <w:t>k</w:t>
      </w:r>
      <w:r w:rsidR="00430CDB">
        <w:t xml:space="preserve"> </w:t>
      </w:r>
      <w:r w:rsidR="00D35C4D">
        <w:t>helps attract</w:t>
      </w:r>
      <w:r w:rsidR="001770DC">
        <w:t xml:space="preserve"> future </w:t>
      </w:r>
      <w:r w:rsidR="00450B62">
        <w:t xml:space="preserve">investment by </w:t>
      </w:r>
      <w:r w:rsidR="002A22E4">
        <w:t>creating</w:t>
      </w:r>
      <w:r w:rsidR="00EF2A17">
        <w:t xml:space="preserve"> opportunities in our circular economy and </w:t>
      </w:r>
      <w:r w:rsidR="00BE50ED">
        <w:t>connecting</w:t>
      </w:r>
      <w:r w:rsidR="00EF2A17">
        <w:t xml:space="preserve"> government, business and industry.</w:t>
      </w:r>
    </w:p>
    <w:p w14:paraId="17E3ADB7" w14:textId="73F5B313" w:rsidR="006F33C2" w:rsidRDefault="00294B5C" w:rsidP="00105389">
      <w:pPr>
        <w:pStyle w:val="Body"/>
        <w:rPr>
          <w:rFonts w:eastAsiaTheme="majorEastAsia" w:cstheme="majorBidi"/>
          <w:b/>
          <w:color w:val="82C341" w:themeColor="accent1"/>
          <w:sz w:val="28"/>
          <w:szCs w:val="24"/>
        </w:rPr>
      </w:pPr>
      <w:r>
        <w:t>Our</w:t>
      </w:r>
      <w:r w:rsidR="00A942B6">
        <w:t xml:space="preserve"> investment facilitation service </w:t>
      </w:r>
      <w:r w:rsidR="007F35E9">
        <w:t xml:space="preserve">has </w:t>
      </w:r>
      <w:r w:rsidR="00A942B6">
        <w:t>support</w:t>
      </w:r>
      <w:r w:rsidR="007F35E9">
        <w:t>ed</w:t>
      </w:r>
      <w:r w:rsidR="00A942B6">
        <w:t xml:space="preserve"> </w:t>
      </w:r>
      <w:r>
        <w:t xml:space="preserve">potential </w:t>
      </w:r>
      <w:r w:rsidR="00A942B6">
        <w:t>investors in Victoria’s circular economy.</w:t>
      </w:r>
      <w:r w:rsidR="00940A9F">
        <w:t xml:space="preserve"> </w:t>
      </w:r>
      <w:r w:rsidR="00147504">
        <w:t xml:space="preserve">Last year, </w:t>
      </w:r>
      <w:r w:rsidR="00940A9F" w:rsidRPr="00940A9F">
        <w:t xml:space="preserve">we </w:t>
      </w:r>
      <w:r w:rsidR="0044723D">
        <w:t>handled</w:t>
      </w:r>
      <w:r w:rsidR="00940A9F" w:rsidRPr="00940A9F">
        <w:t xml:space="preserve"> </w:t>
      </w:r>
      <w:r w:rsidR="00940A9F" w:rsidRPr="00940A9F" w:rsidDel="00267598">
        <w:t xml:space="preserve">over </w:t>
      </w:r>
      <w:r w:rsidR="00940A9F" w:rsidRPr="00940A9F">
        <w:t xml:space="preserve">100 </w:t>
      </w:r>
      <w:r w:rsidR="008C4E54">
        <w:t>ideas and</w:t>
      </w:r>
      <w:r w:rsidR="00940A9F" w:rsidRPr="00940A9F">
        <w:t xml:space="preserve"> opportunities, worth </w:t>
      </w:r>
      <w:r w:rsidR="0035711D">
        <w:t>more than</w:t>
      </w:r>
      <w:r w:rsidR="00940A9F" w:rsidRPr="00940A9F">
        <w:t xml:space="preserve"> $3.5</w:t>
      </w:r>
      <w:r w:rsidR="009B4065">
        <w:t xml:space="preserve"> billion</w:t>
      </w:r>
      <w:r w:rsidR="00940A9F" w:rsidRPr="00940A9F">
        <w:t xml:space="preserve"> in potential investment. If successful, these projects would add 4.8</w:t>
      </w:r>
      <w:r w:rsidR="009B4065">
        <w:t> </w:t>
      </w:r>
      <w:r w:rsidR="00940A9F" w:rsidRPr="00940A9F">
        <w:t>m</w:t>
      </w:r>
      <w:r w:rsidR="009B4065">
        <w:t>illion</w:t>
      </w:r>
      <w:r w:rsidR="00940A9F" w:rsidRPr="00940A9F">
        <w:t xml:space="preserve"> tonnes of </w:t>
      </w:r>
      <w:r w:rsidR="00DA389A">
        <w:t xml:space="preserve">recycling </w:t>
      </w:r>
      <w:r w:rsidR="00940A9F" w:rsidRPr="00940A9F">
        <w:t xml:space="preserve">capacity and </w:t>
      </w:r>
      <w:r w:rsidR="00226EC4">
        <w:t xml:space="preserve">create </w:t>
      </w:r>
      <w:r w:rsidR="00940A9F" w:rsidRPr="00940A9F" w:rsidDel="009B4065">
        <w:t xml:space="preserve">over </w:t>
      </w:r>
      <w:r w:rsidR="00940A9F" w:rsidRPr="00940A9F">
        <w:t>1</w:t>
      </w:r>
      <w:r w:rsidR="009B4065">
        <w:t>,</w:t>
      </w:r>
      <w:r w:rsidR="00940A9F" w:rsidRPr="00940A9F">
        <w:t xml:space="preserve">200 jobs </w:t>
      </w:r>
      <w:r w:rsidR="009B4065">
        <w:t xml:space="preserve">in </w:t>
      </w:r>
      <w:r w:rsidR="00940A9F" w:rsidRPr="00940A9F">
        <w:t>Victoria.</w:t>
      </w:r>
      <w:r w:rsidR="00A942B6">
        <w:t xml:space="preserve"> </w:t>
      </w:r>
    </w:p>
    <w:p w14:paraId="7B54A421" w14:textId="5B9FAE04" w:rsidR="001D14C0" w:rsidRPr="00133665" w:rsidRDefault="006F516C" w:rsidP="00126908">
      <w:pPr>
        <w:pStyle w:val="Heading3"/>
      </w:pPr>
      <w:r w:rsidRPr="00133665">
        <w:t>Accelerating new markets for recycled materials</w:t>
      </w:r>
    </w:p>
    <w:p w14:paraId="3F802D12" w14:textId="556C04F4" w:rsidR="004A58D1" w:rsidRDefault="00F94BA2" w:rsidP="00105389">
      <w:pPr>
        <w:pStyle w:val="Body"/>
      </w:pPr>
      <w:r w:rsidRPr="00097201">
        <w:t xml:space="preserve">We’ve made more recycled products and materials available, turning </w:t>
      </w:r>
      <w:r w:rsidR="001C6961">
        <w:t>new</w:t>
      </w:r>
      <w:r w:rsidRPr="00097201">
        <w:t xml:space="preserve"> ideas into real-world </w:t>
      </w:r>
      <w:r w:rsidR="009C72FF" w:rsidRPr="00097201">
        <w:t>products</w:t>
      </w:r>
      <w:r w:rsidR="009B7C96" w:rsidRPr="00097201">
        <w:t>.</w:t>
      </w:r>
    </w:p>
    <w:p w14:paraId="3DF30D6B" w14:textId="41963A06" w:rsidR="00364786" w:rsidRDefault="00364786" w:rsidP="00105389">
      <w:pPr>
        <w:pStyle w:val="Body"/>
      </w:pPr>
      <w:r w:rsidRPr="00EF75F6">
        <w:t>We</w:t>
      </w:r>
      <w:r w:rsidR="009C72FF">
        <w:t>’</w:t>
      </w:r>
      <w:r w:rsidR="007F35E9">
        <w:t>ve worked</w:t>
      </w:r>
      <w:r w:rsidR="00A01A7F">
        <w:t xml:space="preserve"> to</w:t>
      </w:r>
      <w:r w:rsidR="00283E92">
        <w:t xml:space="preserve"> ensure more</w:t>
      </w:r>
      <w:r w:rsidRPr="00EF75F6">
        <w:t xml:space="preserve"> material</w:t>
      </w:r>
      <w:r w:rsidR="007A226F">
        <w:t>s</w:t>
      </w:r>
      <w:r w:rsidRPr="00EF75F6">
        <w:t xml:space="preserve"> can be processed locally</w:t>
      </w:r>
      <w:r w:rsidR="00997D26">
        <w:t xml:space="preserve"> and </w:t>
      </w:r>
      <w:r w:rsidR="006076C5">
        <w:t>turned into</w:t>
      </w:r>
      <w:r w:rsidR="00A01A7F">
        <w:t xml:space="preserve"> new materials </w:t>
      </w:r>
      <w:r>
        <w:t xml:space="preserve">for use in </w:t>
      </w:r>
      <w:r w:rsidR="00755B1A">
        <w:t>Australian</w:t>
      </w:r>
      <w:r>
        <w:t xml:space="preserve"> manufacturing</w:t>
      </w:r>
      <w:r w:rsidR="00A01A7F">
        <w:t xml:space="preserve">. </w:t>
      </w:r>
      <w:r w:rsidR="00997D26">
        <w:t xml:space="preserve">This not only </w:t>
      </w:r>
      <w:r>
        <w:t>increase</w:t>
      </w:r>
      <w:r w:rsidR="007F35E9">
        <w:t>s</w:t>
      </w:r>
      <w:r>
        <w:t xml:space="preserve"> </w:t>
      </w:r>
      <w:r w:rsidR="00104A7F">
        <w:t xml:space="preserve">the use of </w:t>
      </w:r>
      <w:r>
        <w:t xml:space="preserve">recycled </w:t>
      </w:r>
      <w:r w:rsidRPr="00EF75F6">
        <w:t xml:space="preserve">content </w:t>
      </w:r>
      <w:r w:rsidR="00997D26" w:rsidDel="0040049E">
        <w:t>but</w:t>
      </w:r>
      <w:r w:rsidR="00946F66">
        <w:t xml:space="preserve"> also</w:t>
      </w:r>
      <w:r w:rsidR="00997D26">
        <w:t xml:space="preserve"> </w:t>
      </w:r>
      <w:r w:rsidRPr="00EF75F6">
        <w:t>reduc</w:t>
      </w:r>
      <w:r>
        <w:t>e</w:t>
      </w:r>
      <w:r w:rsidR="007F35E9">
        <w:t>s</w:t>
      </w:r>
      <w:r w:rsidRPr="00EF75F6">
        <w:t xml:space="preserve"> our reliance on export</w:t>
      </w:r>
      <w:r w:rsidR="00104A7F">
        <w:t>ing</w:t>
      </w:r>
      <w:r w:rsidR="1DA34C5A">
        <w:t xml:space="preserve"> and builds local resilience</w:t>
      </w:r>
      <w:r w:rsidRPr="00EF75F6">
        <w:t>.</w:t>
      </w:r>
    </w:p>
    <w:p w14:paraId="29802570" w14:textId="656CAEE1" w:rsidR="0025675D" w:rsidRDefault="00114C2E" w:rsidP="00105389">
      <w:pPr>
        <w:pStyle w:val="Body"/>
      </w:pPr>
      <w:r w:rsidRPr="00A654AB">
        <w:lastRenderedPageBreak/>
        <w:t xml:space="preserve">In 2023–24, </w:t>
      </w:r>
      <w:r>
        <w:t>w</w:t>
      </w:r>
      <w:r w:rsidRPr="005C264E">
        <w:t xml:space="preserve">e </w:t>
      </w:r>
      <w:r w:rsidR="00104A7F">
        <w:t>created</w:t>
      </w:r>
      <w:r w:rsidRPr="005C264E">
        <w:t xml:space="preserve"> grant programs</w:t>
      </w:r>
      <w:r w:rsidR="007906F1">
        <w:t xml:space="preserve"> for industry, local government and educational institutions. With t</w:t>
      </w:r>
      <w:r w:rsidR="00AD14BA">
        <w:t>hese program</w:t>
      </w:r>
      <w:r w:rsidR="008F7801">
        <w:t>s</w:t>
      </w:r>
      <w:r w:rsidR="007906F1">
        <w:t xml:space="preserve">, we </w:t>
      </w:r>
      <w:r w:rsidR="00946F66">
        <w:t>gave</w:t>
      </w:r>
      <w:r w:rsidDel="0040049E">
        <w:t xml:space="preserve"> </w:t>
      </w:r>
      <w:r w:rsidR="0040049E">
        <w:t xml:space="preserve">more than </w:t>
      </w:r>
      <w:r>
        <w:t>$900,000</w:t>
      </w:r>
      <w:r w:rsidRPr="005C264E">
        <w:t xml:space="preserve"> </w:t>
      </w:r>
      <w:r w:rsidRPr="00865478">
        <w:t>to 11 projects</w:t>
      </w:r>
      <w:r w:rsidRPr="005C264E">
        <w:t xml:space="preserve"> for research, development, demonstration, commercialisation and use of recycled materials and products</w:t>
      </w:r>
      <w:r>
        <w:t>.</w:t>
      </w:r>
    </w:p>
    <w:p w14:paraId="74988600" w14:textId="77777777" w:rsidR="00522259" w:rsidRDefault="00607E22" w:rsidP="00105389">
      <w:pPr>
        <w:pStyle w:val="Body"/>
      </w:pPr>
      <w:r>
        <w:t>W</w:t>
      </w:r>
      <w:r w:rsidR="00C3717A">
        <w:t>e</w:t>
      </w:r>
      <w:r>
        <w:t xml:space="preserve"> had </w:t>
      </w:r>
      <w:r w:rsidR="000C66BC">
        <w:t xml:space="preserve">to </w:t>
      </w:r>
      <w:r>
        <w:t xml:space="preserve">make </w:t>
      </w:r>
      <w:r w:rsidR="00EC4C39">
        <w:t>sure the</w:t>
      </w:r>
      <w:r>
        <w:t>re were</w:t>
      </w:r>
      <w:r w:rsidR="00EC4C39">
        <w:t xml:space="preserve"> </w:t>
      </w:r>
      <w:r w:rsidR="008E145A">
        <w:t>market</w:t>
      </w:r>
      <w:r>
        <w:t>s</w:t>
      </w:r>
      <w:r w:rsidR="008E145A">
        <w:t xml:space="preserve"> ready to </w:t>
      </w:r>
      <w:r w:rsidR="00BC4B11">
        <w:t xml:space="preserve">use </w:t>
      </w:r>
      <w:r>
        <w:t>these</w:t>
      </w:r>
      <w:r w:rsidR="00BC4B11">
        <w:t xml:space="preserve"> recycled materials. </w:t>
      </w:r>
      <w:r w:rsidR="00FB0458">
        <w:t xml:space="preserve">We </w:t>
      </w:r>
      <w:r w:rsidR="006B0D97">
        <w:t>did this by creating</w:t>
      </w:r>
      <w:r w:rsidR="00C82678">
        <w:t xml:space="preserve"> connections between suppliers and end users</w:t>
      </w:r>
      <w:r w:rsidR="00CE5957">
        <w:t>, for example</w:t>
      </w:r>
      <w:r w:rsidR="00522259">
        <w:t xml:space="preserve">, </w:t>
      </w:r>
      <w:r w:rsidR="00B60301">
        <w:t xml:space="preserve">supporting </w:t>
      </w:r>
      <w:r w:rsidR="008F7801">
        <w:t>events</w:t>
      </w:r>
      <w:r w:rsidR="00B60301">
        <w:t xml:space="preserve"> to </w:t>
      </w:r>
      <w:r w:rsidR="008F7801">
        <w:t>show how</w:t>
      </w:r>
      <w:r w:rsidR="00025FFB">
        <w:t xml:space="preserve"> recycled composts an</w:t>
      </w:r>
      <w:r w:rsidR="000C2721">
        <w:t>d</w:t>
      </w:r>
      <w:r w:rsidR="00025FFB">
        <w:t xml:space="preserve"> mulches </w:t>
      </w:r>
      <w:r w:rsidR="008F7801">
        <w:t xml:space="preserve">can be used in vineyards. </w:t>
      </w:r>
    </w:p>
    <w:p w14:paraId="379EFA49" w14:textId="7DB6500C" w:rsidR="002818A4" w:rsidRDefault="00522259" w:rsidP="00105389">
      <w:pPr>
        <w:pStyle w:val="Body"/>
      </w:pPr>
      <w:r>
        <w:t>I</w:t>
      </w:r>
      <w:r w:rsidR="00D944E5">
        <w:t>n May 2024</w:t>
      </w:r>
      <w:r w:rsidR="00496376">
        <w:t>, a</w:t>
      </w:r>
      <w:r w:rsidR="00321388">
        <w:t xml:space="preserve"> </w:t>
      </w:r>
      <w:r w:rsidR="002370E0">
        <w:t>grant</w:t>
      </w:r>
      <w:r w:rsidR="00321388">
        <w:t xml:space="preserve"> </w:t>
      </w:r>
      <w:r w:rsidR="00C409B0">
        <w:t>r</w:t>
      </w:r>
      <w:r w:rsidR="00321388">
        <w:t>ecipient</w:t>
      </w:r>
      <w:r w:rsidR="00851F69">
        <w:t xml:space="preserve">, Heathcote Winegrowers hosted a sustainability field day as a requirement of </w:t>
      </w:r>
      <w:r w:rsidR="000865B1">
        <w:t>their grant</w:t>
      </w:r>
      <w:r w:rsidR="00FF3E86">
        <w:t xml:space="preserve">. </w:t>
      </w:r>
      <w:r w:rsidR="008A78ED">
        <w:t>Seventy</w:t>
      </w:r>
      <w:r w:rsidR="00590D77">
        <w:t> </w:t>
      </w:r>
      <w:r w:rsidR="00D55089">
        <w:t xml:space="preserve">winegrowers from </w:t>
      </w:r>
      <w:r w:rsidR="00590D77">
        <w:t>eight</w:t>
      </w:r>
      <w:r w:rsidR="00ED5515">
        <w:t xml:space="preserve"> </w:t>
      </w:r>
      <w:r w:rsidR="00371222">
        <w:t>wine regions</w:t>
      </w:r>
      <w:r w:rsidR="00371222" w:rsidDel="00590D77">
        <w:t xml:space="preserve"> </w:t>
      </w:r>
      <w:r w:rsidR="00D347D7">
        <w:t xml:space="preserve">attended </w:t>
      </w:r>
      <w:r w:rsidR="00424AC6">
        <w:t xml:space="preserve">to </w:t>
      </w:r>
      <w:r w:rsidR="000F2999">
        <w:t xml:space="preserve">learn about recycled organics – </w:t>
      </w:r>
      <w:r w:rsidR="002B14E9">
        <w:t>65% of respondents had never heard of recycled organics or didn</w:t>
      </w:r>
      <w:r w:rsidR="00004B28">
        <w:t>’</w:t>
      </w:r>
      <w:r w:rsidR="002B14E9">
        <w:t>t know what they were before the field day.</w:t>
      </w:r>
      <w:r w:rsidR="00691CC3">
        <w:t xml:space="preserve"> </w:t>
      </w:r>
      <w:r w:rsidR="00014B6F">
        <w:t xml:space="preserve">We also </w:t>
      </w:r>
      <w:r w:rsidR="001D06B6">
        <w:t>supported</w:t>
      </w:r>
      <w:r w:rsidR="00691CC3">
        <w:t xml:space="preserve"> a </w:t>
      </w:r>
      <w:r w:rsidR="005B09CB">
        <w:t>field day</w:t>
      </w:r>
      <w:r w:rsidR="00122D33">
        <w:t xml:space="preserve"> at E</w:t>
      </w:r>
      <w:r w:rsidR="00245A86">
        <w:t>lmore</w:t>
      </w:r>
      <w:r w:rsidR="00042D1D">
        <w:t xml:space="preserve"> in September 202</w:t>
      </w:r>
      <w:r w:rsidR="00C13F51">
        <w:t>3</w:t>
      </w:r>
      <w:r w:rsidR="00077974">
        <w:t>, where</w:t>
      </w:r>
      <w:r w:rsidR="001D06B6">
        <w:t xml:space="preserve"> </w:t>
      </w:r>
      <w:r w:rsidR="00C13F51">
        <w:t xml:space="preserve">30 farmers </w:t>
      </w:r>
      <w:r w:rsidR="0045306A">
        <w:t>visit</w:t>
      </w:r>
      <w:r w:rsidR="00077974">
        <w:t>ed</w:t>
      </w:r>
      <w:r w:rsidR="0045306A">
        <w:t xml:space="preserve"> three </w:t>
      </w:r>
      <w:r w:rsidR="00BB1BCD">
        <w:t>recycled organics trial sites</w:t>
      </w:r>
      <w:r w:rsidR="00163329">
        <w:t>, which</w:t>
      </w:r>
      <w:r w:rsidR="001D06B6">
        <w:t xml:space="preserve"> were </w:t>
      </w:r>
      <w:r w:rsidR="00F30514">
        <w:t>established with SV support.</w:t>
      </w:r>
    </w:p>
    <w:p w14:paraId="597EB602" w14:textId="513EC2DB" w:rsidR="00F35E8E" w:rsidRPr="00F35E8E" w:rsidRDefault="005C3D4C" w:rsidP="00105389">
      <w:pPr>
        <w:pStyle w:val="Body"/>
      </w:pPr>
      <w:r>
        <w:t xml:space="preserve">In </w:t>
      </w:r>
      <w:r w:rsidDel="007B4783">
        <w:t>2023</w:t>
      </w:r>
      <w:r w:rsidR="007B4783">
        <w:t>–24</w:t>
      </w:r>
      <w:r>
        <w:t>, w</w:t>
      </w:r>
      <w:r w:rsidR="00053090" w:rsidRPr="00A654AB">
        <w:t xml:space="preserve">e </w:t>
      </w:r>
      <w:r w:rsidR="00053090">
        <w:t>continued to s</w:t>
      </w:r>
      <w:r w:rsidR="00053090" w:rsidRPr="00A654AB">
        <w:t xml:space="preserve">upport councils </w:t>
      </w:r>
      <w:r w:rsidR="008E3377">
        <w:t xml:space="preserve">in </w:t>
      </w:r>
      <w:r w:rsidR="00053090" w:rsidRPr="00A654AB">
        <w:t>buy</w:t>
      </w:r>
      <w:r w:rsidR="008E3377">
        <w:t>ing</w:t>
      </w:r>
      <w:r w:rsidR="00053090" w:rsidRPr="00A654AB">
        <w:t xml:space="preserve"> </w:t>
      </w:r>
      <w:r w:rsidR="00053090">
        <w:t>and</w:t>
      </w:r>
      <w:r w:rsidR="00053090" w:rsidRPr="00A654AB">
        <w:t xml:space="preserve"> us</w:t>
      </w:r>
      <w:r w:rsidR="008E3377">
        <w:t>ing</w:t>
      </w:r>
      <w:r w:rsidR="00053090" w:rsidRPr="00A654AB">
        <w:t xml:space="preserve"> recycled content</w:t>
      </w:r>
      <w:r w:rsidR="007B3B22">
        <w:t xml:space="preserve">. Almost </w:t>
      </w:r>
      <w:r w:rsidR="008E3377">
        <w:t>90% of</w:t>
      </w:r>
      <w:r w:rsidR="00053090" w:rsidRPr="00A654AB">
        <w:t xml:space="preserve"> Victorian councils</w:t>
      </w:r>
      <w:r w:rsidR="00053090" w:rsidRPr="001B72CC">
        <w:rPr>
          <w:b/>
          <w:bCs/>
        </w:rPr>
        <w:t xml:space="preserve"> </w:t>
      </w:r>
      <w:r w:rsidR="00053090" w:rsidRPr="001B72CC">
        <w:t xml:space="preserve">have </w:t>
      </w:r>
      <w:r w:rsidR="008E3377">
        <w:t>used</w:t>
      </w:r>
      <w:r w:rsidR="00053090" w:rsidRPr="001B72CC">
        <w:t xml:space="preserve"> </w:t>
      </w:r>
      <w:r w:rsidR="00053090">
        <w:t>our online</w:t>
      </w:r>
      <w:r w:rsidR="00053090" w:rsidRPr="001B72CC">
        <w:t xml:space="preserve"> </w:t>
      </w:r>
      <w:hyperlink r:id="rId29">
        <w:r w:rsidR="00053090" w:rsidRPr="00196493">
          <w:rPr>
            <w:rStyle w:val="Hyperlink"/>
          </w:rPr>
          <w:t>Buy Recycled Service</w:t>
        </w:r>
      </w:hyperlink>
      <w:r w:rsidR="00240645">
        <w:t xml:space="preserve"> since it launched,</w:t>
      </w:r>
      <w:r w:rsidR="00053090" w:rsidRPr="001B72CC">
        <w:t xml:space="preserve"> including all metropolitan councils. </w:t>
      </w:r>
      <w:r w:rsidR="00AD6D86">
        <w:t>T</w:t>
      </w:r>
      <w:r w:rsidR="00053090" w:rsidRPr="001B72CC">
        <w:t xml:space="preserve">he </w:t>
      </w:r>
      <w:r w:rsidR="00053090">
        <w:t>Buy Recycled team</w:t>
      </w:r>
      <w:r w:rsidR="00053090" w:rsidRPr="001B72CC">
        <w:t xml:space="preserve"> </w:t>
      </w:r>
      <w:r w:rsidR="00240645">
        <w:t>held</w:t>
      </w:r>
      <w:r w:rsidR="00053090" w:rsidRPr="001B72CC">
        <w:t xml:space="preserve"> </w:t>
      </w:r>
      <w:r w:rsidR="00053090">
        <w:t>eight</w:t>
      </w:r>
      <w:r w:rsidR="00053090" w:rsidRPr="001B72CC">
        <w:t xml:space="preserve"> educational events </w:t>
      </w:r>
      <w:r w:rsidR="00240645">
        <w:t xml:space="preserve">with </w:t>
      </w:r>
      <w:r w:rsidR="3AFF775D" w:rsidRPr="00196493">
        <w:t>more than 250</w:t>
      </w:r>
      <w:r w:rsidR="00053090" w:rsidRPr="001B72CC">
        <w:t xml:space="preserve"> attendees. </w:t>
      </w:r>
      <w:r w:rsidR="00CE4902" w:rsidRPr="00CE4902">
        <w:t xml:space="preserve">We’ve created a network of champions across </w:t>
      </w:r>
      <w:r w:rsidR="00A72D28">
        <w:t>the</w:t>
      </w:r>
      <w:r w:rsidR="00CE4902" w:rsidRPr="00CE4902">
        <w:t xml:space="preserve"> state, </w:t>
      </w:r>
      <w:r w:rsidR="00D70550">
        <w:t xml:space="preserve">giving </w:t>
      </w:r>
      <w:r w:rsidR="00CE4902" w:rsidRPr="00CE4902">
        <w:t>them one-on-one support</w:t>
      </w:r>
      <w:r w:rsidR="00D70550">
        <w:t xml:space="preserve"> and</w:t>
      </w:r>
      <w:r w:rsidR="00CE4902" w:rsidRPr="00CE4902">
        <w:t xml:space="preserve"> helping them review their documents and processes to make it easier to include </w:t>
      </w:r>
      <w:r w:rsidR="00A72D28">
        <w:t>recycled materials when buying</w:t>
      </w:r>
      <w:r w:rsidR="0042458C">
        <w:t xml:space="preserve"> </w:t>
      </w:r>
      <w:r w:rsidR="0042458C" w:rsidRPr="00CE4902">
        <w:t>goods and services</w:t>
      </w:r>
      <w:r w:rsidR="00CE4902" w:rsidRPr="00CE4902">
        <w:t>.</w:t>
      </w:r>
    </w:p>
    <w:p w14:paraId="5BC03F4F" w14:textId="77777777" w:rsidR="006F33C2" w:rsidRDefault="006F33C2">
      <w:pPr>
        <w:spacing w:line="259" w:lineRule="auto"/>
        <w:rPr>
          <w:rFonts w:eastAsiaTheme="minorEastAsia"/>
          <w:sz w:val="32"/>
        </w:rPr>
      </w:pPr>
      <w:r>
        <w:br w:type="page"/>
      </w:r>
    </w:p>
    <w:p w14:paraId="5A1AAE2A" w14:textId="148C0C4A" w:rsidR="006F516C" w:rsidRPr="00114A54" w:rsidRDefault="006F516C" w:rsidP="004D0652">
      <w:pPr>
        <w:pStyle w:val="Subtitle"/>
      </w:pPr>
      <w:r w:rsidRPr="00114A54">
        <w:lastRenderedPageBreak/>
        <w:t xml:space="preserve">Case study: </w:t>
      </w:r>
      <w:r w:rsidR="00C518D6">
        <w:t>Paper pulper boosts recycling capacity</w:t>
      </w:r>
    </w:p>
    <w:p w14:paraId="65509D5D" w14:textId="4D8D348B" w:rsidR="00F95E16" w:rsidRPr="00445D50" w:rsidRDefault="00C06D1A" w:rsidP="00F95E16">
      <w:pPr>
        <w:pStyle w:val="casestudybox"/>
        <w:rPr>
          <w:sz w:val="20"/>
          <w:szCs w:val="20"/>
        </w:rPr>
      </w:pPr>
      <w:r>
        <w:rPr>
          <w:sz w:val="20"/>
          <w:szCs w:val="20"/>
        </w:rPr>
        <w:t xml:space="preserve">In 2023, </w:t>
      </w:r>
      <w:r w:rsidR="00F95E16" w:rsidRPr="00445D50">
        <w:rPr>
          <w:sz w:val="20"/>
          <w:szCs w:val="20"/>
        </w:rPr>
        <w:t>Victoria’s capacity to recycle paper and cardboard</w:t>
      </w:r>
      <w:r w:rsidR="00CE4902">
        <w:rPr>
          <w:sz w:val="20"/>
          <w:szCs w:val="20"/>
        </w:rPr>
        <w:t xml:space="preserve"> </w:t>
      </w:r>
      <w:r>
        <w:rPr>
          <w:sz w:val="20"/>
          <w:szCs w:val="20"/>
        </w:rPr>
        <w:t>got</w:t>
      </w:r>
      <w:r w:rsidR="00CE4902">
        <w:rPr>
          <w:sz w:val="20"/>
          <w:szCs w:val="20"/>
        </w:rPr>
        <w:t xml:space="preserve"> a </w:t>
      </w:r>
      <w:r w:rsidR="00C14B0C">
        <w:rPr>
          <w:sz w:val="20"/>
          <w:szCs w:val="20"/>
        </w:rPr>
        <w:t>big</w:t>
      </w:r>
      <w:r w:rsidR="00F95E16" w:rsidRPr="00445D50">
        <w:rPr>
          <w:sz w:val="20"/>
          <w:szCs w:val="20"/>
        </w:rPr>
        <w:t xml:space="preserve"> boost</w:t>
      </w:r>
      <w:r w:rsidR="00D82780">
        <w:rPr>
          <w:sz w:val="20"/>
          <w:szCs w:val="20"/>
        </w:rPr>
        <w:t xml:space="preserve"> </w:t>
      </w:r>
      <w:r w:rsidR="00F95E16" w:rsidRPr="00445D50">
        <w:rPr>
          <w:sz w:val="20"/>
          <w:szCs w:val="20"/>
        </w:rPr>
        <w:t xml:space="preserve">with </w:t>
      </w:r>
      <w:r w:rsidR="001E46CD">
        <w:rPr>
          <w:sz w:val="20"/>
          <w:szCs w:val="20"/>
        </w:rPr>
        <w:t>the introduction of</w:t>
      </w:r>
      <w:r w:rsidR="00F95E16" w:rsidRPr="00445D50">
        <w:rPr>
          <w:sz w:val="20"/>
          <w:szCs w:val="20"/>
        </w:rPr>
        <w:t xml:space="preserve"> a new drum pulper at </w:t>
      </w:r>
      <w:r w:rsidR="001E46CD">
        <w:rPr>
          <w:sz w:val="20"/>
          <w:szCs w:val="20"/>
        </w:rPr>
        <w:t>Visy’s</w:t>
      </w:r>
      <w:r w:rsidR="00F95E16" w:rsidRPr="00445D50">
        <w:rPr>
          <w:sz w:val="20"/>
          <w:szCs w:val="20"/>
        </w:rPr>
        <w:t xml:space="preserve"> paper mill in Melbourne’s north.</w:t>
      </w:r>
    </w:p>
    <w:p w14:paraId="60B1D745" w14:textId="06EA8633" w:rsidR="00F95E16" w:rsidRPr="00445D50" w:rsidRDefault="00F95E16" w:rsidP="00F95E16">
      <w:pPr>
        <w:pStyle w:val="casestudybox"/>
        <w:rPr>
          <w:sz w:val="20"/>
          <w:szCs w:val="20"/>
        </w:rPr>
      </w:pPr>
      <w:r w:rsidRPr="00445D50">
        <w:rPr>
          <w:sz w:val="20"/>
          <w:szCs w:val="20"/>
        </w:rPr>
        <w:t>Th</w:t>
      </w:r>
      <w:r w:rsidR="00561DDE">
        <w:rPr>
          <w:sz w:val="20"/>
          <w:szCs w:val="20"/>
        </w:rPr>
        <w:t xml:space="preserve">is new </w:t>
      </w:r>
      <w:r w:rsidRPr="00445D50">
        <w:rPr>
          <w:sz w:val="20"/>
          <w:szCs w:val="20"/>
        </w:rPr>
        <w:t>technology</w:t>
      </w:r>
      <w:r w:rsidR="00561DDE">
        <w:rPr>
          <w:sz w:val="20"/>
          <w:szCs w:val="20"/>
        </w:rPr>
        <w:t xml:space="preserve">, the first of its kind in </w:t>
      </w:r>
      <w:r w:rsidRPr="00445D50">
        <w:rPr>
          <w:sz w:val="20"/>
          <w:szCs w:val="20"/>
        </w:rPr>
        <w:t>Australia</w:t>
      </w:r>
      <w:r w:rsidR="00561DDE">
        <w:rPr>
          <w:sz w:val="20"/>
          <w:szCs w:val="20"/>
        </w:rPr>
        <w:t xml:space="preserve">, </w:t>
      </w:r>
      <w:r w:rsidR="00E16692">
        <w:rPr>
          <w:sz w:val="20"/>
          <w:szCs w:val="20"/>
        </w:rPr>
        <w:t>allows</w:t>
      </w:r>
      <w:r w:rsidRPr="00445D50">
        <w:rPr>
          <w:sz w:val="20"/>
          <w:szCs w:val="20"/>
        </w:rPr>
        <w:t xml:space="preserve"> </w:t>
      </w:r>
      <w:r w:rsidR="00C10CEE">
        <w:rPr>
          <w:sz w:val="20"/>
          <w:szCs w:val="20"/>
        </w:rPr>
        <w:t>Visy</w:t>
      </w:r>
      <w:r w:rsidRPr="00445D50">
        <w:rPr>
          <w:sz w:val="20"/>
          <w:szCs w:val="20"/>
        </w:rPr>
        <w:t xml:space="preserve"> to recycle 40% more paper and cardboard</w:t>
      </w:r>
      <w:r w:rsidR="005F3E1B">
        <w:rPr>
          <w:sz w:val="20"/>
          <w:szCs w:val="20"/>
        </w:rPr>
        <w:t>. This means</w:t>
      </w:r>
      <w:r w:rsidRPr="00445D50">
        <w:rPr>
          <w:sz w:val="20"/>
          <w:szCs w:val="20"/>
        </w:rPr>
        <w:t xml:space="preserve"> more materials collected from Victorian households can be </w:t>
      </w:r>
      <w:r w:rsidR="009872D6">
        <w:rPr>
          <w:sz w:val="20"/>
          <w:szCs w:val="20"/>
        </w:rPr>
        <w:t>turned</w:t>
      </w:r>
      <w:r w:rsidRPr="00445D50">
        <w:rPr>
          <w:sz w:val="20"/>
          <w:szCs w:val="20"/>
        </w:rPr>
        <w:t xml:space="preserve"> into new paper products like pizza boxes </w:t>
      </w:r>
      <w:r w:rsidR="00FF240B">
        <w:rPr>
          <w:sz w:val="20"/>
          <w:szCs w:val="20"/>
        </w:rPr>
        <w:t xml:space="preserve">and </w:t>
      </w:r>
      <w:r w:rsidRPr="00445D50">
        <w:rPr>
          <w:sz w:val="20"/>
          <w:szCs w:val="20"/>
        </w:rPr>
        <w:t>plasterboard lining.</w:t>
      </w:r>
    </w:p>
    <w:p w14:paraId="0C8EC54D" w14:textId="671664A8" w:rsidR="00F95E16" w:rsidRPr="00445D50" w:rsidRDefault="00AC4971" w:rsidP="00F95E16">
      <w:pPr>
        <w:pStyle w:val="casestudybox"/>
        <w:rPr>
          <w:sz w:val="20"/>
          <w:szCs w:val="20"/>
        </w:rPr>
      </w:pPr>
      <w:r>
        <w:rPr>
          <w:sz w:val="20"/>
          <w:szCs w:val="20"/>
        </w:rPr>
        <w:t>T</w:t>
      </w:r>
      <w:r w:rsidR="00F95E16" w:rsidRPr="00445D50">
        <w:rPr>
          <w:sz w:val="20"/>
          <w:szCs w:val="20"/>
        </w:rPr>
        <w:t>raditional paper recycling methods</w:t>
      </w:r>
      <w:r>
        <w:rPr>
          <w:sz w:val="20"/>
          <w:szCs w:val="20"/>
        </w:rPr>
        <w:t xml:space="preserve"> loses </w:t>
      </w:r>
      <w:r w:rsidR="00AD1E23">
        <w:rPr>
          <w:sz w:val="20"/>
          <w:szCs w:val="20"/>
        </w:rPr>
        <w:t xml:space="preserve">a lot of </w:t>
      </w:r>
      <w:r w:rsidR="00F95E16" w:rsidRPr="00445D50">
        <w:rPr>
          <w:sz w:val="20"/>
          <w:szCs w:val="20"/>
        </w:rPr>
        <w:t>fibres</w:t>
      </w:r>
      <w:r>
        <w:rPr>
          <w:sz w:val="20"/>
          <w:szCs w:val="20"/>
        </w:rPr>
        <w:t xml:space="preserve">, </w:t>
      </w:r>
      <w:r w:rsidR="00F95E16" w:rsidRPr="00445D50">
        <w:rPr>
          <w:sz w:val="20"/>
          <w:szCs w:val="20"/>
        </w:rPr>
        <w:t>leaving less material for reuse.</w:t>
      </w:r>
      <w:r w:rsidR="00B20712">
        <w:rPr>
          <w:sz w:val="20"/>
          <w:szCs w:val="20"/>
        </w:rPr>
        <w:t xml:space="preserve"> </w:t>
      </w:r>
      <w:r w:rsidR="00F95E16" w:rsidRPr="00445D50">
        <w:rPr>
          <w:sz w:val="20"/>
          <w:szCs w:val="20"/>
        </w:rPr>
        <w:t xml:space="preserve">The </w:t>
      </w:r>
      <w:r w:rsidR="00C36785">
        <w:rPr>
          <w:sz w:val="20"/>
          <w:szCs w:val="20"/>
        </w:rPr>
        <w:t>new</w:t>
      </w:r>
      <w:r w:rsidR="00F95E16" w:rsidRPr="00445D50">
        <w:rPr>
          <w:sz w:val="20"/>
          <w:szCs w:val="20"/>
        </w:rPr>
        <w:t xml:space="preserve"> drum pulper rotates</w:t>
      </w:r>
      <w:r w:rsidR="00C36785">
        <w:rPr>
          <w:sz w:val="20"/>
          <w:szCs w:val="20"/>
        </w:rPr>
        <w:t xml:space="preserve"> gently and</w:t>
      </w:r>
      <w:r w:rsidR="00C36785" w:rsidRPr="00C36785">
        <w:rPr>
          <w:sz w:val="20"/>
          <w:szCs w:val="20"/>
        </w:rPr>
        <w:t xml:space="preserve"> </w:t>
      </w:r>
      <w:r w:rsidR="00F95E16" w:rsidRPr="00445D50">
        <w:rPr>
          <w:sz w:val="20"/>
          <w:szCs w:val="20"/>
        </w:rPr>
        <w:t xml:space="preserve">continuously, reducing </w:t>
      </w:r>
      <w:r w:rsidR="002D1AB0">
        <w:rPr>
          <w:sz w:val="20"/>
          <w:szCs w:val="20"/>
        </w:rPr>
        <w:t>fibre</w:t>
      </w:r>
      <w:r w:rsidR="00F95E16" w:rsidRPr="00445D50">
        <w:rPr>
          <w:sz w:val="20"/>
          <w:szCs w:val="20"/>
        </w:rPr>
        <w:t xml:space="preserve"> loss during the pulping process.</w:t>
      </w:r>
      <w:r w:rsidR="000C5609">
        <w:rPr>
          <w:sz w:val="20"/>
          <w:szCs w:val="20"/>
        </w:rPr>
        <w:t xml:space="preserve"> </w:t>
      </w:r>
      <w:r w:rsidR="00F95E16" w:rsidRPr="00445D50">
        <w:rPr>
          <w:sz w:val="20"/>
          <w:szCs w:val="20"/>
        </w:rPr>
        <w:t xml:space="preserve">This technology also </w:t>
      </w:r>
      <w:r w:rsidR="00C2244C">
        <w:rPr>
          <w:sz w:val="20"/>
          <w:szCs w:val="20"/>
        </w:rPr>
        <w:t>uses less</w:t>
      </w:r>
      <w:r w:rsidR="00F95E16" w:rsidRPr="00445D50">
        <w:rPr>
          <w:sz w:val="20"/>
          <w:szCs w:val="20"/>
        </w:rPr>
        <w:t xml:space="preserve"> energy and </w:t>
      </w:r>
      <w:r w:rsidR="00C23CCE">
        <w:rPr>
          <w:sz w:val="20"/>
          <w:szCs w:val="20"/>
        </w:rPr>
        <w:t xml:space="preserve">produces fewer </w:t>
      </w:r>
      <w:r w:rsidR="00F95E16" w:rsidRPr="00445D50">
        <w:rPr>
          <w:sz w:val="20"/>
          <w:szCs w:val="20"/>
        </w:rPr>
        <w:t>carbon emissions compared to other types of pulpers.</w:t>
      </w:r>
    </w:p>
    <w:p w14:paraId="5C33CC33" w14:textId="6F17108D" w:rsidR="00F95E16" w:rsidRPr="00445D50" w:rsidRDefault="00F95E16" w:rsidP="00F95E16">
      <w:pPr>
        <w:pStyle w:val="casestudybox"/>
        <w:rPr>
          <w:sz w:val="20"/>
          <w:szCs w:val="20"/>
        </w:rPr>
      </w:pPr>
      <w:r w:rsidRPr="00445D50">
        <w:rPr>
          <w:sz w:val="20"/>
          <w:szCs w:val="20"/>
        </w:rPr>
        <w:t xml:space="preserve">Visy Executive Chairman Anthony Pratt said the drum pulper </w:t>
      </w:r>
      <w:r w:rsidR="00C23CCE">
        <w:rPr>
          <w:sz w:val="20"/>
          <w:szCs w:val="20"/>
        </w:rPr>
        <w:t>is</w:t>
      </w:r>
      <w:r w:rsidRPr="00445D50">
        <w:rPr>
          <w:sz w:val="20"/>
          <w:szCs w:val="20"/>
        </w:rPr>
        <w:t xml:space="preserve"> the most advanced paper recycling in the world.</w:t>
      </w:r>
    </w:p>
    <w:p w14:paraId="6F0A71D1" w14:textId="650FC3D1" w:rsidR="00D44E26" w:rsidRPr="00445D50" w:rsidRDefault="00D44E26" w:rsidP="00C73912">
      <w:pPr>
        <w:pStyle w:val="casestudybox"/>
        <w:rPr>
          <w:sz w:val="20"/>
          <w:szCs w:val="20"/>
        </w:rPr>
      </w:pPr>
      <w:r w:rsidRPr="00445D50">
        <w:rPr>
          <w:sz w:val="20"/>
          <w:szCs w:val="20"/>
        </w:rPr>
        <w:t xml:space="preserve">“It will double Visy’s kerbside recycling capability in Victoria, diverting up to 180,000 tonnes of paper and cardboard annually from Victoria’s landfills or exports, which is the equivalent of </w:t>
      </w:r>
      <w:r w:rsidR="00BF22C2">
        <w:rPr>
          <w:sz w:val="20"/>
          <w:szCs w:val="20"/>
        </w:rPr>
        <w:t>about</w:t>
      </w:r>
      <w:r w:rsidRPr="00445D50">
        <w:rPr>
          <w:sz w:val="20"/>
          <w:szCs w:val="20"/>
        </w:rPr>
        <w:t xml:space="preserve"> 400 Olympic swimming pools,”</w:t>
      </w:r>
    </w:p>
    <w:p w14:paraId="0C21F148" w14:textId="71435907" w:rsidR="00D44E26" w:rsidRPr="00C10CEE" w:rsidRDefault="00D44E26" w:rsidP="00F95E16">
      <w:pPr>
        <w:pStyle w:val="casestudybox"/>
        <w:rPr>
          <w:sz w:val="20"/>
          <w:szCs w:val="20"/>
        </w:rPr>
      </w:pPr>
      <w:r w:rsidRPr="00445D50">
        <w:rPr>
          <w:sz w:val="20"/>
          <w:szCs w:val="20"/>
        </w:rPr>
        <w:t xml:space="preserve">The drum pulper </w:t>
      </w:r>
      <w:r w:rsidR="00CE4902">
        <w:rPr>
          <w:sz w:val="20"/>
          <w:szCs w:val="20"/>
        </w:rPr>
        <w:t>w</w:t>
      </w:r>
      <w:r w:rsidR="002E44A0">
        <w:rPr>
          <w:sz w:val="20"/>
          <w:szCs w:val="20"/>
        </w:rPr>
        <w:t>as</w:t>
      </w:r>
      <w:r w:rsidR="00CE4902">
        <w:rPr>
          <w:sz w:val="20"/>
          <w:szCs w:val="20"/>
        </w:rPr>
        <w:t xml:space="preserve"> </w:t>
      </w:r>
      <w:r w:rsidRPr="00445D50">
        <w:rPr>
          <w:sz w:val="20"/>
          <w:szCs w:val="20"/>
        </w:rPr>
        <w:t>supported by a grant from the </w:t>
      </w:r>
      <w:hyperlink r:id="rId30" w:history="1">
        <w:r w:rsidRPr="00445D50">
          <w:rPr>
            <w:rStyle w:val="Hyperlink"/>
            <w:color w:val="auto"/>
            <w:szCs w:val="20"/>
            <w:u w:val="none"/>
          </w:rPr>
          <w:t>Recycling Modernisation Fund</w:t>
        </w:r>
      </w:hyperlink>
      <w:r w:rsidRPr="00445D50">
        <w:rPr>
          <w:sz w:val="20"/>
          <w:szCs w:val="20"/>
        </w:rPr>
        <w:t>, which is co-funded by the Australian and Victorian governments.</w:t>
      </w:r>
    </w:p>
    <w:p w14:paraId="73FB7E96" w14:textId="1FC88296" w:rsidR="008305A9" w:rsidRPr="008305A9" w:rsidRDefault="00703473" w:rsidP="008305A9">
      <w:pPr>
        <w:pStyle w:val="NormalWeb"/>
        <w:rPr>
          <w:rFonts w:eastAsia="Times New Roman"/>
          <w:color w:val="auto"/>
          <w:lang w:eastAsia="en-AU"/>
        </w:rPr>
      </w:pPr>
      <w:r>
        <w:rPr>
          <w:rFonts w:eastAsia="Times New Roman"/>
          <w:noProof/>
          <w:color w:val="auto"/>
          <w:lang w:eastAsia="en-AU"/>
        </w:rPr>
        <w:drawing>
          <wp:inline distT="0" distB="0" distL="0" distR="0" wp14:anchorId="01A97378" wp14:editId="35D13CAB">
            <wp:extent cx="4482547" cy="2989690"/>
            <wp:effectExtent l="0" t="0" r="0" b="1270"/>
            <wp:docPr id="191090848" name="Picture 2" descr="A pile of cardbo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0848" name="Picture 2" descr="A pile of cardboards&#10;&#10;Description automatically generated"/>
                    <pic:cNvPicPr/>
                  </pic:nvPicPr>
                  <pic:blipFill>
                    <a:blip r:embed="rId31"/>
                    <a:stretch>
                      <a:fillRect/>
                    </a:stretch>
                  </pic:blipFill>
                  <pic:spPr>
                    <a:xfrm>
                      <a:off x="0" y="0"/>
                      <a:ext cx="4510818" cy="3008546"/>
                    </a:xfrm>
                    <a:prstGeom prst="rect">
                      <a:avLst/>
                    </a:prstGeom>
                  </pic:spPr>
                </pic:pic>
              </a:graphicData>
            </a:graphic>
          </wp:inline>
        </w:drawing>
      </w:r>
      <w:bookmarkStart w:id="27" w:name="_Toc166500852"/>
      <w:bookmarkStart w:id="28" w:name="_Toc166585666"/>
    </w:p>
    <w:p w14:paraId="14C7A5B1" w14:textId="3E4F333C" w:rsidR="005B7449" w:rsidRPr="008305A9" w:rsidRDefault="0021638C" w:rsidP="009D23CB">
      <w:pPr>
        <w:pStyle w:val="Caption"/>
        <w:rPr>
          <w:lang w:eastAsia="en-AU"/>
        </w:rPr>
      </w:pPr>
      <w:r>
        <w:rPr>
          <w:lang w:eastAsia="en-AU"/>
        </w:rPr>
        <w:t xml:space="preserve">Paper and cardboard </w:t>
      </w:r>
      <w:r w:rsidR="00B52B58">
        <w:rPr>
          <w:lang w:eastAsia="en-AU"/>
        </w:rPr>
        <w:t>to be recycled.</w:t>
      </w:r>
    </w:p>
    <w:p w14:paraId="761CC6D5" w14:textId="77777777" w:rsidR="00104223" w:rsidRDefault="00104223">
      <w:pPr>
        <w:spacing w:line="259" w:lineRule="auto"/>
        <w:rPr>
          <w:rStyle w:val="A2"/>
          <w:rFonts w:eastAsiaTheme="majorEastAsia" w:cstheme="majorBidi"/>
          <w:b/>
          <w:color w:val="174F37"/>
          <w:sz w:val="40"/>
          <w:szCs w:val="32"/>
        </w:rPr>
      </w:pPr>
      <w:r>
        <w:rPr>
          <w:rStyle w:val="A2"/>
          <w:rFonts w:cstheme="majorBidi"/>
          <w:color w:val="174F37"/>
          <w:sz w:val="40"/>
          <w:szCs w:val="32"/>
        </w:rPr>
        <w:br w:type="page"/>
      </w:r>
    </w:p>
    <w:p w14:paraId="65AD52BD" w14:textId="19DB4A94" w:rsidR="006F516C" w:rsidRPr="00132505" w:rsidRDefault="006F516C" w:rsidP="00132505">
      <w:pPr>
        <w:pStyle w:val="Heading2"/>
      </w:pPr>
      <w:bookmarkStart w:id="29" w:name="_Toc167807878"/>
      <w:r w:rsidRPr="00132505">
        <w:rPr>
          <w:rStyle w:val="A2"/>
          <w:rFonts w:cstheme="majorBidi"/>
          <w:color w:val="164F36" w:themeColor="text2"/>
          <w:sz w:val="32"/>
          <w:szCs w:val="26"/>
        </w:rPr>
        <w:lastRenderedPageBreak/>
        <w:t>Stopping waste before it starts</w:t>
      </w:r>
      <w:bookmarkEnd w:id="27"/>
      <w:bookmarkEnd w:id="28"/>
      <w:bookmarkEnd w:id="29"/>
    </w:p>
    <w:p w14:paraId="36B2A43F" w14:textId="6AC8D867" w:rsidR="004A19D7" w:rsidRDefault="004A19D7" w:rsidP="00105389">
      <w:pPr>
        <w:pStyle w:val="Body"/>
      </w:pPr>
      <w:r w:rsidRPr="00A654AB">
        <w:t xml:space="preserve">We </w:t>
      </w:r>
      <w:r w:rsidR="004856E5">
        <w:t xml:space="preserve">have </w:t>
      </w:r>
      <w:r w:rsidR="00353D1B">
        <w:t>continue</w:t>
      </w:r>
      <w:r w:rsidR="004856E5">
        <w:t>d</w:t>
      </w:r>
      <w:r w:rsidR="00353D1B">
        <w:t xml:space="preserve"> to prepare</w:t>
      </w:r>
      <w:r w:rsidRPr="00A654AB">
        <w:t xml:space="preserve"> Victoria’s economy </w:t>
      </w:r>
      <w:r w:rsidR="00353D1B">
        <w:t>for the future</w:t>
      </w:r>
      <w:r w:rsidRPr="00A654AB">
        <w:t xml:space="preserve"> by investing in Victorian businesses to design </w:t>
      </w:r>
      <w:r>
        <w:t>waste</w:t>
      </w:r>
      <w:r w:rsidR="529CD456">
        <w:t xml:space="preserve"> out of the system</w:t>
      </w:r>
      <w:r>
        <w:t>.</w:t>
      </w:r>
      <w:r w:rsidRPr="003B4581">
        <w:rPr>
          <w:rFonts w:ascii="DIN Next LT Pro Light" w:hAnsi="DIN Next LT Pro Light" w:cs="DIN Next LT Pro Light"/>
          <w:color w:val="221E1F"/>
        </w:rPr>
        <w:t xml:space="preserve"> </w:t>
      </w:r>
      <w:r>
        <w:t>We</w:t>
      </w:r>
      <w:r w:rsidR="00A35964">
        <w:t>’re</w:t>
      </w:r>
      <w:r>
        <w:t xml:space="preserve"> the </w:t>
      </w:r>
      <w:r w:rsidR="009D1975">
        <w:t>go-to</w:t>
      </w:r>
      <w:r>
        <w:t xml:space="preserve"> place for businesses to connect, collaborate and </w:t>
      </w:r>
      <w:r w:rsidR="00482F03">
        <w:t>get</w:t>
      </w:r>
      <w:r>
        <w:t xml:space="preserve"> support to trial new business models to stop waste before it starts.</w:t>
      </w:r>
    </w:p>
    <w:p w14:paraId="4BAAA98F" w14:textId="2210375B" w:rsidR="00553675" w:rsidRDefault="004A19D7" w:rsidP="00105389">
      <w:pPr>
        <w:pStyle w:val="Body"/>
      </w:pPr>
      <w:r w:rsidRPr="00A6177B">
        <w:t xml:space="preserve">Recycling </w:t>
      </w:r>
      <w:r w:rsidR="00623177">
        <w:t>isn’t</w:t>
      </w:r>
      <w:r w:rsidRPr="00A6177B">
        <w:t xml:space="preserve"> enough</w:t>
      </w:r>
      <w:r w:rsidR="00C657E5">
        <w:t xml:space="preserve"> </w:t>
      </w:r>
      <w:r w:rsidR="005425BD">
        <w:t>and we are working</w:t>
      </w:r>
      <w:r w:rsidR="00623177">
        <w:t xml:space="preserve"> to</w:t>
      </w:r>
      <w:r w:rsidR="00C657E5">
        <w:t xml:space="preserve"> </w:t>
      </w:r>
      <w:r w:rsidR="0078589A">
        <w:t>reduce or stop waste before it starts in every part of the system.</w:t>
      </w:r>
      <w:r w:rsidRPr="00A6177B">
        <w:t xml:space="preserve"> We have </w:t>
      </w:r>
      <w:r w:rsidR="005C5C3D">
        <w:t>studied the</w:t>
      </w:r>
      <w:r w:rsidRPr="00A6177B">
        <w:t xml:space="preserve"> barriers </w:t>
      </w:r>
      <w:r w:rsidR="00B34878">
        <w:t xml:space="preserve">that </w:t>
      </w:r>
      <w:r w:rsidRPr="00A6177B">
        <w:t>business</w:t>
      </w:r>
      <w:r w:rsidR="00B34878">
        <w:t>es</w:t>
      </w:r>
      <w:r w:rsidRPr="00A6177B">
        <w:t>, industr</w:t>
      </w:r>
      <w:r w:rsidR="00B34878">
        <w:t>ies</w:t>
      </w:r>
      <w:r w:rsidRPr="00A6177B">
        <w:t>, communit</w:t>
      </w:r>
      <w:r w:rsidR="00B34878">
        <w:t>ies</w:t>
      </w:r>
      <w:r w:rsidRPr="00A6177B">
        <w:t xml:space="preserve"> and consumer</w:t>
      </w:r>
      <w:r w:rsidR="00C721F5">
        <w:t>s</w:t>
      </w:r>
      <w:r w:rsidR="00B34878">
        <w:t xml:space="preserve"> are </w:t>
      </w:r>
      <w:r w:rsidR="00777729">
        <w:t>experiencing when it comes to avoiding waste</w:t>
      </w:r>
      <w:r w:rsidRPr="00A6177B">
        <w:t xml:space="preserve">. By providing what </w:t>
      </w:r>
      <w:r w:rsidR="000744D6">
        <w:t xml:space="preserve">they </w:t>
      </w:r>
      <w:r w:rsidRPr="00A6177B">
        <w:t>need to overcome these barriers,</w:t>
      </w:r>
      <w:r w:rsidR="00777729">
        <w:t xml:space="preserve"> </w:t>
      </w:r>
      <w:r w:rsidR="00687AA1">
        <w:t xml:space="preserve">we </w:t>
      </w:r>
      <w:r w:rsidR="46114465">
        <w:t>have been</w:t>
      </w:r>
      <w:r w:rsidR="00687AA1">
        <w:t xml:space="preserve"> </w:t>
      </w:r>
      <w:r w:rsidR="00553675">
        <w:t xml:space="preserve">preparing them for real change. </w:t>
      </w:r>
    </w:p>
    <w:p w14:paraId="73CDA925" w14:textId="316D7C33" w:rsidR="004A19D7" w:rsidRDefault="00771832" w:rsidP="00105389">
      <w:pPr>
        <w:pStyle w:val="Body"/>
      </w:pPr>
      <w:r>
        <w:t xml:space="preserve">We </w:t>
      </w:r>
      <w:r w:rsidR="520DA54A">
        <w:t xml:space="preserve">have </w:t>
      </w:r>
      <w:r w:rsidR="004A19D7" w:rsidRPr="00A6177B">
        <w:t xml:space="preserve">also </w:t>
      </w:r>
      <w:r w:rsidR="520DA54A">
        <w:t>worked</w:t>
      </w:r>
      <w:r>
        <w:t xml:space="preserve"> to make </w:t>
      </w:r>
      <w:r w:rsidR="004A19D7" w:rsidRPr="00A6177B">
        <w:t>waste avoidance</w:t>
      </w:r>
      <w:r>
        <w:t xml:space="preserve"> a</w:t>
      </w:r>
      <w:r w:rsidR="4491ABF1">
        <w:t xml:space="preserve"> more common</w:t>
      </w:r>
      <w:r>
        <w:t xml:space="preserve"> part of everyday life.</w:t>
      </w:r>
      <w:r w:rsidR="004A19D7" w:rsidRPr="00A6177B">
        <w:t xml:space="preserve"> </w:t>
      </w:r>
      <w:r w:rsidR="00FF548E">
        <w:t xml:space="preserve">This year we </w:t>
      </w:r>
      <w:r w:rsidR="65244C9C">
        <w:t>did</w:t>
      </w:r>
      <w:r w:rsidR="004A19D7" w:rsidRPr="00A6177B">
        <w:t xml:space="preserve"> this through</w:t>
      </w:r>
      <w:r w:rsidR="144F66ED">
        <w:t xml:space="preserve"> our</w:t>
      </w:r>
      <w:r w:rsidR="004A19D7" w:rsidRPr="00A6177B">
        <w:t xml:space="preserve"> behaviour change and education programs</w:t>
      </w:r>
      <w:r w:rsidR="0066738F">
        <w:t xml:space="preserve"> and by</w:t>
      </w:r>
      <w:r w:rsidR="004A19D7" w:rsidRPr="00A6177B">
        <w:t xml:space="preserve"> funding waste avoidance programs and </w:t>
      </w:r>
      <w:r w:rsidR="0066738F">
        <w:t>creating</w:t>
      </w:r>
      <w:r w:rsidR="004A19D7" w:rsidRPr="00A6177B">
        <w:t xml:space="preserve"> programs based on our research into </w:t>
      </w:r>
      <w:r w:rsidR="0066738F">
        <w:t xml:space="preserve">how </w:t>
      </w:r>
      <w:r w:rsidR="004A19D7" w:rsidRPr="00A6177B">
        <w:t xml:space="preserve">Victorian </w:t>
      </w:r>
      <w:r w:rsidR="0066738F">
        <w:t>feel about</w:t>
      </w:r>
      <w:r w:rsidR="004A19D7" w:rsidRPr="00A6177B">
        <w:t xml:space="preserve"> waste avoidance.</w:t>
      </w:r>
    </w:p>
    <w:p w14:paraId="121F3A51" w14:textId="6E96605E" w:rsidR="006F516C" w:rsidRPr="00133665" w:rsidRDefault="006F516C" w:rsidP="00126908">
      <w:pPr>
        <w:pStyle w:val="Heading3"/>
      </w:pPr>
      <w:bookmarkStart w:id="30" w:name="_Toc166585667"/>
      <w:r w:rsidRPr="00133665">
        <w:t>Fast tracking businesses to eliminate waste</w:t>
      </w:r>
      <w:bookmarkEnd w:id="30"/>
    </w:p>
    <w:p w14:paraId="5BC8CE60" w14:textId="27A4FFA2" w:rsidR="000F4558" w:rsidRDefault="000F4558" w:rsidP="000F4558">
      <w:r>
        <w:t>Our</w:t>
      </w:r>
      <w:r w:rsidRPr="00B13741">
        <w:t xml:space="preserve"> Circular Economy Business Innovation Centre (CEBIC)</w:t>
      </w:r>
      <w:r>
        <w:t xml:space="preserve"> </w:t>
      </w:r>
      <w:r w:rsidR="7CB979A0">
        <w:t>delivered</w:t>
      </w:r>
      <w:r>
        <w:t xml:space="preserve"> </w:t>
      </w:r>
      <w:r w:rsidRPr="00B13741">
        <w:t xml:space="preserve">events, funding and research on circular economy </w:t>
      </w:r>
      <w:r w:rsidR="00051A89">
        <w:t xml:space="preserve">opportunities </w:t>
      </w:r>
      <w:r w:rsidRPr="00B13741">
        <w:t xml:space="preserve">for </w:t>
      </w:r>
      <w:r w:rsidR="006F7A2E">
        <w:t>business</w:t>
      </w:r>
      <w:r w:rsidR="004627DB">
        <w:t xml:space="preserve"> over </w:t>
      </w:r>
      <w:r w:rsidR="007B4783">
        <w:t>2023–24</w:t>
      </w:r>
      <w:r>
        <w:t xml:space="preserve">. </w:t>
      </w:r>
      <w:r w:rsidR="004627DB">
        <w:t>We</w:t>
      </w:r>
      <w:r w:rsidRPr="00B13741">
        <w:t xml:space="preserve"> led </w:t>
      </w:r>
      <w:r w:rsidR="007A0827">
        <w:t>efforts to bring together</w:t>
      </w:r>
      <w:r w:rsidRPr="00B13741">
        <w:t xml:space="preserve"> </w:t>
      </w:r>
      <w:r w:rsidR="0074432D">
        <w:t>different</w:t>
      </w:r>
      <w:r w:rsidRPr="00B13741">
        <w:t xml:space="preserve"> industries, sectors and regions</w:t>
      </w:r>
      <w:r w:rsidR="0074432D">
        <w:t xml:space="preserve"> through</w:t>
      </w:r>
      <w:r w:rsidRPr="00B13741">
        <w:t xml:space="preserve"> roundtables, research and a cross-sector advisory committee. We</w:t>
      </w:r>
      <w:r w:rsidR="0043021C">
        <w:t xml:space="preserve"> offered</w:t>
      </w:r>
      <w:r w:rsidRPr="00B13741">
        <w:t xml:space="preserve"> engagement, education and thought leadership activities on circular business</w:t>
      </w:r>
      <w:r w:rsidR="000E60F9">
        <w:t xml:space="preserve"> practices</w:t>
      </w:r>
      <w:r w:rsidRPr="00B13741">
        <w:t xml:space="preserve">, </w:t>
      </w:r>
      <w:r w:rsidR="000E60F9">
        <w:t>such as</w:t>
      </w:r>
      <w:r w:rsidRPr="00B13741">
        <w:t xml:space="preserve"> masterclasses, training </w:t>
      </w:r>
      <w:r w:rsidR="002912EB">
        <w:t>sessions</w:t>
      </w:r>
      <w:r w:rsidRPr="00B13741">
        <w:t xml:space="preserve"> and events</w:t>
      </w:r>
      <w:r>
        <w:t xml:space="preserve">, </w:t>
      </w:r>
      <w:r w:rsidRPr="00B13741">
        <w:t xml:space="preserve">for example, at Melbourne Design Week. </w:t>
      </w:r>
      <w:r>
        <w:t xml:space="preserve">These activities are building a platform for Victoria’s innovators to </w:t>
      </w:r>
      <w:r w:rsidR="00F82E71">
        <w:t>keep</w:t>
      </w:r>
      <w:r>
        <w:t xml:space="preserve"> driving change.</w:t>
      </w:r>
    </w:p>
    <w:p w14:paraId="1F2350BB" w14:textId="1FF9D1AB" w:rsidR="007A0827" w:rsidRPr="007A0827" w:rsidRDefault="007A3B81" w:rsidP="007A0827">
      <w:r>
        <w:t>As a one</w:t>
      </w:r>
      <w:r w:rsidR="0C6BF129">
        <w:t>-</w:t>
      </w:r>
      <w:r w:rsidR="002218D9" w:rsidRPr="00B13741">
        <w:t>stop</w:t>
      </w:r>
      <w:r w:rsidR="002218D9">
        <w:t xml:space="preserve"> </w:t>
      </w:r>
      <w:r w:rsidR="002218D9" w:rsidRPr="00B13741">
        <w:t>shop</w:t>
      </w:r>
      <w:r>
        <w:t>, CEBIC</w:t>
      </w:r>
      <w:r w:rsidR="002218D9">
        <w:t xml:space="preserve"> </w:t>
      </w:r>
      <w:r w:rsidR="00F73FD3">
        <w:t>provid</w:t>
      </w:r>
      <w:r w:rsidR="00F73FD3" w:rsidRPr="00ED1744">
        <w:t xml:space="preserve">ed </w:t>
      </w:r>
      <w:r w:rsidR="002218D9" w:rsidRPr="00ED1744">
        <w:t xml:space="preserve">support or training to </w:t>
      </w:r>
      <w:r w:rsidR="00F73FD3">
        <w:t xml:space="preserve">nearly </w:t>
      </w:r>
      <w:r w:rsidR="002218D9" w:rsidRPr="004D0652">
        <w:t>5</w:t>
      </w:r>
      <w:r w:rsidR="002218D9">
        <w:t>,</w:t>
      </w:r>
      <w:r w:rsidR="002218D9" w:rsidRPr="004D0652">
        <w:t>000 individuals and organisations</w:t>
      </w:r>
      <w:r w:rsidR="00E20C5C">
        <w:t xml:space="preserve">, with </w:t>
      </w:r>
      <w:r w:rsidR="1FD8FF3D">
        <w:t>90</w:t>
      </w:r>
      <w:r w:rsidR="002218D9" w:rsidRPr="00ED1744">
        <w:t>% report</w:t>
      </w:r>
      <w:r w:rsidR="00E20C5C">
        <w:t xml:space="preserve">ing </w:t>
      </w:r>
      <w:r w:rsidR="002218D9" w:rsidRPr="00ED1744">
        <w:t xml:space="preserve">increased capability as a result. </w:t>
      </w:r>
      <w:r w:rsidR="008D20F4">
        <w:t xml:space="preserve">Our work </w:t>
      </w:r>
      <w:r w:rsidR="00BE1E31">
        <w:t xml:space="preserve">helped early adopters </w:t>
      </w:r>
      <w:r w:rsidR="00CD4F24">
        <w:t xml:space="preserve">test new business models that </w:t>
      </w:r>
      <w:r w:rsidR="00A57713">
        <w:t xml:space="preserve">benefit both </w:t>
      </w:r>
      <w:r w:rsidR="00CD4F24">
        <w:t xml:space="preserve">the environment and the bottom line. </w:t>
      </w:r>
      <w:r w:rsidR="00A57713">
        <w:t xml:space="preserve">This </w:t>
      </w:r>
      <w:r w:rsidR="5CFA3A1E">
        <w:t>will pave</w:t>
      </w:r>
      <w:r w:rsidR="00CD4F24">
        <w:t xml:space="preserve"> the way for smarter, circular and more sustainable business in Victoria.</w:t>
      </w:r>
    </w:p>
    <w:p w14:paraId="1830B1CF" w14:textId="77777777" w:rsidR="007A0827" w:rsidRDefault="007A0827" w:rsidP="000F4558"/>
    <w:p w14:paraId="014A1859" w14:textId="07E74D7F" w:rsidR="00E27E0B" w:rsidRPr="00510DE0" w:rsidRDefault="001D37A3" w:rsidP="000F4558">
      <w:r>
        <w:rPr>
          <w:noProof/>
        </w:rPr>
        <w:drawing>
          <wp:inline distT="0" distB="0" distL="0" distR="0" wp14:anchorId="6287FC17" wp14:editId="1668CD3E">
            <wp:extent cx="4149356" cy="3124200"/>
            <wp:effectExtent l="0" t="0" r="3810" b="0"/>
            <wp:docPr id="184035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2">
                      <a:extLst>
                        <a:ext uri="{28A0092B-C50C-407E-A947-70E740481C1C}">
                          <a14:useLocalDpi xmlns:a14="http://schemas.microsoft.com/office/drawing/2010/main" val="0"/>
                        </a:ext>
                      </a:extLst>
                    </a:blip>
                    <a:stretch>
                      <a:fillRect/>
                    </a:stretch>
                  </pic:blipFill>
                  <pic:spPr>
                    <a:xfrm>
                      <a:off x="0" y="0"/>
                      <a:ext cx="4149356" cy="3124200"/>
                    </a:xfrm>
                    <a:prstGeom prst="rect">
                      <a:avLst/>
                    </a:prstGeom>
                  </pic:spPr>
                </pic:pic>
              </a:graphicData>
            </a:graphic>
          </wp:inline>
        </w:drawing>
      </w:r>
    </w:p>
    <w:p w14:paraId="3F9AE599" w14:textId="3B58B842" w:rsidR="00753C7E" w:rsidRPr="00510DE0" w:rsidRDefault="004603E4" w:rsidP="008A74ED">
      <w:pPr>
        <w:pStyle w:val="Caption"/>
      </w:pPr>
      <w:r>
        <w:t xml:space="preserve">Workshop </w:t>
      </w:r>
      <w:r w:rsidR="004E6B1F">
        <w:t xml:space="preserve">attendees </w:t>
      </w:r>
      <w:r w:rsidR="00BD2D9C" w:rsidRPr="00BD2D9C">
        <w:t>ponder a future where we design and use materials, products and services with a more sustainable mindset</w:t>
      </w:r>
    </w:p>
    <w:p w14:paraId="02CDBE3B" w14:textId="52B24EEF" w:rsidR="006F516C" w:rsidRPr="00133665" w:rsidRDefault="006F516C" w:rsidP="00126908">
      <w:pPr>
        <w:pStyle w:val="Heading3"/>
      </w:pPr>
      <w:bookmarkStart w:id="31" w:name="_Toc166585668"/>
      <w:r w:rsidRPr="00133665">
        <w:lastRenderedPageBreak/>
        <w:t>Normalising waste avoidance</w:t>
      </w:r>
      <w:bookmarkEnd w:id="31"/>
    </w:p>
    <w:p w14:paraId="6DCBAA79" w14:textId="34CC7CDC" w:rsidR="017764CB" w:rsidRPr="003F71F9" w:rsidRDefault="00C774E3" w:rsidP="00105389">
      <w:pPr>
        <w:pStyle w:val="Body"/>
      </w:pPr>
      <w:r>
        <w:t>In August 2023, o</w:t>
      </w:r>
      <w:r w:rsidR="76E3A7CD" w:rsidRPr="003F71F9">
        <w:t xml:space="preserve">ur food waste reduction campaign, the </w:t>
      </w:r>
      <w:r w:rsidR="64C118D0" w:rsidRPr="242D39B2">
        <w:t>‘</w:t>
      </w:r>
      <w:r w:rsidR="76E3A7CD" w:rsidRPr="003F71F9">
        <w:t xml:space="preserve">I Love Leftovers </w:t>
      </w:r>
      <w:r w:rsidR="76E3A7CD" w:rsidRPr="242D39B2">
        <w:t>Challenge</w:t>
      </w:r>
      <w:r w:rsidR="525A06ED" w:rsidRPr="242D39B2">
        <w:t>’</w:t>
      </w:r>
      <w:r w:rsidR="76E3A7CD" w:rsidRPr="003F71F9">
        <w:t xml:space="preserve">, attracted </w:t>
      </w:r>
      <w:r w:rsidR="76E3A7CD" w:rsidRPr="51756012">
        <w:t>5</w:t>
      </w:r>
      <w:r w:rsidR="16178CB4" w:rsidRPr="51756012">
        <w:t>,</w:t>
      </w:r>
      <w:r w:rsidR="76E3A7CD" w:rsidRPr="51756012">
        <w:t>430</w:t>
      </w:r>
      <w:r w:rsidR="76E3A7CD" w:rsidRPr="003F71F9">
        <w:t xml:space="preserve"> participa</w:t>
      </w:r>
      <w:r w:rsidR="00AA33C5">
        <w:t>nts</w:t>
      </w:r>
      <w:r w:rsidR="00AF6B6E">
        <w:t xml:space="preserve"> for</w:t>
      </w:r>
      <w:r w:rsidR="76E3A7CD" w:rsidRPr="003F71F9">
        <w:t xml:space="preserve"> a </w:t>
      </w:r>
      <w:r w:rsidR="515D44A2" w:rsidRPr="048FC572">
        <w:t>four</w:t>
      </w:r>
      <w:r w:rsidR="76E3A7CD" w:rsidRPr="003F71F9">
        <w:t>-week challenge to reduce the most wasted food items. Participants received weekly emails with tips to reduce food waste at home and complete</w:t>
      </w:r>
      <w:r w:rsidR="00AF6B6E">
        <w:t>d</w:t>
      </w:r>
      <w:r w:rsidR="76E3A7CD" w:rsidRPr="003F71F9">
        <w:t xml:space="preserve"> weekly challenges to get creative with their leftovers</w:t>
      </w:r>
      <w:r w:rsidR="00D33792">
        <w:t>, with</w:t>
      </w:r>
      <w:r w:rsidR="76E3A7CD" w:rsidRPr="003F71F9">
        <w:t xml:space="preserve"> the </w:t>
      </w:r>
      <w:r w:rsidR="00D33792">
        <w:t>chance</w:t>
      </w:r>
      <w:r w:rsidR="76E3A7CD" w:rsidRPr="003F71F9">
        <w:t xml:space="preserve"> to win prizes. </w:t>
      </w:r>
      <w:r w:rsidR="008162CD">
        <w:t>S</w:t>
      </w:r>
      <w:r w:rsidR="76E3A7CD" w:rsidRPr="003F71F9">
        <w:t>urveys</w:t>
      </w:r>
      <w:r w:rsidR="008162CD">
        <w:t xml:space="preserve"> before and after</w:t>
      </w:r>
      <w:r w:rsidR="76E3A7CD" w:rsidRPr="003F71F9">
        <w:t xml:space="preserve"> the challenge </w:t>
      </w:r>
      <w:r w:rsidR="008162CD">
        <w:t>showed</w:t>
      </w:r>
      <w:r w:rsidR="76E3A7CD" w:rsidRPr="003F71F9">
        <w:t xml:space="preserve"> </w:t>
      </w:r>
      <w:r w:rsidR="71CEF139" w:rsidRPr="0A2A2CF5">
        <w:t xml:space="preserve">participants reduced </w:t>
      </w:r>
      <w:r w:rsidR="008162CD">
        <w:t xml:space="preserve">their </w:t>
      </w:r>
      <w:r w:rsidR="76E3A7CD" w:rsidRPr="003F71F9">
        <w:t>food waste by 61%.</w:t>
      </w:r>
    </w:p>
    <w:p w14:paraId="1BE1F688" w14:textId="62507560" w:rsidR="00772678" w:rsidRDefault="0418A9AC" w:rsidP="00105389">
      <w:pPr>
        <w:pStyle w:val="Body"/>
      </w:pPr>
      <w:r w:rsidRPr="003F71F9">
        <w:t>To encourage coffee</w:t>
      </w:r>
      <w:r w:rsidR="31485F46" w:rsidRPr="0EB8120B">
        <w:t>-</w:t>
      </w:r>
      <w:r w:rsidRPr="003F71F9">
        <w:t xml:space="preserve">loving Victorians to reduce </w:t>
      </w:r>
      <w:r w:rsidR="00457A4D">
        <w:t xml:space="preserve">their </w:t>
      </w:r>
      <w:r w:rsidRPr="003F71F9" w:rsidDel="00E309FC">
        <w:t xml:space="preserve">use </w:t>
      </w:r>
      <w:r w:rsidR="00457A4D">
        <w:t>o</w:t>
      </w:r>
      <w:r w:rsidRPr="003F71F9">
        <w:t>f</w:t>
      </w:r>
      <w:r w:rsidRPr="003F71F9" w:rsidDel="00E309FC">
        <w:t xml:space="preserve"> </w:t>
      </w:r>
      <w:r w:rsidRPr="003F71F9">
        <w:t xml:space="preserve">disposable plastic cups, we delivered the </w:t>
      </w:r>
      <w:r w:rsidR="33D71075" w:rsidRPr="242D39B2">
        <w:t>‘</w:t>
      </w:r>
      <w:r w:rsidR="6A0B7802" w:rsidRPr="242D39B2">
        <w:t>B</w:t>
      </w:r>
      <w:r w:rsidRPr="242D39B2">
        <w:t xml:space="preserve">ring </w:t>
      </w:r>
      <w:r w:rsidR="0F4B58CE" w:rsidRPr="242D39B2">
        <w:t>Y</w:t>
      </w:r>
      <w:r w:rsidRPr="242D39B2">
        <w:t>our</w:t>
      </w:r>
      <w:r w:rsidRPr="242D39B2">
        <w:rPr>
          <w:i/>
        </w:rPr>
        <w:t xml:space="preserve"> </w:t>
      </w:r>
      <w:r w:rsidR="46A69BAB" w:rsidRPr="242D39B2">
        <w:t>R</w:t>
      </w:r>
      <w:r w:rsidRPr="242D39B2">
        <w:t xml:space="preserve">eusable </w:t>
      </w:r>
      <w:r w:rsidR="34813F70" w:rsidRPr="242D39B2">
        <w:t>C</w:t>
      </w:r>
      <w:r w:rsidRPr="242D39B2">
        <w:t>up</w:t>
      </w:r>
      <w:r w:rsidR="749D5FFA" w:rsidRPr="242D39B2">
        <w:rPr>
          <w:i/>
          <w:iCs/>
        </w:rPr>
        <w:t>’</w:t>
      </w:r>
      <w:r w:rsidRPr="003F71F9">
        <w:t xml:space="preserve"> campaign. Social media creators </w:t>
      </w:r>
      <w:r w:rsidR="003C79B1">
        <w:t>posted</w:t>
      </w:r>
      <w:r w:rsidR="3E811F44" w:rsidRPr="4D3979F2">
        <w:t xml:space="preserve"> </w:t>
      </w:r>
      <w:r w:rsidRPr="003F71F9">
        <w:t xml:space="preserve">content highlighting reusable cups and </w:t>
      </w:r>
      <w:r w:rsidRPr="4D3979F2">
        <w:t>shar</w:t>
      </w:r>
      <w:r w:rsidR="00EC105E">
        <w:t>ed</w:t>
      </w:r>
      <w:r w:rsidR="007D3AFD">
        <w:t xml:space="preserve"> </w:t>
      </w:r>
      <w:r w:rsidRPr="003F71F9">
        <w:t xml:space="preserve">tips </w:t>
      </w:r>
      <w:r w:rsidR="007F6E19">
        <w:t xml:space="preserve">on how </w:t>
      </w:r>
      <w:r w:rsidRPr="003F71F9">
        <w:t xml:space="preserve">to remember their cup </w:t>
      </w:r>
      <w:r w:rsidR="0019756E">
        <w:t>for</w:t>
      </w:r>
      <w:r w:rsidRPr="003F71F9">
        <w:t xml:space="preserve"> takeaway drink</w:t>
      </w:r>
      <w:r w:rsidR="0019756E">
        <w:t>s</w:t>
      </w:r>
      <w:r w:rsidRPr="003F71F9">
        <w:t xml:space="preserve">. </w:t>
      </w:r>
    </w:p>
    <w:p w14:paraId="2D884865" w14:textId="102E752E" w:rsidR="60C1D4B1" w:rsidRPr="003F71F9" w:rsidRDefault="00772678" w:rsidP="00105389">
      <w:pPr>
        <w:pStyle w:val="Body"/>
      </w:pPr>
      <w:r>
        <w:t>M</w:t>
      </w:r>
      <w:r w:rsidR="00AF3133">
        <w:t>ore than</w:t>
      </w:r>
      <w:r w:rsidR="0418A9AC" w:rsidRPr="003F71F9">
        <w:t xml:space="preserve"> </w:t>
      </w:r>
      <w:r w:rsidR="0418A9AC" w:rsidRPr="262EA953">
        <w:t>2</w:t>
      </w:r>
      <w:r w:rsidR="53F55FC0" w:rsidRPr="262EA953">
        <w:t>,</w:t>
      </w:r>
      <w:r w:rsidR="0418A9AC" w:rsidRPr="262EA953">
        <w:t>000</w:t>
      </w:r>
      <w:r w:rsidR="0418A9AC" w:rsidRPr="003F71F9">
        <w:t xml:space="preserve"> Victorians sign</w:t>
      </w:r>
      <w:r>
        <w:t>ed</w:t>
      </w:r>
      <w:r w:rsidR="0418A9AC" w:rsidRPr="003F71F9">
        <w:t xml:space="preserve"> up to a 14-day pilot </w:t>
      </w:r>
      <w:r w:rsidR="14CED51E" w:rsidRPr="197F5D7B">
        <w:t>t</w:t>
      </w:r>
      <w:r>
        <w:t xml:space="preserve">o </w:t>
      </w:r>
      <w:r w:rsidR="0418A9AC" w:rsidRPr="003F71F9">
        <w:t>learn about the issues with disposable cups</w:t>
      </w:r>
      <w:r w:rsidR="004D1A11">
        <w:t xml:space="preserve">. We then tested </w:t>
      </w:r>
      <w:r w:rsidR="00B04F80">
        <w:t xml:space="preserve">their knowledge and </w:t>
      </w:r>
      <w:r w:rsidR="00AF02E6">
        <w:t>monitored any</w:t>
      </w:r>
      <w:r w:rsidR="0418A9AC" w:rsidRPr="003F71F9">
        <w:t xml:space="preserve"> behaviour</w:t>
      </w:r>
      <w:r w:rsidR="00F13BD3">
        <w:t xml:space="preserve"> change.</w:t>
      </w:r>
      <w:r w:rsidR="0418A9AC" w:rsidRPr="003F71F9">
        <w:t xml:space="preserve"> </w:t>
      </w:r>
      <w:r w:rsidR="001452FF">
        <w:t xml:space="preserve">We also </w:t>
      </w:r>
      <w:r w:rsidR="003F4DD9">
        <w:t>held events</w:t>
      </w:r>
      <w:r w:rsidR="0418A9AC" w:rsidRPr="003F71F9">
        <w:t xml:space="preserve"> targeting young people from multicultural communities, including an event at Melbourne Central where hundreds of </w:t>
      </w:r>
      <w:r w:rsidR="06638B89" w:rsidRPr="003F71F9">
        <w:t>community members were engaged</w:t>
      </w:r>
      <w:r w:rsidR="701321E3" w:rsidRPr="003F71F9">
        <w:t xml:space="preserve"> to promote reuse behaviours</w:t>
      </w:r>
      <w:r w:rsidR="0418A9AC" w:rsidRPr="003F71F9">
        <w:t>.</w:t>
      </w:r>
    </w:p>
    <w:p w14:paraId="0D0F988F" w14:textId="2D595072" w:rsidR="017764CB" w:rsidRPr="003F71F9" w:rsidRDefault="36FA97C0" w:rsidP="00105389">
      <w:pPr>
        <w:pStyle w:val="Body"/>
      </w:pPr>
      <w:r w:rsidRPr="003F71F9">
        <w:t xml:space="preserve">All these activities </w:t>
      </w:r>
      <w:r w:rsidR="203B1CD3" w:rsidRPr="2749B8B1">
        <w:t>we</w:t>
      </w:r>
      <w:r w:rsidRPr="003F71F9">
        <w:t xml:space="preserve">re based on our research into Victorian attitudes towards waste avoidance. Our State of Sustainability research provided a benchmark for Victorians’ circular economy behaviours. </w:t>
      </w:r>
      <w:r w:rsidR="0C71A490" w:rsidRPr="7DA8819A">
        <w:t xml:space="preserve">The data </w:t>
      </w:r>
      <w:r w:rsidR="00C00D33">
        <w:t>show</w:t>
      </w:r>
      <w:r w:rsidR="28DEA61D">
        <w:t>ed</w:t>
      </w:r>
      <w:r w:rsidRPr="003F71F9">
        <w:t xml:space="preserve"> that 70% of Victorians believe that living sustainably is important </w:t>
      </w:r>
      <w:r w:rsidR="19A4C37A" w:rsidRPr="7DA8819A">
        <w:t>but</w:t>
      </w:r>
      <w:r w:rsidRPr="003F71F9">
        <w:t xml:space="preserve"> only 26% understand the term ‘circular economy’ to some extent. </w:t>
      </w:r>
      <w:r w:rsidR="00EA781B" w:rsidRPr="003F71F9">
        <w:rPr>
          <w:rStyle w:val="ui-provider"/>
          <w:rFonts w:ascii="Arial" w:hAnsi="Arial" w:cs="Arial"/>
        </w:rPr>
        <w:t xml:space="preserve">By understanding </w:t>
      </w:r>
      <w:r w:rsidR="005B528A">
        <w:rPr>
          <w:rStyle w:val="ui-provider"/>
          <w:rFonts w:ascii="Arial" w:hAnsi="Arial" w:cs="Arial"/>
        </w:rPr>
        <w:t>these attitudes</w:t>
      </w:r>
      <w:r w:rsidR="00EA781B" w:rsidRPr="003F71F9">
        <w:rPr>
          <w:rStyle w:val="ui-provider"/>
          <w:rFonts w:ascii="Arial" w:hAnsi="Arial" w:cs="Arial"/>
        </w:rPr>
        <w:t>, we can continue to create impactful programs and address knowledge gaps</w:t>
      </w:r>
      <w:r w:rsidR="009D3FB2" w:rsidRPr="003F71F9">
        <w:rPr>
          <w:rStyle w:val="ui-provider"/>
          <w:rFonts w:ascii="Arial" w:hAnsi="Arial" w:cs="Arial"/>
        </w:rPr>
        <w:t>.</w:t>
      </w:r>
    </w:p>
    <w:p w14:paraId="64E7AA67" w14:textId="01303A92" w:rsidR="017764CB" w:rsidRPr="00D2317E" w:rsidRDefault="017764CB" w:rsidP="00105389">
      <w:pPr>
        <w:pStyle w:val="Body"/>
      </w:pPr>
    </w:p>
    <w:p w14:paraId="0F0D9388" w14:textId="77777777" w:rsidR="006F33C2" w:rsidRPr="00D2317E" w:rsidRDefault="006F33C2">
      <w:pPr>
        <w:spacing w:line="259" w:lineRule="auto"/>
        <w:rPr>
          <w:rFonts w:asciiTheme="majorHAnsi" w:eastAsiaTheme="minorEastAsia" w:hAnsiTheme="majorHAnsi" w:cstheme="majorHAnsi"/>
          <w:sz w:val="32"/>
        </w:rPr>
      </w:pPr>
      <w:r w:rsidRPr="00D2317E">
        <w:rPr>
          <w:rFonts w:asciiTheme="majorHAnsi" w:hAnsiTheme="majorHAnsi" w:cstheme="majorHAnsi"/>
        </w:rPr>
        <w:br w:type="page"/>
      </w:r>
    </w:p>
    <w:p w14:paraId="488E9789" w14:textId="7F30D2A2" w:rsidR="00D16D6C" w:rsidRPr="00D2317E" w:rsidRDefault="0097350E" w:rsidP="00282054">
      <w:pPr>
        <w:pStyle w:val="Subtitle"/>
        <w:rPr>
          <w:rFonts w:asciiTheme="majorHAnsi" w:hAnsiTheme="majorHAnsi" w:cstheme="majorHAnsi"/>
        </w:rPr>
      </w:pPr>
      <w:r w:rsidRPr="00D2317E">
        <w:rPr>
          <w:rFonts w:asciiTheme="majorHAnsi" w:hAnsiTheme="majorHAnsi" w:cstheme="majorHAnsi"/>
        </w:rPr>
        <w:lastRenderedPageBreak/>
        <w:t xml:space="preserve">Case study: Circular business trends </w:t>
      </w:r>
      <w:r w:rsidR="000B3659" w:rsidRPr="00D2317E">
        <w:rPr>
          <w:rFonts w:asciiTheme="majorHAnsi" w:hAnsiTheme="majorHAnsi" w:cstheme="majorHAnsi"/>
        </w:rPr>
        <w:t>in</w:t>
      </w:r>
      <w:r w:rsidRPr="00D2317E">
        <w:rPr>
          <w:rFonts w:asciiTheme="majorHAnsi" w:hAnsiTheme="majorHAnsi" w:cstheme="majorHAnsi"/>
        </w:rPr>
        <w:t xml:space="preserve"> the fashion industry</w:t>
      </w:r>
    </w:p>
    <w:p w14:paraId="42386671" w14:textId="14F08292" w:rsidR="00A94021" w:rsidRPr="00D2317E" w:rsidRDefault="00A94021" w:rsidP="00A94021">
      <w:pPr>
        <w:pStyle w:val="casestudybox"/>
        <w:rPr>
          <w:rFonts w:asciiTheme="majorHAnsi" w:hAnsiTheme="majorHAnsi" w:cstheme="majorBidi"/>
          <w:sz w:val="20"/>
          <w:szCs w:val="20"/>
        </w:rPr>
      </w:pPr>
      <w:r w:rsidRPr="410E8329">
        <w:rPr>
          <w:rFonts w:asciiTheme="majorHAnsi" w:hAnsiTheme="majorHAnsi" w:cstheme="majorBidi"/>
          <w:sz w:val="20"/>
          <w:szCs w:val="20"/>
        </w:rPr>
        <w:t>Australia is the second highest consumer of textiles in the world</w:t>
      </w:r>
      <w:r w:rsidR="006D1773">
        <w:rPr>
          <w:rFonts w:asciiTheme="majorHAnsi" w:hAnsiTheme="majorHAnsi" w:cstheme="majorBidi"/>
          <w:sz w:val="20"/>
          <w:szCs w:val="20"/>
        </w:rPr>
        <w:t xml:space="preserve">. </w:t>
      </w:r>
      <w:r w:rsidR="00463F01">
        <w:rPr>
          <w:rFonts w:asciiTheme="majorHAnsi" w:hAnsiTheme="majorHAnsi" w:cstheme="majorBidi"/>
          <w:sz w:val="20"/>
          <w:szCs w:val="20"/>
        </w:rPr>
        <w:t>On</w:t>
      </w:r>
      <w:r w:rsidRPr="410E8329">
        <w:rPr>
          <w:rFonts w:asciiTheme="majorHAnsi" w:hAnsiTheme="majorHAnsi" w:cstheme="majorBidi"/>
          <w:sz w:val="20"/>
          <w:szCs w:val="20"/>
        </w:rPr>
        <w:t xml:space="preserve"> average</w:t>
      </w:r>
      <w:r w:rsidR="00463F01">
        <w:rPr>
          <w:rFonts w:asciiTheme="majorHAnsi" w:hAnsiTheme="majorHAnsi" w:cstheme="majorBidi"/>
          <w:sz w:val="20"/>
          <w:szCs w:val="20"/>
        </w:rPr>
        <w:t>, w</w:t>
      </w:r>
      <w:r w:rsidR="00D446D1">
        <w:rPr>
          <w:rFonts w:asciiTheme="majorHAnsi" w:hAnsiTheme="majorHAnsi" w:cstheme="majorBidi"/>
          <w:sz w:val="20"/>
          <w:szCs w:val="20"/>
        </w:rPr>
        <w:t xml:space="preserve">e each </w:t>
      </w:r>
      <w:r w:rsidRPr="410E8329">
        <w:rPr>
          <w:rFonts w:asciiTheme="majorHAnsi" w:hAnsiTheme="majorHAnsi" w:cstheme="majorBidi"/>
          <w:sz w:val="20"/>
          <w:szCs w:val="20"/>
        </w:rPr>
        <w:t>buy 14.8</w:t>
      </w:r>
      <w:r w:rsidR="00D446D1">
        <w:rPr>
          <w:rFonts w:asciiTheme="majorHAnsi" w:hAnsiTheme="majorHAnsi" w:cstheme="majorBidi"/>
          <w:sz w:val="20"/>
          <w:szCs w:val="20"/>
        </w:rPr>
        <w:t> </w:t>
      </w:r>
      <w:r w:rsidRPr="30408101">
        <w:rPr>
          <w:rFonts w:asciiTheme="majorHAnsi" w:hAnsiTheme="majorHAnsi" w:cstheme="majorBidi"/>
          <w:sz w:val="20"/>
          <w:szCs w:val="20"/>
        </w:rPr>
        <w:t>kilo</w:t>
      </w:r>
      <w:r w:rsidR="27E4E955" w:rsidRPr="30408101">
        <w:rPr>
          <w:rFonts w:asciiTheme="majorHAnsi" w:hAnsiTheme="majorHAnsi" w:cstheme="majorBidi"/>
          <w:sz w:val="20"/>
          <w:szCs w:val="20"/>
        </w:rPr>
        <w:t>s</w:t>
      </w:r>
      <w:r w:rsidRPr="410E8329">
        <w:rPr>
          <w:rFonts w:asciiTheme="majorHAnsi" w:hAnsiTheme="majorHAnsi" w:cstheme="majorBidi"/>
          <w:sz w:val="20"/>
          <w:szCs w:val="20"/>
        </w:rPr>
        <w:t xml:space="preserve">, or 56 items, of new clothing </w:t>
      </w:r>
      <w:r w:rsidR="59570099" w:rsidRPr="410E8329">
        <w:rPr>
          <w:rFonts w:asciiTheme="majorHAnsi" w:hAnsiTheme="majorHAnsi" w:cstheme="majorBidi"/>
          <w:sz w:val="20"/>
          <w:szCs w:val="20"/>
        </w:rPr>
        <w:t xml:space="preserve">a </w:t>
      </w:r>
      <w:r w:rsidRPr="410E8329">
        <w:rPr>
          <w:rFonts w:asciiTheme="majorHAnsi" w:hAnsiTheme="majorHAnsi" w:cstheme="majorBidi"/>
          <w:sz w:val="20"/>
          <w:szCs w:val="20"/>
        </w:rPr>
        <w:t>year</w:t>
      </w:r>
      <w:r w:rsidR="00DD1A50">
        <w:rPr>
          <w:rFonts w:asciiTheme="majorHAnsi" w:hAnsiTheme="majorHAnsi" w:cstheme="majorBidi"/>
          <w:sz w:val="20"/>
          <w:szCs w:val="20"/>
        </w:rPr>
        <w:t xml:space="preserve"> and throw </w:t>
      </w:r>
      <w:r w:rsidR="00970477">
        <w:rPr>
          <w:rFonts w:asciiTheme="majorHAnsi" w:hAnsiTheme="majorHAnsi" w:cstheme="majorBidi"/>
          <w:sz w:val="20"/>
          <w:szCs w:val="20"/>
        </w:rPr>
        <w:t>away</w:t>
      </w:r>
      <w:r>
        <w:rPr>
          <w:rFonts w:asciiTheme="majorHAnsi" w:hAnsiTheme="majorHAnsi" w:cstheme="majorBidi"/>
          <w:sz w:val="20"/>
          <w:szCs w:val="20"/>
        </w:rPr>
        <w:t xml:space="preserve"> </w:t>
      </w:r>
      <w:r w:rsidRPr="410E8329">
        <w:rPr>
          <w:rStyle w:val="Hyperlink"/>
          <w:rFonts w:asciiTheme="majorHAnsi" w:hAnsiTheme="majorHAnsi" w:cstheme="majorBidi"/>
          <w:color w:val="auto"/>
          <w:u w:val="none"/>
        </w:rPr>
        <w:t>10</w:t>
      </w:r>
      <w:r w:rsidR="002665BD">
        <w:rPr>
          <w:rStyle w:val="Hyperlink"/>
          <w:rFonts w:asciiTheme="majorHAnsi" w:hAnsiTheme="majorHAnsi" w:cstheme="majorBidi"/>
          <w:color w:val="auto"/>
          <w:u w:val="none"/>
        </w:rPr>
        <w:t> </w:t>
      </w:r>
      <w:r w:rsidR="002665BD" w:rsidRPr="410E8329">
        <w:rPr>
          <w:rStyle w:val="Hyperlink"/>
          <w:rFonts w:asciiTheme="majorHAnsi" w:hAnsiTheme="majorHAnsi" w:cstheme="majorBidi"/>
          <w:color w:val="auto"/>
          <w:u w:val="none"/>
        </w:rPr>
        <w:t>kilos</w:t>
      </w:r>
      <w:r w:rsidRPr="410E8329">
        <w:rPr>
          <w:rStyle w:val="Hyperlink"/>
          <w:rFonts w:asciiTheme="majorHAnsi" w:hAnsiTheme="majorHAnsi" w:cstheme="majorBidi"/>
          <w:color w:val="auto"/>
          <w:u w:val="none"/>
        </w:rPr>
        <w:t xml:space="preserve"> of clothing into landfill each </w:t>
      </w:r>
      <w:r w:rsidRPr="603DC053">
        <w:rPr>
          <w:rStyle w:val="Hyperlink"/>
          <w:rFonts w:asciiTheme="majorHAnsi" w:hAnsiTheme="majorHAnsi" w:cstheme="majorBidi"/>
          <w:color w:val="auto"/>
          <w:u w:val="none"/>
        </w:rPr>
        <w:t>year</w:t>
      </w:r>
      <w:r w:rsidR="6DD2C727" w:rsidRPr="603DC053">
        <w:rPr>
          <w:rStyle w:val="Hyperlink"/>
          <w:rFonts w:asciiTheme="majorHAnsi" w:hAnsiTheme="majorHAnsi" w:cstheme="majorBidi"/>
          <w:color w:val="auto"/>
          <w:u w:val="none"/>
        </w:rPr>
        <w:t>.</w:t>
      </w:r>
      <w:r w:rsidR="004C1DB7" w:rsidRPr="603DC053">
        <w:rPr>
          <w:rStyle w:val="Hyperlink"/>
          <w:rFonts w:asciiTheme="majorHAnsi" w:hAnsiTheme="majorHAnsi" w:cstheme="majorBidi"/>
          <w:color w:val="auto"/>
          <w:u w:val="none"/>
          <w:vertAlign w:val="superscript"/>
        </w:rPr>
        <w:t>1</w:t>
      </w:r>
    </w:p>
    <w:p w14:paraId="08BEDBD7" w14:textId="1ACE3A1F" w:rsidR="00A94021" w:rsidRPr="00D2317E" w:rsidRDefault="007279FD" w:rsidP="00A94021">
      <w:pPr>
        <w:pStyle w:val="casestudybox"/>
        <w:rPr>
          <w:rFonts w:asciiTheme="majorHAnsi" w:hAnsiTheme="majorHAnsi" w:cstheme="majorBidi"/>
          <w:sz w:val="20"/>
          <w:szCs w:val="20"/>
        </w:rPr>
      </w:pPr>
      <w:r>
        <w:rPr>
          <w:rFonts w:asciiTheme="majorHAnsi" w:hAnsiTheme="majorHAnsi" w:cstheme="majorBidi"/>
          <w:sz w:val="20"/>
          <w:szCs w:val="20"/>
        </w:rPr>
        <w:t>T</w:t>
      </w:r>
      <w:r w:rsidR="00A94021" w:rsidRPr="5C292B05">
        <w:rPr>
          <w:rFonts w:asciiTheme="majorHAnsi" w:hAnsiTheme="majorHAnsi" w:cstheme="majorBidi"/>
          <w:sz w:val="20"/>
          <w:szCs w:val="20"/>
        </w:rPr>
        <w:t xml:space="preserve">he fashion industry also </w:t>
      </w:r>
      <w:r>
        <w:rPr>
          <w:rFonts w:asciiTheme="majorHAnsi" w:hAnsiTheme="majorHAnsi" w:cstheme="majorBidi"/>
          <w:sz w:val="20"/>
          <w:szCs w:val="20"/>
        </w:rPr>
        <w:t xml:space="preserve">deals </w:t>
      </w:r>
      <w:r w:rsidR="00A0519B">
        <w:rPr>
          <w:rFonts w:asciiTheme="majorHAnsi" w:hAnsiTheme="majorHAnsi" w:cstheme="majorBidi"/>
          <w:sz w:val="20"/>
          <w:szCs w:val="20"/>
        </w:rPr>
        <w:t>with</w:t>
      </w:r>
      <w:r w:rsidR="00A94021" w:rsidRPr="5C292B05">
        <w:rPr>
          <w:rFonts w:asciiTheme="majorHAnsi" w:hAnsiTheme="majorHAnsi" w:cstheme="majorBidi"/>
          <w:sz w:val="20"/>
          <w:szCs w:val="20"/>
        </w:rPr>
        <w:t xml:space="preserve"> a</w:t>
      </w:r>
      <w:r w:rsidR="00A0519B">
        <w:rPr>
          <w:rFonts w:asciiTheme="majorHAnsi" w:hAnsiTheme="majorHAnsi" w:cstheme="majorBidi"/>
          <w:sz w:val="20"/>
          <w:szCs w:val="20"/>
        </w:rPr>
        <w:t xml:space="preserve"> lot </w:t>
      </w:r>
      <w:r w:rsidR="00CC2432">
        <w:rPr>
          <w:rFonts w:asciiTheme="majorHAnsi" w:hAnsiTheme="majorHAnsi" w:cstheme="majorBidi"/>
          <w:sz w:val="20"/>
          <w:szCs w:val="20"/>
        </w:rPr>
        <w:t xml:space="preserve">of </w:t>
      </w:r>
      <w:r w:rsidR="00A94021" w:rsidRPr="5C292B05">
        <w:rPr>
          <w:rFonts w:asciiTheme="majorHAnsi" w:hAnsiTheme="majorHAnsi" w:cstheme="majorBidi"/>
          <w:sz w:val="20"/>
          <w:szCs w:val="20"/>
        </w:rPr>
        <w:t xml:space="preserve">costly waste before clothes even </w:t>
      </w:r>
      <w:r w:rsidR="004E3BCD">
        <w:rPr>
          <w:rFonts w:asciiTheme="majorHAnsi" w:hAnsiTheme="majorHAnsi" w:cstheme="majorBidi"/>
          <w:sz w:val="20"/>
          <w:szCs w:val="20"/>
        </w:rPr>
        <w:t>reach stores</w:t>
      </w:r>
      <w:r w:rsidR="00A94021" w:rsidRPr="5C292B05">
        <w:rPr>
          <w:rFonts w:asciiTheme="majorHAnsi" w:hAnsiTheme="majorHAnsi" w:cstheme="majorBidi"/>
          <w:sz w:val="20"/>
          <w:szCs w:val="20"/>
        </w:rPr>
        <w:t xml:space="preserve">. </w:t>
      </w:r>
      <w:r w:rsidR="003D6462">
        <w:rPr>
          <w:rFonts w:asciiTheme="majorHAnsi" w:hAnsiTheme="majorHAnsi" w:cstheme="majorBidi"/>
          <w:sz w:val="20"/>
          <w:szCs w:val="20"/>
        </w:rPr>
        <w:t>In V</w:t>
      </w:r>
      <w:r w:rsidR="00CD19BC">
        <w:rPr>
          <w:rFonts w:asciiTheme="majorHAnsi" w:hAnsiTheme="majorHAnsi" w:cstheme="majorBidi"/>
          <w:sz w:val="20"/>
          <w:szCs w:val="20"/>
        </w:rPr>
        <w:t>i</w:t>
      </w:r>
      <w:r w:rsidR="003D6462">
        <w:rPr>
          <w:rFonts w:asciiTheme="majorHAnsi" w:hAnsiTheme="majorHAnsi" w:cstheme="majorBidi"/>
          <w:sz w:val="20"/>
          <w:szCs w:val="20"/>
        </w:rPr>
        <w:t xml:space="preserve">ctoria alone, </w:t>
      </w:r>
      <w:r w:rsidR="007320A4">
        <w:rPr>
          <w:rFonts w:asciiTheme="majorHAnsi" w:hAnsiTheme="majorHAnsi" w:cstheme="majorBidi"/>
          <w:sz w:val="20"/>
          <w:szCs w:val="20"/>
        </w:rPr>
        <w:t>u</w:t>
      </w:r>
      <w:r w:rsidR="00A94021" w:rsidRPr="5C292B05">
        <w:rPr>
          <w:rFonts w:asciiTheme="majorHAnsi" w:hAnsiTheme="majorHAnsi" w:cstheme="majorBidi"/>
          <w:sz w:val="20"/>
          <w:szCs w:val="20"/>
        </w:rPr>
        <w:t xml:space="preserve">nused pre-consumer textiles – fabric left over from the manufacturing process – </w:t>
      </w:r>
      <w:r w:rsidR="007320A4">
        <w:rPr>
          <w:rFonts w:asciiTheme="majorHAnsi" w:hAnsiTheme="majorHAnsi" w:cstheme="majorBidi"/>
          <w:sz w:val="20"/>
          <w:szCs w:val="20"/>
        </w:rPr>
        <w:t xml:space="preserve">amount to </w:t>
      </w:r>
      <w:r w:rsidR="00A94021" w:rsidRPr="5C292B05">
        <w:rPr>
          <w:rFonts w:asciiTheme="majorHAnsi" w:hAnsiTheme="majorHAnsi" w:cstheme="majorBidi"/>
          <w:sz w:val="20"/>
          <w:szCs w:val="20"/>
        </w:rPr>
        <w:t>up to 10 million kilo</w:t>
      </w:r>
      <w:r w:rsidR="27234AFE" w:rsidRPr="5C292B05">
        <w:rPr>
          <w:rFonts w:asciiTheme="majorHAnsi" w:hAnsiTheme="majorHAnsi" w:cstheme="majorBidi"/>
          <w:sz w:val="20"/>
          <w:szCs w:val="20"/>
        </w:rPr>
        <w:t>s</w:t>
      </w:r>
      <w:r w:rsidR="00A94021" w:rsidRPr="5C292B05">
        <w:rPr>
          <w:rFonts w:asciiTheme="majorHAnsi" w:hAnsiTheme="majorHAnsi" w:cstheme="majorBidi"/>
          <w:sz w:val="20"/>
          <w:szCs w:val="20"/>
        </w:rPr>
        <w:t xml:space="preserve"> per year</w:t>
      </w:r>
      <w:r w:rsidR="007320A4">
        <w:rPr>
          <w:rFonts w:asciiTheme="majorHAnsi" w:hAnsiTheme="majorHAnsi" w:cstheme="majorBidi"/>
          <w:sz w:val="20"/>
          <w:szCs w:val="20"/>
        </w:rPr>
        <w:t>,</w:t>
      </w:r>
      <w:r w:rsidR="00A94021" w:rsidRPr="5C292B05">
        <w:rPr>
          <w:rFonts w:asciiTheme="majorHAnsi" w:hAnsiTheme="majorHAnsi" w:cstheme="majorBidi"/>
          <w:sz w:val="20"/>
          <w:szCs w:val="20"/>
        </w:rPr>
        <w:t xml:space="preserve"> worth $500 million.</w:t>
      </w:r>
    </w:p>
    <w:p w14:paraId="1D0471F8" w14:textId="7F915BA8" w:rsidR="00A94021" w:rsidRPr="00D2317E" w:rsidRDefault="00A94021" w:rsidP="00A94021">
      <w:pPr>
        <w:pStyle w:val="casestudybox"/>
        <w:rPr>
          <w:rFonts w:asciiTheme="majorHAnsi" w:hAnsiTheme="majorHAnsi" w:cstheme="majorBidi"/>
          <w:sz w:val="20"/>
          <w:szCs w:val="20"/>
        </w:rPr>
      </w:pPr>
      <w:r w:rsidRPr="6939CC0D">
        <w:rPr>
          <w:rStyle w:val="Hyperlink"/>
          <w:rFonts w:asciiTheme="majorHAnsi" w:hAnsiTheme="majorHAnsi" w:cstheme="majorBidi"/>
          <w:color w:val="auto"/>
          <w:u w:val="none"/>
        </w:rPr>
        <w:t>Circular Sourcing</w:t>
      </w:r>
      <w:r w:rsidRPr="6939CC0D">
        <w:rPr>
          <w:rFonts w:asciiTheme="majorHAnsi" w:hAnsiTheme="majorHAnsi" w:cstheme="majorBidi"/>
          <w:sz w:val="20"/>
          <w:szCs w:val="20"/>
        </w:rPr>
        <w:t> offers a solution. It’s a digital platform for buying and selling Australian surplus textiles and designer ‘deadstock’ fabrics, created with </w:t>
      </w:r>
      <w:r w:rsidRPr="6939CC0D">
        <w:rPr>
          <w:rStyle w:val="Hyperlink"/>
          <w:rFonts w:asciiTheme="majorHAnsi" w:hAnsiTheme="majorHAnsi" w:cstheme="majorBidi"/>
          <w:color w:val="auto"/>
          <w:u w:val="none"/>
        </w:rPr>
        <w:t xml:space="preserve">funding from </w:t>
      </w:r>
      <w:r w:rsidR="6A59433C" w:rsidRPr="68747A81">
        <w:rPr>
          <w:rStyle w:val="Hyperlink"/>
          <w:rFonts w:asciiTheme="majorHAnsi" w:hAnsiTheme="majorHAnsi" w:cstheme="majorBidi"/>
          <w:color w:val="auto"/>
          <w:u w:val="none"/>
        </w:rPr>
        <w:t>SV</w:t>
      </w:r>
      <w:r w:rsidRPr="68747A81">
        <w:rPr>
          <w:rStyle w:val="Hyperlink"/>
          <w:rFonts w:asciiTheme="majorHAnsi" w:hAnsiTheme="majorHAnsi" w:cstheme="majorBidi"/>
          <w:color w:val="auto"/>
          <w:u w:val="none"/>
        </w:rPr>
        <w:t>’s</w:t>
      </w:r>
      <w:r w:rsidRPr="6939CC0D">
        <w:rPr>
          <w:rStyle w:val="Hyperlink"/>
          <w:rFonts w:asciiTheme="majorHAnsi" w:hAnsiTheme="majorHAnsi" w:cstheme="majorBidi"/>
          <w:color w:val="auto"/>
          <w:u w:val="none"/>
        </w:rPr>
        <w:t xml:space="preserve"> Circular Economy Business Innovation Centre</w:t>
      </w:r>
      <w:r w:rsidRPr="6939CC0D">
        <w:rPr>
          <w:rFonts w:asciiTheme="majorHAnsi" w:hAnsiTheme="majorHAnsi" w:cstheme="majorBidi"/>
          <w:sz w:val="20"/>
          <w:szCs w:val="20"/>
        </w:rPr>
        <w:t> </w:t>
      </w:r>
      <w:r w:rsidRPr="65CF7F2B">
        <w:rPr>
          <w:rFonts w:asciiTheme="majorHAnsi" w:hAnsiTheme="majorHAnsi" w:cstheme="majorBidi"/>
          <w:sz w:val="20"/>
          <w:szCs w:val="20"/>
        </w:rPr>
        <w:t>on</w:t>
      </w:r>
      <w:r w:rsidRPr="6939CC0D">
        <w:rPr>
          <w:rFonts w:asciiTheme="majorHAnsi" w:hAnsiTheme="majorHAnsi" w:cstheme="majorBidi"/>
          <w:sz w:val="20"/>
          <w:szCs w:val="20"/>
        </w:rPr>
        <w:t xml:space="preserve"> behalf of the Victorian Government. It’s part of </w:t>
      </w:r>
      <w:r w:rsidR="00EF784D" w:rsidRPr="6939CC0D">
        <w:rPr>
          <w:rFonts w:asciiTheme="majorHAnsi" w:hAnsiTheme="majorHAnsi" w:cstheme="majorBidi"/>
          <w:sz w:val="20"/>
          <w:szCs w:val="20"/>
        </w:rPr>
        <w:t>our</w:t>
      </w:r>
      <w:r w:rsidRPr="6939CC0D">
        <w:rPr>
          <w:rFonts w:asciiTheme="majorHAnsi" w:hAnsiTheme="majorHAnsi" w:cstheme="majorBidi"/>
          <w:sz w:val="20"/>
          <w:szCs w:val="20"/>
        </w:rPr>
        <w:t xml:space="preserve"> investment in Victorian businesses </w:t>
      </w:r>
      <w:proofErr w:type="gramStart"/>
      <w:r w:rsidRPr="6939CC0D">
        <w:rPr>
          <w:rFonts w:asciiTheme="majorHAnsi" w:hAnsiTheme="majorHAnsi" w:cstheme="majorBidi"/>
          <w:sz w:val="20"/>
          <w:szCs w:val="20"/>
        </w:rPr>
        <w:t>to,</w:t>
      </w:r>
      <w:proofErr w:type="gramEnd"/>
      <w:r w:rsidRPr="6939CC0D">
        <w:rPr>
          <w:rFonts w:asciiTheme="majorHAnsi" w:hAnsiTheme="majorHAnsi" w:cstheme="majorBidi"/>
          <w:sz w:val="20"/>
          <w:szCs w:val="20"/>
        </w:rPr>
        <w:t xml:space="preserve"> innovate and ‘go circular’ – transforming how they use resources by designing out or reducing waste.</w:t>
      </w:r>
    </w:p>
    <w:p w14:paraId="084F2A73" w14:textId="0328C610" w:rsidR="00C103D3" w:rsidRPr="00D2317E" w:rsidRDefault="00C103D3" w:rsidP="00C103D3">
      <w:pPr>
        <w:pStyle w:val="casestudybox"/>
        <w:rPr>
          <w:rFonts w:asciiTheme="majorHAnsi" w:hAnsiTheme="majorHAnsi" w:cstheme="majorHAnsi"/>
          <w:sz w:val="20"/>
          <w:szCs w:val="20"/>
        </w:rPr>
      </w:pPr>
      <w:r w:rsidRPr="00D2317E">
        <w:rPr>
          <w:rFonts w:asciiTheme="majorHAnsi" w:hAnsiTheme="majorHAnsi" w:cstheme="majorHAnsi"/>
          <w:sz w:val="20"/>
          <w:szCs w:val="20"/>
        </w:rPr>
        <w:t xml:space="preserve">The platform increases textile circulation, decreases reliance on new materials, and makes </w:t>
      </w:r>
      <w:r w:rsidR="0094699B">
        <w:rPr>
          <w:rFonts w:asciiTheme="majorHAnsi" w:hAnsiTheme="majorHAnsi" w:cstheme="majorHAnsi"/>
          <w:sz w:val="20"/>
          <w:szCs w:val="20"/>
        </w:rPr>
        <w:t>it</w:t>
      </w:r>
      <w:r w:rsidRPr="00D2317E">
        <w:rPr>
          <w:rFonts w:asciiTheme="majorHAnsi" w:hAnsiTheme="majorHAnsi" w:cstheme="majorHAnsi"/>
          <w:sz w:val="20"/>
          <w:szCs w:val="20"/>
        </w:rPr>
        <w:t xml:space="preserve"> </w:t>
      </w:r>
      <w:r w:rsidR="0094699B" w:rsidRPr="00D2317E">
        <w:rPr>
          <w:rFonts w:asciiTheme="majorHAnsi" w:hAnsiTheme="majorHAnsi" w:cstheme="majorHAnsi"/>
          <w:sz w:val="20"/>
          <w:szCs w:val="20"/>
        </w:rPr>
        <w:t xml:space="preserve">easier </w:t>
      </w:r>
      <w:r w:rsidR="0015055D">
        <w:rPr>
          <w:rFonts w:asciiTheme="majorHAnsi" w:hAnsiTheme="majorHAnsi" w:cstheme="majorHAnsi"/>
          <w:sz w:val="20"/>
          <w:szCs w:val="20"/>
        </w:rPr>
        <w:t xml:space="preserve">for businesses to </w:t>
      </w:r>
      <w:r w:rsidRPr="00D2317E">
        <w:rPr>
          <w:rFonts w:asciiTheme="majorHAnsi" w:hAnsiTheme="majorHAnsi" w:cstheme="majorHAnsi"/>
          <w:sz w:val="20"/>
          <w:szCs w:val="20"/>
        </w:rPr>
        <w:t>participat</w:t>
      </w:r>
      <w:r w:rsidR="0015055D">
        <w:rPr>
          <w:rFonts w:asciiTheme="majorHAnsi" w:hAnsiTheme="majorHAnsi" w:cstheme="majorHAnsi"/>
          <w:sz w:val="20"/>
          <w:szCs w:val="20"/>
        </w:rPr>
        <w:t>e</w:t>
      </w:r>
      <w:r w:rsidRPr="00D2317E">
        <w:rPr>
          <w:rFonts w:asciiTheme="majorHAnsi" w:hAnsiTheme="majorHAnsi" w:cstheme="majorHAnsi"/>
          <w:sz w:val="20"/>
          <w:szCs w:val="20"/>
        </w:rPr>
        <w:t xml:space="preserve"> in the circular economy by connecting </w:t>
      </w:r>
      <w:r w:rsidR="00782245">
        <w:rPr>
          <w:rFonts w:asciiTheme="majorHAnsi" w:hAnsiTheme="majorHAnsi" w:cstheme="majorHAnsi"/>
          <w:sz w:val="20"/>
          <w:szCs w:val="20"/>
        </w:rPr>
        <w:t xml:space="preserve">them </w:t>
      </w:r>
      <w:r w:rsidRPr="00D2317E">
        <w:rPr>
          <w:rFonts w:asciiTheme="majorHAnsi" w:hAnsiTheme="majorHAnsi" w:cstheme="majorHAnsi"/>
          <w:sz w:val="20"/>
          <w:szCs w:val="20"/>
        </w:rPr>
        <w:t xml:space="preserve">with </w:t>
      </w:r>
      <w:r w:rsidR="00782245">
        <w:rPr>
          <w:rFonts w:asciiTheme="majorHAnsi" w:hAnsiTheme="majorHAnsi" w:cstheme="majorHAnsi"/>
          <w:sz w:val="20"/>
          <w:szCs w:val="20"/>
        </w:rPr>
        <w:t xml:space="preserve">others who </w:t>
      </w:r>
      <w:r w:rsidRPr="00D2317E">
        <w:rPr>
          <w:rFonts w:asciiTheme="majorHAnsi" w:hAnsiTheme="majorHAnsi" w:cstheme="majorHAnsi"/>
          <w:sz w:val="20"/>
          <w:szCs w:val="20"/>
        </w:rPr>
        <w:t>share</w:t>
      </w:r>
      <w:r w:rsidR="00782245">
        <w:rPr>
          <w:rFonts w:asciiTheme="majorHAnsi" w:hAnsiTheme="majorHAnsi" w:cstheme="majorHAnsi"/>
          <w:sz w:val="20"/>
          <w:szCs w:val="20"/>
        </w:rPr>
        <w:t xml:space="preserve"> </w:t>
      </w:r>
      <w:r w:rsidRPr="00D2317E">
        <w:rPr>
          <w:rFonts w:asciiTheme="majorHAnsi" w:hAnsiTheme="majorHAnsi" w:cstheme="majorHAnsi"/>
          <w:sz w:val="20"/>
          <w:szCs w:val="20"/>
        </w:rPr>
        <w:t xml:space="preserve">the goal of reducing waste. It aims to divert 10 tonnes of textiles from landfill </w:t>
      </w:r>
      <w:r w:rsidR="00782245">
        <w:rPr>
          <w:rFonts w:asciiTheme="majorHAnsi" w:hAnsiTheme="majorHAnsi" w:cstheme="majorHAnsi"/>
          <w:sz w:val="20"/>
          <w:szCs w:val="20"/>
        </w:rPr>
        <w:t>each</w:t>
      </w:r>
      <w:r w:rsidRPr="00D2317E">
        <w:rPr>
          <w:rFonts w:asciiTheme="majorHAnsi" w:hAnsiTheme="majorHAnsi" w:cstheme="majorHAnsi"/>
          <w:sz w:val="20"/>
          <w:szCs w:val="20"/>
        </w:rPr>
        <w:t xml:space="preserve"> year, reducing greenhouse gas emissions by 285 tonnes.</w:t>
      </w:r>
    </w:p>
    <w:p w14:paraId="6B260350" w14:textId="727EAFB1" w:rsidR="00C103D3" w:rsidRPr="00D2317E" w:rsidRDefault="00C103D3" w:rsidP="00A94021">
      <w:pPr>
        <w:pStyle w:val="casestudybox"/>
        <w:rPr>
          <w:rFonts w:asciiTheme="majorHAnsi" w:hAnsiTheme="majorHAnsi" w:cstheme="majorHAnsi"/>
          <w:sz w:val="20"/>
          <w:szCs w:val="20"/>
        </w:rPr>
      </w:pPr>
      <w:r w:rsidRPr="00D2317E">
        <w:rPr>
          <w:rFonts w:asciiTheme="majorHAnsi" w:hAnsiTheme="majorHAnsi" w:cstheme="majorHAnsi"/>
          <w:sz w:val="20"/>
          <w:szCs w:val="20"/>
        </w:rPr>
        <w:t>Circular models like these help future-proof our economy as we work towards our targets of reducing waste by 15% per capita and reaching net zero emissions by 2045.</w:t>
      </w:r>
    </w:p>
    <w:p w14:paraId="04047AB9" w14:textId="1A157048" w:rsidR="004C1DB7" w:rsidRPr="00D2317E" w:rsidRDefault="004C1DB7" w:rsidP="00A94021">
      <w:pPr>
        <w:pStyle w:val="casestudybox"/>
        <w:rPr>
          <w:rFonts w:asciiTheme="majorHAnsi" w:hAnsiTheme="majorHAnsi" w:cstheme="majorHAnsi"/>
          <w:sz w:val="16"/>
          <w:szCs w:val="16"/>
        </w:rPr>
      </w:pPr>
      <w:r w:rsidRPr="00D2317E">
        <w:rPr>
          <w:rFonts w:asciiTheme="majorHAnsi" w:hAnsiTheme="majorHAnsi" w:cstheme="majorHAnsi"/>
          <w:sz w:val="16"/>
          <w:szCs w:val="16"/>
          <w:vertAlign w:val="superscript"/>
        </w:rPr>
        <w:t>1</w:t>
      </w:r>
      <w:r w:rsidR="009553E8" w:rsidRPr="00D2317E">
        <w:rPr>
          <w:rFonts w:asciiTheme="majorHAnsi" w:hAnsiTheme="majorHAnsi" w:cstheme="majorHAnsi"/>
          <w:sz w:val="16"/>
          <w:szCs w:val="16"/>
        </w:rPr>
        <w:t xml:space="preserve"> </w:t>
      </w:r>
      <w:r w:rsidR="00F90868">
        <w:rPr>
          <w:rFonts w:asciiTheme="majorHAnsi" w:hAnsiTheme="majorHAnsi" w:cstheme="majorHAnsi"/>
          <w:sz w:val="16"/>
          <w:szCs w:val="16"/>
        </w:rPr>
        <w:t xml:space="preserve">Australian Fashion Council (2022) </w:t>
      </w:r>
      <w:hyperlink r:id="rId33" w:history="1">
        <w:r w:rsidR="009553E8" w:rsidRPr="00F90868">
          <w:rPr>
            <w:rStyle w:val="Hyperlink"/>
            <w:rFonts w:asciiTheme="majorHAnsi" w:hAnsiTheme="majorHAnsi" w:cstheme="majorHAnsi"/>
            <w:sz w:val="16"/>
            <w:szCs w:val="16"/>
          </w:rPr>
          <w:t>National Clothing Product Stewardship Scheme</w:t>
        </w:r>
        <w:r w:rsidR="00F90868" w:rsidRPr="00F90868">
          <w:rPr>
            <w:rStyle w:val="Hyperlink"/>
            <w:rFonts w:asciiTheme="majorHAnsi" w:hAnsiTheme="majorHAnsi" w:cstheme="majorHAnsi"/>
            <w:sz w:val="16"/>
            <w:szCs w:val="16"/>
          </w:rPr>
          <w:t>:</w:t>
        </w:r>
        <w:r w:rsidR="009553E8" w:rsidRPr="00F90868">
          <w:rPr>
            <w:rStyle w:val="Hyperlink"/>
            <w:rFonts w:asciiTheme="majorHAnsi" w:hAnsiTheme="majorHAnsi" w:cstheme="majorHAnsi"/>
            <w:sz w:val="16"/>
            <w:szCs w:val="16"/>
          </w:rPr>
          <w:t xml:space="preserve"> Milestone 1.4 Clothing Data Report</w:t>
        </w:r>
      </w:hyperlink>
      <w:r w:rsidR="00FE073D">
        <w:rPr>
          <w:rFonts w:asciiTheme="majorHAnsi" w:hAnsiTheme="majorHAnsi" w:cstheme="majorHAnsi"/>
          <w:sz w:val="16"/>
          <w:szCs w:val="16"/>
        </w:rPr>
        <w:t>.</w:t>
      </w:r>
    </w:p>
    <w:p w14:paraId="2F31E352" w14:textId="7C6E3A85" w:rsidR="00F22DBC" w:rsidRPr="00D2317E" w:rsidRDefault="00A91985" w:rsidP="00F25520">
      <w:pPr>
        <w:pStyle w:val="Subtitle"/>
        <w:rPr>
          <w:rStyle w:val="A2"/>
          <w:rFonts w:asciiTheme="majorHAnsi" w:hAnsiTheme="majorHAnsi" w:cstheme="majorHAnsi"/>
          <w:color w:val="000000" w:themeColor="text1"/>
          <w:sz w:val="32"/>
          <w:szCs w:val="22"/>
        </w:rPr>
      </w:pPr>
      <w:r w:rsidRPr="00D2317E">
        <w:rPr>
          <w:rFonts w:asciiTheme="majorHAnsi" w:hAnsiTheme="majorHAnsi" w:cstheme="majorHAnsi"/>
          <w:noProof/>
        </w:rPr>
        <w:drawing>
          <wp:inline distT="0" distB="0" distL="0" distR="0" wp14:anchorId="3CF9F541" wp14:editId="4BB97FBB">
            <wp:extent cx="4000500" cy="2667000"/>
            <wp:effectExtent l="0" t="0" r="0" b="0"/>
            <wp:docPr id="597750455" name="Picture 1" descr="A person working on a fabric st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50455" name="Picture 1" descr="A person working on a fabric store&#10;&#10;Description automatically generated with medium confidence"/>
                    <pic:cNvPicPr/>
                  </pic:nvPicPr>
                  <pic:blipFill>
                    <a:blip r:embed="rId34"/>
                    <a:stretch>
                      <a:fillRect/>
                    </a:stretch>
                  </pic:blipFill>
                  <pic:spPr>
                    <a:xfrm>
                      <a:off x="0" y="0"/>
                      <a:ext cx="4037468" cy="2691645"/>
                    </a:xfrm>
                    <a:prstGeom prst="rect">
                      <a:avLst/>
                    </a:prstGeom>
                  </pic:spPr>
                </pic:pic>
              </a:graphicData>
            </a:graphic>
          </wp:inline>
        </w:drawing>
      </w:r>
      <w:bookmarkStart w:id="32" w:name="_Toc166585669"/>
      <w:bookmarkStart w:id="33" w:name="_Toc166500853"/>
    </w:p>
    <w:p w14:paraId="3A1845E1" w14:textId="03B4BB99" w:rsidR="00E0328C" w:rsidRPr="00E0328C" w:rsidRDefault="00E0328C" w:rsidP="00E0328C">
      <w:pPr>
        <w:pStyle w:val="Caption"/>
        <w:rPr>
          <w:rStyle w:val="A2"/>
          <w:rFonts w:cstheme="minorBidi"/>
          <w:color w:val="164F36" w:themeColor="text2"/>
          <w:szCs w:val="18"/>
        </w:rPr>
      </w:pPr>
      <w:r w:rsidRPr="00E0328C">
        <w:t>Circular Sourcing founder Courtney Holm with excess fabrics to be resold. Image by Lily Clatworthy.</w:t>
      </w:r>
    </w:p>
    <w:p w14:paraId="23D7EB0C" w14:textId="6B4A9FDB" w:rsidR="006F516C" w:rsidRPr="00D2317E" w:rsidRDefault="00941E51" w:rsidP="00132505">
      <w:pPr>
        <w:pStyle w:val="Heading2"/>
      </w:pPr>
      <w:r w:rsidRPr="00D2317E">
        <w:rPr>
          <w:rStyle w:val="A2"/>
          <w:rFonts w:asciiTheme="majorHAnsi" w:hAnsiTheme="majorHAnsi" w:cstheme="majorHAnsi"/>
          <w:color w:val="164F36" w:themeColor="text2"/>
          <w:sz w:val="40"/>
          <w:szCs w:val="32"/>
        </w:rPr>
        <w:br w:type="page"/>
      </w:r>
      <w:bookmarkStart w:id="34" w:name="_Toc167807879"/>
      <w:r w:rsidR="006F516C" w:rsidRPr="00D2317E">
        <w:rPr>
          <w:rStyle w:val="A2"/>
          <w:rFonts w:asciiTheme="majorHAnsi" w:hAnsiTheme="majorHAnsi" w:cstheme="majorHAnsi"/>
          <w:color w:val="164F36" w:themeColor="text2"/>
          <w:sz w:val="32"/>
          <w:szCs w:val="26"/>
        </w:rPr>
        <w:lastRenderedPageBreak/>
        <w:t>Leveraging community and industry action to reduce emissions</w:t>
      </w:r>
      <w:bookmarkEnd w:id="32"/>
      <w:bookmarkEnd w:id="33"/>
      <w:bookmarkEnd w:id="34"/>
    </w:p>
    <w:p w14:paraId="63A09511" w14:textId="11095CB5" w:rsidR="00531B14" w:rsidRPr="00D2317E" w:rsidRDefault="00531B14" w:rsidP="00105389">
      <w:pPr>
        <w:pStyle w:val="Body"/>
      </w:pPr>
      <w:r w:rsidRPr="00D2317E">
        <w:t>We’</w:t>
      </w:r>
      <w:r w:rsidR="00DC5102" w:rsidRPr="00D2317E">
        <w:t>ve been</w:t>
      </w:r>
      <w:r w:rsidRPr="00D2317E">
        <w:t xml:space="preserve"> making energy efficiency easier for all Victorians by </w:t>
      </w:r>
      <w:r w:rsidR="000870A7">
        <w:t>identi</w:t>
      </w:r>
      <w:r w:rsidR="00862EAA">
        <w:t xml:space="preserve">fying and </w:t>
      </w:r>
      <w:r w:rsidR="00487995">
        <w:t>addressing</w:t>
      </w:r>
      <w:r w:rsidR="005922D0">
        <w:t xml:space="preserve"> </w:t>
      </w:r>
      <w:r w:rsidRPr="00D2317E">
        <w:t xml:space="preserve">barriers, sector by sector. Whether the </w:t>
      </w:r>
      <w:r w:rsidR="008C1665">
        <w:t>challenge</w:t>
      </w:r>
      <w:r w:rsidRPr="00D2317E">
        <w:t xml:space="preserve"> is know-how, motivation, cost or access, </w:t>
      </w:r>
      <w:r>
        <w:t>we</w:t>
      </w:r>
      <w:r w:rsidRPr="00D2317E">
        <w:t xml:space="preserve"> accelerated energy efficiency for councils, not-for-profit</w:t>
      </w:r>
      <w:r w:rsidR="008C1665">
        <w:t>s</w:t>
      </w:r>
      <w:r w:rsidRPr="00D2317E">
        <w:t>, industry, business</w:t>
      </w:r>
      <w:r w:rsidR="00E176EB">
        <w:t>es</w:t>
      </w:r>
      <w:r w:rsidRPr="00D2317E">
        <w:t xml:space="preserve"> and households by understanding their needs and providing the right support at the right time.</w:t>
      </w:r>
    </w:p>
    <w:p w14:paraId="095B294E" w14:textId="1ADF7B77" w:rsidR="00321960" w:rsidRPr="00D2317E" w:rsidRDefault="00E946F3" w:rsidP="00105389">
      <w:pPr>
        <w:pStyle w:val="Body"/>
      </w:pPr>
      <w:r>
        <w:t>This year we</w:t>
      </w:r>
      <w:r w:rsidR="009B7CD3" w:rsidRPr="00D2317E">
        <w:t xml:space="preserve"> </w:t>
      </w:r>
      <w:r>
        <w:t xml:space="preserve">continued to </w:t>
      </w:r>
      <w:r w:rsidR="009B7CD3" w:rsidRPr="00D2317E">
        <w:t>work</w:t>
      </w:r>
      <w:r w:rsidR="009058B5" w:rsidRPr="00D2317E">
        <w:t xml:space="preserve"> with schools to embed sustainability across facilities, community and curriculum</w:t>
      </w:r>
      <w:r w:rsidR="00057857">
        <w:t xml:space="preserve"> and </w:t>
      </w:r>
      <w:r w:rsidR="007B1497">
        <w:t>created</w:t>
      </w:r>
      <w:r w:rsidR="00531B14" w:rsidRPr="00D2317E">
        <w:t xml:space="preserve"> education campaigns to inform and motivate consumers and businesses </w:t>
      </w:r>
      <w:r w:rsidR="50D2130B">
        <w:t xml:space="preserve">to </w:t>
      </w:r>
      <w:r w:rsidR="00531B14" w:rsidRPr="00D2317E">
        <w:t>be more energy efficient</w:t>
      </w:r>
      <w:r w:rsidR="003306C8">
        <w:t>.</w:t>
      </w:r>
      <w:r w:rsidR="0047761B" w:rsidRPr="0047761B">
        <w:t xml:space="preserve"> </w:t>
      </w:r>
      <w:r w:rsidR="00321960" w:rsidRPr="00D2317E">
        <w:t xml:space="preserve">We </w:t>
      </w:r>
      <w:r w:rsidR="00531B14" w:rsidRPr="00D2317E">
        <w:t>partner</w:t>
      </w:r>
      <w:r w:rsidR="00CA68F5">
        <w:t>ed</w:t>
      </w:r>
      <w:r w:rsidR="00531B14" w:rsidRPr="00D2317E">
        <w:t xml:space="preserve"> with government, local councils and industry partners on the ground to administer energy efficiency upgrades.</w:t>
      </w:r>
      <w:r w:rsidR="003306C8">
        <w:t xml:space="preserve"> </w:t>
      </w:r>
      <w:r w:rsidR="0047761B" w:rsidRPr="0047761B">
        <w:t>By engaging with communities and encouraging industry action, we’re</w:t>
      </w:r>
      <w:r w:rsidR="00CA68F5">
        <w:t xml:space="preserve"> continuing to</w:t>
      </w:r>
      <w:r w:rsidR="0047761B" w:rsidRPr="0047761B">
        <w:t xml:space="preserve"> driv</w:t>
      </w:r>
      <w:r>
        <w:t>e</w:t>
      </w:r>
      <w:r w:rsidR="0047761B" w:rsidRPr="0047761B">
        <w:t xml:space="preserve"> </w:t>
      </w:r>
      <w:r w:rsidR="00321960" w:rsidRPr="00D2317E">
        <w:t xml:space="preserve">Victoria’s transition from the ground up. </w:t>
      </w:r>
    </w:p>
    <w:p w14:paraId="64189856" w14:textId="1B9649E1" w:rsidR="00C2694F" w:rsidRPr="00D2317E" w:rsidRDefault="00484530" w:rsidP="00126908">
      <w:pPr>
        <w:pStyle w:val="Heading3"/>
      </w:pPr>
      <w:r w:rsidRPr="00D2317E">
        <w:t>Making energy efficiency easier</w:t>
      </w:r>
    </w:p>
    <w:p w14:paraId="775F1092" w14:textId="5BE8BC15" w:rsidR="005F0373" w:rsidRPr="00D2317E" w:rsidRDefault="006C3BE0" w:rsidP="00105389">
      <w:pPr>
        <w:pStyle w:val="Body"/>
      </w:pPr>
      <w:r>
        <w:t xml:space="preserve">With the </w:t>
      </w:r>
      <w:r w:rsidR="005423E4">
        <w:t>cost-of-living</w:t>
      </w:r>
      <w:r>
        <w:t xml:space="preserve"> crisis front of mind for many Victorians,</w:t>
      </w:r>
      <w:r w:rsidR="00EC73A5" w:rsidRPr="00D2317E">
        <w:t xml:space="preserve"> </w:t>
      </w:r>
      <w:r w:rsidR="001F3A03">
        <w:t>as</w:t>
      </w:r>
      <w:r w:rsidR="00EC73A5" w:rsidRPr="00D2317E">
        <w:t xml:space="preserve"> Victoria </w:t>
      </w:r>
      <w:r w:rsidR="007A6F1A">
        <w:t>increases its use</w:t>
      </w:r>
      <w:r w:rsidR="00EC73A5" w:rsidRPr="00D2317E">
        <w:t xml:space="preserve"> of renewable </w:t>
      </w:r>
      <w:r w:rsidR="007A6F1A">
        <w:t>energy</w:t>
      </w:r>
      <w:r w:rsidR="00EC73A5" w:rsidRPr="00D2317E">
        <w:t>, we</w:t>
      </w:r>
      <w:r w:rsidR="003359A7">
        <w:t xml:space="preserve"> </w:t>
      </w:r>
      <w:r>
        <w:t>are thinking</w:t>
      </w:r>
      <w:r w:rsidR="00EC73A5" w:rsidRPr="00D2317E">
        <w:t xml:space="preserve"> about how efficiently we’re using that energy to save money and keep emissions low.</w:t>
      </w:r>
    </w:p>
    <w:p w14:paraId="06E21FBE" w14:textId="3EB2377C" w:rsidR="00823B9B" w:rsidRPr="00D2317E" w:rsidRDefault="00823B9B" w:rsidP="00105389">
      <w:pPr>
        <w:pStyle w:val="Body"/>
      </w:pPr>
      <w:r w:rsidRPr="00D2317E">
        <w:t xml:space="preserve">In 2023–24, we continued to reduce emissions through education in schools, with our long-running ResourceSmart Schools program. In 2023–24, </w:t>
      </w:r>
      <w:r w:rsidR="007C2F13">
        <w:t>563</w:t>
      </w:r>
      <w:r w:rsidRPr="00D2317E">
        <w:t xml:space="preserve"> schools participated in ResourceSmart Schools, saving more than </w:t>
      </w:r>
      <w:r w:rsidR="007C2F13">
        <w:t>10</w:t>
      </w:r>
      <w:r w:rsidRPr="00D2317E">
        <w:t xml:space="preserve"> million kWh of energy in 2023, over $</w:t>
      </w:r>
      <w:r w:rsidR="0049009F">
        <w:t>2.8</w:t>
      </w:r>
      <w:r w:rsidRPr="00D2317E">
        <w:t xml:space="preserve"> million on their annual energy bills, and avoiding more than </w:t>
      </w:r>
      <w:r w:rsidR="0049009F">
        <w:t>8</w:t>
      </w:r>
      <w:r w:rsidR="055EABB2">
        <w:t>,</w:t>
      </w:r>
      <w:r w:rsidR="0049009F">
        <w:t>554</w:t>
      </w:r>
      <w:r w:rsidRPr="00D2317E">
        <w:t xml:space="preserve"> tonnes of greenhouse gases.</w:t>
      </w:r>
    </w:p>
    <w:p w14:paraId="3C58D7A4" w14:textId="1D593E5B" w:rsidR="6F6F82ED" w:rsidRPr="00D2317E" w:rsidRDefault="003505CB" w:rsidP="00105389">
      <w:pPr>
        <w:pStyle w:val="Body"/>
      </w:pPr>
      <w:r>
        <w:t>A</w:t>
      </w:r>
      <w:r w:rsidR="00FF182C" w:rsidRPr="00D2317E">
        <w:t>s part</w:t>
      </w:r>
      <w:r w:rsidR="00823B9B" w:rsidRPr="00D2317E">
        <w:t xml:space="preserve"> of </w:t>
      </w:r>
      <w:r>
        <w:t>our</w:t>
      </w:r>
      <w:r w:rsidR="00823B9B" w:rsidRPr="00D2317E">
        <w:t xml:space="preserve"> Community Climate Change and Energy Action </w:t>
      </w:r>
      <w:r w:rsidR="00FF182C" w:rsidRPr="00D2317E">
        <w:t xml:space="preserve">program, </w:t>
      </w:r>
      <w:r w:rsidR="53E96782" w:rsidRPr="00D2317E">
        <w:t xml:space="preserve">community organisations </w:t>
      </w:r>
      <w:r w:rsidR="00344A26">
        <w:t xml:space="preserve">installed </w:t>
      </w:r>
      <w:r w:rsidR="0AAFA561">
        <w:t>49</w:t>
      </w:r>
      <w:r w:rsidR="4BC277A4">
        <w:t>5</w:t>
      </w:r>
      <w:r w:rsidR="0A5AED7D">
        <w:t xml:space="preserve"> </w:t>
      </w:r>
      <w:r w:rsidR="00823B9B">
        <w:t>kW</w:t>
      </w:r>
      <w:r w:rsidR="00823B9B" w:rsidRPr="00D2317E">
        <w:t xml:space="preserve"> of </w:t>
      </w:r>
      <w:r w:rsidR="002604AB">
        <w:t>s</w:t>
      </w:r>
      <w:r w:rsidR="00823B9B" w:rsidRPr="00D2317E">
        <w:t xml:space="preserve">olar PV </w:t>
      </w:r>
      <w:r w:rsidR="006D5908">
        <w:t xml:space="preserve">systems </w:t>
      </w:r>
      <w:r w:rsidR="00823B9B" w:rsidRPr="00D2317E">
        <w:t>saving</w:t>
      </w:r>
      <w:r w:rsidR="53E96782" w:rsidRPr="00D2317E">
        <w:t xml:space="preserve"> </w:t>
      </w:r>
      <w:r w:rsidR="006D5908">
        <w:t>them</w:t>
      </w:r>
      <w:r w:rsidR="53E96782" w:rsidRPr="00D2317E">
        <w:t xml:space="preserve"> </w:t>
      </w:r>
      <w:r w:rsidR="00823B9B" w:rsidRPr="00D2317E">
        <w:t>$</w:t>
      </w:r>
      <w:r w:rsidR="0AAFA561">
        <w:t>1</w:t>
      </w:r>
      <w:r w:rsidR="08B95B49">
        <w:t>80</w:t>
      </w:r>
      <w:r w:rsidR="0AAFA561">
        <w:t>,4</w:t>
      </w:r>
      <w:r w:rsidR="506C1AA2">
        <w:t>70</w:t>
      </w:r>
      <w:r w:rsidR="00823B9B" w:rsidRPr="00D2317E">
        <w:t xml:space="preserve">. These energy upgrades will </w:t>
      </w:r>
      <w:r w:rsidR="00A716DE">
        <w:t>cut</w:t>
      </w:r>
      <w:r w:rsidR="00823B9B" w:rsidRPr="00D2317E">
        <w:t xml:space="preserve"> over 20,000 t</w:t>
      </w:r>
      <w:r w:rsidR="008775EB">
        <w:t xml:space="preserve">onnes </w:t>
      </w:r>
      <w:r w:rsidR="002604AB">
        <w:t>of greenhouse gases</w:t>
      </w:r>
      <w:r w:rsidR="00823B9B" w:rsidRPr="00D2317E">
        <w:t xml:space="preserve"> in their lifetime. </w:t>
      </w:r>
      <w:r w:rsidR="00A9742F">
        <w:t xml:space="preserve">Our </w:t>
      </w:r>
      <w:r w:rsidR="00823B9B" w:rsidRPr="00D2317E">
        <w:t xml:space="preserve">investment of </w:t>
      </w:r>
      <w:r w:rsidR="008457EC">
        <w:t>almost</w:t>
      </w:r>
      <w:r w:rsidR="00723EE5">
        <w:t xml:space="preserve"> </w:t>
      </w:r>
      <w:r w:rsidR="00823B9B" w:rsidRPr="00D2317E">
        <w:t>$1</w:t>
      </w:r>
      <w:r w:rsidR="00723EE5">
        <w:t>.2 million</w:t>
      </w:r>
      <w:r w:rsidR="005E0352">
        <w:t xml:space="preserve"> encouraged </w:t>
      </w:r>
      <w:r w:rsidR="00823B9B" w:rsidRPr="00D2317E">
        <w:t>an additional $</w:t>
      </w:r>
      <w:r w:rsidR="0AAFA561">
        <w:t>6</w:t>
      </w:r>
      <w:r w:rsidR="423FD1C8">
        <w:t>57</w:t>
      </w:r>
      <w:r w:rsidR="0AAFA561">
        <w:t>,</w:t>
      </w:r>
      <w:r w:rsidR="5CB0297E">
        <w:t>660.89</w:t>
      </w:r>
      <w:r w:rsidR="00823B9B" w:rsidRPr="00D2317E">
        <w:t xml:space="preserve"> in community investment into</w:t>
      </w:r>
      <w:r w:rsidR="53E96782" w:rsidRPr="00D2317E">
        <w:t xml:space="preserve"> energy efficiency upgrades</w:t>
      </w:r>
      <w:r w:rsidR="00823B9B" w:rsidRPr="00D2317E">
        <w:t>.</w:t>
      </w:r>
      <w:r w:rsidR="53E96782" w:rsidRPr="00D2317E">
        <w:t xml:space="preserve"> </w:t>
      </w:r>
      <w:r w:rsidR="7A02830D" w:rsidRPr="00D2317E">
        <w:t>Th</w:t>
      </w:r>
      <w:r w:rsidR="009C3371">
        <w:t>is</w:t>
      </w:r>
      <w:r w:rsidR="7A02830D" w:rsidRPr="00D2317E">
        <w:t xml:space="preserve"> program </w:t>
      </w:r>
      <w:r w:rsidR="009C3371">
        <w:t>highlights</w:t>
      </w:r>
      <w:r w:rsidR="7A02830D" w:rsidRPr="00D2317E">
        <w:t xml:space="preserve"> the importance of </w:t>
      </w:r>
      <w:r w:rsidR="009C3371">
        <w:t>working</w:t>
      </w:r>
      <w:r w:rsidR="7A02830D" w:rsidRPr="00D2317E">
        <w:t xml:space="preserve"> with community groups to raise awareness about the value of energy efficiency improvements.</w:t>
      </w:r>
    </w:p>
    <w:p w14:paraId="5D975D3E" w14:textId="5907989B" w:rsidR="006F516C" w:rsidRPr="00D2317E" w:rsidRDefault="006F516C" w:rsidP="00126908">
      <w:pPr>
        <w:pStyle w:val="Heading3"/>
      </w:pPr>
      <w:bookmarkStart w:id="35" w:name="_Toc166585672"/>
      <w:r w:rsidRPr="00D2317E">
        <w:t>Transitioning Victoria to new energy sources</w:t>
      </w:r>
      <w:bookmarkEnd w:id="35"/>
    </w:p>
    <w:p w14:paraId="4DFAF014" w14:textId="28EC97B7" w:rsidR="00AC24DD" w:rsidRPr="00D2317E" w:rsidRDefault="00031B3D" w:rsidP="00105389">
      <w:pPr>
        <w:pStyle w:val="Body"/>
      </w:pPr>
      <w:r>
        <w:t>This year we continued to be</w:t>
      </w:r>
      <w:r w:rsidR="00AC24DD" w:rsidRPr="00D2317E">
        <w:t xml:space="preserve"> a leading source of research, evidence and expert analysis for government on </w:t>
      </w:r>
      <w:r w:rsidR="008715A7">
        <w:t>what’s needed for Victoria’s electrification journey</w:t>
      </w:r>
      <w:r w:rsidR="00AC24DD" w:rsidRPr="00D2317E">
        <w:t>.</w:t>
      </w:r>
    </w:p>
    <w:p w14:paraId="23B1CD6B" w14:textId="68A8A9A5" w:rsidR="00AC24DD" w:rsidRPr="00D2317E" w:rsidRDefault="00031B3D" w:rsidP="00105389">
      <w:pPr>
        <w:pStyle w:val="Body"/>
      </w:pPr>
      <w:r>
        <w:t>W</w:t>
      </w:r>
      <w:r w:rsidR="00AC24DD" w:rsidRPr="00D2317E">
        <w:t xml:space="preserve">e </w:t>
      </w:r>
      <w:r w:rsidR="46D59897">
        <w:t>investigated</w:t>
      </w:r>
      <w:r w:rsidR="00AC24DD" w:rsidRPr="00D2317E">
        <w:t xml:space="preserve"> energy systems and sources</w:t>
      </w:r>
      <w:r w:rsidR="00084234">
        <w:t xml:space="preserve"> through</w:t>
      </w:r>
      <w:r w:rsidR="00AC24DD" w:rsidRPr="00D2317E">
        <w:t xml:space="preserve"> social research, technical analysis and strategic foresight. We</w:t>
      </w:r>
      <w:r w:rsidR="00BB3969" w:rsidRPr="00D2317E">
        <w:t xml:space="preserve"> </w:t>
      </w:r>
      <w:r w:rsidR="00E45272" w:rsidRPr="00D2317E">
        <w:t xml:space="preserve">designed and delivered grants and incentives to </w:t>
      </w:r>
      <w:r w:rsidR="009276B5" w:rsidRPr="00D2317E">
        <w:t xml:space="preserve">support </w:t>
      </w:r>
      <w:r w:rsidR="00821CC1">
        <w:t>upgrade</w:t>
      </w:r>
      <w:r w:rsidR="620EA3D2">
        <w:t>s</w:t>
      </w:r>
      <w:r w:rsidR="00D015D7" w:rsidRPr="00D2317E">
        <w:t xml:space="preserve"> to </w:t>
      </w:r>
      <w:r w:rsidR="00AC24DD" w:rsidRPr="00D2317E">
        <w:t>renewable energy sources</w:t>
      </w:r>
      <w:r w:rsidR="00F04628">
        <w:t xml:space="preserve"> and </w:t>
      </w:r>
      <w:r w:rsidR="00AC24DD" w:rsidRPr="00D2317E">
        <w:t>innovation in energy generation</w:t>
      </w:r>
      <w:r w:rsidR="003B6ACB">
        <w:t>,</w:t>
      </w:r>
      <w:r w:rsidR="00AC24DD" w:rsidRPr="00D2317E">
        <w:t xml:space="preserve"> such as bioenergy and heat pumps. </w:t>
      </w:r>
      <w:r w:rsidR="0063594C" w:rsidRPr="00D2317E" w:rsidDel="00DB1D22">
        <w:t xml:space="preserve">By </w:t>
      </w:r>
      <w:r w:rsidR="003B6ACB">
        <w:t>p</w:t>
      </w:r>
      <w:r w:rsidR="0063594C" w:rsidRPr="00D2317E">
        <w:t xml:space="preserve">iloting new approaches with industry, </w:t>
      </w:r>
      <w:r w:rsidR="003B6ACB">
        <w:t xml:space="preserve">we </w:t>
      </w:r>
      <w:r w:rsidR="004B0BBD">
        <w:t>help</w:t>
      </w:r>
      <w:r w:rsidR="00DB1D22">
        <w:t xml:space="preserve"> to </w:t>
      </w:r>
      <w:r w:rsidR="0063594C" w:rsidRPr="00D2317E">
        <w:t xml:space="preserve">bridge the gap </w:t>
      </w:r>
      <w:r w:rsidR="00D87E1C">
        <w:t>towards</w:t>
      </w:r>
      <w:r w:rsidR="0063594C" w:rsidRPr="00D2317E">
        <w:t xml:space="preserve"> an all-electric, circular economy. </w:t>
      </w:r>
      <w:r w:rsidR="00AC24DD" w:rsidRPr="00D2317E">
        <w:t>At the same time, we educated household, communities and businesses on electrification and its benefits.</w:t>
      </w:r>
    </w:p>
    <w:p w14:paraId="082E8E32" w14:textId="35F50000" w:rsidR="002532A6" w:rsidRDefault="002532A6" w:rsidP="00105389">
      <w:pPr>
        <w:pStyle w:val="Body"/>
      </w:pPr>
      <w:r w:rsidRPr="002532A6">
        <w:t>We worked closely with the Department of Energy, Environment and Climate Action (DEECA) energy team to bring large commercial and industrial energy users into the Victorian Energy Upgrades program through the Large Energy User Electrification Grant Support program. We collaborated with DEECA to develop new Victorian Energy Upgrade targets for post 2025.</w:t>
      </w:r>
    </w:p>
    <w:p w14:paraId="29110CA7" w14:textId="4A9B4989" w:rsidR="00971454" w:rsidRPr="00D2317E" w:rsidRDefault="005200C6" w:rsidP="00105389">
      <w:pPr>
        <w:pStyle w:val="Body"/>
      </w:pPr>
      <w:r w:rsidRPr="00D2317E">
        <w:t xml:space="preserve">By investing in the industries, upgrades, </w:t>
      </w:r>
      <w:r w:rsidR="00060C8C" w:rsidRPr="00D2317E">
        <w:t>incentives</w:t>
      </w:r>
      <w:r w:rsidRPr="00D2317E">
        <w:t xml:space="preserve"> and research we need to electrify our economy, we’re on a mission to secure the buy-in Victoria needs for an all-electric, gas-free future.</w:t>
      </w:r>
    </w:p>
    <w:p w14:paraId="18A66DCA" w14:textId="55A94423" w:rsidR="00CA422F" w:rsidRPr="00D2317E" w:rsidRDefault="00CA422F" w:rsidP="00126908">
      <w:pPr>
        <w:pStyle w:val="Heading3"/>
      </w:pPr>
      <w:r w:rsidRPr="00D2317E">
        <w:t>Improving Victorian homes</w:t>
      </w:r>
    </w:p>
    <w:p w14:paraId="21E290B0" w14:textId="130DCFA7" w:rsidR="00A94B18" w:rsidRPr="00D2317E" w:rsidRDefault="00145EFA" w:rsidP="00105389">
      <w:pPr>
        <w:pStyle w:val="Body"/>
      </w:pPr>
      <w:r>
        <w:t>T</w:t>
      </w:r>
      <w:r w:rsidR="00045074" w:rsidRPr="00D2317E">
        <w:t>he</w:t>
      </w:r>
      <w:r w:rsidR="00C96D2F" w:rsidRPr="00D2317E">
        <w:t xml:space="preserve"> National Construction Code </w:t>
      </w:r>
      <w:r w:rsidR="1A2C3741">
        <w:t xml:space="preserve">(NCC) </w:t>
      </w:r>
      <w:r>
        <w:t xml:space="preserve">was </w:t>
      </w:r>
      <w:r w:rsidR="007717B7">
        <w:t xml:space="preserve">updated and </w:t>
      </w:r>
      <w:r w:rsidR="00F6123A">
        <w:t xml:space="preserve">its implementation commenced </w:t>
      </w:r>
      <w:r>
        <w:t xml:space="preserve">on </w:t>
      </w:r>
      <w:r w:rsidRPr="00D2317E">
        <w:t>1 May 2024</w:t>
      </w:r>
      <w:r w:rsidR="002957ED">
        <w:t xml:space="preserve"> to </w:t>
      </w:r>
      <w:r w:rsidR="00263E73">
        <w:t>require</w:t>
      </w:r>
      <w:r w:rsidR="00C16D1B" w:rsidRPr="00D2317E">
        <w:t xml:space="preserve"> a minimum </w:t>
      </w:r>
      <w:r w:rsidR="005428BE" w:rsidRPr="00D2317E">
        <w:t>7</w:t>
      </w:r>
      <w:r w:rsidR="00C76C0C" w:rsidRPr="00D2317E">
        <w:t>-</w:t>
      </w:r>
      <w:r w:rsidR="005428BE" w:rsidRPr="00D2317E">
        <w:t xml:space="preserve">star </w:t>
      </w:r>
      <w:r w:rsidR="00263E73">
        <w:t>energy rating</w:t>
      </w:r>
      <w:r w:rsidR="005428BE" w:rsidRPr="00D2317E">
        <w:t xml:space="preserve"> </w:t>
      </w:r>
      <w:r w:rsidR="002957ED">
        <w:t xml:space="preserve">for all new homes </w:t>
      </w:r>
      <w:r w:rsidR="005428BE" w:rsidRPr="00D2317E">
        <w:t xml:space="preserve">in Victoria. </w:t>
      </w:r>
      <w:r w:rsidR="00855AC9" w:rsidRPr="00D2317E">
        <w:t>Several volume builders have since launched mass</w:t>
      </w:r>
      <w:r w:rsidR="403EF83F">
        <w:t>-</w:t>
      </w:r>
      <w:r w:rsidR="00855AC9" w:rsidRPr="00D2317E">
        <w:t xml:space="preserve">marketing campaigns for all-electric, energy efficient homes </w:t>
      </w:r>
      <w:r w:rsidR="00343186">
        <w:t>using</w:t>
      </w:r>
      <w:r w:rsidR="00855AC9" w:rsidRPr="00D2317E">
        <w:t xml:space="preserve"> data and analysis from our 7</w:t>
      </w:r>
      <w:r w:rsidR="00CA5F6D">
        <w:t> </w:t>
      </w:r>
      <w:r w:rsidR="00855AC9" w:rsidRPr="00D2317E">
        <w:t xml:space="preserve">Star Homes </w:t>
      </w:r>
      <w:r w:rsidR="71103BDE">
        <w:t>P</w:t>
      </w:r>
      <w:r w:rsidR="00855AC9" w:rsidRPr="00D2317E">
        <w:t>rogram</w:t>
      </w:r>
      <w:r w:rsidR="00156F88" w:rsidRPr="00D2317E">
        <w:t xml:space="preserve"> which concluded in</w:t>
      </w:r>
      <w:r w:rsidR="00C045C3" w:rsidRPr="00D2317E">
        <w:t xml:space="preserve"> </w:t>
      </w:r>
      <w:r w:rsidR="00957F68" w:rsidRPr="00D2317E">
        <w:t>October 2023</w:t>
      </w:r>
      <w:r w:rsidR="00855AC9" w:rsidRPr="00D2317E">
        <w:t>.</w:t>
      </w:r>
    </w:p>
    <w:p w14:paraId="37569418" w14:textId="4A864482" w:rsidR="006D4AF7" w:rsidRDefault="00CA422F" w:rsidP="00105389">
      <w:pPr>
        <w:pStyle w:val="Body"/>
      </w:pPr>
      <w:r w:rsidRPr="00D2317E">
        <w:lastRenderedPageBreak/>
        <w:t xml:space="preserve">To support </w:t>
      </w:r>
      <w:r w:rsidR="00465D7A" w:rsidRPr="00D2317E">
        <w:t>the</w:t>
      </w:r>
      <w:r w:rsidR="008B27C6">
        <w:t>se</w:t>
      </w:r>
      <w:r w:rsidR="00465D7A" w:rsidRPr="00D2317E">
        <w:t xml:space="preserve"> </w:t>
      </w:r>
      <w:r w:rsidRPr="00D2317E">
        <w:t xml:space="preserve">changes, we upgraded our </w:t>
      </w:r>
      <w:r w:rsidRPr="00D41FE5">
        <w:t>FirstRate5 Home Energy Rating</w:t>
      </w:r>
      <w:r w:rsidRPr="00D2317E">
        <w:t xml:space="preserve"> software</w:t>
      </w:r>
      <w:r w:rsidR="00F1219F">
        <w:t>. T</w:t>
      </w:r>
      <w:r w:rsidRPr="00D2317E">
        <w:t xml:space="preserve">he thermal software </w:t>
      </w:r>
      <w:r w:rsidR="00F1219F">
        <w:t xml:space="preserve">was </w:t>
      </w:r>
      <w:r w:rsidRPr="00D2317E">
        <w:t>released in October 2023 and the Whole</w:t>
      </w:r>
      <w:r w:rsidR="008D0835">
        <w:t>-</w:t>
      </w:r>
      <w:r w:rsidRPr="00D2317E">
        <w:t>of</w:t>
      </w:r>
      <w:r w:rsidR="008D0835">
        <w:t>-</w:t>
      </w:r>
      <w:r w:rsidRPr="00D2317E">
        <w:t xml:space="preserve">Home software </w:t>
      </w:r>
      <w:r w:rsidR="00F1219F">
        <w:t xml:space="preserve">was </w:t>
      </w:r>
      <w:r w:rsidRPr="00D2317E">
        <w:t xml:space="preserve">released in April 2024. </w:t>
      </w:r>
      <w:r w:rsidR="00FC61E9">
        <w:t>Both</w:t>
      </w:r>
      <w:r w:rsidRPr="00D2317E">
        <w:t xml:space="preserve"> tools are accredited under the national </w:t>
      </w:r>
      <w:proofErr w:type="spellStart"/>
      <w:r w:rsidRPr="00D2317E">
        <w:t>NatHERS</w:t>
      </w:r>
      <w:proofErr w:type="spellEnd"/>
      <w:r w:rsidRPr="00D2317E">
        <w:t xml:space="preserve"> framework and are the main tools used in Victoria </w:t>
      </w:r>
      <w:r w:rsidR="00FC61E9">
        <w:t>by</w:t>
      </w:r>
      <w:r w:rsidRPr="00D2317E">
        <w:t xml:space="preserve"> house designers and builders to </w:t>
      </w:r>
      <w:r w:rsidR="000451C0">
        <w:t>meet</w:t>
      </w:r>
      <w:r w:rsidRPr="00D2317E">
        <w:t xml:space="preserve"> </w:t>
      </w:r>
      <w:r w:rsidR="25B620C2">
        <w:t xml:space="preserve">NCC </w:t>
      </w:r>
      <w:r w:rsidRPr="00D2317E">
        <w:t xml:space="preserve">energy efficiency </w:t>
      </w:r>
      <w:r w:rsidR="000451C0">
        <w:t>standards</w:t>
      </w:r>
      <w:r w:rsidRPr="00D2317E">
        <w:t xml:space="preserve">. </w:t>
      </w:r>
    </w:p>
    <w:p w14:paraId="0E244095" w14:textId="334B817F" w:rsidR="00EA7F1C" w:rsidRPr="00F9361E" w:rsidRDefault="00CA422F" w:rsidP="00F9361E">
      <w:pPr>
        <w:pStyle w:val="Body"/>
      </w:pPr>
      <w:r w:rsidRPr="00D2317E">
        <w:t xml:space="preserve">We also continued our work </w:t>
      </w:r>
      <w:r w:rsidR="000451C0">
        <w:t>o</w:t>
      </w:r>
      <w:r w:rsidRPr="00D2317E">
        <w:t>n existing homes</w:t>
      </w:r>
      <w:r w:rsidR="000451C0">
        <w:t xml:space="preserve"> by </w:t>
      </w:r>
      <w:r w:rsidRPr="00D2317E">
        <w:t>research</w:t>
      </w:r>
      <w:r w:rsidR="000451C0">
        <w:t xml:space="preserve">ing </w:t>
      </w:r>
      <w:r w:rsidRPr="00D2317E">
        <w:t xml:space="preserve">the benefits of comprehensive efficiency upgrades and rooftop </w:t>
      </w:r>
      <w:r w:rsidR="6ABF026E">
        <w:t xml:space="preserve">solar </w:t>
      </w:r>
      <w:r w:rsidRPr="00D2317E">
        <w:t xml:space="preserve">PV systems for Victoria’s oldest and least efficient (pre-1991) houses. The </w:t>
      </w:r>
      <w:r w:rsidRPr="00D2317E">
        <w:rPr>
          <w:i/>
          <w:iCs/>
        </w:rPr>
        <w:t>It all stacks up</w:t>
      </w:r>
      <w:r w:rsidRPr="00D2317E">
        <w:t xml:space="preserve"> study showed that these upgrades greatly improve a home’s thermal comfort</w:t>
      </w:r>
      <w:r w:rsidR="00F96B6C">
        <w:t>, reduce</w:t>
      </w:r>
      <w:r w:rsidRPr="00D2317E">
        <w:t xml:space="preserve"> energy bill</w:t>
      </w:r>
      <w:r w:rsidR="00F96B6C">
        <w:t>s</w:t>
      </w:r>
      <w:r w:rsidRPr="00D2317E">
        <w:t xml:space="preserve"> and </w:t>
      </w:r>
      <w:r>
        <w:t>emission</w:t>
      </w:r>
      <w:r w:rsidR="6251F1CF">
        <w:t>s</w:t>
      </w:r>
      <w:r w:rsidR="00F96B6C">
        <w:t>, and lower</w:t>
      </w:r>
      <w:r w:rsidR="512B6620">
        <w:t xml:space="preserve"> </w:t>
      </w:r>
      <w:r w:rsidRPr="00D2317E">
        <w:t>healthcare costs.</w:t>
      </w:r>
      <w:bookmarkStart w:id="36" w:name="_Toc166500854"/>
      <w:bookmarkStart w:id="37" w:name="_Toc166585674"/>
    </w:p>
    <w:p w14:paraId="61743153" w14:textId="51774579" w:rsidR="00C103B5" w:rsidRPr="00D2317E" w:rsidRDefault="00B667F0" w:rsidP="00B667F0">
      <w:pPr>
        <w:pStyle w:val="Subtitle"/>
        <w:rPr>
          <w:rFonts w:asciiTheme="majorHAnsi" w:hAnsiTheme="majorHAnsi" w:cstheme="majorBidi"/>
        </w:rPr>
      </w:pPr>
      <w:r w:rsidRPr="7EB25F19">
        <w:rPr>
          <w:rFonts w:asciiTheme="majorHAnsi" w:hAnsiTheme="majorHAnsi" w:cstheme="majorBidi"/>
        </w:rPr>
        <w:t xml:space="preserve">Case study: </w:t>
      </w:r>
      <w:r w:rsidR="00DB6C9D" w:rsidRPr="7EB25F19">
        <w:rPr>
          <w:rFonts w:asciiTheme="majorHAnsi" w:hAnsiTheme="majorHAnsi" w:cstheme="majorBidi"/>
        </w:rPr>
        <w:t xml:space="preserve">Sustainability in </w:t>
      </w:r>
      <w:r w:rsidR="3FBAB0E5" w:rsidRPr="7EB25F19">
        <w:rPr>
          <w:rFonts w:asciiTheme="majorHAnsi" w:hAnsiTheme="majorHAnsi" w:cstheme="majorBidi"/>
        </w:rPr>
        <w:t>s</w:t>
      </w:r>
      <w:r w:rsidR="00DB6C9D" w:rsidRPr="7EB25F19">
        <w:rPr>
          <w:rFonts w:asciiTheme="majorHAnsi" w:hAnsiTheme="majorHAnsi" w:cstheme="majorBidi"/>
        </w:rPr>
        <w:t>chools</w:t>
      </w:r>
    </w:p>
    <w:p w14:paraId="2F462E8B" w14:textId="1001887E" w:rsidR="004D7766" w:rsidRPr="00875D3F" w:rsidRDefault="004D7766" w:rsidP="00875D3F">
      <w:pPr>
        <w:pStyle w:val="casestudybox"/>
      </w:pPr>
      <w:r w:rsidRPr="00875D3F">
        <w:t>S</w:t>
      </w:r>
      <w:r w:rsidR="15898367">
        <w:t>V</w:t>
      </w:r>
      <w:r>
        <w:t>’s</w:t>
      </w:r>
      <w:r w:rsidRPr="00875D3F">
        <w:t> </w:t>
      </w:r>
      <w:hyperlink r:id="rId35" w:history="1">
        <w:r w:rsidRPr="0091044E">
          <w:rPr>
            <w:rStyle w:val="Hyperlink"/>
            <w:sz w:val="22"/>
          </w:rPr>
          <w:t>ResourceSmart Schools Awards for 2024</w:t>
        </w:r>
      </w:hyperlink>
      <w:r w:rsidRPr="00875D3F">
        <w:t xml:space="preserve"> marked 15 years of celebrating sustainability leadership and action in Victorian schools.</w:t>
      </w:r>
      <w:r w:rsidR="00516E53">
        <w:t xml:space="preserve"> </w:t>
      </w:r>
      <w:r w:rsidRPr="00875D3F">
        <w:t>Th</w:t>
      </w:r>
      <w:r w:rsidR="00516E53">
        <w:t>is</w:t>
      </w:r>
      <w:r w:rsidRPr="00875D3F">
        <w:t xml:space="preserve"> annual ceremony is Victoria’s largest sustainability awards for schools, applauding their efforts to create a lasting impact on campus and in their local community through e</w:t>
      </w:r>
      <w:r w:rsidR="00A918F5">
        <w:t>co-friendly</w:t>
      </w:r>
      <w:r w:rsidRPr="00875D3F">
        <w:t xml:space="preserve"> initiatives and learning opportunities.</w:t>
      </w:r>
    </w:p>
    <w:p w14:paraId="32746336" w14:textId="11402846" w:rsidR="004D7766" w:rsidRPr="00875D3F" w:rsidRDefault="004D7766" w:rsidP="00875D3F">
      <w:pPr>
        <w:pStyle w:val="casestudybox"/>
      </w:pPr>
      <w:r w:rsidRPr="00875D3F">
        <w:t>Beach monitoring programs, kitchen gardens, outdoor classrooms, community clean</w:t>
      </w:r>
      <w:r w:rsidR="54D0A3E1">
        <w:t>-</w:t>
      </w:r>
      <w:r w:rsidRPr="00875D3F">
        <w:t>ups and YouTube channels exploring local flora and fauna were among the many projects celebrated at the awards ceremony at the Melbourne Cricket Ground in June 2024.</w:t>
      </w:r>
    </w:p>
    <w:p w14:paraId="75549E09" w14:textId="77A60263" w:rsidR="004D7766" w:rsidRPr="00875D3F" w:rsidRDefault="004D7766" w:rsidP="00875D3F">
      <w:pPr>
        <w:pStyle w:val="casestudybox"/>
      </w:pPr>
      <w:r w:rsidRPr="00875D3F">
        <w:t>Around 125 students from across Victoria attended to hear the winners across the 12 award categories</w:t>
      </w:r>
      <w:r w:rsidR="1C885C4B">
        <w:t xml:space="preserve">. </w:t>
      </w:r>
      <w:r w:rsidR="6F2F93E9">
        <w:t xml:space="preserve">Chewton Primary School </w:t>
      </w:r>
      <w:r w:rsidR="00084C8A">
        <w:t>won</w:t>
      </w:r>
      <w:r w:rsidRPr="00875D3F">
        <w:t xml:space="preserve"> the </w:t>
      </w:r>
      <w:r w:rsidR="00084C8A">
        <w:t>prestigious</w:t>
      </w:r>
      <w:r w:rsidR="6F2F93E9">
        <w:t xml:space="preserve"> </w:t>
      </w:r>
      <w:r w:rsidRPr="00875D3F">
        <w:t xml:space="preserve">ResourceSmart School of the Year </w:t>
      </w:r>
      <w:r w:rsidR="008C71CA">
        <w:t>a</w:t>
      </w:r>
      <w:r w:rsidRPr="00875D3F">
        <w:t>ward.</w:t>
      </w:r>
      <w:r w:rsidR="095C3436">
        <w:t xml:space="preserve"> </w:t>
      </w:r>
      <w:r w:rsidRPr="00875D3F">
        <w:t>The school was commended for its sustainability-focused curriculum</w:t>
      </w:r>
      <w:r w:rsidR="009456F3">
        <w:t>,</w:t>
      </w:r>
      <w:r w:rsidRPr="00875D3F">
        <w:t xml:space="preserve"> student-led action campaigns, </w:t>
      </w:r>
      <w:r w:rsidR="009456F3">
        <w:t>and</w:t>
      </w:r>
      <w:r w:rsidRPr="00875D3F">
        <w:t xml:space="preserve"> engagement with local Elders to enhance First Nations knowledge on land management.</w:t>
      </w:r>
    </w:p>
    <w:p w14:paraId="080C3474" w14:textId="49B13FDF" w:rsidR="004D7766" w:rsidRPr="00875D3F" w:rsidRDefault="004D7766" w:rsidP="00875D3F">
      <w:pPr>
        <w:pStyle w:val="casestudybox"/>
      </w:pPr>
      <w:r w:rsidRPr="00875D3F">
        <w:t xml:space="preserve">Our ResourceSmart Schools have shown that they are not only participants in sustainability but are leading the way as custodians of the future environment. Their initiative, creativity and dedication has allowed sustainable practices to flourish on their campuses and </w:t>
      </w:r>
      <w:r w:rsidR="090BD699">
        <w:t xml:space="preserve">beyond </w:t>
      </w:r>
      <w:r w:rsidRPr="00875D3F">
        <w:t>in their local communities.</w:t>
      </w:r>
    </w:p>
    <w:p w14:paraId="0B73DC39" w14:textId="2A9C93E1" w:rsidR="004D7766" w:rsidRPr="00875D3F" w:rsidRDefault="004D7766" w:rsidP="00875D3F">
      <w:pPr>
        <w:pStyle w:val="casestudybox"/>
      </w:pPr>
      <w:r w:rsidRPr="00875D3F">
        <w:t>The ResourceSmart Schools program supports all Victorian primary and secondary schools to embed sustainability across school facilities, community and curriculum.</w:t>
      </w:r>
    </w:p>
    <w:p w14:paraId="76D420D0" w14:textId="1B76E4D1" w:rsidR="004D7766" w:rsidRPr="00875D3F" w:rsidRDefault="004D7766" w:rsidP="00875D3F">
      <w:pPr>
        <w:pStyle w:val="casestudybox"/>
      </w:pPr>
      <w:r w:rsidRPr="00875D3F">
        <w:t xml:space="preserve">Since 2008, the program has reached </w:t>
      </w:r>
      <w:r w:rsidR="63067B1B">
        <w:t xml:space="preserve">more than </w:t>
      </w:r>
      <w:r w:rsidRPr="00875D3F">
        <w:t xml:space="preserve">1,600 Victorian schools. Participating schools have planted more than </w:t>
      </w:r>
      <w:r w:rsidR="00093800">
        <w:t>five</w:t>
      </w:r>
      <w:r w:rsidRPr="00875D3F">
        <w:t xml:space="preserve"> million trees, saved over $60 million through energy, waste and water savings</w:t>
      </w:r>
      <w:r w:rsidR="008E5B04">
        <w:t>,</w:t>
      </w:r>
      <w:r w:rsidRPr="00875D3F">
        <w:t xml:space="preserve"> and avoided over 74,000 tonnes of greenhouse gases.</w:t>
      </w:r>
    </w:p>
    <w:p w14:paraId="463251EA" w14:textId="226F070E" w:rsidR="001F4998" w:rsidRPr="00D2317E" w:rsidRDefault="00983AF0" w:rsidP="001F4998">
      <w:pPr>
        <w:spacing w:before="100" w:beforeAutospacing="1" w:after="100" w:afterAutospacing="1" w:line="240" w:lineRule="auto"/>
        <w:rPr>
          <w:rFonts w:asciiTheme="majorHAnsi" w:eastAsia="Times New Roman" w:hAnsiTheme="majorHAnsi" w:cstheme="majorBidi"/>
          <w:color w:val="auto"/>
          <w:sz w:val="24"/>
          <w:szCs w:val="24"/>
          <w:lang w:eastAsia="en-AU"/>
        </w:rPr>
      </w:pPr>
      <w:r>
        <w:rPr>
          <w:rFonts w:asciiTheme="majorHAnsi" w:eastAsia="Times New Roman" w:hAnsiTheme="majorHAnsi" w:cstheme="majorBidi"/>
          <w:noProof/>
          <w:color w:val="auto"/>
          <w:sz w:val="24"/>
          <w:szCs w:val="24"/>
          <w:lang w:eastAsia="en-AU"/>
        </w:rPr>
        <w:drawing>
          <wp:inline distT="0" distB="0" distL="0" distR="0" wp14:anchorId="186E70AA" wp14:editId="3BB1B7D4">
            <wp:extent cx="2691075" cy="2429301"/>
            <wp:effectExtent l="0" t="0" r="0" b="0"/>
            <wp:docPr id="13927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6953" name="Picture 139276953"/>
                    <pic:cNvPicPr/>
                  </pic:nvPicPr>
                  <pic:blipFill>
                    <a:blip r:embed="rId36"/>
                    <a:stretch>
                      <a:fillRect/>
                    </a:stretch>
                  </pic:blipFill>
                  <pic:spPr>
                    <a:xfrm>
                      <a:off x="0" y="0"/>
                      <a:ext cx="2698202" cy="2435734"/>
                    </a:xfrm>
                    <a:prstGeom prst="rect">
                      <a:avLst/>
                    </a:prstGeom>
                  </pic:spPr>
                </pic:pic>
              </a:graphicData>
            </a:graphic>
          </wp:inline>
        </w:drawing>
      </w:r>
    </w:p>
    <w:p w14:paraId="5B5CA52F" w14:textId="6B6E565F" w:rsidR="00B667F0" w:rsidRPr="00F11831" w:rsidRDefault="00F11831" w:rsidP="00F11831">
      <w:pPr>
        <w:pStyle w:val="Caption"/>
        <w:rPr>
          <w:rStyle w:val="A2"/>
          <w:rFonts w:cstheme="minorBidi"/>
          <w:color w:val="164F36" w:themeColor="text2"/>
          <w:szCs w:val="18"/>
          <w:lang w:eastAsia="en-AU"/>
        </w:rPr>
      </w:pPr>
      <w:r w:rsidRPr="00F11831">
        <w:rPr>
          <w:lang w:eastAsia="en-AU"/>
        </w:rPr>
        <w:t>Students from ResourceSmart School of the Year winner, Chewton Primary School</w:t>
      </w:r>
    </w:p>
    <w:p w14:paraId="27B1BDCB" w14:textId="0A0B6E27" w:rsidR="00D96F20" w:rsidRPr="00D2317E" w:rsidRDefault="006F516C" w:rsidP="00132505">
      <w:pPr>
        <w:pStyle w:val="Heading2"/>
      </w:pPr>
      <w:bookmarkStart w:id="38" w:name="_Toc167807880"/>
      <w:r w:rsidRPr="00D2317E">
        <w:rPr>
          <w:rStyle w:val="A2"/>
          <w:rFonts w:asciiTheme="majorHAnsi" w:hAnsiTheme="majorHAnsi" w:cstheme="majorHAnsi"/>
          <w:color w:val="164F36" w:themeColor="text2"/>
          <w:sz w:val="32"/>
          <w:szCs w:val="32"/>
        </w:rPr>
        <w:lastRenderedPageBreak/>
        <w:t>Making it easier for Victorians to go circular</w:t>
      </w:r>
      <w:bookmarkEnd w:id="36"/>
      <w:bookmarkEnd w:id="37"/>
      <w:bookmarkEnd w:id="38"/>
    </w:p>
    <w:p w14:paraId="09F1B07C" w14:textId="2C1C17C0" w:rsidR="00D95A22" w:rsidRPr="00D2317E" w:rsidRDefault="00F11831" w:rsidP="00D95A22">
      <w:pPr>
        <w:rPr>
          <w:rFonts w:asciiTheme="majorHAnsi" w:hAnsiTheme="majorHAnsi" w:cstheme="majorHAnsi"/>
        </w:rPr>
      </w:pPr>
      <w:r>
        <w:rPr>
          <w:rFonts w:asciiTheme="majorHAnsi" w:hAnsiTheme="majorHAnsi" w:cstheme="majorHAnsi"/>
        </w:rPr>
        <w:t>Our work is</w:t>
      </w:r>
      <w:r w:rsidR="00D95A22" w:rsidRPr="00D2317E">
        <w:rPr>
          <w:rFonts w:asciiTheme="majorHAnsi" w:hAnsiTheme="majorHAnsi" w:cstheme="majorHAnsi"/>
        </w:rPr>
        <w:t xml:space="preserve"> empower</w:t>
      </w:r>
      <w:r>
        <w:rPr>
          <w:rFonts w:asciiTheme="majorHAnsi" w:hAnsiTheme="majorHAnsi" w:cstheme="majorHAnsi"/>
        </w:rPr>
        <w:t>ing</w:t>
      </w:r>
      <w:r w:rsidR="00D95A22" w:rsidRPr="00D2317E">
        <w:rPr>
          <w:rFonts w:asciiTheme="majorHAnsi" w:hAnsiTheme="majorHAnsi" w:cstheme="majorHAnsi"/>
        </w:rPr>
        <w:t xml:space="preserve"> Victorians to design their own circular future. Our behaviour </w:t>
      </w:r>
      <w:proofErr w:type="gramStart"/>
      <w:r w:rsidR="00D95A22" w:rsidRPr="00D2317E">
        <w:rPr>
          <w:rFonts w:asciiTheme="majorHAnsi" w:hAnsiTheme="majorHAnsi" w:cstheme="majorHAnsi"/>
        </w:rPr>
        <w:t>change</w:t>
      </w:r>
      <w:proofErr w:type="gramEnd"/>
      <w:r w:rsidR="00D95A22" w:rsidRPr="00D2317E">
        <w:rPr>
          <w:rFonts w:asciiTheme="majorHAnsi" w:hAnsiTheme="majorHAnsi" w:cstheme="majorHAnsi"/>
        </w:rPr>
        <w:t xml:space="preserve"> and education programs drive real-world change in our cities, suburbs, regions and communities. </w:t>
      </w:r>
      <w:r w:rsidR="00080DA1">
        <w:rPr>
          <w:rFonts w:asciiTheme="majorHAnsi" w:hAnsiTheme="majorHAnsi" w:cstheme="majorHAnsi"/>
        </w:rPr>
        <w:t>By supporting</w:t>
      </w:r>
      <w:r w:rsidR="00D95A22" w:rsidRPr="00D2317E">
        <w:rPr>
          <w:rFonts w:asciiTheme="majorHAnsi" w:hAnsiTheme="majorHAnsi" w:cstheme="majorHAnsi"/>
        </w:rPr>
        <w:t xml:space="preserve"> communities </w:t>
      </w:r>
      <w:r w:rsidR="002C5527">
        <w:rPr>
          <w:rFonts w:asciiTheme="majorHAnsi" w:hAnsiTheme="majorHAnsi" w:cstheme="majorHAnsi"/>
        </w:rPr>
        <w:t xml:space="preserve">in </w:t>
      </w:r>
      <w:r w:rsidR="00D95A22" w:rsidRPr="00D2317E">
        <w:rPr>
          <w:rFonts w:asciiTheme="majorHAnsi" w:hAnsiTheme="majorHAnsi" w:cstheme="majorHAnsi"/>
        </w:rPr>
        <w:t>bring</w:t>
      </w:r>
      <w:r w:rsidR="002C5527">
        <w:rPr>
          <w:rFonts w:asciiTheme="majorHAnsi" w:hAnsiTheme="majorHAnsi" w:cstheme="majorHAnsi"/>
        </w:rPr>
        <w:t>ing</w:t>
      </w:r>
      <w:r w:rsidR="00D95A22" w:rsidRPr="00D2317E">
        <w:rPr>
          <w:rFonts w:asciiTheme="majorHAnsi" w:hAnsiTheme="majorHAnsi" w:cstheme="majorHAnsi"/>
        </w:rPr>
        <w:t xml:space="preserve"> their ideas to life</w:t>
      </w:r>
      <w:r w:rsidR="002C5527">
        <w:rPr>
          <w:rFonts w:asciiTheme="majorHAnsi" w:hAnsiTheme="majorHAnsi" w:cstheme="majorHAnsi"/>
        </w:rPr>
        <w:t>, we have</w:t>
      </w:r>
      <w:r w:rsidR="00D95A22" w:rsidRPr="00D2317E">
        <w:rPr>
          <w:rFonts w:asciiTheme="majorHAnsi" w:hAnsiTheme="majorHAnsi" w:cstheme="majorHAnsi"/>
        </w:rPr>
        <w:t xml:space="preserve"> lasting impact, paving the way for a future where every Victorian can be part of a local circular economy, no matter where they live.</w:t>
      </w:r>
    </w:p>
    <w:p w14:paraId="180C3A40" w14:textId="69101D4A" w:rsidR="00D95A22" w:rsidRPr="00D2317E" w:rsidRDefault="00D95A22" w:rsidP="00D95A22">
      <w:pPr>
        <w:rPr>
          <w:rFonts w:asciiTheme="majorHAnsi" w:hAnsiTheme="majorHAnsi" w:cstheme="majorBidi"/>
        </w:rPr>
      </w:pPr>
      <w:bookmarkStart w:id="39" w:name="_Toc166585675"/>
      <w:r w:rsidRPr="62F960F8">
        <w:rPr>
          <w:rFonts w:asciiTheme="majorHAnsi" w:hAnsiTheme="majorHAnsi" w:cstheme="majorBidi"/>
        </w:rPr>
        <w:t>We</w:t>
      </w:r>
      <w:r w:rsidR="00F11831">
        <w:rPr>
          <w:rFonts w:asciiTheme="majorHAnsi" w:hAnsiTheme="majorHAnsi" w:cstheme="majorBidi"/>
        </w:rPr>
        <w:t xml:space="preserve"> </w:t>
      </w:r>
      <w:r w:rsidRPr="62F960F8">
        <w:rPr>
          <w:rFonts w:asciiTheme="majorHAnsi" w:hAnsiTheme="majorHAnsi" w:cstheme="majorBidi"/>
        </w:rPr>
        <w:t>work</w:t>
      </w:r>
      <w:r w:rsidR="00F11831">
        <w:rPr>
          <w:rFonts w:asciiTheme="majorHAnsi" w:hAnsiTheme="majorHAnsi" w:cstheme="majorBidi"/>
        </w:rPr>
        <w:t>ed</w:t>
      </w:r>
      <w:r w:rsidRPr="62F960F8">
        <w:rPr>
          <w:rFonts w:asciiTheme="majorHAnsi" w:hAnsiTheme="majorHAnsi" w:cstheme="majorBidi"/>
        </w:rPr>
        <w:t xml:space="preserve"> directly with communities</w:t>
      </w:r>
      <w:r w:rsidR="002C5527">
        <w:rPr>
          <w:rFonts w:asciiTheme="majorHAnsi" w:hAnsiTheme="majorHAnsi" w:cstheme="majorBidi"/>
        </w:rPr>
        <w:t xml:space="preserve"> to</w:t>
      </w:r>
      <w:r w:rsidRPr="62F960F8">
        <w:rPr>
          <w:rFonts w:asciiTheme="majorHAnsi" w:hAnsiTheme="majorHAnsi" w:cstheme="majorBidi"/>
        </w:rPr>
        <w:t xml:space="preserve"> support innovative action</w:t>
      </w:r>
      <w:r w:rsidR="002C5527">
        <w:rPr>
          <w:rFonts w:asciiTheme="majorHAnsi" w:hAnsiTheme="majorHAnsi" w:cstheme="majorBidi"/>
        </w:rPr>
        <w:t>s</w:t>
      </w:r>
      <w:r w:rsidR="00FD71EA">
        <w:rPr>
          <w:rFonts w:asciiTheme="majorHAnsi" w:hAnsiTheme="majorHAnsi" w:cstheme="majorBidi"/>
        </w:rPr>
        <w:t xml:space="preserve"> and reinforce</w:t>
      </w:r>
      <w:r w:rsidRPr="62F960F8">
        <w:rPr>
          <w:rFonts w:asciiTheme="majorHAnsi" w:hAnsiTheme="majorHAnsi" w:cstheme="majorBidi"/>
        </w:rPr>
        <w:t xml:space="preserve"> behaviour change through local leadership and example.</w:t>
      </w:r>
    </w:p>
    <w:p w14:paraId="006FF98E" w14:textId="09C90DC1" w:rsidR="006F516C" w:rsidRPr="00D2317E" w:rsidRDefault="006F516C" w:rsidP="00126908">
      <w:pPr>
        <w:pStyle w:val="Heading3"/>
      </w:pPr>
      <w:r w:rsidRPr="00D2317E">
        <w:t>Driving circular economy at a local scale</w:t>
      </w:r>
      <w:bookmarkEnd w:id="39"/>
    </w:p>
    <w:p w14:paraId="12E0D21F" w14:textId="31D03C28" w:rsidR="00AC34EE" w:rsidRPr="00D2317E" w:rsidRDefault="00F11831" w:rsidP="00105389">
      <w:pPr>
        <w:pStyle w:val="Body"/>
      </w:pPr>
      <w:r>
        <w:t>This year w</w:t>
      </w:r>
      <w:r w:rsidR="00C625E5" w:rsidRPr="00D2317E">
        <w:t>e</w:t>
      </w:r>
      <w:r w:rsidR="006E27FE">
        <w:t xml:space="preserve"> </w:t>
      </w:r>
      <w:r w:rsidR="5DE71FF6">
        <w:t>supported</w:t>
      </w:r>
      <w:r w:rsidR="00C625E5" w:rsidRPr="00D2317E">
        <w:t xml:space="preserve"> communities to </w:t>
      </w:r>
      <w:r w:rsidR="00FD71EA">
        <w:t xml:space="preserve">take charge of their own circular economy projects in their own way. </w:t>
      </w:r>
      <w:r w:rsidR="00746688">
        <w:t xml:space="preserve">We partnered </w:t>
      </w:r>
      <w:r w:rsidR="00885610">
        <w:t xml:space="preserve">with </w:t>
      </w:r>
      <w:r w:rsidR="00A105D6">
        <w:t xml:space="preserve">communities from </w:t>
      </w:r>
      <w:r w:rsidR="00746688">
        <w:t>towns and cities across Victoria</w:t>
      </w:r>
      <w:r w:rsidR="00A105D6">
        <w:t xml:space="preserve"> </w:t>
      </w:r>
      <w:r w:rsidR="00746688">
        <w:t xml:space="preserve">to develop their own grassroots circular economy projects, </w:t>
      </w:r>
      <w:r w:rsidR="00BD2A3B">
        <w:t xml:space="preserve">such as </w:t>
      </w:r>
      <w:r w:rsidR="00746688">
        <w:t xml:space="preserve">repair cafes </w:t>
      </w:r>
      <w:r w:rsidR="00BD2A3B">
        <w:t>and</w:t>
      </w:r>
      <w:r w:rsidR="00746688">
        <w:t xml:space="preserve"> nappy sharing schemes. </w:t>
      </w:r>
      <w:r w:rsidR="00A82DF5">
        <w:t>Through our</w:t>
      </w:r>
      <w:r w:rsidR="5A4ADEB9">
        <w:t xml:space="preserve"> Circular Economy Councils and Communities Fund</w:t>
      </w:r>
      <w:r w:rsidR="37FD90F2">
        <w:t>,</w:t>
      </w:r>
      <w:r w:rsidR="5A4ADEB9">
        <w:t xml:space="preserve"> w</w:t>
      </w:r>
      <w:r w:rsidR="006F516C">
        <w:t>e</w:t>
      </w:r>
      <w:r w:rsidR="007A29D3">
        <w:t xml:space="preserve"> provided</w:t>
      </w:r>
      <w:r w:rsidR="006F516C">
        <w:t xml:space="preserve"> over $10</w:t>
      </w:r>
      <w:r w:rsidR="00BD2A3B">
        <w:t> </w:t>
      </w:r>
      <w:r w:rsidR="006F516C">
        <w:t xml:space="preserve">million in grants to </w:t>
      </w:r>
      <w:r w:rsidR="00D703CB">
        <w:t>126</w:t>
      </w:r>
      <w:r w:rsidR="006F516C">
        <w:t xml:space="preserve"> circular economy projects led by councils and community organisations.</w:t>
      </w:r>
    </w:p>
    <w:p w14:paraId="70D9AC68" w14:textId="2C640728" w:rsidR="00AC34EE" w:rsidRPr="00D2317E" w:rsidRDefault="00746688" w:rsidP="00C75D63">
      <w:pPr>
        <w:spacing w:line="257" w:lineRule="auto"/>
      </w:pPr>
      <w:r>
        <w:t xml:space="preserve">In </w:t>
      </w:r>
      <w:r w:rsidDel="007B4783">
        <w:t>2023</w:t>
      </w:r>
      <w:r w:rsidR="007B4783">
        <w:t>–24</w:t>
      </w:r>
      <w:r>
        <w:t xml:space="preserve">, </w:t>
      </w:r>
      <w:r w:rsidR="003E01A9">
        <w:t xml:space="preserve">Bayside City Council’s </w:t>
      </w:r>
      <w:r w:rsidR="00ED39D0">
        <w:t xml:space="preserve">Roving Repair </w:t>
      </w:r>
      <w:r w:rsidR="000C6BEF">
        <w:t xml:space="preserve">program </w:t>
      </w:r>
      <w:r w:rsidR="00C0602B">
        <w:t>deliver</w:t>
      </w:r>
      <w:r w:rsidR="007A29D3">
        <w:t>ed</w:t>
      </w:r>
      <w:r w:rsidR="000C6BEF">
        <w:t xml:space="preserve"> eight community repair events, </w:t>
      </w:r>
      <w:r w:rsidR="00713777">
        <w:t>promoting</w:t>
      </w:r>
      <w:r w:rsidR="000C6BEF">
        <w:t xml:space="preserve"> intergenerational learning and </w:t>
      </w:r>
      <w:r w:rsidR="00AE3A0F">
        <w:t xml:space="preserve">inspiring other local </w:t>
      </w:r>
      <w:r w:rsidR="00A2629E">
        <w:t xml:space="preserve">communities to </w:t>
      </w:r>
      <w:r w:rsidR="00713777">
        <w:t xml:space="preserve">adopt similar </w:t>
      </w:r>
      <w:r w:rsidR="00A2629E">
        <w:t>model</w:t>
      </w:r>
      <w:r w:rsidR="00713777">
        <w:t>s</w:t>
      </w:r>
      <w:r w:rsidR="00A2629E">
        <w:t>.</w:t>
      </w:r>
      <w:r w:rsidR="00C0602B">
        <w:t xml:space="preserve"> </w:t>
      </w:r>
      <w:r w:rsidR="0067657C">
        <w:t xml:space="preserve">Wyndham City Council </w:t>
      </w:r>
      <w:r w:rsidR="00713777">
        <w:t xml:space="preserve">established the </w:t>
      </w:r>
      <w:r w:rsidR="0067657C">
        <w:t>Wyndham Park Tool Library</w:t>
      </w:r>
      <w:r w:rsidR="00713777">
        <w:t>,</w:t>
      </w:r>
      <w:r w:rsidR="00D26D3E">
        <w:t xml:space="preserve"> a new facility at the Wyndham Park Community Centre that </w:t>
      </w:r>
      <w:r w:rsidR="009139BE">
        <w:t>supports</w:t>
      </w:r>
      <w:r w:rsidR="00826704">
        <w:t xml:space="preserve"> </w:t>
      </w:r>
      <w:r w:rsidR="002048C5">
        <w:t>a local shar</w:t>
      </w:r>
      <w:r w:rsidR="009139BE">
        <w:t>ing</w:t>
      </w:r>
      <w:r w:rsidR="002048C5">
        <w:t xml:space="preserve"> economy</w:t>
      </w:r>
      <w:r w:rsidR="005872C1">
        <w:t xml:space="preserve"> </w:t>
      </w:r>
      <w:r w:rsidR="009139BE">
        <w:t xml:space="preserve">by </w:t>
      </w:r>
      <w:r w:rsidR="005872C1">
        <w:t>mak</w:t>
      </w:r>
      <w:r w:rsidR="009139BE">
        <w:t>ing</w:t>
      </w:r>
      <w:r w:rsidR="005872C1">
        <w:t xml:space="preserve"> expensive tools accessible to </w:t>
      </w:r>
      <w:r w:rsidR="009139BE">
        <w:t>everyone in</w:t>
      </w:r>
      <w:r w:rsidR="005872C1">
        <w:t xml:space="preserve"> the community</w:t>
      </w:r>
      <w:r w:rsidR="002048C5">
        <w:t>.</w:t>
      </w:r>
    </w:p>
    <w:p w14:paraId="1A4D5E1B" w14:textId="2734C8FE" w:rsidR="002E5497" w:rsidRPr="00D2317E" w:rsidRDefault="1BE1D519" w:rsidP="00105389">
      <w:pPr>
        <w:pStyle w:val="Body"/>
      </w:pPr>
      <w:r>
        <w:t>The Circular Economy Councils Fund</w:t>
      </w:r>
      <w:r w:rsidR="006F516C">
        <w:t xml:space="preserve"> </w:t>
      </w:r>
      <w:r w:rsidR="1F9DE1DD">
        <w:t>has</w:t>
      </w:r>
      <w:r w:rsidR="00264B53">
        <w:t xml:space="preserve"> </w:t>
      </w:r>
      <w:r w:rsidR="00E4311D">
        <w:t>engaged</w:t>
      </w:r>
      <w:r w:rsidR="00264B53">
        <w:t xml:space="preserve"> every </w:t>
      </w:r>
      <w:r w:rsidR="1F9DE1DD">
        <w:t>Victorian Council</w:t>
      </w:r>
      <w:r w:rsidR="00264B53">
        <w:t xml:space="preserve"> </w:t>
      </w:r>
      <w:r w:rsidR="003C4896">
        <w:t>through direct funding</w:t>
      </w:r>
      <w:r w:rsidR="00F227E5">
        <w:t xml:space="preserve"> </w:t>
      </w:r>
      <w:r w:rsidR="1F9DE1DD">
        <w:t xml:space="preserve">or </w:t>
      </w:r>
      <w:r w:rsidR="00E63F5E">
        <w:t xml:space="preserve">tailored </w:t>
      </w:r>
      <w:r w:rsidR="1F9DE1DD">
        <w:t xml:space="preserve">capability building </w:t>
      </w:r>
      <w:r w:rsidR="00E63F5E">
        <w:t>training</w:t>
      </w:r>
      <w:r w:rsidR="1F9DE1DD">
        <w:t xml:space="preserve"> sessions</w:t>
      </w:r>
      <w:r w:rsidR="003D49AD">
        <w:t xml:space="preserve">. As a result, </w:t>
      </w:r>
      <w:r w:rsidR="068268C0">
        <w:t xml:space="preserve">more </w:t>
      </w:r>
      <w:r w:rsidR="00BF10C7">
        <w:t>than 67</w:t>
      </w:r>
      <w:r w:rsidR="69BB1CB3">
        <w:t xml:space="preserve"> </w:t>
      </w:r>
      <w:r w:rsidR="006121C6">
        <w:t>projects c</w:t>
      </w:r>
      <w:r w:rsidR="003D49AD">
        <w:t>a</w:t>
      </w:r>
      <w:r w:rsidR="006121C6">
        <w:t>me to life.</w:t>
      </w:r>
      <w:r w:rsidR="1F9DE1DD">
        <w:t> </w:t>
      </w:r>
      <w:r w:rsidR="00232CED" w:rsidRPr="00D2317E">
        <w:t xml:space="preserve">In </w:t>
      </w:r>
      <w:r w:rsidR="00232CED" w:rsidRPr="00D2317E" w:rsidDel="007B4783">
        <w:t>2023</w:t>
      </w:r>
      <w:r w:rsidR="007B4783">
        <w:t>–24</w:t>
      </w:r>
      <w:r w:rsidR="551E854B">
        <w:t>,</w:t>
      </w:r>
      <w:r w:rsidR="00232CED" w:rsidRPr="00D2317E">
        <w:t xml:space="preserve"> </w:t>
      </w:r>
      <w:r w:rsidR="00B64B7A">
        <w:t>we hosted a m</w:t>
      </w:r>
      <w:r w:rsidR="00232CED" w:rsidRPr="00D2317E">
        <w:t xml:space="preserve">asterclass </w:t>
      </w:r>
      <w:r w:rsidR="00B64B7A">
        <w:t>which</w:t>
      </w:r>
      <w:r w:rsidR="00232CED" w:rsidRPr="00D2317E">
        <w:t xml:space="preserve"> attracted 96% of Victorian </w:t>
      </w:r>
      <w:r w:rsidR="00F86AE0">
        <w:t>c</w:t>
      </w:r>
      <w:r w:rsidR="00232CED" w:rsidRPr="00D2317E">
        <w:t>ouncils</w:t>
      </w:r>
      <w:r w:rsidR="00F86AE0">
        <w:t>,</w:t>
      </w:r>
      <w:r w:rsidR="00232CED" w:rsidRPr="00D2317E">
        <w:t xml:space="preserve"> with over 160 council staff attending. </w:t>
      </w:r>
      <w:r w:rsidR="00565DE1" w:rsidRPr="00D2317E">
        <w:t xml:space="preserve">We </w:t>
      </w:r>
      <w:r w:rsidR="00024B7A" w:rsidRPr="00D2317E">
        <w:t xml:space="preserve">also </w:t>
      </w:r>
      <w:r w:rsidR="00565DE1" w:rsidRPr="00D2317E">
        <w:t xml:space="preserve">led </w:t>
      </w:r>
      <w:r w:rsidR="1C2E1135">
        <w:t>14</w:t>
      </w:r>
      <w:r w:rsidR="00B263B1" w:rsidRPr="00D2317E">
        <w:t xml:space="preserve"> workshops for community groups on behaviour insights for change</w:t>
      </w:r>
      <w:r w:rsidR="1E0F6D6B">
        <w:t xml:space="preserve">. </w:t>
      </w:r>
      <w:r w:rsidR="00F24455">
        <w:t>We</w:t>
      </w:r>
      <w:r w:rsidR="13BBF383">
        <w:t xml:space="preserve"> </w:t>
      </w:r>
      <w:r w:rsidR="00B263B1">
        <w:t>help</w:t>
      </w:r>
      <w:r w:rsidR="680EBD28">
        <w:t>ed</w:t>
      </w:r>
      <w:r w:rsidR="00B263B1" w:rsidRPr="00D2317E">
        <w:t xml:space="preserve"> </w:t>
      </w:r>
      <w:r w:rsidR="00860915">
        <w:t>them</w:t>
      </w:r>
      <w:r w:rsidR="00B263B1" w:rsidRPr="00D2317E">
        <w:t xml:space="preserve"> identify </w:t>
      </w:r>
      <w:r w:rsidR="00860915" w:rsidRPr="00D2317E">
        <w:t>environmental</w:t>
      </w:r>
      <w:r w:rsidR="00860915">
        <w:t>ly</w:t>
      </w:r>
      <w:r w:rsidR="00860915" w:rsidRPr="00D2317E">
        <w:t xml:space="preserve"> </w:t>
      </w:r>
      <w:r w:rsidR="00860915">
        <w:t>impactful</w:t>
      </w:r>
      <w:r w:rsidR="00860915" w:rsidRPr="00D2317E">
        <w:t xml:space="preserve"> </w:t>
      </w:r>
      <w:r w:rsidR="00B263B1" w:rsidRPr="00D2317E">
        <w:t xml:space="preserve">behaviours and design new </w:t>
      </w:r>
      <w:r w:rsidR="00860915">
        <w:t xml:space="preserve">strategies </w:t>
      </w:r>
      <w:r w:rsidR="00B263B1" w:rsidRPr="00D2317E">
        <w:t xml:space="preserve">to </w:t>
      </w:r>
      <w:r w:rsidR="00860915">
        <w:t>encourage</w:t>
      </w:r>
      <w:r w:rsidR="00B263B1" w:rsidRPr="00D2317E">
        <w:t xml:space="preserve"> more sustainable behaviours</w:t>
      </w:r>
      <w:r w:rsidR="00024B7A" w:rsidRPr="00D2317E">
        <w:t>.</w:t>
      </w:r>
    </w:p>
    <w:p w14:paraId="72ABF2CB" w14:textId="76CDBEC5" w:rsidR="006F516C" w:rsidRPr="00D2317E" w:rsidRDefault="006F516C" w:rsidP="00126908">
      <w:pPr>
        <w:pStyle w:val="Heading3"/>
      </w:pPr>
      <w:bookmarkStart w:id="40" w:name="_Toc166585676"/>
      <w:r w:rsidRPr="00D2317E">
        <w:t>Educating Victorians to make recycling work</w:t>
      </w:r>
      <w:bookmarkEnd w:id="40"/>
    </w:p>
    <w:p w14:paraId="02D1669C" w14:textId="4115A3AD" w:rsidR="00064538" w:rsidRPr="00D2317E" w:rsidRDefault="000D358B" w:rsidP="00105389">
      <w:pPr>
        <w:pStyle w:val="Body"/>
      </w:pPr>
      <w:r>
        <w:t>We</w:t>
      </w:r>
      <w:r w:rsidRPr="00D2317E">
        <w:t xml:space="preserve"> deliver</w:t>
      </w:r>
      <w:r w:rsidR="00064538" w:rsidRPr="00D2317E">
        <w:t>ed</w:t>
      </w:r>
      <w:r w:rsidRPr="00D2317E">
        <w:t xml:space="preserve"> statewide education and behaviour change programs </w:t>
      </w:r>
      <w:r w:rsidR="00721642">
        <w:t xml:space="preserve">to </w:t>
      </w:r>
      <w:r w:rsidRPr="00D2317E">
        <w:t xml:space="preserve">teach Victorian households </w:t>
      </w:r>
      <w:r w:rsidR="00721642">
        <w:t xml:space="preserve">how </w:t>
      </w:r>
      <w:r w:rsidRPr="00D2317E">
        <w:t>to recycle correctly.</w:t>
      </w:r>
    </w:p>
    <w:p w14:paraId="4EE1BDC2" w14:textId="2B76BBE3" w:rsidR="005A0332" w:rsidRPr="005A0332" w:rsidRDefault="005A0332" w:rsidP="005A0332">
      <w:pPr>
        <w:rPr>
          <w:rFonts w:asciiTheme="majorHAnsi" w:hAnsiTheme="majorHAnsi" w:cstheme="majorBidi"/>
        </w:rPr>
      </w:pPr>
      <w:r>
        <w:rPr>
          <w:lang w:eastAsia="en-AU"/>
        </w:rPr>
        <w:t xml:space="preserve">This year 11,781 </w:t>
      </w:r>
      <w:r w:rsidRPr="00DA271D">
        <w:rPr>
          <w:lang w:eastAsia="en-AU"/>
        </w:rPr>
        <w:t xml:space="preserve">Victorians safely </w:t>
      </w:r>
      <w:r w:rsidRPr="65EFC765">
        <w:rPr>
          <w:lang w:eastAsia="en-AU"/>
        </w:rPr>
        <w:t>disposed of</w:t>
      </w:r>
      <w:r w:rsidRPr="00DA271D">
        <w:rPr>
          <w:lang w:eastAsia="en-AU"/>
        </w:rPr>
        <w:t xml:space="preserve"> their household chemicals at a Detox Your Home event</w:t>
      </w:r>
      <w:r>
        <w:rPr>
          <w:lang w:eastAsia="en-AU"/>
        </w:rPr>
        <w:t xml:space="preserve">. These events serve as a </w:t>
      </w:r>
      <w:r w:rsidRPr="00934DC7">
        <w:rPr>
          <w:lang w:eastAsia="en-AU"/>
        </w:rPr>
        <w:t>reminder on how to dispose of chemicals safely</w:t>
      </w:r>
      <w:r>
        <w:rPr>
          <w:lang w:eastAsia="en-AU"/>
        </w:rPr>
        <w:t>.</w:t>
      </w:r>
    </w:p>
    <w:p w14:paraId="5C86EEDA" w14:textId="60E01C38" w:rsidR="00DC647D" w:rsidRPr="00D2317E" w:rsidRDefault="00361FA5" w:rsidP="006F516C">
      <w:pPr>
        <w:rPr>
          <w:rFonts w:asciiTheme="majorHAnsi" w:hAnsiTheme="majorHAnsi" w:cstheme="majorBidi"/>
        </w:rPr>
      </w:pPr>
      <w:r w:rsidRPr="47E671B2">
        <w:rPr>
          <w:rFonts w:asciiTheme="majorHAnsi" w:hAnsiTheme="majorHAnsi" w:cstheme="majorBidi"/>
        </w:rPr>
        <w:t xml:space="preserve">Our </w:t>
      </w:r>
      <w:r w:rsidR="006F516C" w:rsidRPr="47E671B2">
        <w:rPr>
          <w:rFonts w:asciiTheme="majorHAnsi" w:hAnsiTheme="majorHAnsi" w:cstheme="majorBidi"/>
        </w:rPr>
        <w:t>‘Small Acts</w:t>
      </w:r>
      <w:r w:rsidR="00721642">
        <w:rPr>
          <w:rFonts w:asciiTheme="majorHAnsi" w:hAnsiTheme="majorHAnsi" w:cstheme="majorBidi"/>
        </w:rPr>
        <w:t>,</w:t>
      </w:r>
      <w:r w:rsidR="006F516C" w:rsidRPr="47E671B2">
        <w:rPr>
          <w:rFonts w:asciiTheme="majorHAnsi" w:hAnsiTheme="majorHAnsi" w:cstheme="majorBidi"/>
        </w:rPr>
        <w:t xml:space="preserve"> Big Impact’</w:t>
      </w:r>
      <w:r w:rsidR="52CEBA0C" w:rsidRPr="47E671B2">
        <w:rPr>
          <w:rFonts w:asciiTheme="majorHAnsi" w:hAnsiTheme="majorHAnsi" w:cstheme="majorBidi"/>
        </w:rPr>
        <w:t xml:space="preserve"> campaign</w:t>
      </w:r>
      <w:r w:rsidR="27532DB7" w:rsidRPr="47E671B2">
        <w:rPr>
          <w:rFonts w:asciiTheme="majorHAnsi" w:hAnsiTheme="majorHAnsi" w:cstheme="majorBidi"/>
        </w:rPr>
        <w:t xml:space="preserve"> reached over 1</w:t>
      </w:r>
      <w:r w:rsidR="0004278C" w:rsidRPr="47E671B2">
        <w:rPr>
          <w:rFonts w:asciiTheme="majorHAnsi" w:hAnsiTheme="majorHAnsi" w:cstheme="majorBidi"/>
        </w:rPr>
        <w:t xml:space="preserve"> </w:t>
      </w:r>
      <w:r w:rsidR="27532DB7" w:rsidRPr="47E671B2">
        <w:rPr>
          <w:rFonts w:asciiTheme="majorHAnsi" w:hAnsiTheme="majorHAnsi" w:cstheme="majorBidi"/>
        </w:rPr>
        <w:t>million Victorians</w:t>
      </w:r>
      <w:r w:rsidR="00C57CFF" w:rsidRPr="47E671B2">
        <w:rPr>
          <w:rFonts w:asciiTheme="majorHAnsi" w:hAnsiTheme="majorHAnsi" w:cstheme="majorBidi"/>
        </w:rPr>
        <w:t>. It included a</w:t>
      </w:r>
      <w:r w:rsidR="27532DB7" w:rsidRPr="47E671B2">
        <w:rPr>
          <w:rFonts w:asciiTheme="majorHAnsi" w:hAnsiTheme="majorHAnsi" w:cstheme="majorBidi"/>
        </w:rPr>
        <w:t xml:space="preserve"> multicultural engagement program </w:t>
      </w:r>
      <w:r w:rsidR="2628A538" w:rsidRPr="47E671B2">
        <w:rPr>
          <w:rFonts w:asciiTheme="majorHAnsi" w:hAnsiTheme="majorHAnsi" w:cstheme="majorBidi"/>
        </w:rPr>
        <w:t>with</w:t>
      </w:r>
      <w:r w:rsidR="27532DB7" w:rsidRPr="47E671B2">
        <w:rPr>
          <w:rFonts w:asciiTheme="majorHAnsi" w:hAnsiTheme="majorHAnsi" w:cstheme="majorBidi"/>
        </w:rPr>
        <w:t xml:space="preserve"> media coverage</w:t>
      </w:r>
      <w:r w:rsidR="6B5F885F" w:rsidRPr="47E671B2">
        <w:rPr>
          <w:rFonts w:asciiTheme="majorHAnsi" w:hAnsiTheme="majorHAnsi" w:cstheme="majorBidi"/>
        </w:rPr>
        <w:t xml:space="preserve"> and</w:t>
      </w:r>
      <w:r w:rsidR="27532DB7" w:rsidRPr="47E671B2">
        <w:rPr>
          <w:rFonts w:asciiTheme="majorHAnsi" w:hAnsiTheme="majorHAnsi" w:cstheme="majorBidi"/>
        </w:rPr>
        <w:t xml:space="preserve"> ambassadors that engaged </w:t>
      </w:r>
      <w:r w:rsidR="2D3BEF7B" w:rsidRPr="47E671B2">
        <w:rPr>
          <w:rFonts w:asciiTheme="majorHAnsi" w:hAnsiTheme="majorHAnsi" w:cstheme="majorBidi"/>
        </w:rPr>
        <w:t xml:space="preserve">over </w:t>
      </w:r>
      <w:r w:rsidR="00232CED" w:rsidRPr="47E671B2">
        <w:rPr>
          <w:rFonts w:asciiTheme="majorHAnsi" w:hAnsiTheme="majorHAnsi" w:cstheme="majorBidi"/>
        </w:rPr>
        <w:t>300,000</w:t>
      </w:r>
      <w:r w:rsidR="2D3BEF7B" w:rsidRPr="47E671B2">
        <w:rPr>
          <w:rFonts w:asciiTheme="majorHAnsi" w:hAnsiTheme="majorHAnsi" w:cstheme="majorBidi"/>
        </w:rPr>
        <w:t xml:space="preserve"> Victorians from </w:t>
      </w:r>
      <w:r w:rsidR="0004278C" w:rsidRPr="47E671B2">
        <w:rPr>
          <w:rFonts w:asciiTheme="majorHAnsi" w:hAnsiTheme="majorHAnsi" w:cstheme="majorBidi"/>
        </w:rPr>
        <w:t xml:space="preserve">three </w:t>
      </w:r>
      <w:r w:rsidR="27532DB7" w:rsidRPr="47E671B2">
        <w:rPr>
          <w:rFonts w:asciiTheme="majorHAnsi" w:hAnsiTheme="majorHAnsi" w:cstheme="majorBidi"/>
        </w:rPr>
        <w:t>language groups</w:t>
      </w:r>
      <w:r w:rsidR="00D858FB" w:rsidRPr="47E671B2">
        <w:rPr>
          <w:rFonts w:asciiTheme="majorHAnsi" w:hAnsiTheme="majorHAnsi" w:cstheme="majorBidi"/>
        </w:rPr>
        <w:t>.</w:t>
      </w:r>
      <w:r w:rsidR="005A2370" w:rsidRPr="47E671B2">
        <w:rPr>
          <w:rFonts w:asciiTheme="majorHAnsi" w:hAnsiTheme="majorHAnsi" w:cstheme="majorBidi"/>
        </w:rPr>
        <w:t xml:space="preserve"> </w:t>
      </w:r>
      <w:r w:rsidR="1311874D" w:rsidRPr="47E671B2">
        <w:rPr>
          <w:rFonts w:asciiTheme="majorHAnsi" w:hAnsiTheme="majorHAnsi" w:cstheme="majorBidi"/>
        </w:rPr>
        <w:t>More than</w:t>
      </w:r>
      <w:r w:rsidR="009C676D" w:rsidRPr="47E671B2">
        <w:rPr>
          <w:rFonts w:asciiTheme="majorHAnsi" w:hAnsiTheme="majorHAnsi" w:cstheme="majorBidi"/>
        </w:rPr>
        <w:t xml:space="preserve"> a quarter of Victorians </w:t>
      </w:r>
      <w:r w:rsidR="00A12FA4">
        <w:rPr>
          <w:rFonts w:asciiTheme="majorHAnsi" w:hAnsiTheme="majorHAnsi" w:cstheme="majorBidi"/>
        </w:rPr>
        <w:t>remembered</w:t>
      </w:r>
      <w:r w:rsidR="009C676D" w:rsidRPr="47E671B2">
        <w:rPr>
          <w:rFonts w:asciiTheme="majorHAnsi" w:hAnsiTheme="majorHAnsi" w:cstheme="majorBidi"/>
        </w:rPr>
        <w:t xml:space="preserve"> the campaign.</w:t>
      </w:r>
    </w:p>
    <w:p w14:paraId="0BAD434A" w14:textId="71E18DC3" w:rsidR="005B11CC" w:rsidRDefault="006F516C" w:rsidP="006F516C">
      <w:pPr>
        <w:rPr>
          <w:rFonts w:asciiTheme="majorHAnsi" w:hAnsiTheme="majorHAnsi" w:cstheme="majorBidi"/>
        </w:rPr>
      </w:pPr>
      <w:r w:rsidRPr="5137B2C2">
        <w:rPr>
          <w:rFonts w:asciiTheme="majorHAnsi" w:hAnsiTheme="majorHAnsi" w:cstheme="majorBidi"/>
        </w:rPr>
        <w:t>We</w:t>
      </w:r>
      <w:r w:rsidR="00656367" w:rsidRPr="47E671B2">
        <w:rPr>
          <w:rFonts w:asciiTheme="majorHAnsi" w:hAnsiTheme="majorHAnsi" w:cstheme="majorBidi"/>
        </w:rPr>
        <w:t xml:space="preserve"> also</w:t>
      </w:r>
      <w:r w:rsidRPr="47E671B2">
        <w:rPr>
          <w:rFonts w:asciiTheme="majorHAnsi" w:hAnsiTheme="majorHAnsi" w:cstheme="majorBidi"/>
        </w:rPr>
        <w:t xml:space="preserve"> partnered with local councils and alpine resorts to share behaviour change messaging in communities across Victoria.</w:t>
      </w:r>
      <w:r w:rsidR="00D858FB" w:rsidRPr="47E671B2">
        <w:rPr>
          <w:rFonts w:asciiTheme="majorHAnsi" w:hAnsiTheme="majorHAnsi" w:cstheme="majorBidi"/>
        </w:rPr>
        <w:t xml:space="preserve"> </w:t>
      </w:r>
      <w:r w:rsidR="000804CB" w:rsidRPr="47E671B2">
        <w:rPr>
          <w:rFonts w:asciiTheme="majorHAnsi" w:hAnsiTheme="majorHAnsi" w:cstheme="majorBidi"/>
        </w:rPr>
        <w:t xml:space="preserve">The Circular Economy Household Education Fund </w:t>
      </w:r>
      <w:r w:rsidR="002C78D7" w:rsidRPr="47E671B2">
        <w:rPr>
          <w:rFonts w:asciiTheme="majorHAnsi" w:hAnsiTheme="majorHAnsi" w:cstheme="majorBidi"/>
        </w:rPr>
        <w:t xml:space="preserve">has </w:t>
      </w:r>
      <w:r w:rsidR="000A7FA3">
        <w:rPr>
          <w:rFonts w:asciiTheme="majorHAnsi" w:hAnsiTheme="majorHAnsi" w:cstheme="majorBidi"/>
        </w:rPr>
        <w:t>supported</w:t>
      </w:r>
      <w:r w:rsidR="00E932AF" w:rsidRPr="47E671B2">
        <w:rPr>
          <w:rFonts w:asciiTheme="majorHAnsi" w:hAnsiTheme="majorHAnsi" w:cstheme="majorBidi"/>
        </w:rPr>
        <w:t xml:space="preserve"> </w:t>
      </w:r>
      <w:r w:rsidR="001D0AF6" w:rsidRPr="47E671B2">
        <w:rPr>
          <w:rFonts w:asciiTheme="majorHAnsi" w:hAnsiTheme="majorHAnsi" w:cstheme="majorBidi"/>
        </w:rPr>
        <w:t>over 80%</w:t>
      </w:r>
      <w:r w:rsidR="00E932AF" w:rsidRPr="47E671B2">
        <w:rPr>
          <w:rFonts w:asciiTheme="majorHAnsi" w:hAnsiTheme="majorHAnsi" w:cstheme="majorBidi"/>
        </w:rPr>
        <w:t xml:space="preserve"> of</w:t>
      </w:r>
      <w:r w:rsidR="002C78D7" w:rsidRPr="47E671B2">
        <w:rPr>
          <w:rFonts w:asciiTheme="majorHAnsi" w:hAnsiTheme="majorHAnsi" w:cstheme="majorBidi"/>
        </w:rPr>
        <w:t xml:space="preserve"> councils and alpines resorts </w:t>
      </w:r>
      <w:r w:rsidR="000A7FA3">
        <w:rPr>
          <w:rFonts w:asciiTheme="majorHAnsi" w:hAnsiTheme="majorHAnsi" w:cstheme="majorBidi"/>
        </w:rPr>
        <w:t xml:space="preserve">in </w:t>
      </w:r>
      <w:r w:rsidR="002C78D7" w:rsidRPr="47E671B2">
        <w:rPr>
          <w:rFonts w:asciiTheme="majorHAnsi" w:hAnsiTheme="majorHAnsi" w:cstheme="majorBidi"/>
        </w:rPr>
        <w:t>educat</w:t>
      </w:r>
      <w:r w:rsidR="000A7FA3">
        <w:rPr>
          <w:rFonts w:asciiTheme="majorHAnsi" w:hAnsiTheme="majorHAnsi" w:cstheme="majorBidi"/>
        </w:rPr>
        <w:t>ing</w:t>
      </w:r>
      <w:r w:rsidR="002C78D7" w:rsidRPr="47E671B2">
        <w:rPr>
          <w:rFonts w:asciiTheme="majorHAnsi" w:hAnsiTheme="majorHAnsi" w:cstheme="majorBidi"/>
        </w:rPr>
        <w:t xml:space="preserve"> </w:t>
      </w:r>
      <w:r w:rsidR="001605BC" w:rsidRPr="47E671B2">
        <w:rPr>
          <w:rFonts w:asciiTheme="majorHAnsi" w:hAnsiTheme="majorHAnsi" w:cstheme="majorBidi"/>
        </w:rPr>
        <w:t>their communities</w:t>
      </w:r>
      <w:r w:rsidR="006D6391" w:rsidRPr="47E671B2">
        <w:rPr>
          <w:rFonts w:asciiTheme="majorHAnsi" w:hAnsiTheme="majorHAnsi" w:cstheme="majorBidi"/>
        </w:rPr>
        <w:t xml:space="preserve"> on new and improved recy</w:t>
      </w:r>
      <w:r w:rsidR="00C07BD9" w:rsidRPr="47E671B2">
        <w:rPr>
          <w:rFonts w:asciiTheme="majorHAnsi" w:hAnsiTheme="majorHAnsi" w:cstheme="majorBidi"/>
        </w:rPr>
        <w:t>cling services</w:t>
      </w:r>
      <w:r w:rsidR="000935A9" w:rsidRPr="47E671B2">
        <w:rPr>
          <w:rFonts w:asciiTheme="majorHAnsi" w:hAnsiTheme="majorHAnsi" w:cstheme="majorBidi"/>
        </w:rPr>
        <w:t xml:space="preserve"> </w:t>
      </w:r>
      <w:r w:rsidR="000A7FA3">
        <w:rPr>
          <w:rFonts w:asciiTheme="majorHAnsi" w:hAnsiTheme="majorHAnsi" w:cstheme="majorBidi"/>
        </w:rPr>
        <w:t>through</w:t>
      </w:r>
      <w:r w:rsidR="000935A9" w:rsidRPr="47E671B2">
        <w:rPr>
          <w:rFonts w:asciiTheme="majorHAnsi" w:hAnsiTheme="majorHAnsi" w:cstheme="majorBidi"/>
        </w:rPr>
        <w:t xml:space="preserve"> the </w:t>
      </w:r>
      <w:r w:rsidR="743D6692" w:rsidRPr="47E671B2">
        <w:rPr>
          <w:rFonts w:asciiTheme="majorHAnsi" w:hAnsiTheme="majorHAnsi" w:cstheme="majorBidi"/>
        </w:rPr>
        <w:t>‘</w:t>
      </w:r>
      <w:r w:rsidR="000935A9" w:rsidRPr="47E671B2">
        <w:rPr>
          <w:rFonts w:asciiTheme="majorHAnsi" w:hAnsiTheme="majorHAnsi" w:cstheme="majorBidi"/>
        </w:rPr>
        <w:t>Small Acts, Big Impact</w:t>
      </w:r>
      <w:r w:rsidR="5489DEEE" w:rsidRPr="47E671B2">
        <w:rPr>
          <w:rFonts w:asciiTheme="majorHAnsi" w:hAnsiTheme="majorHAnsi" w:cstheme="majorBidi"/>
        </w:rPr>
        <w:t>’</w:t>
      </w:r>
      <w:r w:rsidR="000935A9" w:rsidRPr="47E671B2">
        <w:rPr>
          <w:rFonts w:asciiTheme="majorHAnsi" w:hAnsiTheme="majorHAnsi" w:cstheme="majorBidi"/>
        </w:rPr>
        <w:t xml:space="preserve"> campaign.</w:t>
      </w:r>
      <w:r w:rsidR="00DC692E" w:rsidRPr="47E671B2">
        <w:rPr>
          <w:rFonts w:asciiTheme="majorHAnsi" w:hAnsiTheme="majorHAnsi" w:cstheme="majorBidi"/>
        </w:rPr>
        <w:t xml:space="preserve"> </w:t>
      </w:r>
      <w:r w:rsidR="00724454" w:rsidRPr="00724454">
        <w:rPr>
          <w:rFonts w:asciiTheme="majorHAnsi" w:hAnsiTheme="majorHAnsi" w:cstheme="majorBidi"/>
        </w:rPr>
        <w:t>This work is helping Victorians adapt to the largest recycling shift in a generation – the adoption of new glass, food and organic recycling services – with customisable resources available for councils</w:t>
      </w:r>
      <w:r w:rsidR="00724454">
        <w:rPr>
          <w:rFonts w:asciiTheme="majorHAnsi" w:hAnsiTheme="majorHAnsi" w:cstheme="majorBidi"/>
        </w:rPr>
        <w:t>.</w:t>
      </w:r>
    </w:p>
    <w:p w14:paraId="0EE4F54C" w14:textId="77777777" w:rsidR="00983160" w:rsidRDefault="00E93DFF" w:rsidP="00AA70E5">
      <w:pPr>
        <w:rPr>
          <w:rFonts w:asciiTheme="majorHAnsi" w:hAnsiTheme="majorHAnsi" w:cstheme="majorBidi"/>
        </w:rPr>
      </w:pPr>
      <w:r w:rsidRPr="47E671B2">
        <w:rPr>
          <w:rFonts w:asciiTheme="majorHAnsi" w:hAnsiTheme="majorHAnsi" w:cstheme="majorBidi"/>
        </w:rPr>
        <w:t>In early 2024, we</w:t>
      </w:r>
      <w:r w:rsidR="00D858FB" w:rsidRPr="47E671B2">
        <w:rPr>
          <w:rFonts w:asciiTheme="majorHAnsi" w:hAnsiTheme="majorHAnsi" w:cstheme="majorBidi"/>
        </w:rPr>
        <w:t xml:space="preserve"> </w:t>
      </w:r>
      <w:r w:rsidR="00D42E84" w:rsidRPr="47E671B2">
        <w:rPr>
          <w:rFonts w:asciiTheme="majorHAnsi" w:hAnsiTheme="majorHAnsi" w:cstheme="majorBidi"/>
        </w:rPr>
        <w:t>re</w:t>
      </w:r>
      <w:r w:rsidR="00C16AD0" w:rsidRPr="47E671B2">
        <w:rPr>
          <w:rFonts w:asciiTheme="majorHAnsi" w:hAnsiTheme="majorHAnsi" w:cstheme="majorBidi"/>
        </w:rPr>
        <w:t>launch</w:t>
      </w:r>
      <w:r w:rsidRPr="47E671B2">
        <w:rPr>
          <w:rFonts w:asciiTheme="majorHAnsi" w:hAnsiTheme="majorHAnsi" w:cstheme="majorBidi"/>
        </w:rPr>
        <w:t>ed</w:t>
      </w:r>
      <w:r w:rsidR="00215288" w:rsidRPr="47E671B2">
        <w:rPr>
          <w:rFonts w:asciiTheme="majorHAnsi" w:hAnsiTheme="majorHAnsi" w:cstheme="majorBidi"/>
        </w:rPr>
        <w:t xml:space="preserve"> our </w:t>
      </w:r>
      <w:r w:rsidR="00C16AD0" w:rsidRPr="47E671B2">
        <w:rPr>
          <w:rFonts w:asciiTheme="majorHAnsi" w:hAnsiTheme="majorHAnsi" w:cstheme="majorBidi"/>
        </w:rPr>
        <w:t>d</w:t>
      </w:r>
      <w:r w:rsidR="00215288" w:rsidRPr="47E671B2">
        <w:rPr>
          <w:rFonts w:asciiTheme="majorHAnsi" w:hAnsiTheme="majorHAnsi" w:cstheme="majorBidi"/>
        </w:rPr>
        <w:t xml:space="preserve">igital </w:t>
      </w:r>
      <w:r w:rsidR="00C16AD0" w:rsidRPr="47E671B2">
        <w:rPr>
          <w:rFonts w:asciiTheme="majorHAnsi" w:hAnsiTheme="majorHAnsi" w:cstheme="majorBidi"/>
        </w:rPr>
        <w:t>a</w:t>
      </w:r>
      <w:r w:rsidR="00215288" w:rsidRPr="47E671B2">
        <w:rPr>
          <w:rFonts w:asciiTheme="majorHAnsi" w:hAnsiTheme="majorHAnsi" w:cstheme="majorBidi"/>
        </w:rPr>
        <w:t xml:space="preserve">sset </w:t>
      </w:r>
      <w:r w:rsidR="00D709B2" w:rsidRPr="47E671B2">
        <w:rPr>
          <w:rFonts w:asciiTheme="majorHAnsi" w:hAnsiTheme="majorHAnsi" w:cstheme="majorBidi"/>
        </w:rPr>
        <w:t>m</w:t>
      </w:r>
      <w:r w:rsidR="00215288" w:rsidRPr="47E671B2">
        <w:rPr>
          <w:rFonts w:asciiTheme="majorHAnsi" w:hAnsiTheme="majorHAnsi" w:cstheme="majorBidi"/>
        </w:rPr>
        <w:t xml:space="preserve">anagement </w:t>
      </w:r>
      <w:r w:rsidR="00C16AD0" w:rsidRPr="47E671B2">
        <w:rPr>
          <w:rFonts w:asciiTheme="majorHAnsi" w:hAnsiTheme="majorHAnsi" w:cstheme="majorBidi"/>
        </w:rPr>
        <w:t>platform</w:t>
      </w:r>
      <w:r w:rsidR="00DF10C3">
        <w:rPr>
          <w:rFonts w:asciiTheme="majorHAnsi" w:hAnsiTheme="majorHAnsi" w:cstheme="majorBidi"/>
        </w:rPr>
        <w:t xml:space="preserve">, making it easier for </w:t>
      </w:r>
      <w:r w:rsidR="00C16AD0" w:rsidRPr="47E671B2">
        <w:rPr>
          <w:rFonts w:asciiTheme="majorHAnsi" w:hAnsiTheme="majorHAnsi" w:cstheme="majorBidi"/>
        </w:rPr>
        <w:t xml:space="preserve">stakeholders to access our </w:t>
      </w:r>
      <w:r w:rsidR="00617FCF" w:rsidRPr="47E671B2">
        <w:rPr>
          <w:rFonts w:asciiTheme="majorHAnsi" w:hAnsiTheme="majorHAnsi" w:cstheme="majorBidi"/>
        </w:rPr>
        <w:t xml:space="preserve">campaign </w:t>
      </w:r>
      <w:r w:rsidR="00C16AD0" w:rsidRPr="47E671B2">
        <w:rPr>
          <w:rFonts w:asciiTheme="majorHAnsi" w:hAnsiTheme="majorHAnsi" w:cstheme="majorBidi"/>
        </w:rPr>
        <w:t>materials.</w:t>
      </w:r>
      <w:r w:rsidRPr="47E671B2">
        <w:rPr>
          <w:rFonts w:asciiTheme="majorHAnsi" w:hAnsiTheme="majorHAnsi" w:cstheme="majorBidi"/>
        </w:rPr>
        <w:t xml:space="preserve"> Th</w:t>
      </w:r>
      <w:r w:rsidR="00DF10C3">
        <w:rPr>
          <w:rFonts w:asciiTheme="majorHAnsi" w:hAnsiTheme="majorHAnsi" w:cstheme="majorBidi"/>
        </w:rPr>
        <w:t xml:space="preserve">e platform contains </w:t>
      </w:r>
      <w:r w:rsidRPr="47E671B2">
        <w:rPr>
          <w:rFonts w:asciiTheme="majorHAnsi" w:hAnsiTheme="majorHAnsi" w:cstheme="majorBidi"/>
        </w:rPr>
        <w:t xml:space="preserve">over 3,500 </w:t>
      </w:r>
      <w:r w:rsidR="00DF10C3">
        <w:rPr>
          <w:rFonts w:asciiTheme="majorHAnsi" w:hAnsiTheme="majorHAnsi" w:cstheme="majorBidi"/>
        </w:rPr>
        <w:t>resources</w:t>
      </w:r>
      <w:r w:rsidR="009321E6" w:rsidRPr="47E671B2">
        <w:rPr>
          <w:rFonts w:asciiTheme="majorHAnsi" w:hAnsiTheme="majorHAnsi" w:cstheme="majorBidi"/>
        </w:rPr>
        <w:t xml:space="preserve"> </w:t>
      </w:r>
      <w:r w:rsidRPr="47E671B2">
        <w:rPr>
          <w:rFonts w:asciiTheme="majorHAnsi" w:hAnsiTheme="majorHAnsi" w:cstheme="majorBidi"/>
        </w:rPr>
        <w:t xml:space="preserve">for councils and alpine resorts </w:t>
      </w:r>
      <w:r w:rsidR="00002E34" w:rsidRPr="47E671B2">
        <w:rPr>
          <w:rFonts w:asciiTheme="majorHAnsi" w:hAnsiTheme="majorHAnsi" w:cstheme="majorBidi"/>
        </w:rPr>
        <w:t>to use</w:t>
      </w:r>
      <w:r w:rsidR="00FC5CCE" w:rsidRPr="47E671B2">
        <w:rPr>
          <w:rFonts w:asciiTheme="majorHAnsi" w:hAnsiTheme="majorHAnsi" w:cstheme="majorBidi"/>
        </w:rPr>
        <w:t xml:space="preserve"> </w:t>
      </w:r>
      <w:r w:rsidR="002744AB" w:rsidRPr="47E671B2">
        <w:rPr>
          <w:rFonts w:asciiTheme="majorHAnsi" w:hAnsiTheme="majorHAnsi" w:cstheme="majorBidi"/>
        </w:rPr>
        <w:t>to educate communities about recycling and waste minimisation.</w:t>
      </w:r>
      <w:r w:rsidR="00B1651A">
        <w:rPr>
          <w:rFonts w:asciiTheme="majorHAnsi" w:hAnsiTheme="majorHAnsi" w:cstheme="majorBidi"/>
        </w:rPr>
        <w:t xml:space="preserve"> </w:t>
      </w:r>
    </w:p>
    <w:p w14:paraId="020279E4" w14:textId="0A3A6BCD" w:rsidR="00466A2B" w:rsidRPr="00D2317E" w:rsidRDefault="006F516C" w:rsidP="00AA70E5">
      <w:pPr>
        <w:rPr>
          <w:rFonts w:asciiTheme="majorHAnsi" w:hAnsiTheme="majorHAnsi" w:cstheme="majorBidi"/>
        </w:rPr>
      </w:pPr>
      <w:r w:rsidRPr="2D9752DE">
        <w:rPr>
          <w:rFonts w:asciiTheme="majorHAnsi" w:hAnsiTheme="majorHAnsi" w:cstheme="majorBidi"/>
        </w:rPr>
        <w:t xml:space="preserve">We </w:t>
      </w:r>
      <w:r w:rsidR="00DF10C3">
        <w:rPr>
          <w:rFonts w:asciiTheme="majorHAnsi" w:hAnsiTheme="majorHAnsi" w:cstheme="majorBidi"/>
        </w:rPr>
        <w:t>also</w:t>
      </w:r>
      <w:r w:rsidRPr="2D9752DE">
        <w:rPr>
          <w:rFonts w:asciiTheme="majorHAnsi" w:hAnsiTheme="majorHAnsi" w:cstheme="majorBidi"/>
        </w:rPr>
        <w:t xml:space="preserve"> collaborated across government and industry to ensure our messaging addressed critical issues for the recycling sector</w:t>
      </w:r>
      <w:r w:rsidR="006A2991" w:rsidRPr="2D9752DE">
        <w:rPr>
          <w:rFonts w:asciiTheme="majorHAnsi" w:hAnsiTheme="majorHAnsi" w:cstheme="majorBidi"/>
        </w:rPr>
        <w:t xml:space="preserve">. </w:t>
      </w:r>
      <w:r w:rsidR="00B1651A">
        <w:rPr>
          <w:rFonts w:asciiTheme="majorHAnsi" w:hAnsiTheme="majorHAnsi" w:cstheme="majorBidi"/>
        </w:rPr>
        <w:t>W</w:t>
      </w:r>
      <w:r w:rsidR="00B1651A" w:rsidRPr="2D9752DE">
        <w:rPr>
          <w:rFonts w:asciiTheme="majorHAnsi" w:hAnsiTheme="majorHAnsi" w:cstheme="majorBidi"/>
        </w:rPr>
        <w:t xml:space="preserve">e </w:t>
      </w:r>
      <w:r w:rsidR="00690F69">
        <w:rPr>
          <w:rFonts w:asciiTheme="majorHAnsi" w:hAnsiTheme="majorHAnsi" w:cstheme="majorBidi"/>
        </w:rPr>
        <w:t>partnered</w:t>
      </w:r>
      <w:r w:rsidR="003D1A4D" w:rsidRPr="2D9752DE">
        <w:rPr>
          <w:rFonts w:asciiTheme="majorHAnsi" w:hAnsiTheme="majorHAnsi" w:cstheme="majorBidi"/>
        </w:rPr>
        <w:t xml:space="preserve"> with t</w:t>
      </w:r>
      <w:r w:rsidR="006E5C77" w:rsidRPr="2D9752DE">
        <w:rPr>
          <w:rFonts w:asciiTheme="majorHAnsi" w:hAnsiTheme="majorHAnsi" w:cstheme="majorBidi"/>
        </w:rPr>
        <w:t>he Battery Stewardship Counci</w:t>
      </w:r>
      <w:r w:rsidR="001677A8" w:rsidRPr="2D9752DE">
        <w:rPr>
          <w:rFonts w:asciiTheme="majorHAnsi" w:hAnsiTheme="majorHAnsi" w:cstheme="majorBidi"/>
        </w:rPr>
        <w:t xml:space="preserve">l </w:t>
      </w:r>
      <w:r w:rsidR="00B1651A">
        <w:rPr>
          <w:rFonts w:asciiTheme="majorHAnsi" w:hAnsiTheme="majorHAnsi" w:cstheme="majorBidi"/>
        </w:rPr>
        <w:t>in</w:t>
      </w:r>
      <w:r w:rsidR="001677A8" w:rsidRPr="2D9752DE">
        <w:rPr>
          <w:rFonts w:asciiTheme="majorHAnsi" w:hAnsiTheme="majorHAnsi" w:cstheme="majorBidi"/>
        </w:rPr>
        <w:t xml:space="preserve"> </w:t>
      </w:r>
      <w:r w:rsidR="001677A8" w:rsidRPr="2D9752DE" w:rsidDel="007B4783">
        <w:rPr>
          <w:rFonts w:asciiTheme="majorHAnsi" w:hAnsiTheme="majorHAnsi" w:cstheme="majorBidi"/>
        </w:rPr>
        <w:t>2023</w:t>
      </w:r>
      <w:r w:rsidR="007B4783" w:rsidRPr="2D9752DE">
        <w:rPr>
          <w:rFonts w:asciiTheme="majorHAnsi" w:hAnsiTheme="majorHAnsi" w:cstheme="majorBidi"/>
        </w:rPr>
        <w:t>–24</w:t>
      </w:r>
      <w:r w:rsidR="003D1A4D" w:rsidRPr="2D9752DE">
        <w:rPr>
          <w:rFonts w:asciiTheme="majorHAnsi" w:hAnsiTheme="majorHAnsi" w:cstheme="majorBidi"/>
        </w:rPr>
        <w:t xml:space="preserve"> to</w:t>
      </w:r>
      <w:r w:rsidR="00C81CD5" w:rsidRPr="2D9752DE">
        <w:rPr>
          <w:rFonts w:asciiTheme="majorHAnsi" w:hAnsiTheme="majorHAnsi" w:cstheme="majorBidi"/>
        </w:rPr>
        <w:t xml:space="preserve"> </w:t>
      </w:r>
      <w:r w:rsidR="00B1651A" w:rsidRPr="2D9752DE">
        <w:rPr>
          <w:rFonts w:asciiTheme="majorHAnsi" w:hAnsiTheme="majorHAnsi" w:cstheme="majorBidi"/>
        </w:rPr>
        <w:t>develop</w:t>
      </w:r>
      <w:r w:rsidR="00C81CD5" w:rsidRPr="2D9752DE">
        <w:rPr>
          <w:rFonts w:asciiTheme="majorHAnsi" w:hAnsiTheme="majorHAnsi" w:cstheme="majorBidi"/>
        </w:rPr>
        <w:t xml:space="preserve"> co-branded materials </w:t>
      </w:r>
      <w:r w:rsidR="00CE22B1">
        <w:rPr>
          <w:rFonts w:asciiTheme="majorHAnsi" w:hAnsiTheme="majorHAnsi" w:cstheme="majorBidi"/>
        </w:rPr>
        <w:t>for</w:t>
      </w:r>
      <w:r w:rsidR="007075C3" w:rsidRPr="2D9752DE">
        <w:rPr>
          <w:rFonts w:asciiTheme="majorHAnsi" w:hAnsiTheme="majorHAnsi" w:cstheme="majorBidi"/>
        </w:rPr>
        <w:t xml:space="preserve"> the</w:t>
      </w:r>
      <w:r w:rsidR="009400C9" w:rsidRPr="2D9752DE">
        <w:rPr>
          <w:rFonts w:asciiTheme="majorHAnsi" w:hAnsiTheme="majorHAnsi" w:cstheme="majorBidi"/>
        </w:rPr>
        <w:t>ir</w:t>
      </w:r>
      <w:r w:rsidR="007075C3" w:rsidRPr="2D9752DE">
        <w:rPr>
          <w:rFonts w:asciiTheme="majorHAnsi" w:hAnsiTheme="majorHAnsi" w:cstheme="majorBidi"/>
        </w:rPr>
        <w:t xml:space="preserve"> </w:t>
      </w:r>
      <w:r w:rsidR="0053470E" w:rsidRPr="2D9752DE">
        <w:rPr>
          <w:rFonts w:asciiTheme="majorHAnsi" w:hAnsiTheme="majorHAnsi" w:cstheme="majorBidi"/>
        </w:rPr>
        <w:t xml:space="preserve">national </w:t>
      </w:r>
      <w:r w:rsidR="0042736B" w:rsidRPr="2D9752DE">
        <w:rPr>
          <w:rFonts w:asciiTheme="majorHAnsi" w:hAnsiTheme="majorHAnsi" w:cstheme="majorBidi"/>
        </w:rPr>
        <w:t>battery awareness campaig</w:t>
      </w:r>
      <w:r w:rsidR="00235DA6" w:rsidRPr="2D9752DE">
        <w:rPr>
          <w:rFonts w:asciiTheme="majorHAnsi" w:hAnsiTheme="majorHAnsi" w:cstheme="majorBidi"/>
        </w:rPr>
        <w:t>n</w:t>
      </w:r>
      <w:r w:rsidR="005B54F4" w:rsidRPr="2D9752DE">
        <w:rPr>
          <w:rFonts w:asciiTheme="majorHAnsi" w:hAnsiTheme="majorHAnsi" w:cstheme="majorBidi"/>
        </w:rPr>
        <w:t xml:space="preserve">. </w:t>
      </w:r>
      <w:r w:rsidR="00690F69">
        <w:rPr>
          <w:rFonts w:asciiTheme="majorHAnsi" w:hAnsiTheme="majorHAnsi" w:cstheme="majorBidi"/>
        </w:rPr>
        <w:t xml:space="preserve">These materials were </w:t>
      </w:r>
      <w:r w:rsidR="00690F69">
        <w:rPr>
          <w:rFonts w:asciiTheme="majorHAnsi" w:hAnsiTheme="majorHAnsi" w:cstheme="majorBidi"/>
        </w:rPr>
        <w:lastRenderedPageBreak/>
        <w:t xml:space="preserve">shared through </w:t>
      </w:r>
      <w:r w:rsidR="00B1651A" w:rsidRPr="2D9752DE">
        <w:rPr>
          <w:rFonts w:asciiTheme="majorHAnsi" w:hAnsiTheme="majorHAnsi" w:cstheme="majorBidi"/>
        </w:rPr>
        <w:t>our existing council networks</w:t>
      </w:r>
      <w:r w:rsidR="00690F69">
        <w:rPr>
          <w:rFonts w:asciiTheme="majorHAnsi" w:hAnsiTheme="majorHAnsi" w:cstheme="majorBidi"/>
        </w:rPr>
        <w:t xml:space="preserve">, </w:t>
      </w:r>
      <w:r w:rsidR="00AA70E5" w:rsidRPr="2D9752DE">
        <w:rPr>
          <w:rFonts w:asciiTheme="majorHAnsi" w:hAnsiTheme="majorHAnsi" w:cstheme="majorBidi"/>
        </w:rPr>
        <w:t>align</w:t>
      </w:r>
      <w:r w:rsidR="00690F69">
        <w:rPr>
          <w:rFonts w:asciiTheme="majorHAnsi" w:hAnsiTheme="majorHAnsi" w:cstheme="majorBidi"/>
        </w:rPr>
        <w:t xml:space="preserve">ing </w:t>
      </w:r>
      <w:r w:rsidR="00AA70E5" w:rsidRPr="2D9752DE">
        <w:rPr>
          <w:rFonts w:asciiTheme="majorHAnsi" w:hAnsiTheme="majorHAnsi" w:cstheme="majorBidi"/>
        </w:rPr>
        <w:t xml:space="preserve">with our </w:t>
      </w:r>
      <w:r w:rsidR="00690F69" w:rsidRPr="2D9752DE">
        <w:rPr>
          <w:rFonts w:asciiTheme="majorHAnsi" w:hAnsiTheme="majorHAnsi" w:cstheme="majorBidi"/>
        </w:rPr>
        <w:t>education</w:t>
      </w:r>
      <w:r w:rsidR="00AA70E5" w:rsidRPr="2D9752DE">
        <w:rPr>
          <w:rFonts w:asciiTheme="majorHAnsi" w:hAnsiTheme="majorHAnsi" w:cstheme="majorBidi"/>
        </w:rPr>
        <w:t xml:space="preserve"> and </w:t>
      </w:r>
      <w:r w:rsidR="00690F69" w:rsidRPr="2D9752DE">
        <w:rPr>
          <w:rFonts w:asciiTheme="majorHAnsi" w:hAnsiTheme="majorHAnsi" w:cstheme="majorBidi"/>
        </w:rPr>
        <w:t>behaviour change</w:t>
      </w:r>
      <w:r w:rsidR="00AA70E5" w:rsidRPr="2D9752DE">
        <w:rPr>
          <w:rFonts w:asciiTheme="majorHAnsi" w:hAnsiTheme="majorHAnsi" w:cstheme="majorBidi"/>
        </w:rPr>
        <w:t xml:space="preserve"> program objectives.</w:t>
      </w:r>
    </w:p>
    <w:p w14:paraId="3597AD19" w14:textId="05ADF69A" w:rsidR="004956D1" w:rsidRPr="00D2317E" w:rsidRDefault="004956D1" w:rsidP="004956D1">
      <w:pPr>
        <w:pStyle w:val="Subtitle"/>
        <w:rPr>
          <w:rFonts w:asciiTheme="majorHAnsi" w:hAnsiTheme="majorHAnsi" w:cstheme="majorHAnsi"/>
        </w:rPr>
      </w:pPr>
      <w:r w:rsidRPr="00D2317E">
        <w:rPr>
          <w:rFonts w:asciiTheme="majorHAnsi" w:hAnsiTheme="majorHAnsi" w:cstheme="majorHAnsi"/>
        </w:rPr>
        <w:t>Case study: Multicult</w:t>
      </w:r>
      <w:r w:rsidR="7DC484CC" w:rsidRPr="00D2317E">
        <w:rPr>
          <w:rFonts w:asciiTheme="majorHAnsi" w:hAnsiTheme="majorHAnsi" w:cstheme="majorHAnsi"/>
        </w:rPr>
        <w:t>u</w:t>
      </w:r>
      <w:r w:rsidRPr="00D2317E">
        <w:rPr>
          <w:rFonts w:asciiTheme="majorHAnsi" w:hAnsiTheme="majorHAnsi" w:cstheme="majorHAnsi"/>
        </w:rPr>
        <w:t xml:space="preserve">ral </w:t>
      </w:r>
      <w:r w:rsidR="00E04CF3" w:rsidRPr="00D2317E">
        <w:rPr>
          <w:rFonts w:asciiTheme="majorHAnsi" w:hAnsiTheme="majorHAnsi" w:cstheme="majorHAnsi"/>
        </w:rPr>
        <w:t>community leader inspire</w:t>
      </w:r>
      <w:r w:rsidR="0088797E" w:rsidRPr="00D2317E">
        <w:rPr>
          <w:rFonts w:asciiTheme="majorHAnsi" w:hAnsiTheme="majorHAnsi" w:cstheme="majorHAnsi"/>
        </w:rPr>
        <w:t>s</w:t>
      </w:r>
      <w:r w:rsidR="00E04CF3" w:rsidRPr="00D2317E">
        <w:rPr>
          <w:rFonts w:asciiTheme="majorHAnsi" w:hAnsiTheme="majorHAnsi" w:cstheme="majorHAnsi"/>
        </w:rPr>
        <w:t xml:space="preserve"> others to fight food waste</w:t>
      </w:r>
    </w:p>
    <w:p w14:paraId="2C4081AC" w14:textId="46641F25" w:rsidR="00C1513F" w:rsidRPr="00D2317E" w:rsidRDefault="00C1513F" w:rsidP="0088797E">
      <w:pPr>
        <w:pStyle w:val="casestudybox"/>
        <w:rPr>
          <w:rFonts w:asciiTheme="majorHAnsi" w:hAnsiTheme="majorHAnsi" w:cstheme="majorHAnsi"/>
        </w:rPr>
      </w:pPr>
      <w:r w:rsidRPr="00D2317E">
        <w:rPr>
          <w:rFonts w:asciiTheme="majorHAnsi" w:hAnsiTheme="majorHAnsi" w:cstheme="majorHAnsi"/>
        </w:rPr>
        <w:t>Food waste costs Victorian households an average of $2,600 a year</w:t>
      </w:r>
      <w:r w:rsidR="00A556B7">
        <w:rPr>
          <w:rFonts w:asciiTheme="majorHAnsi" w:hAnsiTheme="majorHAnsi" w:cstheme="majorHAnsi"/>
        </w:rPr>
        <w:t xml:space="preserve">. </w:t>
      </w:r>
      <w:r w:rsidR="00320D7C">
        <w:rPr>
          <w:rFonts w:asciiTheme="majorHAnsi" w:hAnsiTheme="majorHAnsi" w:cstheme="majorHAnsi"/>
        </w:rPr>
        <w:t>With the cost of living rising,</w:t>
      </w:r>
      <w:r w:rsidRPr="00D2317E">
        <w:rPr>
          <w:rFonts w:asciiTheme="majorHAnsi" w:hAnsiTheme="majorHAnsi" w:cstheme="majorHAnsi"/>
        </w:rPr>
        <w:t xml:space="preserve"> small changes in the kitchen</w:t>
      </w:r>
      <w:r w:rsidR="00634C21">
        <w:rPr>
          <w:rFonts w:asciiTheme="majorHAnsi" w:hAnsiTheme="majorHAnsi" w:cstheme="majorHAnsi"/>
        </w:rPr>
        <w:t xml:space="preserve"> can make a big difference</w:t>
      </w:r>
      <w:r w:rsidRPr="00D2317E">
        <w:rPr>
          <w:rFonts w:asciiTheme="majorHAnsi" w:hAnsiTheme="majorHAnsi" w:cstheme="majorHAnsi"/>
        </w:rPr>
        <w:t xml:space="preserve">. </w:t>
      </w:r>
    </w:p>
    <w:p w14:paraId="6D8ACDDE" w14:textId="75EA1A7D" w:rsidR="00030E86" w:rsidRPr="00D2317E" w:rsidRDefault="00C1513F" w:rsidP="0088797E">
      <w:pPr>
        <w:pStyle w:val="casestudybox"/>
        <w:rPr>
          <w:rFonts w:asciiTheme="majorHAnsi" w:hAnsiTheme="majorHAnsi" w:cstheme="majorBidi"/>
        </w:rPr>
      </w:pPr>
      <w:r w:rsidRPr="5298D031">
        <w:rPr>
          <w:rFonts w:asciiTheme="majorHAnsi" w:hAnsiTheme="majorHAnsi" w:cstheme="majorBidi"/>
        </w:rPr>
        <w:t>Dr Harpreet Singh Kandra</w:t>
      </w:r>
      <w:r w:rsidR="00FD2DFB">
        <w:rPr>
          <w:rFonts w:asciiTheme="majorHAnsi" w:hAnsiTheme="majorHAnsi" w:cstheme="majorBidi"/>
        </w:rPr>
        <w:t>,</w:t>
      </w:r>
      <w:r w:rsidR="0088797E" w:rsidRPr="5298D031">
        <w:rPr>
          <w:rFonts w:asciiTheme="majorHAnsi" w:hAnsiTheme="majorHAnsi" w:cstheme="majorBidi"/>
        </w:rPr>
        <w:t xml:space="preserve"> a</w:t>
      </w:r>
      <w:r w:rsidRPr="5298D031">
        <w:rPr>
          <w:rFonts w:asciiTheme="majorHAnsi" w:hAnsiTheme="majorHAnsi" w:cstheme="majorBidi"/>
        </w:rPr>
        <w:t xml:space="preserve"> passionate community leader </w:t>
      </w:r>
      <w:r w:rsidR="00030E86" w:rsidRPr="5298D031">
        <w:rPr>
          <w:rFonts w:asciiTheme="majorHAnsi" w:hAnsiTheme="majorHAnsi" w:cstheme="majorBidi"/>
        </w:rPr>
        <w:t>in Melbourne’s east</w:t>
      </w:r>
      <w:r w:rsidR="004F65B6" w:rsidRPr="5298D031">
        <w:rPr>
          <w:rFonts w:asciiTheme="majorHAnsi" w:hAnsiTheme="majorHAnsi" w:cstheme="majorBidi"/>
        </w:rPr>
        <w:t xml:space="preserve"> and </w:t>
      </w:r>
      <w:r w:rsidR="00FD2DFB">
        <w:rPr>
          <w:rFonts w:asciiTheme="majorHAnsi" w:hAnsiTheme="majorHAnsi" w:cstheme="majorBidi"/>
        </w:rPr>
        <w:t>a</w:t>
      </w:r>
      <w:r w:rsidR="004F65B6" w:rsidRPr="5298D031">
        <w:rPr>
          <w:rFonts w:asciiTheme="majorHAnsi" w:hAnsiTheme="majorHAnsi" w:cstheme="majorBidi"/>
        </w:rPr>
        <w:t xml:space="preserve"> </w:t>
      </w:r>
      <w:r w:rsidR="00030E86" w:rsidRPr="5298D031">
        <w:rPr>
          <w:rFonts w:asciiTheme="majorHAnsi" w:hAnsiTheme="majorHAnsi" w:cstheme="majorBidi"/>
        </w:rPr>
        <w:t>prominent member of the Sikh and Indian community</w:t>
      </w:r>
      <w:r w:rsidR="00FD2DFB">
        <w:rPr>
          <w:rFonts w:asciiTheme="majorHAnsi" w:hAnsiTheme="majorHAnsi" w:cstheme="majorBidi"/>
        </w:rPr>
        <w:t>, was i</w:t>
      </w:r>
      <w:r w:rsidR="00030E86" w:rsidRPr="5298D031">
        <w:rPr>
          <w:rFonts w:asciiTheme="majorHAnsi" w:hAnsiTheme="majorHAnsi" w:cstheme="majorBidi"/>
        </w:rPr>
        <w:t xml:space="preserve">nspired by </w:t>
      </w:r>
      <w:r w:rsidR="00E43647">
        <w:rPr>
          <w:rFonts w:asciiTheme="majorHAnsi" w:hAnsiTheme="majorHAnsi" w:cstheme="majorBidi"/>
        </w:rPr>
        <w:t>SV</w:t>
      </w:r>
      <w:r w:rsidR="00030E86" w:rsidRPr="5298D031">
        <w:rPr>
          <w:rFonts w:asciiTheme="majorHAnsi" w:hAnsiTheme="majorHAnsi" w:cstheme="majorBidi"/>
        </w:rPr>
        <w:t xml:space="preserve">’s </w:t>
      </w:r>
      <w:r w:rsidR="68AE0070" w:rsidRPr="5298D031">
        <w:rPr>
          <w:rFonts w:asciiTheme="majorHAnsi" w:hAnsiTheme="majorHAnsi" w:cstheme="majorBidi"/>
        </w:rPr>
        <w:t>‘</w:t>
      </w:r>
      <w:r w:rsidR="00030E86" w:rsidRPr="5298D031">
        <w:rPr>
          <w:rFonts w:asciiTheme="majorHAnsi" w:hAnsiTheme="majorHAnsi" w:cstheme="majorBidi"/>
        </w:rPr>
        <w:t>I Love Leftovers Challenge</w:t>
      </w:r>
      <w:r w:rsidR="33CF16F1" w:rsidRPr="5298D031">
        <w:rPr>
          <w:rFonts w:asciiTheme="majorHAnsi" w:hAnsiTheme="majorHAnsi" w:cstheme="majorBidi"/>
        </w:rPr>
        <w:t>’</w:t>
      </w:r>
      <w:r w:rsidR="00FD2DFB">
        <w:rPr>
          <w:rFonts w:asciiTheme="majorHAnsi" w:hAnsiTheme="majorHAnsi" w:cstheme="majorBidi"/>
        </w:rPr>
        <w:t>. H</w:t>
      </w:r>
      <w:r w:rsidR="00030E86" w:rsidRPr="5298D031">
        <w:rPr>
          <w:rFonts w:asciiTheme="majorHAnsi" w:hAnsiTheme="majorHAnsi" w:cstheme="majorBidi"/>
        </w:rPr>
        <w:t>e l</w:t>
      </w:r>
      <w:r w:rsidR="00FD2DFB">
        <w:rPr>
          <w:rFonts w:asciiTheme="majorHAnsi" w:hAnsiTheme="majorHAnsi" w:cstheme="majorBidi"/>
        </w:rPr>
        <w:t>aunched</w:t>
      </w:r>
      <w:r w:rsidR="00030E86" w:rsidRPr="5298D031">
        <w:rPr>
          <w:rFonts w:asciiTheme="majorHAnsi" w:hAnsiTheme="majorHAnsi" w:cstheme="majorBidi"/>
        </w:rPr>
        <w:t xml:space="preserve"> an educational program </w:t>
      </w:r>
      <w:r w:rsidR="00FD2DFB">
        <w:rPr>
          <w:rFonts w:asciiTheme="majorHAnsi" w:hAnsiTheme="majorHAnsi" w:cstheme="majorBidi"/>
        </w:rPr>
        <w:t>on</w:t>
      </w:r>
      <w:r w:rsidR="00030E86" w:rsidRPr="5298D031">
        <w:rPr>
          <w:rFonts w:asciiTheme="majorHAnsi" w:hAnsiTheme="majorHAnsi" w:cstheme="majorBidi"/>
        </w:rPr>
        <w:t xml:space="preserve"> food waste for his local community</w:t>
      </w:r>
      <w:r w:rsidR="0089167E">
        <w:rPr>
          <w:rFonts w:asciiTheme="majorHAnsi" w:hAnsiTheme="majorHAnsi" w:cstheme="majorBidi"/>
        </w:rPr>
        <w:t xml:space="preserve">, </w:t>
      </w:r>
      <w:r w:rsidR="00030E86" w:rsidRPr="5298D031">
        <w:rPr>
          <w:rFonts w:asciiTheme="majorHAnsi" w:hAnsiTheme="majorHAnsi" w:cstheme="majorBidi"/>
        </w:rPr>
        <w:t>shar</w:t>
      </w:r>
      <w:r w:rsidR="0089167E">
        <w:rPr>
          <w:rFonts w:asciiTheme="majorHAnsi" w:hAnsiTheme="majorHAnsi" w:cstheme="majorBidi"/>
        </w:rPr>
        <w:t>ing</w:t>
      </w:r>
      <w:r w:rsidR="00030E86" w:rsidRPr="5298D031">
        <w:rPr>
          <w:rFonts w:asciiTheme="majorHAnsi" w:hAnsiTheme="majorHAnsi" w:cstheme="majorBidi"/>
        </w:rPr>
        <w:t xml:space="preserve"> culturally relevant tips and recipes </w:t>
      </w:r>
      <w:r w:rsidR="0089167E">
        <w:rPr>
          <w:rFonts w:asciiTheme="majorHAnsi" w:hAnsiTheme="majorHAnsi" w:cstheme="majorBidi"/>
        </w:rPr>
        <w:t>for</w:t>
      </w:r>
      <w:r w:rsidR="00030E86" w:rsidRPr="5298D031">
        <w:rPr>
          <w:rFonts w:asciiTheme="majorHAnsi" w:hAnsiTheme="majorHAnsi" w:cstheme="majorBidi"/>
        </w:rPr>
        <w:t xml:space="preserve"> us</w:t>
      </w:r>
      <w:r w:rsidR="0089167E">
        <w:rPr>
          <w:rFonts w:asciiTheme="majorHAnsi" w:hAnsiTheme="majorHAnsi" w:cstheme="majorBidi"/>
        </w:rPr>
        <w:t>ing</w:t>
      </w:r>
      <w:r w:rsidR="00030E86" w:rsidRPr="5298D031">
        <w:rPr>
          <w:rFonts w:asciiTheme="majorHAnsi" w:hAnsiTheme="majorHAnsi" w:cstheme="majorBidi"/>
        </w:rPr>
        <w:t xml:space="preserve"> up leftovers.</w:t>
      </w:r>
    </w:p>
    <w:p w14:paraId="0108BB4F" w14:textId="54E77B35" w:rsidR="00030E86" w:rsidRPr="00D2317E" w:rsidRDefault="00030E86" w:rsidP="00D2317E">
      <w:pPr>
        <w:pStyle w:val="casestudybox"/>
        <w:rPr>
          <w:rFonts w:asciiTheme="majorHAnsi" w:hAnsiTheme="majorHAnsi" w:cstheme="majorHAnsi"/>
        </w:rPr>
      </w:pPr>
      <w:r w:rsidRPr="00D2317E">
        <w:rPr>
          <w:rFonts w:asciiTheme="majorHAnsi" w:hAnsiTheme="majorHAnsi" w:cstheme="majorHAnsi"/>
        </w:rPr>
        <w:t>The month-long program ended with a free family event at the local Sikh temple, Gurdwara Siri Guru Nanak Darbar in Officer. Families discussed how to avoid food waste at home</w:t>
      </w:r>
      <w:r w:rsidR="00A44BA3">
        <w:rPr>
          <w:rFonts w:asciiTheme="majorHAnsi" w:hAnsiTheme="majorHAnsi" w:cstheme="majorHAnsi"/>
        </w:rPr>
        <w:t xml:space="preserve"> and</w:t>
      </w:r>
      <w:r w:rsidRPr="00D2317E">
        <w:rPr>
          <w:rFonts w:asciiTheme="majorHAnsi" w:hAnsiTheme="majorHAnsi" w:cstheme="majorHAnsi"/>
        </w:rPr>
        <w:t xml:space="preserve"> prepared free community meals using leftovers. </w:t>
      </w:r>
    </w:p>
    <w:p w14:paraId="47066A57" w14:textId="1A5E6A9D" w:rsidR="00030E86" w:rsidRPr="00D2317E" w:rsidRDefault="00030E86" w:rsidP="00D2317E">
      <w:pPr>
        <w:pStyle w:val="casestudybox"/>
        <w:rPr>
          <w:rFonts w:asciiTheme="majorHAnsi" w:hAnsiTheme="majorHAnsi" w:cstheme="majorHAnsi"/>
        </w:rPr>
      </w:pPr>
      <w:r w:rsidRPr="00D2317E">
        <w:rPr>
          <w:rFonts w:asciiTheme="majorHAnsi" w:hAnsiTheme="majorHAnsi" w:cstheme="majorHAnsi"/>
        </w:rPr>
        <w:t>Easy ideas from the community include</w:t>
      </w:r>
      <w:r w:rsidR="0054070B" w:rsidRPr="00D2317E">
        <w:rPr>
          <w:rFonts w:asciiTheme="majorHAnsi" w:hAnsiTheme="majorHAnsi" w:cstheme="majorHAnsi"/>
        </w:rPr>
        <w:t>d</w:t>
      </w:r>
      <w:r w:rsidRPr="00D2317E">
        <w:rPr>
          <w:rFonts w:asciiTheme="majorHAnsi" w:hAnsiTheme="majorHAnsi" w:cstheme="majorHAnsi"/>
        </w:rPr>
        <w:t>:</w:t>
      </w:r>
    </w:p>
    <w:p w14:paraId="5C2A5EA0" w14:textId="3AD3E0C5" w:rsidR="00030E86" w:rsidRPr="00D2317E" w:rsidRDefault="00D2317E" w:rsidP="00D2317E">
      <w:pPr>
        <w:pStyle w:val="casestudybox"/>
        <w:rPr>
          <w:rFonts w:asciiTheme="majorHAnsi" w:hAnsiTheme="majorHAnsi" w:cstheme="majorHAnsi"/>
        </w:rPr>
      </w:pPr>
      <w:r w:rsidRPr="00D2317E">
        <w:rPr>
          <w:rFonts w:asciiTheme="majorHAnsi" w:hAnsiTheme="majorHAnsi" w:cstheme="majorHAnsi"/>
        </w:rPr>
        <w:t xml:space="preserve">• </w:t>
      </w:r>
      <w:r w:rsidR="00A44BA3">
        <w:rPr>
          <w:rFonts w:asciiTheme="majorHAnsi" w:hAnsiTheme="majorHAnsi" w:cstheme="majorHAnsi"/>
        </w:rPr>
        <w:t>turning</w:t>
      </w:r>
      <w:r w:rsidR="00030E86" w:rsidRPr="00D2317E">
        <w:rPr>
          <w:rFonts w:asciiTheme="majorHAnsi" w:hAnsiTheme="majorHAnsi" w:cstheme="majorHAnsi"/>
        </w:rPr>
        <w:t xml:space="preserve"> stale bread </w:t>
      </w:r>
      <w:r w:rsidR="00A44BA3">
        <w:rPr>
          <w:rFonts w:asciiTheme="majorHAnsi" w:hAnsiTheme="majorHAnsi" w:cstheme="majorHAnsi"/>
        </w:rPr>
        <w:t>in</w:t>
      </w:r>
      <w:r w:rsidR="00030E86" w:rsidRPr="00D2317E">
        <w:rPr>
          <w:rFonts w:asciiTheme="majorHAnsi" w:hAnsiTheme="majorHAnsi" w:cstheme="majorHAnsi"/>
        </w:rPr>
        <w:t>to breadcrumbs to thicken curry sauces or for fried treats</w:t>
      </w:r>
    </w:p>
    <w:p w14:paraId="607D0F51" w14:textId="18EC2F2C" w:rsidR="00030E86" w:rsidRPr="00D2317E" w:rsidRDefault="00D2317E" w:rsidP="00D2317E">
      <w:pPr>
        <w:pStyle w:val="casestudybox"/>
        <w:rPr>
          <w:rFonts w:asciiTheme="majorHAnsi" w:hAnsiTheme="majorHAnsi" w:cstheme="majorHAnsi"/>
        </w:rPr>
      </w:pPr>
      <w:r w:rsidRPr="00D2317E">
        <w:rPr>
          <w:rFonts w:asciiTheme="majorHAnsi" w:hAnsiTheme="majorHAnsi" w:cstheme="majorHAnsi"/>
        </w:rPr>
        <w:t xml:space="preserve">• </w:t>
      </w:r>
      <w:r w:rsidR="00766B8C">
        <w:rPr>
          <w:rFonts w:asciiTheme="majorHAnsi" w:hAnsiTheme="majorHAnsi" w:cstheme="majorHAnsi"/>
        </w:rPr>
        <w:t>mix</w:t>
      </w:r>
      <w:r w:rsidR="00030E86" w:rsidRPr="00D2317E">
        <w:rPr>
          <w:rFonts w:asciiTheme="majorHAnsi" w:hAnsiTheme="majorHAnsi" w:cstheme="majorHAnsi"/>
        </w:rPr>
        <w:t xml:space="preserve">ing leftover </w:t>
      </w:r>
      <w:proofErr w:type="spellStart"/>
      <w:r w:rsidR="00030E86" w:rsidRPr="00D2317E">
        <w:rPr>
          <w:rFonts w:asciiTheme="majorHAnsi" w:hAnsiTheme="majorHAnsi" w:cstheme="majorHAnsi"/>
        </w:rPr>
        <w:t>daal</w:t>
      </w:r>
      <w:proofErr w:type="spellEnd"/>
      <w:r w:rsidR="00030E86" w:rsidRPr="00D2317E">
        <w:rPr>
          <w:rFonts w:asciiTheme="majorHAnsi" w:hAnsiTheme="majorHAnsi" w:cstheme="majorHAnsi"/>
        </w:rPr>
        <w:t xml:space="preserve"> into roti dough for added flavour and texture</w:t>
      </w:r>
    </w:p>
    <w:p w14:paraId="38C1858C" w14:textId="3D204D3C" w:rsidR="00030E86" w:rsidRPr="00D2317E" w:rsidRDefault="00D2317E" w:rsidP="00D2317E">
      <w:pPr>
        <w:pStyle w:val="casestudybox"/>
        <w:rPr>
          <w:rFonts w:asciiTheme="majorHAnsi" w:hAnsiTheme="majorHAnsi" w:cstheme="majorHAnsi"/>
        </w:rPr>
      </w:pPr>
      <w:r w:rsidRPr="00D2317E">
        <w:rPr>
          <w:rFonts w:asciiTheme="majorHAnsi" w:hAnsiTheme="majorHAnsi" w:cstheme="majorHAnsi"/>
        </w:rPr>
        <w:t xml:space="preserve">• </w:t>
      </w:r>
      <w:r w:rsidR="00766B8C">
        <w:rPr>
          <w:rFonts w:asciiTheme="majorHAnsi" w:hAnsiTheme="majorHAnsi" w:cstheme="majorHAnsi"/>
        </w:rPr>
        <w:t>preserving</w:t>
      </w:r>
      <w:r w:rsidR="00030E86" w:rsidRPr="00D2317E">
        <w:rPr>
          <w:rFonts w:asciiTheme="majorHAnsi" w:hAnsiTheme="majorHAnsi" w:cstheme="majorHAnsi"/>
        </w:rPr>
        <w:t xml:space="preserve"> fresh herbs by freezing or drying them (in the sun or air fryer).</w:t>
      </w:r>
    </w:p>
    <w:p w14:paraId="725E8696" w14:textId="53DDBEF6" w:rsidR="00030E86" w:rsidRPr="00D2317E" w:rsidRDefault="00766B8C" w:rsidP="0088797E">
      <w:pPr>
        <w:pStyle w:val="casestudybox"/>
        <w:rPr>
          <w:rFonts w:asciiTheme="majorHAnsi" w:hAnsiTheme="majorHAnsi" w:cstheme="majorBidi"/>
        </w:rPr>
      </w:pPr>
      <w:r w:rsidRPr="1FE4AF87">
        <w:rPr>
          <w:rFonts w:asciiTheme="majorHAnsi" w:hAnsiTheme="majorHAnsi" w:cstheme="majorBidi"/>
        </w:rPr>
        <w:t>Dr Kandra</w:t>
      </w:r>
      <w:r>
        <w:rPr>
          <w:rFonts w:asciiTheme="majorHAnsi" w:hAnsiTheme="majorHAnsi" w:cstheme="majorBidi"/>
        </w:rPr>
        <w:t xml:space="preserve"> emphasised that, </w:t>
      </w:r>
      <w:r w:rsidR="00030E86" w:rsidRPr="12DB3CBC">
        <w:rPr>
          <w:rFonts w:asciiTheme="majorHAnsi" w:hAnsiTheme="majorHAnsi" w:cstheme="majorBidi"/>
        </w:rPr>
        <w:t>“It is our shared responsibility to prevent food wastage, as it benefits both our finances and the environment</w:t>
      </w:r>
      <w:r w:rsidR="00B86B7E">
        <w:rPr>
          <w:rFonts w:asciiTheme="majorHAnsi" w:hAnsiTheme="majorHAnsi" w:cstheme="majorBidi"/>
        </w:rPr>
        <w:t xml:space="preserve">. </w:t>
      </w:r>
      <w:r w:rsidR="00030E86" w:rsidRPr="1FE4AF87">
        <w:rPr>
          <w:rFonts w:asciiTheme="majorHAnsi" w:hAnsiTheme="majorHAnsi" w:cstheme="majorBidi"/>
        </w:rPr>
        <w:t>As a community, we can learn from each other and can make meaningful strides in addressing this pressing issue. Our small acts can make a big impact</w:t>
      </w:r>
      <w:r w:rsidR="00B86B7E">
        <w:rPr>
          <w:rFonts w:asciiTheme="majorHAnsi" w:hAnsiTheme="majorHAnsi" w:cstheme="majorBidi"/>
        </w:rPr>
        <w:t>.”</w:t>
      </w:r>
    </w:p>
    <w:p w14:paraId="2F5E1EE1" w14:textId="639DCAC3" w:rsidR="00030E86" w:rsidRPr="00D2317E" w:rsidRDefault="00387EB8" w:rsidP="0088797E">
      <w:pPr>
        <w:pStyle w:val="casestudybox"/>
        <w:rPr>
          <w:rFonts w:asciiTheme="majorHAnsi" w:hAnsiTheme="majorHAnsi" w:cstheme="majorBidi"/>
        </w:rPr>
      </w:pPr>
      <w:r w:rsidRPr="4A1E704A">
        <w:rPr>
          <w:rFonts w:asciiTheme="majorHAnsi" w:hAnsiTheme="majorHAnsi" w:cstheme="majorBidi"/>
        </w:rPr>
        <w:t>D</w:t>
      </w:r>
      <w:r w:rsidR="00030E86" w:rsidRPr="4A1E704A">
        <w:rPr>
          <w:rFonts w:asciiTheme="majorHAnsi" w:hAnsiTheme="majorHAnsi" w:cstheme="majorBidi"/>
        </w:rPr>
        <w:t>elicious recipes from the program are available in </w:t>
      </w:r>
      <w:hyperlink r:id="rId37">
        <w:r w:rsidR="00030E86" w:rsidRPr="4A1E704A">
          <w:rPr>
            <w:rStyle w:val="Hyperlink"/>
            <w:rFonts w:asciiTheme="majorHAnsi" w:hAnsiTheme="majorHAnsi" w:cstheme="majorBidi"/>
            <w:color w:val="auto"/>
            <w:sz w:val="22"/>
            <w:u w:val="none"/>
          </w:rPr>
          <w:t>Punjabi</w:t>
        </w:r>
      </w:hyperlink>
      <w:r w:rsidRPr="4A1E704A">
        <w:rPr>
          <w:rFonts w:asciiTheme="majorHAnsi" w:hAnsiTheme="majorHAnsi" w:cstheme="majorBidi"/>
        </w:rPr>
        <w:t xml:space="preserve"> on </w:t>
      </w:r>
      <w:r w:rsidR="00035E10" w:rsidRPr="4A1E704A">
        <w:rPr>
          <w:rFonts w:asciiTheme="majorHAnsi" w:hAnsiTheme="majorHAnsi" w:cstheme="majorBidi"/>
        </w:rPr>
        <w:t xml:space="preserve">the </w:t>
      </w:r>
      <w:r w:rsidR="2BA70EB5" w:rsidRPr="4A1E704A">
        <w:rPr>
          <w:rFonts w:asciiTheme="majorHAnsi" w:hAnsiTheme="majorHAnsi" w:cstheme="majorBidi"/>
        </w:rPr>
        <w:t>SV</w:t>
      </w:r>
      <w:r w:rsidR="00035E10" w:rsidRPr="4A1E704A">
        <w:rPr>
          <w:rFonts w:asciiTheme="majorHAnsi" w:hAnsiTheme="majorHAnsi" w:cstheme="majorBidi"/>
        </w:rPr>
        <w:t xml:space="preserve"> </w:t>
      </w:r>
      <w:hyperlink r:id="rId38" w:history="1">
        <w:r w:rsidR="00035E10" w:rsidRPr="00975C29">
          <w:rPr>
            <w:rStyle w:val="Hyperlink"/>
            <w:rFonts w:asciiTheme="majorHAnsi" w:hAnsiTheme="majorHAnsi" w:cstheme="majorBidi"/>
            <w:sz w:val="22"/>
          </w:rPr>
          <w:t>website</w:t>
        </w:r>
      </w:hyperlink>
      <w:r w:rsidR="00030E86" w:rsidRPr="4A1E704A">
        <w:rPr>
          <w:rFonts w:asciiTheme="majorHAnsi" w:hAnsiTheme="majorHAnsi" w:cstheme="majorBidi"/>
        </w:rPr>
        <w:t>.</w:t>
      </w:r>
    </w:p>
    <w:p w14:paraId="01164725" w14:textId="17603705" w:rsidR="00222167" w:rsidRPr="00D2317E" w:rsidRDefault="00021DE5" w:rsidP="004956D1">
      <w:pPr>
        <w:pStyle w:val="Subtitle"/>
        <w:rPr>
          <w:rFonts w:asciiTheme="majorHAnsi" w:hAnsiTheme="majorHAnsi" w:cstheme="majorBidi"/>
        </w:rPr>
      </w:pPr>
      <w:r>
        <w:rPr>
          <w:noProof/>
        </w:rPr>
        <w:drawing>
          <wp:inline distT="0" distB="0" distL="0" distR="0" wp14:anchorId="66C9AFE9" wp14:editId="2D070D99">
            <wp:extent cx="3648075" cy="2683715"/>
            <wp:effectExtent l="0" t="0" r="0" b="2540"/>
            <wp:docPr id="986366233" name="Picture 1" descr="A group of women and children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3648075" cy="2683715"/>
                    </a:xfrm>
                    <a:prstGeom prst="rect">
                      <a:avLst/>
                    </a:prstGeom>
                  </pic:spPr>
                </pic:pic>
              </a:graphicData>
            </a:graphic>
          </wp:inline>
        </w:drawing>
      </w:r>
    </w:p>
    <w:p w14:paraId="1B33CFB1" w14:textId="549DED88" w:rsidR="004956D1" w:rsidRPr="00DF1E32" w:rsidRDefault="009303A7" w:rsidP="009303A7">
      <w:pPr>
        <w:pStyle w:val="Caption"/>
      </w:pPr>
      <w:r w:rsidRPr="00DF1E32">
        <w:t xml:space="preserve">Community </w:t>
      </w:r>
      <w:r w:rsidR="00DF1E32" w:rsidRPr="00DF1E32">
        <w:t xml:space="preserve">members following recipes and </w:t>
      </w:r>
      <w:r w:rsidRPr="00DF1E32">
        <w:t>cooking</w:t>
      </w:r>
      <w:r w:rsidR="00DF1E32" w:rsidRPr="00DF1E32">
        <w:t xml:space="preserve"> together using </w:t>
      </w:r>
      <w:r w:rsidRPr="00DF1E32">
        <w:t>leftovers</w:t>
      </w:r>
      <w:r w:rsidR="00DF1E32" w:rsidRPr="00DF1E32">
        <w:t>.</w:t>
      </w:r>
    </w:p>
    <w:p w14:paraId="1B619F02" w14:textId="5892AF6A" w:rsidR="00872DAD" w:rsidRPr="00D2317E" w:rsidRDefault="00872DAD" w:rsidP="00872DAD">
      <w:pPr>
        <w:pStyle w:val="Subtitle"/>
        <w:rPr>
          <w:rFonts w:asciiTheme="majorHAnsi" w:hAnsiTheme="majorHAnsi" w:cstheme="majorHAnsi"/>
        </w:rPr>
      </w:pPr>
    </w:p>
    <w:p w14:paraId="7FB94C37" w14:textId="77777777" w:rsidR="00874E90" w:rsidRPr="00D2317E" w:rsidRDefault="00874E90">
      <w:pPr>
        <w:spacing w:line="259" w:lineRule="auto"/>
        <w:rPr>
          <w:rStyle w:val="A2"/>
          <w:rFonts w:asciiTheme="majorHAnsi" w:eastAsiaTheme="majorEastAsia" w:hAnsiTheme="majorHAnsi" w:cstheme="majorHAnsi"/>
          <w:b/>
          <w:color w:val="174F37"/>
          <w:sz w:val="40"/>
          <w:szCs w:val="32"/>
        </w:rPr>
      </w:pPr>
      <w:bookmarkStart w:id="41" w:name="_Toc166500855"/>
      <w:bookmarkStart w:id="42" w:name="_Toc166585677"/>
      <w:bookmarkStart w:id="43" w:name="_Toc167807881"/>
      <w:r w:rsidRPr="00D2317E">
        <w:rPr>
          <w:rStyle w:val="A2"/>
          <w:rFonts w:asciiTheme="majorHAnsi" w:hAnsiTheme="majorHAnsi" w:cstheme="majorHAnsi"/>
          <w:color w:val="174F37"/>
          <w:sz w:val="40"/>
          <w:szCs w:val="32"/>
        </w:rPr>
        <w:br w:type="page"/>
      </w:r>
    </w:p>
    <w:p w14:paraId="7B8AA5C6" w14:textId="3405BB7A" w:rsidR="006F516C" w:rsidRPr="00132505" w:rsidRDefault="006F516C" w:rsidP="00132505">
      <w:pPr>
        <w:pStyle w:val="Heading2"/>
      </w:pPr>
      <w:r w:rsidRPr="00132505">
        <w:rPr>
          <w:rStyle w:val="A2"/>
          <w:rFonts w:cstheme="majorBidi"/>
          <w:color w:val="164F36" w:themeColor="text2"/>
          <w:sz w:val="32"/>
          <w:szCs w:val="26"/>
        </w:rPr>
        <w:lastRenderedPageBreak/>
        <w:t>Building an evidence base for government policy and action</w:t>
      </w:r>
      <w:bookmarkEnd w:id="41"/>
      <w:bookmarkEnd w:id="42"/>
      <w:bookmarkEnd w:id="43"/>
    </w:p>
    <w:p w14:paraId="25B4B8CB" w14:textId="1C0B1F57" w:rsidR="00941C16" w:rsidRDefault="0003171D" w:rsidP="00941C16">
      <w:r>
        <w:t>We</w:t>
      </w:r>
      <w:r w:rsidR="00941C16">
        <w:t xml:space="preserve"> </w:t>
      </w:r>
      <w:r w:rsidR="190BDEE4">
        <w:t>contribute</w:t>
      </w:r>
      <w:r w:rsidR="094DA37F">
        <w:t xml:space="preserve"> research insights</w:t>
      </w:r>
      <w:r w:rsidR="00941C16">
        <w:t xml:space="preserve"> and long-term thinking to </w:t>
      </w:r>
      <w:r w:rsidR="00FF2C24">
        <w:t>guide</w:t>
      </w:r>
      <w:r w:rsidR="00941C16">
        <w:t xml:space="preserve"> Victoria’s </w:t>
      </w:r>
      <w:r w:rsidR="00FF2C24">
        <w:t>shift</w:t>
      </w:r>
      <w:r w:rsidR="00941C16">
        <w:t xml:space="preserve"> to a circular</w:t>
      </w:r>
      <w:r w:rsidR="26B6CBED">
        <w:t>,</w:t>
      </w:r>
      <w:r w:rsidR="00941C16">
        <w:t xml:space="preserve"> </w:t>
      </w:r>
      <w:r w:rsidR="26B6CBED">
        <w:t>climate resilient and clean economy</w:t>
      </w:r>
      <w:r w:rsidR="00941C16">
        <w:t xml:space="preserve">. As the Victorian Government’s sustainability </w:t>
      </w:r>
      <w:r w:rsidR="1C7271CD">
        <w:t>thinktank</w:t>
      </w:r>
      <w:r w:rsidR="00941C16">
        <w:t xml:space="preserve">, </w:t>
      </w:r>
      <w:r w:rsidR="1C7271CD">
        <w:t>we</w:t>
      </w:r>
      <w:r w:rsidR="145D7A0F">
        <w:t xml:space="preserve"> </w:t>
      </w:r>
      <w:r w:rsidR="00506EE1">
        <w:t>collaborate</w:t>
      </w:r>
      <w:r w:rsidR="6072DDEE">
        <w:t xml:space="preserve"> </w:t>
      </w:r>
      <w:r w:rsidR="00506EE1">
        <w:t>with</w:t>
      </w:r>
      <w:r w:rsidR="6072DDEE">
        <w:t xml:space="preserve"> researchers</w:t>
      </w:r>
      <w:r w:rsidR="29E533A6">
        <w:t xml:space="preserve"> from universities,</w:t>
      </w:r>
      <w:r w:rsidR="65DC7116">
        <w:t xml:space="preserve"> community groups and</w:t>
      </w:r>
      <w:r w:rsidR="29E533A6">
        <w:t xml:space="preserve"> industry</w:t>
      </w:r>
      <w:r w:rsidR="78358899">
        <w:t xml:space="preserve"> </w:t>
      </w:r>
      <w:r w:rsidR="00190038">
        <w:t xml:space="preserve">associations </w:t>
      </w:r>
      <w:r w:rsidR="78358899">
        <w:t xml:space="preserve">to </w:t>
      </w:r>
      <w:r w:rsidR="00506EE1">
        <w:t>solve complex</w:t>
      </w:r>
      <w:r w:rsidR="0777B661">
        <w:t xml:space="preserve"> challenges</w:t>
      </w:r>
      <w:r w:rsidR="2D0E8B64">
        <w:t>.</w:t>
      </w:r>
      <w:r w:rsidR="00506EE1">
        <w:t xml:space="preserve"> </w:t>
      </w:r>
    </w:p>
    <w:p w14:paraId="2FB96E9A" w14:textId="6632E339" w:rsidR="656757EA" w:rsidRDefault="00506EE1">
      <w:r>
        <w:t>Our</w:t>
      </w:r>
      <w:r w:rsidR="656757EA">
        <w:t xml:space="preserve"> </w:t>
      </w:r>
      <w:r w:rsidR="656757EA" w:rsidRPr="00924123">
        <w:rPr>
          <w:i/>
        </w:rPr>
        <w:t>State of Sustainability Report 2023</w:t>
      </w:r>
      <w:r w:rsidR="656757EA">
        <w:t xml:space="preserve"> is part of a</w:t>
      </w:r>
      <w:r w:rsidR="00EA4BEE">
        <w:t>n ongoing</w:t>
      </w:r>
      <w:r w:rsidR="656757EA">
        <w:t xml:space="preserve"> research program to track the attitudes, beliefs and behaviours of Victorians</w:t>
      </w:r>
      <w:r w:rsidR="00EA4BEE">
        <w:t xml:space="preserve"> towards sustainability.</w:t>
      </w:r>
      <w:r w:rsidR="15056831">
        <w:t xml:space="preserve"> </w:t>
      </w:r>
      <w:r w:rsidR="4C1B46C0">
        <w:t>T</w:t>
      </w:r>
      <w:r w:rsidR="656757EA">
        <w:t xml:space="preserve">he </w:t>
      </w:r>
      <w:r w:rsidR="00371B62">
        <w:t xml:space="preserve">report offers </w:t>
      </w:r>
      <w:r w:rsidR="656757EA">
        <w:t xml:space="preserve">a </w:t>
      </w:r>
      <w:r w:rsidR="00371B62">
        <w:t>detailed view</w:t>
      </w:r>
      <w:r w:rsidR="656757EA">
        <w:t xml:space="preserve"> of community </w:t>
      </w:r>
      <w:r w:rsidR="00371B62">
        <w:t xml:space="preserve">perspectives on </w:t>
      </w:r>
      <w:r w:rsidR="656757EA">
        <w:t xml:space="preserve">climate change and </w:t>
      </w:r>
      <w:r w:rsidR="003060D9">
        <w:t xml:space="preserve">sustainable living, helping </w:t>
      </w:r>
      <w:r w:rsidR="656757EA">
        <w:t xml:space="preserve">policymakers to </w:t>
      </w:r>
      <w:r w:rsidR="003060D9">
        <w:t>create</w:t>
      </w:r>
      <w:r w:rsidR="656757EA">
        <w:t xml:space="preserve"> data-driven polic</w:t>
      </w:r>
      <w:r w:rsidR="00D14BA3">
        <w:t>ies</w:t>
      </w:r>
      <w:r w:rsidR="656757EA">
        <w:t xml:space="preserve"> and programs </w:t>
      </w:r>
      <w:r w:rsidR="00D14BA3">
        <w:t>aligned with</w:t>
      </w:r>
      <w:r w:rsidR="656757EA">
        <w:t xml:space="preserve"> community expectations</w:t>
      </w:r>
      <w:r w:rsidR="09019F33">
        <w:t>.</w:t>
      </w:r>
    </w:p>
    <w:p w14:paraId="5677FB31" w14:textId="6E27E435" w:rsidR="00941C16" w:rsidRDefault="0083624B" w:rsidP="00941C16">
      <w:r>
        <w:t>We</w:t>
      </w:r>
      <w:r w:rsidR="01FE54E7">
        <w:t xml:space="preserve"> </w:t>
      </w:r>
      <w:r w:rsidR="6A2D5923">
        <w:t xml:space="preserve">also </w:t>
      </w:r>
      <w:r w:rsidR="163C5644">
        <w:t>monitor</w:t>
      </w:r>
      <w:r w:rsidR="139E92CA">
        <w:t xml:space="preserve"> international developments in circular economy </w:t>
      </w:r>
      <w:r w:rsidR="0BB37E59">
        <w:t>and energy efficiency</w:t>
      </w:r>
      <w:r w:rsidR="139E92CA">
        <w:t xml:space="preserve"> and analyse </w:t>
      </w:r>
      <w:r w:rsidR="00361D5B">
        <w:t>e</w:t>
      </w:r>
      <w:r w:rsidR="69B10709">
        <w:t>merging technolog</w:t>
      </w:r>
      <w:r w:rsidR="0FD1661A">
        <w:t>ies</w:t>
      </w:r>
      <w:r w:rsidR="69B10709">
        <w:t xml:space="preserve"> and practices to</w:t>
      </w:r>
      <w:r w:rsidR="205583A8">
        <w:t xml:space="preserve"> </w:t>
      </w:r>
      <w:r w:rsidR="00ED44C5">
        <w:t>provide valuable</w:t>
      </w:r>
      <w:r w:rsidR="205583A8">
        <w:t xml:space="preserve"> </w:t>
      </w:r>
      <w:r w:rsidR="6FCF079E">
        <w:t xml:space="preserve">insights </w:t>
      </w:r>
      <w:r w:rsidR="205583A8">
        <w:t>with policymakers</w:t>
      </w:r>
      <w:r w:rsidR="3441CFBE">
        <w:t>.</w:t>
      </w:r>
      <w:r w:rsidR="3B8BEB09">
        <w:t xml:space="preserve"> </w:t>
      </w:r>
      <w:r w:rsidR="00ED44C5">
        <w:t>Our</w:t>
      </w:r>
      <w:r w:rsidR="40555F28">
        <w:t xml:space="preserve"> advice on best practice</w:t>
      </w:r>
      <w:r w:rsidR="00ED44C5">
        <w:t>s</w:t>
      </w:r>
      <w:r w:rsidR="40555F28">
        <w:t xml:space="preserve"> </w:t>
      </w:r>
      <w:r w:rsidR="7265E7FE">
        <w:t xml:space="preserve">in behaviour change, </w:t>
      </w:r>
      <w:r w:rsidR="3AB9C8D0">
        <w:t xml:space="preserve">social research, </w:t>
      </w:r>
      <w:r w:rsidR="7265E7FE">
        <w:t>circular economy and energy efficiency</w:t>
      </w:r>
      <w:r w:rsidR="00ED44C5">
        <w:t xml:space="preserve"> </w:t>
      </w:r>
      <w:r w:rsidR="40555F28">
        <w:t>support</w:t>
      </w:r>
      <w:r w:rsidR="00ED44C5">
        <w:t>s</w:t>
      </w:r>
      <w:r w:rsidR="40555F28">
        <w:t xml:space="preserve"> other government agencies </w:t>
      </w:r>
      <w:r w:rsidR="00F25CCF">
        <w:t>with</w:t>
      </w:r>
      <w:r w:rsidR="04D2AD36">
        <w:t xml:space="preserve"> technical advice, community needs</w:t>
      </w:r>
      <w:r w:rsidR="00F25CCF">
        <w:t xml:space="preserve"> data</w:t>
      </w:r>
      <w:r w:rsidR="7C90CA4B">
        <w:t xml:space="preserve">, </w:t>
      </w:r>
      <w:r w:rsidR="04D2AD36">
        <w:t>market trends and behavioural insights.</w:t>
      </w:r>
    </w:p>
    <w:p w14:paraId="216E1AFA" w14:textId="168A5D99" w:rsidR="00941C16" w:rsidRDefault="003C4C9A" w:rsidP="00941C16">
      <w:r>
        <w:t>We</w:t>
      </w:r>
      <w:r w:rsidR="00F25CCF">
        <w:t xml:space="preserve"> </w:t>
      </w:r>
      <w:r w:rsidR="51D43444">
        <w:t>partner</w:t>
      </w:r>
      <w:r w:rsidR="00F25CCF">
        <w:t>ed</w:t>
      </w:r>
      <w:r w:rsidR="51D43444">
        <w:t xml:space="preserve"> with </w:t>
      </w:r>
      <w:r w:rsidR="00F25CCF">
        <w:t>organisations like</w:t>
      </w:r>
      <w:r w:rsidR="51D43444">
        <w:t xml:space="preserve"> the Latrobe Valley Authority to</w:t>
      </w:r>
      <w:r w:rsidR="0C2C42D1">
        <w:t xml:space="preserve"> uplift the capability of</w:t>
      </w:r>
      <w:r w:rsidR="185246E2">
        <w:t xml:space="preserve"> local councils and </w:t>
      </w:r>
      <w:r w:rsidR="14C70410">
        <w:t xml:space="preserve">regional partners </w:t>
      </w:r>
      <w:r w:rsidR="60FF615E">
        <w:t xml:space="preserve">by sharing knowledge </w:t>
      </w:r>
      <w:r w:rsidR="00F25CCF">
        <w:t>on</w:t>
      </w:r>
      <w:r w:rsidR="14C70410">
        <w:t xml:space="preserve"> circular economy solutions</w:t>
      </w:r>
      <w:r w:rsidR="4595F79A">
        <w:t>.</w:t>
      </w:r>
      <w:r w:rsidR="22896FFA">
        <w:t xml:space="preserve"> </w:t>
      </w:r>
      <w:r w:rsidR="689AAEF4">
        <w:t>W</w:t>
      </w:r>
      <w:r w:rsidR="22896FFA">
        <w:t xml:space="preserve">e </w:t>
      </w:r>
      <w:r w:rsidR="582F449C">
        <w:t xml:space="preserve">also </w:t>
      </w:r>
      <w:r w:rsidR="5D756E31">
        <w:t>updated</w:t>
      </w:r>
      <w:r w:rsidR="22896FFA">
        <w:t xml:space="preserve"> </w:t>
      </w:r>
      <w:r w:rsidR="00754D18">
        <w:t xml:space="preserve">a </w:t>
      </w:r>
      <w:r w:rsidR="22896FFA">
        <w:t xml:space="preserve">guide </w:t>
      </w:r>
      <w:r w:rsidR="3784D5D4">
        <w:t xml:space="preserve">for local governments on </w:t>
      </w:r>
      <w:r w:rsidR="25828119">
        <w:t xml:space="preserve">carbon accounting </w:t>
      </w:r>
      <w:r w:rsidR="00754D18">
        <w:t>to support</w:t>
      </w:r>
      <w:r w:rsidR="25828119">
        <w:t xml:space="preserve"> </w:t>
      </w:r>
      <w:r w:rsidR="0FB687AA">
        <w:t xml:space="preserve">their </w:t>
      </w:r>
      <w:r w:rsidR="00754D18">
        <w:t>sustainability efforts</w:t>
      </w:r>
      <w:r w:rsidR="25828119">
        <w:t>.</w:t>
      </w:r>
    </w:p>
    <w:p w14:paraId="2590BEDA" w14:textId="7D58521B" w:rsidR="006F516C" w:rsidRPr="00133665" w:rsidRDefault="006F516C" w:rsidP="00126908">
      <w:pPr>
        <w:pStyle w:val="Heading3"/>
      </w:pPr>
      <w:bookmarkStart w:id="44" w:name="_Toc166585678"/>
      <w:r w:rsidRPr="00133665">
        <w:t>Building an evidence base for future investment</w:t>
      </w:r>
      <w:bookmarkEnd w:id="44"/>
    </w:p>
    <w:p w14:paraId="604ADB81" w14:textId="72F6A02A" w:rsidR="1AF89279" w:rsidRDefault="00F76AF3" w:rsidP="00105389">
      <w:pPr>
        <w:pStyle w:val="Body"/>
      </w:pPr>
      <w:r>
        <w:t>We</w:t>
      </w:r>
      <w:r w:rsidR="00F63CE7">
        <w:t xml:space="preserve"> </w:t>
      </w:r>
      <w:r w:rsidR="00AD4043">
        <w:t xml:space="preserve">continue to </w:t>
      </w:r>
      <w:r w:rsidR="00F63CE7">
        <w:t>driv</w:t>
      </w:r>
      <w:r w:rsidR="00AD4043">
        <w:t>e</w:t>
      </w:r>
      <w:r w:rsidR="0B1158A6">
        <w:t xml:space="preserve"> the research </w:t>
      </w:r>
      <w:r w:rsidR="7265BD5A">
        <w:t xml:space="preserve">and solutions </w:t>
      </w:r>
      <w:r w:rsidR="0B1158A6">
        <w:t xml:space="preserve">needed to </w:t>
      </w:r>
      <w:r w:rsidR="00F63CE7">
        <w:t>fast-track</w:t>
      </w:r>
      <w:r w:rsidR="0B1158A6">
        <w:t xml:space="preserve"> </w:t>
      </w:r>
      <w:r w:rsidR="13BDFFA5">
        <w:t xml:space="preserve">Victoria’s transition to a </w:t>
      </w:r>
      <w:r>
        <w:t>circular econom</w:t>
      </w:r>
      <w:r w:rsidR="06657E16">
        <w:t xml:space="preserve">y and </w:t>
      </w:r>
      <w:r w:rsidR="00EF2789">
        <w:t>identify</w:t>
      </w:r>
      <w:r w:rsidR="5ED16CAD">
        <w:t xml:space="preserve"> </w:t>
      </w:r>
      <w:r w:rsidR="3FC0BA8F">
        <w:t xml:space="preserve">future jobs and skills </w:t>
      </w:r>
      <w:r w:rsidR="00EF2789">
        <w:t>requirements</w:t>
      </w:r>
      <w:r w:rsidR="3FC0BA8F">
        <w:t xml:space="preserve"> across </w:t>
      </w:r>
      <w:r w:rsidR="00EF2789">
        <w:t xml:space="preserve">various </w:t>
      </w:r>
      <w:r w:rsidR="3FC0BA8F">
        <w:t>industr</w:t>
      </w:r>
      <w:r w:rsidR="00EF2789">
        <w:t>ies</w:t>
      </w:r>
      <w:r w:rsidR="3C19C4C9">
        <w:t>.</w:t>
      </w:r>
    </w:p>
    <w:p w14:paraId="6D17BE1B" w14:textId="5E950293" w:rsidR="431EAACC" w:rsidRDefault="00EF2789" w:rsidP="00105389">
      <w:pPr>
        <w:pStyle w:val="Body"/>
      </w:pPr>
      <w:r>
        <w:t>In collaboration</w:t>
      </w:r>
      <w:r w:rsidR="0D1348E0">
        <w:t xml:space="preserve"> with </w:t>
      </w:r>
      <w:proofErr w:type="spellStart"/>
      <w:r w:rsidR="0D1348E0">
        <w:t>Climate</w:t>
      </w:r>
      <w:r w:rsidR="0EB52204">
        <w:t>w</w:t>
      </w:r>
      <w:r w:rsidR="0D1348E0">
        <w:t>orks</w:t>
      </w:r>
      <w:proofErr w:type="spellEnd"/>
      <w:r w:rsidR="0D1348E0">
        <w:t xml:space="preserve"> </w:t>
      </w:r>
      <w:r w:rsidR="183C49AC">
        <w:t>C</w:t>
      </w:r>
      <w:r w:rsidR="0D1348E0">
        <w:t>entre</w:t>
      </w:r>
      <w:r>
        <w:t xml:space="preserve">, we </w:t>
      </w:r>
      <w:r w:rsidR="0D1348E0">
        <w:t>analyse</w:t>
      </w:r>
      <w:r>
        <w:t>d</w:t>
      </w:r>
      <w:r w:rsidR="0D1348E0">
        <w:t xml:space="preserve"> the</w:t>
      </w:r>
      <w:r w:rsidR="73BEC1C7">
        <w:t xml:space="preserve"> systems and materials involved in the renewable energy transition</w:t>
      </w:r>
      <w:r w:rsidR="25D2330A">
        <w:t xml:space="preserve">. This research </w:t>
      </w:r>
      <w:r w:rsidR="006A346D">
        <w:t>is crucial</w:t>
      </w:r>
      <w:r w:rsidR="25D2330A">
        <w:t xml:space="preserve"> given</w:t>
      </w:r>
      <w:r w:rsidR="2736B14C">
        <w:t xml:space="preserve"> the significant inves</w:t>
      </w:r>
      <w:r w:rsidR="1BC2B218">
        <w:t>tment in new infrastructure</w:t>
      </w:r>
      <w:r w:rsidR="0AC5935A">
        <w:t>.</w:t>
      </w:r>
      <w:r w:rsidR="417D7D96">
        <w:t xml:space="preserve"> By </w:t>
      </w:r>
      <w:r w:rsidR="006A346D">
        <w:t>examining</w:t>
      </w:r>
      <w:r w:rsidR="417D7D96">
        <w:t xml:space="preserve"> material flows across the </w:t>
      </w:r>
      <w:r w:rsidR="3A0A0796">
        <w:t xml:space="preserve">Victorian </w:t>
      </w:r>
      <w:r w:rsidR="417D7D96">
        <w:t>economy</w:t>
      </w:r>
      <w:r w:rsidR="443BEB12">
        <w:t>,</w:t>
      </w:r>
      <w:r w:rsidR="417D7D96">
        <w:t xml:space="preserve"> we </w:t>
      </w:r>
      <w:r w:rsidR="1D17C8DD">
        <w:t>can</w:t>
      </w:r>
      <w:r w:rsidR="00524F37">
        <w:t xml:space="preserve"> identify</w:t>
      </w:r>
      <w:r w:rsidR="4D1B5A31">
        <w:t xml:space="preserve"> </w:t>
      </w:r>
      <w:r w:rsidR="0B4901E0">
        <w:t xml:space="preserve">more </w:t>
      </w:r>
      <w:r w:rsidR="4D1B5A31">
        <w:t>opportunities to reduce emissions</w:t>
      </w:r>
      <w:r w:rsidR="17CDF85A">
        <w:t xml:space="preserve"> through design, innovation and materials selection.</w:t>
      </w:r>
    </w:p>
    <w:p w14:paraId="0A59CEAE" w14:textId="6E510A62" w:rsidR="008E7438" w:rsidRDefault="007D5B93" w:rsidP="00105389">
      <w:pPr>
        <w:pStyle w:val="Body"/>
      </w:pPr>
      <w:r>
        <w:t xml:space="preserve">We </w:t>
      </w:r>
      <w:r w:rsidR="008E7438">
        <w:t>also</w:t>
      </w:r>
      <w:r w:rsidR="4D1B5A31">
        <w:t xml:space="preserve"> us</w:t>
      </w:r>
      <w:r w:rsidR="008E7438">
        <w:t>e</w:t>
      </w:r>
      <w:r w:rsidR="00E24751">
        <w:t>d</w:t>
      </w:r>
      <w:r w:rsidR="008E7438">
        <w:t xml:space="preserve"> </w:t>
      </w:r>
      <w:r w:rsidR="4D1B5A31">
        <w:t xml:space="preserve">behavioural insights to </w:t>
      </w:r>
      <w:r w:rsidR="00E24751">
        <w:t>shape our</w:t>
      </w:r>
      <w:r w:rsidR="3B646405">
        <w:t xml:space="preserve"> communications </w:t>
      </w:r>
      <w:r w:rsidR="74356D52">
        <w:t>campaigns</w:t>
      </w:r>
      <w:r w:rsidR="00E24751">
        <w:t>,</w:t>
      </w:r>
      <w:r w:rsidR="74356D52">
        <w:t xml:space="preserve"> </w:t>
      </w:r>
      <w:r w:rsidR="3B646405">
        <w:t xml:space="preserve">such as </w:t>
      </w:r>
      <w:r w:rsidR="6717F509">
        <w:t>‘</w:t>
      </w:r>
      <w:r w:rsidR="4D1B5A31">
        <w:t>Small Acts</w:t>
      </w:r>
      <w:r w:rsidR="00E24751">
        <w:t>,</w:t>
      </w:r>
      <w:r w:rsidR="4D1B5A31">
        <w:t xml:space="preserve"> Big Impact</w:t>
      </w:r>
      <w:r w:rsidR="4C63B8AA">
        <w:t>’</w:t>
      </w:r>
      <w:r w:rsidR="7E56E557">
        <w:t xml:space="preserve">. </w:t>
      </w:r>
      <w:r w:rsidR="00A93EC1" w:rsidRPr="00A93EC1">
        <w:t>Our engagement</w:t>
      </w:r>
      <w:r w:rsidR="7E56E557">
        <w:t xml:space="preserve"> with </w:t>
      </w:r>
      <w:r w:rsidR="644DF6FF">
        <w:t xml:space="preserve">leading researchers </w:t>
      </w:r>
      <w:r w:rsidR="00A93EC1" w:rsidRPr="00A93EC1">
        <w:t>from</w:t>
      </w:r>
      <w:r w:rsidR="7E56E557">
        <w:t xml:space="preserve"> the </w:t>
      </w:r>
      <w:r w:rsidR="00356CF2">
        <w:t>End</w:t>
      </w:r>
      <w:r w:rsidR="7E56E557">
        <w:t xml:space="preserve"> Food Waste Cooperative Research Centre and </w:t>
      </w:r>
      <w:r w:rsidR="00356CF2">
        <w:t>End</w:t>
      </w:r>
      <w:r w:rsidR="7E56E557">
        <w:t xml:space="preserve"> Food Waste Aus</w:t>
      </w:r>
      <w:r w:rsidR="259B98DD">
        <w:t>tralia</w:t>
      </w:r>
      <w:r w:rsidR="00A93EC1" w:rsidRPr="00A93EC1">
        <w:t xml:space="preserve"> help</w:t>
      </w:r>
      <w:r w:rsidR="00A93EC1">
        <w:t>ed</w:t>
      </w:r>
      <w:r w:rsidR="00A93EC1" w:rsidRPr="00A93EC1">
        <w:t xml:space="preserve"> us tailor our approaches to reduce food waste effectively.</w:t>
      </w:r>
      <w:r w:rsidR="00A93EC1">
        <w:t xml:space="preserve"> </w:t>
      </w:r>
    </w:p>
    <w:p w14:paraId="372704F6" w14:textId="77777777" w:rsidR="00F9361E" w:rsidRDefault="00F9361E">
      <w:pPr>
        <w:spacing w:line="259" w:lineRule="auto"/>
        <w:rPr>
          <w:rFonts w:eastAsiaTheme="minorEastAsia"/>
          <w:sz w:val="32"/>
        </w:rPr>
      </w:pPr>
      <w:r>
        <w:br w:type="page"/>
      </w:r>
    </w:p>
    <w:p w14:paraId="0FE924A7" w14:textId="2BE62505" w:rsidR="00582566" w:rsidRPr="00114A54" w:rsidRDefault="00582566" w:rsidP="00582566">
      <w:pPr>
        <w:pStyle w:val="Subtitle"/>
      </w:pPr>
      <w:r w:rsidRPr="00114A54">
        <w:lastRenderedPageBreak/>
        <w:t xml:space="preserve">Case study: </w:t>
      </w:r>
      <w:r w:rsidR="00435881">
        <w:t>The conversation on sustainability has changed</w:t>
      </w:r>
    </w:p>
    <w:p w14:paraId="73892601" w14:textId="20F2FFD0" w:rsidR="00DF33DB" w:rsidRDefault="009823C1" w:rsidP="00656367">
      <w:pPr>
        <w:pStyle w:val="casestudybox"/>
        <w:pBdr>
          <w:right w:val="single" w:sz="4" w:space="0" w:color="FFFFFF" w:themeColor="background1" w:themeTint="99"/>
        </w:pBdr>
        <w:rPr>
          <w:sz w:val="20"/>
          <w:szCs w:val="20"/>
        </w:rPr>
      </w:pPr>
      <w:r>
        <w:rPr>
          <w:sz w:val="20"/>
          <w:szCs w:val="20"/>
        </w:rPr>
        <w:t xml:space="preserve">SV’s State of Sustainability research reveals that </w:t>
      </w:r>
      <w:r w:rsidR="00B33AC7">
        <w:rPr>
          <w:sz w:val="20"/>
          <w:szCs w:val="20"/>
        </w:rPr>
        <w:t>Victorians’ views</w:t>
      </w:r>
      <w:r>
        <w:rPr>
          <w:sz w:val="20"/>
          <w:szCs w:val="20"/>
        </w:rPr>
        <w:t xml:space="preserve"> on sustainability </w:t>
      </w:r>
      <w:r w:rsidR="00B33AC7">
        <w:rPr>
          <w:sz w:val="20"/>
          <w:szCs w:val="20"/>
        </w:rPr>
        <w:t>are evolving</w:t>
      </w:r>
      <w:r>
        <w:rPr>
          <w:sz w:val="20"/>
          <w:szCs w:val="20"/>
        </w:rPr>
        <w:t xml:space="preserve">. </w:t>
      </w:r>
      <w:r w:rsidR="00F80A1F">
        <w:rPr>
          <w:sz w:val="20"/>
          <w:szCs w:val="20"/>
        </w:rPr>
        <w:t>Today,</w:t>
      </w:r>
      <w:r w:rsidR="00A34C59" w:rsidRPr="00750489">
        <w:rPr>
          <w:sz w:val="20"/>
          <w:szCs w:val="20"/>
        </w:rPr>
        <w:t xml:space="preserve"> 1 in 10 Victorians rate climate change as the top priority for government, </w:t>
      </w:r>
      <w:r w:rsidR="00F80A1F">
        <w:rPr>
          <w:sz w:val="20"/>
          <w:szCs w:val="20"/>
        </w:rPr>
        <w:t>up from</w:t>
      </w:r>
      <w:r w:rsidR="00A34C59" w:rsidRPr="00750489">
        <w:rPr>
          <w:sz w:val="20"/>
          <w:szCs w:val="20"/>
        </w:rPr>
        <w:t xml:space="preserve"> 1 in 50 in 2010.</w:t>
      </w:r>
      <w:r w:rsidR="00DF33DB">
        <w:rPr>
          <w:sz w:val="20"/>
          <w:szCs w:val="20"/>
        </w:rPr>
        <w:t xml:space="preserve"> </w:t>
      </w:r>
      <w:r w:rsidR="00DF33DB" w:rsidRPr="00DF33DB">
        <w:rPr>
          <w:sz w:val="20"/>
          <w:szCs w:val="20"/>
        </w:rPr>
        <w:t xml:space="preserve">Sustainability is </w:t>
      </w:r>
      <w:r w:rsidR="00F80A1F">
        <w:rPr>
          <w:sz w:val="20"/>
          <w:szCs w:val="20"/>
        </w:rPr>
        <w:t xml:space="preserve">now </w:t>
      </w:r>
      <w:r w:rsidR="00DF33DB" w:rsidRPr="00DF33DB">
        <w:rPr>
          <w:sz w:val="20"/>
          <w:szCs w:val="20"/>
        </w:rPr>
        <w:t xml:space="preserve">recognised as </w:t>
      </w:r>
      <w:r w:rsidR="00F80A1F">
        <w:rPr>
          <w:sz w:val="20"/>
          <w:szCs w:val="20"/>
        </w:rPr>
        <w:t>essential</w:t>
      </w:r>
      <w:r w:rsidR="00DF33DB" w:rsidRPr="00DF33DB">
        <w:rPr>
          <w:sz w:val="20"/>
          <w:szCs w:val="20"/>
        </w:rPr>
        <w:t xml:space="preserve"> for our quality of life and wellbeing beyond </w:t>
      </w:r>
      <w:r w:rsidR="00F80A1F">
        <w:rPr>
          <w:sz w:val="20"/>
          <w:szCs w:val="20"/>
        </w:rPr>
        <w:t xml:space="preserve">just </w:t>
      </w:r>
      <w:r w:rsidR="00DF33DB" w:rsidRPr="00DF33DB">
        <w:rPr>
          <w:sz w:val="20"/>
          <w:szCs w:val="20"/>
        </w:rPr>
        <w:t>environmental protection.</w:t>
      </w:r>
    </w:p>
    <w:p w14:paraId="32EE6026" w14:textId="41534AF2" w:rsidR="0022689C" w:rsidRDefault="00DF33DB" w:rsidP="00656367">
      <w:pPr>
        <w:pStyle w:val="casestudybox"/>
        <w:pBdr>
          <w:right w:val="single" w:sz="4" w:space="0" w:color="FFFFFF" w:themeColor="background1" w:themeTint="99"/>
        </w:pBdr>
        <w:rPr>
          <w:sz w:val="20"/>
          <w:szCs w:val="20"/>
        </w:rPr>
      </w:pPr>
      <w:r w:rsidRPr="00DF33DB">
        <w:rPr>
          <w:sz w:val="20"/>
          <w:szCs w:val="20"/>
        </w:rPr>
        <w:t xml:space="preserve">The research </w:t>
      </w:r>
      <w:r w:rsidR="000C7980">
        <w:rPr>
          <w:sz w:val="20"/>
          <w:szCs w:val="20"/>
        </w:rPr>
        <w:t>highlights</w:t>
      </w:r>
      <w:r w:rsidRPr="00DF33DB">
        <w:rPr>
          <w:sz w:val="20"/>
          <w:szCs w:val="20"/>
        </w:rPr>
        <w:t xml:space="preserve"> that </w:t>
      </w:r>
      <w:r w:rsidR="000C7980">
        <w:rPr>
          <w:sz w:val="20"/>
          <w:szCs w:val="20"/>
        </w:rPr>
        <w:t xml:space="preserve">Victorians understand </w:t>
      </w:r>
      <w:r w:rsidRPr="00DF33DB">
        <w:rPr>
          <w:sz w:val="20"/>
          <w:szCs w:val="20"/>
        </w:rPr>
        <w:t xml:space="preserve">the </w:t>
      </w:r>
      <w:r w:rsidR="000C7980">
        <w:rPr>
          <w:sz w:val="20"/>
          <w:szCs w:val="20"/>
        </w:rPr>
        <w:t>connection</w:t>
      </w:r>
      <w:r w:rsidRPr="00DF33DB">
        <w:rPr>
          <w:sz w:val="20"/>
          <w:szCs w:val="20"/>
        </w:rPr>
        <w:t xml:space="preserve"> between sustainability and cost of living</w:t>
      </w:r>
      <w:r w:rsidR="7623108A" w:rsidRPr="2610BBE6">
        <w:rPr>
          <w:sz w:val="20"/>
          <w:szCs w:val="20"/>
        </w:rPr>
        <w:t xml:space="preserve">. </w:t>
      </w:r>
      <w:r w:rsidR="283933ED" w:rsidRPr="2610BBE6">
        <w:rPr>
          <w:sz w:val="20"/>
          <w:szCs w:val="20"/>
        </w:rPr>
        <w:t>F</w:t>
      </w:r>
      <w:r w:rsidRPr="2610BBE6">
        <w:rPr>
          <w:sz w:val="20"/>
          <w:szCs w:val="20"/>
        </w:rPr>
        <w:t>or</w:t>
      </w:r>
      <w:r w:rsidRPr="00DF33DB">
        <w:rPr>
          <w:sz w:val="20"/>
          <w:szCs w:val="20"/>
        </w:rPr>
        <w:t xml:space="preserve"> </w:t>
      </w:r>
      <w:r w:rsidR="000C7980">
        <w:rPr>
          <w:sz w:val="20"/>
          <w:szCs w:val="20"/>
        </w:rPr>
        <w:t>instance</w:t>
      </w:r>
      <w:r w:rsidRPr="00DF33DB">
        <w:rPr>
          <w:sz w:val="20"/>
          <w:szCs w:val="20"/>
        </w:rPr>
        <w:t xml:space="preserve">, </w:t>
      </w:r>
      <w:r w:rsidR="000C7980" w:rsidRPr="00DF33DB">
        <w:rPr>
          <w:sz w:val="20"/>
          <w:szCs w:val="20"/>
        </w:rPr>
        <w:t>80%</w:t>
      </w:r>
      <w:r w:rsidR="000C7980">
        <w:rPr>
          <w:sz w:val="20"/>
          <w:szCs w:val="20"/>
        </w:rPr>
        <w:t xml:space="preserve"> of those</w:t>
      </w:r>
      <w:r w:rsidRPr="00DF33DB">
        <w:rPr>
          <w:sz w:val="20"/>
          <w:szCs w:val="20"/>
        </w:rPr>
        <w:t xml:space="preserve"> renovating or building </w:t>
      </w:r>
      <w:r w:rsidR="00193E60">
        <w:rPr>
          <w:sz w:val="20"/>
          <w:szCs w:val="20"/>
        </w:rPr>
        <w:t>believe</w:t>
      </w:r>
      <w:r w:rsidRPr="00DF33DB">
        <w:rPr>
          <w:sz w:val="20"/>
          <w:szCs w:val="20"/>
        </w:rPr>
        <w:t xml:space="preserve"> that energy efficient homes will </w:t>
      </w:r>
      <w:r w:rsidR="00193E60">
        <w:rPr>
          <w:sz w:val="20"/>
          <w:szCs w:val="20"/>
        </w:rPr>
        <w:t>lead to</w:t>
      </w:r>
      <w:r w:rsidRPr="00DF33DB">
        <w:rPr>
          <w:sz w:val="20"/>
          <w:szCs w:val="20"/>
        </w:rPr>
        <w:t xml:space="preserve"> lower energy bills</w:t>
      </w:r>
      <w:r w:rsidR="00193E60">
        <w:rPr>
          <w:sz w:val="20"/>
          <w:szCs w:val="20"/>
        </w:rPr>
        <w:t xml:space="preserve">. </w:t>
      </w:r>
    </w:p>
    <w:p w14:paraId="2D3D2FCA" w14:textId="0104691A" w:rsidR="0092435A" w:rsidRDefault="0022689C" w:rsidP="0022689C">
      <w:pPr>
        <w:pStyle w:val="casestudybox"/>
        <w:pBdr>
          <w:right w:val="single" w:sz="4" w:space="0" w:color="FFFFFF" w:themeColor="background1" w:themeTint="99"/>
        </w:pBdr>
        <w:rPr>
          <w:sz w:val="20"/>
          <w:szCs w:val="20"/>
        </w:rPr>
      </w:pPr>
      <w:r w:rsidRPr="0022689C">
        <w:rPr>
          <w:sz w:val="20"/>
          <w:szCs w:val="20"/>
        </w:rPr>
        <w:t>Our thinking on ‘waste’ has changed</w:t>
      </w:r>
      <w:r w:rsidR="00865F08">
        <w:rPr>
          <w:sz w:val="20"/>
          <w:szCs w:val="20"/>
        </w:rPr>
        <w:t>. W</w:t>
      </w:r>
      <w:r w:rsidRPr="0022689C">
        <w:rPr>
          <w:sz w:val="20"/>
          <w:szCs w:val="20"/>
        </w:rPr>
        <w:t xml:space="preserve">e’re more critical about how we produce, use and dispose of </w:t>
      </w:r>
      <w:r w:rsidR="00865F08">
        <w:rPr>
          <w:sz w:val="20"/>
          <w:szCs w:val="20"/>
        </w:rPr>
        <w:t>products</w:t>
      </w:r>
      <w:r w:rsidRPr="0022689C">
        <w:rPr>
          <w:sz w:val="20"/>
          <w:szCs w:val="20"/>
        </w:rPr>
        <w:t xml:space="preserve">. A decade ago, </w:t>
      </w:r>
      <w:r w:rsidR="00AD3C2B" w:rsidRPr="0022689C">
        <w:rPr>
          <w:sz w:val="20"/>
          <w:szCs w:val="20"/>
        </w:rPr>
        <w:t>we focused on waste management and recycling</w:t>
      </w:r>
      <w:r w:rsidR="004675D6">
        <w:rPr>
          <w:sz w:val="20"/>
          <w:szCs w:val="20"/>
        </w:rPr>
        <w:t>. Now we’re looking at avoiding waste from the start. Although the term</w:t>
      </w:r>
      <w:r w:rsidR="00AD3C2B" w:rsidRPr="0022689C">
        <w:rPr>
          <w:sz w:val="20"/>
          <w:szCs w:val="20"/>
        </w:rPr>
        <w:t xml:space="preserve"> </w:t>
      </w:r>
      <w:r w:rsidRPr="0022689C">
        <w:rPr>
          <w:sz w:val="20"/>
          <w:szCs w:val="20"/>
        </w:rPr>
        <w:t xml:space="preserve">‘circular economy’ </w:t>
      </w:r>
      <w:r w:rsidR="004675D6">
        <w:rPr>
          <w:sz w:val="20"/>
          <w:szCs w:val="20"/>
        </w:rPr>
        <w:t xml:space="preserve">is still not widely known, </w:t>
      </w:r>
      <w:r w:rsidR="0092435A" w:rsidRPr="0092435A">
        <w:rPr>
          <w:sz w:val="20"/>
          <w:szCs w:val="20"/>
        </w:rPr>
        <w:t>many Victorians are already engaging in circular practices, like shopping second-hand and using reusable bags.</w:t>
      </w:r>
    </w:p>
    <w:p w14:paraId="21D1FE27" w14:textId="68018D48" w:rsidR="00E00E5C" w:rsidRDefault="0092435A" w:rsidP="00656367">
      <w:pPr>
        <w:pStyle w:val="casestudybox"/>
        <w:pBdr>
          <w:right w:val="single" w:sz="4" w:space="0" w:color="FFFFFF" w:themeColor="background1" w:themeTint="99"/>
        </w:pBdr>
        <w:rPr>
          <w:sz w:val="20"/>
          <w:szCs w:val="20"/>
        </w:rPr>
      </w:pPr>
      <w:r>
        <w:rPr>
          <w:sz w:val="20"/>
          <w:szCs w:val="20"/>
        </w:rPr>
        <w:t>The 2023</w:t>
      </w:r>
      <w:r w:rsidR="00A34C59" w:rsidRPr="00750489">
        <w:rPr>
          <w:sz w:val="20"/>
          <w:szCs w:val="20"/>
        </w:rPr>
        <w:t xml:space="preserve"> State of Sustainability report provides </w:t>
      </w:r>
      <w:r w:rsidR="00157227">
        <w:rPr>
          <w:sz w:val="20"/>
          <w:szCs w:val="20"/>
        </w:rPr>
        <w:t xml:space="preserve">a baseline </w:t>
      </w:r>
      <w:r w:rsidR="00A34C59" w:rsidRPr="00750489">
        <w:rPr>
          <w:sz w:val="20"/>
          <w:szCs w:val="20"/>
        </w:rPr>
        <w:t>into the sustainability mindset of the Victorian community</w:t>
      </w:r>
      <w:r w:rsidR="004A5060">
        <w:rPr>
          <w:sz w:val="20"/>
          <w:szCs w:val="20"/>
        </w:rPr>
        <w:t xml:space="preserve"> </w:t>
      </w:r>
      <w:r w:rsidR="004A5060" w:rsidRPr="00750489">
        <w:rPr>
          <w:sz w:val="20"/>
          <w:szCs w:val="20"/>
        </w:rPr>
        <w:t xml:space="preserve">with 2,510 Victorians participating across all </w:t>
      </w:r>
      <w:r w:rsidR="004A5060" w:rsidRPr="41F2C282">
        <w:rPr>
          <w:sz w:val="20"/>
          <w:szCs w:val="20"/>
        </w:rPr>
        <w:t>10</w:t>
      </w:r>
      <w:r w:rsidR="004A5060" w:rsidRPr="00750489">
        <w:rPr>
          <w:sz w:val="20"/>
          <w:szCs w:val="20"/>
        </w:rPr>
        <w:t xml:space="preserve"> Victorian regions.</w:t>
      </w:r>
      <w:r w:rsidR="004A5060">
        <w:rPr>
          <w:sz w:val="20"/>
          <w:szCs w:val="20"/>
        </w:rPr>
        <w:t xml:space="preserve"> This </w:t>
      </w:r>
      <w:r w:rsidR="00E00E5C">
        <w:rPr>
          <w:sz w:val="20"/>
          <w:szCs w:val="20"/>
        </w:rPr>
        <w:t>ongoing survey will track Victorians’</w:t>
      </w:r>
      <w:r w:rsidR="00A34C59" w:rsidRPr="00750489">
        <w:rPr>
          <w:sz w:val="20"/>
          <w:szCs w:val="20"/>
        </w:rPr>
        <w:t xml:space="preserve"> attitudes, beliefs</w:t>
      </w:r>
      <w:r w:rsidR="00B01C8B">
        <w:rPr>
          <w:sz w:val="20"/>
          <w:szCs w:val="20"/>
        </w:rPr>
        <w:t xml:space="preserve"> and</w:t>
      </w:r>
      <w:r w:rsidR="00A34C59" w:rsidRPr="00750489">
        <w:rPr>
          <w:sz w:val="20"/>
          <w:szCs w:val="20"/>
        </w:rPr>
        <w:t xml:space="preserve"> behaviours</w:t>
      </w:r>
      <w:r w:rsidR="00E00E5C">
        <w:rPr>
          <w:sz w:val="20"/>
          <w:szCs w:val="20"/>
        </w:rPr>
        <w:t xml:space="preserve"> over time, providing </w:t>
      </w:r>
      <w:r w:rsidR="00E00E5C" w:rsidRPr="00750489">
        <w:rPr>
          <w:sz w:val="20"/>
          <w:szCs w:val="20"/>
        </w:rPr>
        <w:t>an evidence base</w:t>
      </w:r>
      <w:r w:rsidR="00E00E5C">
        <w:rPr>
          <w:sz w:val="20"/>
          <w:szCs w:val="20"/>
        </w:rPr>
        <w:t xml:space="preserve"> </w:t>
      </w:r>
      <w:r w:rsidR="00E00E5C" w:rsidRPr="00750489">
        <w:rPr>
          <w:sz w:val="20"/>
          <w:szCs w:val="20"/>
        </w:rPr>
        <w:t>policy and decision</w:t>
      </w:r>
      <w:r w:rsidR="00E00E5C" w:rsidRPr="41F2C282">
        <w:rPr>
          <w:sz w:val="20"/>
          <w:szCs w:val="20"/>
        </w:rPr>
        <w:t>-</w:t>
      </w:r>
      <w:r w:rsidR="00E00E5C" w:rsidRPr="00750489">
        <w:rPr>
          <w:sz w:val="20"/>
          <w:szCs w:val="20"/>
        </w:rPr>
        <w:t>makers</w:t>
      </w:r>
      <w:r w:rsidR="00355C77" w:rsidRPr="00355C77">
        <w:rPr>
          <w:sz w:val="20"/>
          <w:szCs w:val="20"/>
        </w:rPr>
        <w:t xml:space="preserve"> </w:t>
      </w:r>
      <w:r w:rsidR="00355C77" w:rsidRPr="00E00E5C">
        <w:rPr>
          <w:sz w:val="20"/>
          <w:szCs w:val="20"/>
        </w:rPr>
        <w:t>to address key sustainability challenges</w:t>
      </w:r>
      <w:r w:rsidR="00355C77">
        <w:rPr>
          <w:sz w:val="20"/>
          <w:szCs w:val="20"/>
        </w:rPr>
        <w:t xml:space="preserve">. </w:t>
      </w:r>
    </w:p>
    <w:p w14:paraId="5064DEF3" w14:textId="51E014E8" w:rsidR="00A34C59" w:rsidRPr="00750489" w:rsidRDefault="00A34C59" w:rsidP="00656367">
      <w:pPr>
        <w:pStyle w:val="casestudybox"/>
        <w:pBdr>
          <w:right w:val="single" w:sz="4" w:space="0" w:color="FFFFFF" w:themeColor="background1" w:themeTint="99"/>
        </w:pBdr>
        <w:rPr>
          <w:sz w:val="20"/>
          <w:szCs w:val="20"/>
        </w:rPr>
      </w:pPr>
      <w:r w:rsidRPr="00750489">
        <w:rPr>
          <w:sz w:val="20"/>
          <w:szCs w:val="20"/>
        </w:rPr>
        <w:t xml:space="preserve">The research </w:t>
      </w:r>
      <w:r w:rsidR="00667CBD">
        <w:rPr>
          <w:sz w:val="20"/>
          <w:szCs w:val="20"/>
        </w:rPr>
        <w:t xml:space="preserve">highlights four key opportunities for Victoria’s future: </w:t>
      </w:r>
      <w:r w:rsidRPr="00750489">
        <w:rPr>
          <w:sz w:val="20"/>
          <w:szCs w:val="20"/>
        </w:rPr>
        <w:t>accelerati</w:t>
      </w:r>
      <w:r w:rsidR="00667CBD">
        <w:rPr>
          <w:sz w:val="20"/>
          <w:szCs w:val="20"/>
        </w:rPr>
        <w:t>ng</w:t>
      </w:r>
      <w:r w:rsidRPr="00750489">
        <w:rPr>
          <w:sz w:val="20"/>
          <w:szCs w:val="20"/>
        </w:rPr>
        <w:t xml:space="preserve"> </w:t>
      </w:r>
      <w:r w:rsidR="00667CBD">
        <w:rPr>
          <w:sz w:val="20"/>
          <w:szCs w:val="20"/>
        </w:rPr>
        <w:t>the</w:t>
      </w:r>
      <w:r w:rsidRPr="00750489">
        <w:rPr>
          <w:sz w:val="20"/>
          <w:szCs w:val="20"/>
        </w:rPr>
        <w:t xml:space="preserve"> circular economy, </w:t>
      </w:r>
      <w:r w:rsidR="00667CBD">
        <w:rPr>
          <w:sz w:val="20"/>
          <w:szCs w:val="20"/>
        </w:rPr>
        <w:t>improving home</w:t>
      </w:r>
      <w:r w:rsidRPr="00750489">
        <w:rPr>
          <w:sz w:val="20"/>
          <w:szCs w:val="20"/>
        </w:rPr>
        <w:t xml:space="preserve"> energy efficiency, electrification</w:t>
      </w:r>
      <w:r w:rsidR="00101157">
        <w:rPr>
          <w:sz w:val="20"/>
          <w:szCs w:val="20"/>
        </w:rPr>
        <w:t>,</w:t>
      </w:r>
      <w:r w:rsidRPr="00750489">
        <w:rPr>
          <w:sz w:val="20"/>
          <w:szCs w:val="20"/>
        </w:rPr>
        <w:t xml:space="preserve"> and support</w:t>
      </w:r>
      <w:r w:rsidR="00667CBD">
        <w:rPr>
          <w:sz w:val="20"/>
          <w:szCs w:val="20"/>
        </w:rPr>
        <w:t>ing</w:t>
      </w:r>
      <w:r w:rsidRPr="00750489">
        <w:rPr>
          <w:sz w:val="20"/>
          <w:szCs w:val="20"/>
        </w:rPr>
        <w:t xml:space="preserve"> vulnerable populations </w:t>
      </w:r>
    </w:p>
    <w:p w14:paraId="6CD05F64" w14:textId="77777777" w:rsidR="00355C77" w:rsidRDefault="00355C77" w:rsidP="00656367">
      <w:pPr>
        <w:pStyle w:val="casestudybox"/>
        <w:pBdr>
          <w:right w:val="single" w:sz="4" w:space="0" w:color="FFFFFF" w:themeColor="background1" w:themeTint="99"/>
        </w:pBdr>
        <w:rPr>
          <w:sz w:val="20"/>
          <w:szCs w:val="20"/>
        </w:rPr>
      </w:pPr>
      <w:r w:rsidRPr="00355C77">
        <w:rPr>
          <w:sz w:val="20"/>
          <w:szCs w:val="20"/>
        </w:rPr>
        <w:t xml:space="preserve">As Victoria aims for net zero emissions by 2045, this report reveals our growing understanding of </w:t>
      </w:r>
      <w:proofErr w:type="gramStart"/>
      <w:r w:rsidRPr="00355C77">
        <w:rPr>
          <w:sz w:val="20"/>
          <w:szCs w:val="20"/>
        </w:rPr>
        <w:t>sustainability</w:t>
      </w:r>
      <w:proofErr w:type="gramEnd"/>
      <w:r w:rsidRPr="00355C77">
        <w:rPr>
          <w:sz w:val="20"/>
          <w:szCs w:val="20"/>
        </w:rPr>
        <w:t xml:space="preserve"> and the steps needed to achieve it. </w:t>
      </w:r>
    </w:p>
    <w:p w14:paraId="23B5D7A5" w14:textId="22C30EBF" w:rsidR="00F22DBC" w:rsidRDefault="00E1313F">
      <w:pPr>
        <w:spacing w:line="259" w:lineRule="auto"/>
        <w:rPr>
          <w:rFonts w:asciiTheme="majorHAnsi" w:eastAsiaTheme="majorEastAsia" w:hAnsiTheme="majorHAnsi" w:cstheme="majorHAnsi"/>
          <w:b/>
          <w:color w:val="174F37"/>
          <w:sz w:val="40"/>
          <w:szCs w:val="32"/>
        </w:rPr>
      </w:pPr>
      <w:bookmarkStart w:id="45" w:name="_Toc147395354"/>
      <w:bookmarkStart w:id="46" w:name="_Toc166585682"/>
      <w:r>
        <w:rPr>
          <w:noProof/>
        </w:rPr>
        <w:drawing>
          <wp:inline distT="0" distB="0" distL="0" distR="0" wp14:anchorId="21E4596A" wp14:editId="55426370">
            <wp:extent cx="5057030" cy="2316731"/>
            <wp:effectExtent l="0" t="0" r="0" b="7620"/>
            <wp:docPr id="1786999774" name="Picture 6" descr="A green and white graphic of a solar pa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99774" name="Picture 6" descr="A green and white graphic of a solar panel&#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7354" cy="2326042"/>
                    </a:xfrm>
                    <a:prstGeom prst="rect">
                      <a:avLst/>
                    </a:prstGeom>
                    <a:noFill/>
                    <a:ln>
                      <a:noFill/>
                    </a:ln>
                  </pic:spPr>
                </pic:pic>
              </a:graphicData>
            </a:graphic>
          </wp:inline>
        </w:drawing>
      </w:r>
    </w:p>
    <w:p w14:paraId="50ACC4EA" w14:textId="77777777" w:rsidR="005A5BEE" w:rsidRDefault="005A5BEE">
      <w:pPr>
        <w:spacing w:line="259" w:lineRule="auto"/>
        <w:rPr>
          <w:rFonts w:asciiTheme="majorHAnsi" w:eastAsiaTheme="majorEastAsia" w:hAnsiTheme="majorHAnsi" w:cstheme="majorHAnsi"/>
          <w:b/>
          <w:color w:val="595959" w:themeColor="text1" w:themeTint="A6"/>
          <w:sz w:val="32"/>
          <w:szCs w:val="26"/>
        </w:rPr>
      </w:pPr>
      <w:r>
        <w:rPr>
          <w:rFonts w:asciiTheme="majorHAnsi" w:hAnsiTheme="majorHAnsi" w:cstheme="majorHAnsi"/>
        </w:rPr>
        <w:br w:type="page"/>
      </w:r>
    </w:p>
    <w:p w14:paraId="76EE8766" w14:textId="1A29762D" w:rsidR="004677C4" w:rsidRPr="0012521E" w:rsidRDefault="004677C4" w:rsidP="004677C4">
      <w:pPr>
        <w:pStyle w:val="Heading1"/>
        <w:rPr>
          <w:rFonts w:asciiTheme="majorHAnsi" w:hAnsiTheme="majorHAnsi" w:cstheme="majorHAnsi"/>
        </w:rPr>
      </w:pPr>
      <w:bookmarkStart w:id="47" w:name="_Toc179469477"/>
      <w:r w:rsidRPr="0012521E">
        <w:rPr>
          <w:rFonts w:asciiTheme="majorHAnsi" w:hAnsiTheme="majorHAnsi" w:cstheme="majorHAnsi"/>
        </w:rPr>
        <w:lastRenderedPageBreak/>
        <w:t>Our culture</w:t>
      </w:r>
      <w:bookmarkEnd w:id="45"/>
      <w:bookmarkEnd w:id="46"/>
      <w:bookmarkEnd w:id="47"/>
    </w:p>
    <w:p w14:paraId="5C65AB83" w14:textId="38FCF531" w:rsidR="007C3C70" w:rsidRDefault="00AE5153" w:rsidP="00105389">
      <w:pPr>
        <w:pStyle w:val="Body"/>
      </w:pPr>
      <w:r>
        <w:t>Having been r</w:t>
      </w:r>
      <w:r w:rsidR="00076220">
        <w:t>anked as one of best places to work, SV is</w:t>
      </w:r>
      <w:r w:rsidR="00542D50" w:rsidRPr="5D1C1A0F">
        <w:t xml:space="preserve"> where passion for the environment, rich knowledge and insights</w:t>
      </w:r>
      <w:r w:rsidR="3A9BB0F9">
        <w:t>,</w:t>
      </w:r>
      <w:r w:rsidR="00542D50" w:rsidRPr="5D1C1A0F">
        <w:t xml:space="preserve"> and positive culture come together to create a more sustainable future for Victoria. SV consciously builds its culture, aiming for a workplace that sets the highest standard as an inclusive, innovative and thriving place to work.</w:t>
      </w:r>
    </w:p>
    <w:p w14:paraId="0C8C201D" w14:textId="3F441FA5" w:rsidR="00542D50" w:rsidRDefault="00DF52DE" w:rsidP="00105389">
      <w:pPr>
        <w:pStyle w:val="Body"/>
      </w:pPr>
      <w:r w:rsidRPr="78E9D332">
        <w:t xml:space="preserve">SV is committed to creating and strengthening an environment that empowers its staff to </w:t>
      </w:r>
      <w:r w:rsidR="00C026B1">
        <w:t xml:space="preserve">grow and </w:t>
      </w:r>
      <w:r w:rsidRPr="78E9D332">
        <w:t xml:space="preserve">thrive. </w:t>
      </w:r>
      <w:r w:rsidR="2F522B00" w:rsidRPr="78E9D332">
        <w:t xml:space="preserve">SV </w:t>
      </w:r>
      <w:r w:rsidRPr="78E9D332">
        <w:t>want</w:t>
      </w:r>
      <w:r w:rsidR="6407A59D" w:rsidRPr="78E9D332">
        <w:t>s its</w:t>
      </w:r>
      <w:r w:rsidRPr="78E9D332">
        <w:t xml:space="preserve"> staff to proudly bring their full and authentic </w:t>
      </w:r>
      <w:r>
        <w:t>sel</w:t>
      </w:r>
      <w:r w:rsidR="2557436B">
        <w:t xml:space="preserve">ves </w:t>
      </w:r>
      <w:r w:rsidRPr="78E9D332">
        <w:t>to work and have their talents recognised and applied to some of the toughest sustainability issues facing our state.</w:t>
      </w:r>
    </w:p>
    <w:p w14:paraId="7946B3BB" w14:textId="1AF36662" w:rsidR="007C3C70" w:rsidRPr="00BC439E" w:rsidRDefault="008D12CD" w:rsidP="00105389">
      <w:pPr>
        <w:pStyle w:val="Body"/>
      </w:pPr>
      <w:r w:rsidRPr="78E9D332">
        <w:t>In 202</w:t>
      </w:r>
      <w:r w:rsidR="6842D405" w:rsidRPr="78E9D332">
        <w:t>3</w:t>
      </w:r>
      <w:r w:rsidRPr="78E9D332">
        <w:t>–2</w:t>
      </w:r>
      <w:r w:rsidR="0ADECFED" w:rsidRPr="78E9D332">
        <w:t>4</w:t>
      </w:r>
      <w:r w:rsidRPr="78E9D332">
        <w:t>, SV continued to strengthen the value we provide to Victorians in the areas of program impact, data and community insights and the agility and scalability of our services. SV further enhanced its OneSV Culture focusing on developing its leaders to have impact and maximising hybrid and collaborative ways of working across technology, program design, storytelling, leadership, research and behaviour change.</w:t>
      </w:r>
    </w:p>
    <w:p w14:paraId="6BAD4104" w14:textId="02CE9E3B" w:rsidR="00F515B8" w:rsidRDefault="0048560B" w:rsidP="00F515B8">
      <w:pPr>
        <w:pStyle w:val="Heading2"/>
      </w:pPr>
      <w:bookmarkStart w:id="48" w:name="_Toc166585683"/>
      <w:r w:rsidRPr="71B13BA2">
        <w:t xml:space="preserve">Our </w:t>
      </w:r>
      <w:r w:rsidR="00F515B8" w:rsidRPr="71B13BA2">
        <w:t>cultural aspirations</w:t>
      </w:r>
      <w:bookmarkEnd w:id="48"/>
    </w:p>
    <w:p w14:paraId="55B02B0B" w14:textId="77777777" w:rsidR="001F7B92" w:rsidRPr="00A15DED" w:rsidRDefault="001F7B92" w:rsidP="00105389">
      <w:pPr>
        <w:pStyle w:val="Body"/>
        <w:rPr>
          <w:rStyle w:val="Strong"/>
          <w:rFonts w:ascii="Arial" w:eastAsiaTheme="majorEastAsia" w:hAnsi="Arial" w:cstheme="majorBidi"/>
          <w:b w:val="0"/>
          <w:color w:val="auto"/>
          <w:sz w:val="20"/>
          <w:szCs w:val="26"/>
          <w:lang w:eastAsia="en-US"/>
        </w:rPr>
      </w:pPr>
      <w:r w:rsidRPr="00A15DED">
        <w:rPr>
          <w:rStyle w:val="Strong"/>
          <w:color w:val="auto"/>
          <w:sz w:val="20"/>
        </w:rPr>
        <w:t>We are ONE SV</w:t>
      </w:r>
    </w:p>
    <w:p w14:paraId="627032FD" w14:textId="77777777" w:rsidR="001F7B92" w:rsidRDefault="001F7B92" w:rsidP="00105389">
      <w:pPr>
        <w:pStyle w:val="Body"/>
      </w:pPr>
      <w:r>
        <w:t>We are an inclusive community of diverse individuals, working collaboratively to achieve our shared goals.</w:t>
      </w:r>
    </w:p>
    <w:p w14:paraId="056106A1" w14:textId="77777777" w:rsidR="001F7B92" w:rsidRPr="00A15DED" w:rsidRDefault="001F7B92" w:rsidP="00105389">
      <w:pPr>
        <w:pStyle w:val="Body"/>
        <w:rPr>
          <w:rStyle w:val="Strong"/>
          <w:color w:val="auto"/>
          <w:sz w:val="20"/>
        </w:rPr>
      </w:pPr>
      <w:r w:rsidRPr="00A15DED">
        <w:rPr>
          <w:rStyle w:val="Strong"/>
          <w:color w:val="auto"/>
          <w:sz w:val="20"/>
        </w:rPr>
        <w:t>We have a GROWTH mindset</w:t>
      </w:r>
    </w:p>
    <w:p w14:paraId="7648057C" w14:textId="77777777" w:rsidR="001F7B92" w:rsidRDefault="001F7B92" w:rsidP="00105389">
      <w:pPr>
        <w:pStyle w:val="Body"/>
      </w:pPr>
      <w:r>
        <w:t>We bring our experience, skills and knowledge to everything we do; we are committed to personal and professional growth.</w:t>
      </w:r>
    </w:p>
    <w:p w14:paraId="44074C53" w14:textId="77777777" w:rsidR="001F7B92" w:rsidRPr="00A15DED" w:rsidRDefault="001F7B92" w:rsidP="00105389">
      <w:pPr>
        <w:pStyle w:val="Body"/>
        <w:rPr>
          <w:rStyle w:val="Strong"/>
          <w:color w:val="auto"/>
          <w:sz w:val="20"/>
        </w:rPr>
      </w:pPr>
      <w:r w:rsidRPr="00A15DED">
        <w:rPr>
          <w:rStyle w:val="Strong"/>
          <w:color w:val="auto"/>
          <w:sz w:val="20"/>
        </w:rPr>
        <w:t>We are COURAGEOUS and BOLD</w:t>
      </w:r>
    </w:p>
    <w:p w14:paraId="6707E3BE" w14:textId="77777777" w:rsidR="001F7B92" w:rsidRDefault="001F7B92" w:rsidP="00105389">
      <w:pPr>
        <w:pStyle w:val="Body"/>
      </w:pPr>
      <w:r>
        <w:t>We are open to new ideas, values, creativity and encourage each other to think differently, take well-informed risks and be courageous in our exploration.</w:t>
      </w:r>
    </w:p>
    <w:p w14:paraId="34B8D6D3" w14:textId="77777777" w:rsidR="001F7B92" w:rsidRPr="00A15DED" w:rsidRDefault="001F7B92" w:rsidP="00105389">
      <w:pPr>
        <w:pStyle w:val="Body"/>
        <w:rPr>
          <w:rStyle w:val="Strong"/>
          <w:color w:val="auto"/>
          <w:sz w:val="20"/>
        </w:rPr>
      </w:pPr>
      <w:r w:rsidRPr="00A15DED">
        <w:rPr>
          <w:rStyle w:val="Strong"/>
          <w:color w:val="auto"/>
          <w:sz w:val="20"/>
        </w:rPr>
        <w:t>We are IMPACTFUL</w:t>
      </w:r>
    </w:p>
    <w:p w14:paraId="32163E96" w14:textId="77777777" w:rsidR="001F7B92" w:rsidRDefault="001F7B92" w:rsidP="00105389">
      <w:pPr>
        <w:pStyle w:val="Body"/>
      </w:pPr>
      <w:r>
        <w:t>We deliver impactful and measurable outcomes, holding each other to account, being brave in our decision-making and adopting a ‘can do’ attitude.</w:t>
      </w:r>
    </w:p>
    <w:p w14:paraId="1A6BC37B" w14:textId="77777777" w:rsidR="001F7B92" w:rsidRPr="00A15DED" w:rsidRDefault="001F7B92" w:rsidP="00105389">
      <w:pPr>
        <w:pStyle w:val="Body"/>
        <w:rPr>
          <w:rStyle w:val="Strong"/>
          <w:color w:val="auto"/>
          <w:sz w:val="20"/>
        </w:rPr>
      </w:pPr>
      <w:r w:rsidRPr="00A15DED">
        <w:rPr>
          <w:rStyle w:val="Strong"/>
          <w:color w:val="auto"/>
          <w:sz w:val="20"/>
        </w:rPr>
        <w:t>We are INSIGHTFUL</w:t>
      </w:r>
    </w:p>
    <w:p w14:paraId="333707FF" w14:textId="77777777" w:rsidR="001F7B92" w:rsidRDefault="001F7B92" w:rsidP="00105389">
      <w:pPr>
        <w:pStyle w:val="Body"/>
      </w:pPr>
      <w:r>
        <w:t>We see the big picture and think longer term adding value though insight, leveraging our rich evidence, data and research to explore scenarios and create new opportunities.</w:t>
      </w:r>
    </w:p>
    <w:p w14:paraId="613A91F5" w14:textId="77777777" w:rsidR="001F7B92" w:rsidRPr="00A15DED" w:rsidRDefault="001F7B92" w:rsidP="00105389">
      <w:pPr>
        <w:pStyle w:val="Body"/>
        <w:rPr>
          <w:rStyle w:val="Strong"/>
          <w:color w:val="auto"/>
          <w:sz w:val="20"/>
        </w:rPr>
      </w:pPr>
      <w:r w:rsidRPr="00A15DED">
        <w:rPr>
          <w:rStyle w:val="Strong"/>
          <w:color w:val="auto"/>
          <w:sz w:val="20"/>
        </w:rPr>
        <w:t>We are AGILE</w:t>
      </w:r>
    </w:p>
    <w:p w14:paraId="56CA0829" w14:textId="77777777" w:rsidR="001F7B92" w:rsidRDefault="001F7B92" w:rsidP="00105389">
      <w:pPr>
        <w:pStyle w:val="Body"/>
      </w:pPr>
      <w:r>
        <w:t>We are flexible and agile and redirect resources to achieve the maximum benefit for the Victorian community. We foster a ‘safe-to-fail’ environment where staff are empowered to innovate and try new things.</w:t>
      </w:r>
    </w:p>
    <w:p w14:paraId="7C889E27" w14:textId="3DA7425C" w:rsidR="006402E2" w:rsidRPr="001F7B92" w:rsidRDefault="006402E2" w:rsidP="00590ACB">
      <w:pPr>
        <w:pStyle w:val="Heading2"/>
        <w:rPr>
          <w:rFonts w:cstheme="minorBidi"/>
        </w:rPr>
      </w:pPr>
      <w:bookmarkStart w:id="49" w:name="_Toc166585684"/>
      <w:r w:rsidRPr="0012521E">
        <w:t>Diversity and inclusion</w:t>
      </w:r>
      <w:bookmarkEnd w:id="49"/>
    </w:p>
    <w:p w14:paraId="57797E57" w14:textId="2A3F0429" w:rsidR="006D5414" w:rsidRPr="006D5414" w:rsidRDefault="006D5414" w:rsidP="00105389">
      <w:pPr>
        <w:pStyle w:val="Body"/>
      </w:pPr>
      <w:r>
        <w:t>SV continues its commitment to fostering a safe and inclusive workplace where every person can feel a sense of belonging supported by SV’s Diversity and Inclusion Plan 202</w:t>
      </w:r>
      <w:r w:rsidR="58D647EF">
        <w:t>6</w:t>
      </w:r>
      <w:r>
        <w:t xml:space="preserve">. Our diversity and inclusion purpose </w:t>
      </w:r>
      <w:proofErr w:type="gramStart"/>
      <w:r>
        <w:t>is</w:t>
      </w:r>
      <w:proofErr w:type="gramEnd"/>
      <w:r>
        <w:t xml:space="preserve"> to individually and collectively transform our workforce into one that is representative of the Victorian community.</w:t>
      </w:r>
    </w:p>
    <w:p w14:paraId="6AF0AF83" w14:textId="0BA08A18" w:rsidR="006D5414" w:rsidRPr="001D6398" w:rsidRDefault="1C687ADF" w:rsidP="00105389">
      <w:pPr>
        <w:pStyle w:val="Body"/>
      </w:pPr>
      <w:r w:rsidRPr="679A89A9">
        <w:t>The</w:t>
      </w:r>
      <w:r w:rsidR="3113A01C">
        <w:t xml:space="preserve"> </w:t>
      </w:r>
      <w:r w:rsidRPr="679A89A9">
        <w:t xml:space="preserve">new </w:t>
      </w:r>
      <w:r w:rsidR="5CCB7F19">
        <w:t xml:space="preserve">Diversity and Inclusion Plan </w:t>
      </w:r>
      <w:r w:rsidRPr="679A89A9">
        <w:t xml:space="preserve">2026 </w:t>
      </w:r>
      <w:r w:rsidR="09B5DF1F">
        <w:t xml:space="preserve">was </w:t>
      </w:r>
      <w:r w:rsidRPr="679A89A9">
        <w:t>endorsed in February 2024</w:t>
      </w:r>
      <w:r w:rsidR="6D893E2B">
        <w:t>. It</w:t>
      </w:r>
      <w:r w:rsidR="4565BCCD">
        <w:t xml:space="preserve"> </w:t>
      </w:r>
      <w:r w:rsidR="7DD96471">
        <w:t xml:space="preserve">builds on </w:t>
      </w:r>
      <w:r w:rsidR="083E03E6">
        <w:t>the</w:t>
      </w:r>
      <w:r w:rsidR="7A5A3426">
        <w:t xml:space="preserve"> </w:t>
      </w:r>
      <w:r w:rsidR="12A1B6CC">
        <w:t>work of the si</w:t>
      </w:r>
      <w:r w:rsidR="18E5C9F5">
        <w:t>x</w:t>
      </w:r>
      <w:r w:rsidR="12A1B6CC">
        <w:t xml:space="preserve"> active working groups that </w:t>
      </w:r>
      <w:r w:rsidR="3B737CA1">
        <w:t>established</w:t>
      </w:r>
      <w:r w:rsidR="55AB44A7">
        <w:t xml:space="preserve"> </w:t>
      </w:r>
      <w:r w:rsidR="008610A9">
        <w:t xml:space="preserve">strong </w:t>
      </w:r>
      <w:proofErr w:type="gramStart"/>
      <w:r w:rsidR="008610A9">
        <w:t xml:space="preserve">foundations </w:t>
      </w:r>
      <w:r w:rsidR="7207103A">
        <w:t xml:space="preserve"> </w:t>
      </w:r>
      <w:r w:rsidR="3263FF00">
        <w:t>to</w:t>
      </w:r>
      <w:proofErr w:type="gramEnd"/>
      <w:r w:rsidR="3263FF00">
        <w:t xml:space="preserve"> deliver the</w:t>
      </w:r>
      <w:r w:rsidR="7F6F0184">
        <w:t xml:space="preserve"> previous 2023</w:t>
      </w:r>
      <w:r w:rsidR="34B16A5D">
        <w:t xml:space="preserve"> plan</w:t>
      </w:r>
      <w:r w:rsidR="118026EF">
        <w:t>. The new Diversity and Inclusion Network</w:t>
      </w:r>
      <w:r w:rsidR="34B16A5D">
        <w:t xml:space="preserve"> </w:t>
      </w:r>
      <w:r w:rsidR="00DE5DE1">
        <w:t>enables SV</w:t>
      </w:r>
      <w:r w:rsidR="083E03E6">
        <w:t xml:space="preserve"> to improve</w:t>
      </w:r>
      <w:r w:rsidR="4BFE1098">
        <w:t xml:space="preserve"> </w:t>
      </w:r>
      <w:r w:rsidR="00C1749E">
        <w:t>intersectionality</w:t>
      </w:r>
      <w:r w:rsidR="4BFE1098">
        <w:t xml:space="preserve"> through a </w:t>
      </w:r>
      <w:r w:rsidR="710C19DE">
        <w:t xml:space="preserve">consolidation of these </w:t>
      </w:r>
      <w:proofErr w:type="gramStart"/>
      <w:r w:rsidR="710C19DE">
        <w:t>groups.</w:t>
      </w:r>
      <w:r w:rsidR="60E69A5F">
        <w:t>.</w:t>
      </w:r>
      <w:proofErr w:type="gramEnd"/>
    </w:p>
    <w:p w14:paraId="1266ABBD" w14:textId="28DE81C1" w:rsidR="006D5414" w:rsidRPr="001D6398" w:rsidRDefault="006D5414" w:rsidP="00105389">
      <w:pPr>
        <w:pStyle w:val="Body"/>
      </w:pPr>
      <w:r w:rsidRPr="001D6398">
        <w:lastRenderedPageBreak/>
        <w:t xml:space="preserve">In the last 12 months, SV </w:t>
      </w:r>
      <w:r w:rsidR="00035292" w:rsidRPr="001D6398">
        <w:t xml:space="preserve">has </w:t>
      </w:r>
      <w:r w:rsidRPr="001D6398">
        <w:t xml:space="preserve">progressed key initiatives outlined in the Gender Equality Action Plan </w:t>
      </w:r>
      <w:r w:rsidR="00B811EF" w:rsidRPr="001D6398">
        <w:t>2021</w:t>
      </w:r>
      <w:r w:rsidR="3B182F17" w:rsidRPr="6B8A8730">
        <w:rPr>
          <w:rFonts w:ascii="Aptos" w:eastAsia="Aptos" w:hAnsi="Aptos" w:cs="Aptos"/>
          <w:sz w:val="22"/>
          <w:szCs w:val="22"/>
          <w:lang w:val="en-GB"/>
        </w:rPr>
        <w:t>–</w:t>
      </w:r>
      <w:r w:rsidR="00B811EF" w:rsidRPr="001D6398">
        <w:t>2024</w:t>
      </w:r>
      <w:r w:rsidRPr="001D6398">
        <w:t xml:space="preserve"> </w:t>
      </w:r>
      <w:r w:rsidR="008457EC">
        <w:t>which includes</w:t>
      </w:r>
      <w:r w:rsidR="000D11E6" w:rsidRPr="001D6398">
        <w:t xml:space="preserve"> continuing with</w:t>
      </w:r>
      <w:r w:rsidR="15D400AA" w:rsidRPr="001D6398">
        <w:t xml:space="preserve"> the</w:t>
      </w:r>
      <w:r w:rsidRPr="001D6398">
        <w:t xml:space="preserve"> new menstruation and menopause wellbeing policy, revising job advertisements to encourage intersectional diversity and enhancing diversity data collection and reporting mechanisms.</w:t>
      </w:r>
    </w:p>
    <w:p w14:paraId="06F9E207" w14:textId="7432A3AC" w:rsidR="5F3267A0" w:rsidRPr="001D6398" w:rsidRDefault="320326F8" w:rsidP="00C75D63">
      <w:pPr>
        <w:spacing w:line="257" w:lineRule="auto"/>
        <w:rPr>
          <w:rFonts w:ascii="Aptos" w:eastAsia="Aptos" w:hAnsi="Aptos" w:cs="Aptos"/>
          <w:sz w:val="22"/>
          <w:lang w:val="en-GB"/>
        </w:rPr>
      </w:pPr>
      <w:r w:rsidRPr="001D6398">
        <w:t>SV’s Gender Equality Action Plan 2021</w:t>
      </w:r>
      <w:r w:rsidRPr="24D01094">
        <w:rPr>
          <w:rFonts w:ascii="Aptos" w:eastAsia="Aptos" w:hAnsi="Aptos" w:cs="Aptos"/>
          <w:sz w:val="22"/>
          <w:lang w:val="en-GB"/>
        </w:rPr>
        <w:t>–</w:t>
      </w:r>
      <w:r w:rsidRPr="001D6398">
        <w:t xml:space="preserve">2024 </w:t>
      </w:r>
      <w:r w:rsidR="75B51EE2" w:rsidRPr="001D6398">
        <w:t xml:space="preserve">provides the framework </w:t>
      </w:r>
      <w:r w:rsidR="00E161BC">
        <w:t xml:space="preserve">to promote, encourage and facilitate the achievement of gender equality and improvement in the status of women and gender diverse people. </w:t>
      </w:r>
      <w:r w:rsidR="5EED1BE1">
        <w:t>A</w:t>
      </w:r>
      <w:r w:rsidR="44B92F0A" w:rsidRPr="001D6398">
        <w:t xml:space="preserve"> </w:t>
      </w:r>
      <w:r w:rsidR="686337A9">
        <w:t>p</w:t>
      </w:r>
      <w:r w:rsidR="44B92F0A" w:rsidRPr="001D6398">
        <w:t xml:space="preserve">rogress </w:t>
      </w:r>
      <w:r w:rsidR="00F416E9">
        <w:t>r</w:t>
      </w:r>
      <w:r w:rsidR="44B92F0A" w:rsidRPr="001D6398">
        <w:t xml:space="preserve">eport and </w:t>
      </w:r>
      <w:r w:rsidR="019747C6">
        <w:t>w</w:t>
      </w:r>
      <w:r w:rsidR="44B92F0A">
        <w:t xml:space="preserve">orkplace </w:t>
      </w:r>
      <w:r w:rsidR="131C9C74">
        <w:t>g</w:t>
      </w:r>
      <w:r w:rsidR="44B92F0A">
        <w:t xml:space="preserve">ender </w:t>
      </w:r>
      <w:r w:rsidR="562670DB">
        <w:t>a</w:t>
      </w:r>
      <w:r w:rsidR="44B92F0A" w:rsidRPr="001D6398">
        <w:t xml:space="preserve">udit </w:t>
      </w:r>
      <w:r w:rsidR="6389BFFA" w:rsidRPr="001D6398">
        <w:t>were submitted</w:t>
      </w:r>
      <w:r w:rsidR="44B92F0A" w:rsidRPr="001D6398">
        <w:t xml:space="preserve"> in February 2024 to the C</w:t>
      </w:r>
      <w:r w:rsidR="6416DE15" w:rsidRPr="001D6398">
        <w:t>ommission</w:t>
      </w:r>
      <w:r w:rsidR="00A82B87" w:rsidRPr="001D6398">
        <w:t xml:space="preserve"> </w:t>
      </w:r>
      <w:r w:rsidR="6416DE15" w:rsidRPr="001D6398">
        <w:t xml:space="preserve">for Gender Equality in the Public Sector. </w:t>
      </w:r>
      <w:r w:rsidR="6416DE15">
        <w:t>The report</w:t>
      </w:r>
      <w:r w:rsidR="01462273">
        <w:t xml:space="preserve"> and audit</w:t>
      </w:r>
      <w:r w:rsidR="6416DE15" w:rsidRPr="001D6398">
        <w:t xml:space="preserve"> are still subject to compliance checking by the commission.</w:t>
      </w:r>
    </w:p>
    <w:p w14:paraId="0438429B" w14:textId="04AEDB6B" w:rsidR="006D5414" w:rsidRPr="001D6398" w:rsidRDefault="006D5414" w:rsidP="00105389">
      <w:pPr>
        <w:pStyle w:val="Body"/>
      </w:pPr>
      <w:r w:rsidRPr="001D6398">
        <w:t>SV provided leaders with racial unconscious bias and LGBTQIA+ ally training to strengthen awareness and advocacy.</w:t>
      </w:r>
    </w:p>
    <w:p w14:paraId="18301CA3" w14:textId="7D5FDB1E" w:rsidR="00AB1941" w:rsidRDefault="006D5414" w:rsidP="00105389">
      <w:pPr>
        <w:pStyle w:val="Body"/>
      </w:pPr>
      <w:r w:rsidRPr="001D6398">
        <w:t>We also recognised and celebrated</w:t>
      </w:r>
      <w:r>
        <w:t xml:space="preserve"> the following days of significance with internal events to promote awareness and education across diversity and inclusion pillars.</w:t>
      </w:r>
    </w:p>
    <w:p w14:paraId="231EFA79" w14:textId="67BA87AF" w:rsidR="009F49D1" w:rsidRPr="0024386C" w:rsidRDefault="009F49D1" w:rsidP="009F49D1">
      <w:pPr>
        <w:rPr>
          <w:b/>
          <w:bCs/>
        </w:rPr>
      </w:pPr>
      <w:r w:rsidRPr="0024386C">
        <w:rPr>
          <w:b/>
          <w:bCs/>
        </w:rPr>
        <w:t xml:space="preserve">Table </w:t>
      </w:r>
      <w:r w:rsidRPr="0024386C">
        <w:rPr>
          <w:b/>
          <w:bCs/>
        </w:rPr>
        <w:fldChar w:fldCharType="begin"/>
      </w:r>
      <w:r w:rsidRPr="0024386C">
        <w:rPr>
          <w:b/>
          <w:bCs/>
        </w:rPr>
        <w:instrText>SEQ Table \* ARABIC</w:instrText>
      </w:r>
      <w:r w:rsidRPr="0024386C">
        <w:rPr>
          <w:b/>
          <w:bCs/>
        </w:rPr>
        <w:fldChar w:fldCharType="separate"/>
      </w:r>
      <w:r w:rsidR="00EB70DF">
        <w:rPr>
          <w:b/>
          <w:bCs/>
          <w:noProof/>
        </w:rPr>
        <w:t>5</w:t>
      </w:r>
      <w:r w:rsidRPr="0024386C">
        <w:fldChar w:fldCharType="end"/>
      </w:r>
      <w:r w:rsidRPr="0024386C">
        <w:rPr>
          <w:b/>
          <w:bCs/>
        </w:rPr>
        <w:t xml:space="preserve">: Celebrating days of significance in </w:t>
      </w:r>
      <w:r w:rsidRPr="0024386C" w:rsidDel="007B4783">
        <w:rPr>
          <w:b/>
          <w:bCs/>
        </w:rPr>
        <w:t>2023</w:t>
      </w:r>
      <w:r w:rsidR="007B4783">
        <w:rPr>
          <w:b/>
          <w:bCs/>
        </w:rPr>
        <w:t>–24</w:t>
      </w:r>
    </w:p>
    <w:tbl>
      <w:tblPr>
        <w:tblStyle w:val="TableGrid"/>
        <w:tblW w:w="8844" w:type="dxa"/>
        <w:tblLook w:val="04A0" w:firstRow="1" w:lastRow="0" w:firstColumn="1" w:lastColumn="0" w:noHBand="0" w:noVBand="1"/>
      </w:tblPr>
      <w:tblGrid>
        <w:gridCol w:w="4957"/>
        <w:gridCol w:w="3887"/>
      </w:tblGrid>
      <w:tr w:rsidR="009F49D1" w:rsidRPr="0024386C" w14:paraId="2C6125C8" w14:textId="77777777" w:rsidTr="00912D88">
        <w:trPr>
          <w:trHeight w:val="407"/>
        </w:trPr>
        <w:tc>
          <w:tcPr>
            <w:tcW w:w="4957" w:type="dxa"/>
            <w:shd w:val="clear" w:color="auto" w:fill="D4DFA0" w:themeFill="accent3"/>
            <w:noWrap/>
            <w:hideMark/>
          </w:tcPr>
          <w:p w14:paraId="767BB13F" w14:textId="77777777" w:rsidR="009F49D1" w:rsidRPr="0024386C" w:rsidRDefault="009F49D1" w:rsidP="00912D88">
            <w:pPr>
              <w:spacing w:after="160"/>
              <w:rPr>
                <w:b/>
                <w:bCs/>
              </w:rPr>
            </w:pPr>
            <w:r w:rsidRPr="0024386C">
              <w:rPr>
                <w:b/>
                <w:bCs/>
              </w:rPr>
              <w:t>Days of significance</w:t>
            </w:r>
          </w:p>
        </w:tc>
        <w:tc>
          <w:tcPr>
            <w:tcW w:w="3887" w:type="dxa"/>
            <w:shd w:val="clear" w:color="auto" w:fill="D4DFA0" w:themeFill="accent3"/>
            <w:hideMark/>
          </w:tcPr>
          <w:p w14:paraId="024BAE0F" w14:textId="77777777" w:rsidR="009F49D1" w:rsidRPr="0024386C" w:rsidRDefault="009F49D1" w:rsidP="00912D88">
            <w:pPr>
              <w:spacing w:after="160"/>
              <w:rPr>
                <w:b/>
                <w:bCs/>
              </w:rPr>
            </w:pPr>
            <w:r w:rsidRPr="0024386C">
              <w:rPr>
                <w:b/>
                <w:bCs/>
              </w:rPr>
              <w:t>Date</w:t>
            </w:r>
          </w:p>
        </w:tc>
      </w:tr>
      <w:tr w:rsidR="009F49D1" w:rsidRPr="0024386C" w14:paraId="6C508002" w14:textId="77777777" w:rsidTr="00912D88">
        <w:trPr>
          <w:trHeight w:val="407"/>
        </w:trPr>
        <w:tc>
          <w:tcPr>
            <w:tcW w:w="4957" w:type="dxa"/>
            <w:noWrap/>
          </w:tcPr>
          <w:p w14:paraId="25F32335" w14:textId="77777777" w:rsidR="009F49D1" w:rsidRPr="0024386C" w:rsidRDefault="009F49D1" w:rsidP="00912D88">
            <w:pPr>
              <w:spacing w:after="160"/>
            </w:pPr>
            <w:r>
              <w:t>NAIDOC week</w:t>
            </w:r>
          </w:p>
        </w:tc>
        <w:tc>
          <w:tcPr>
            <w:tcW w:w="3887" w:type="dxa"/>
          </w:tcPr>
          <w:p w14:paraId="7B9A5F8C" w14:textId="043A2728" w:rsidR="009F49D1" w:rsidRPr="0024386C" w:rsidRDefault="51FF570E" w:rsidP="00912D88">
            <w:pPr>
              <w:spacing w:after="160"/>
            </w:pPr>
            <w:r>
              <w:t>2</w:t>
            </w:r>
            <w:r w:rsidR="009F49D1">
              <w:t>–</w:t>
            </w:r>
            <w:r w:rsidR="5FDBADA4">
              <w:t>9</w:t>
            </w:r>
            <w:r w:rsidR="009F49D1">
              <w:t xml:space="preserve"> July 202</w:t>
            </w:r>
            <w:r w:rsidR="527C10F5">
              <w:t>3</w:t>
            </w:r>
          </w:p>
        </w:tc>
      </w:tr>
      <w:tr w:rsidR="009F49D1" w:rsidRPr="0024386C" w14:paraId="4175A0F2" w14:textId="77777777" w:rsidTr="00912D88">
        <w:trPr>
          <w:trHeight w:val="407"/>
        </w:trPr>
        <w:tc>
          <w:tcPr>
            <w:tcW w:w="4957" w:type="dxa"/>
            <w:noWrap/>
          </w:tcPr>
          <w:p w14:paraId="674BBA32" w14:textId="18C3C19A" w:rsidR="009F49D1" w:rsidRPr="0024386C" w:rsidRDefault="009F49D1" w:rsidP="00912D88">
            <w:pPr>
              <w:spacing w:after="160"/>
            </w:pPr>
            <w:r>
              <w:t>Wear it Purple Day</w:t>
            </w:r>
          </w:p>
        </w:tc>
        <w:tc>
          <w:tcPr>
            <w:tcW w:w="3887" w:type="dxa"/>
          </w:tcPr>
          <w:p w14:paraId="5F32F88A" w14:textId="44586B8B" w:rsidR="009F49D1" w:rsidRPr="0024386C" w:rsidRDefault="009F49D1" w:rsidP="00912D88">
            <w:pPr>
              <w:spacing w:after="160"/>
            </w:pPr>
            <w:r>
              <w:t>2</w:t>
            </w:r>
            <w:r w:rsidR="1A00AE31">
              <w:t>5</w:t>
            </w:r>
            <w:r>
              <w:t xml:space="preserve"> August 202</w:t>
            </w:r>
            <w:r w:rsidR="16488EBC">
              <w:t>3</w:t>
            </w:r>
          </w:p>
        </w:tc>
      </w:tr>
      <w:tr w:rsidR="009F49D1" w:rsidRPr="0024386C" w14:paraId="75B27F37" w14:textId="77777777" w:rsidTr="00912D88">
        <w:trPr>
          <w:trHeight w:val="407"/>
        </w:trPr>
        <w:tc>
          <w:tcPr>
            <w:tcW w:w="4957" w:type="dxa"/>
            <w:noWrap/>
          </w:tcPr>
          <w:p w14:paraId="323FEBFC" w14:textId="77777777" w:rsidR="009F49D1" w:rsidRPr="0024386C" w:rsidRDefault="009F49D1" w:rsidP="00912D88">
            <w:pPr>
              <w:spacing w:after="160"/>
            </w:pPr>
            <w:r>
              <w:t>International Day of People with Disability</w:t>
            </w:r>
          </w:p>
        </w:tc>
        <w:tc>
          <w:tcPr>
            <w:tcW w:w="3887" w:type="dxa"/>
          </w:tcPr>
          <w:p w14:paraId="594CE322" w14:textId="0E4595E3" w:rsidR="009F49D1" w:rsidRPr="0024386C" w:rsidRDefault="009F49D1" w:rsidP="00912D88">
            <w:pPr>
              <w:spacing w:after="160"/>
            </w:pPr>
            <w:r>
              <w:t>3 December 202</w:t>
            </w:r>
            <w:r w:rsidR="2D3304E3">
              <w:t>3</w:t>
            </w:r>
          </w:p>
        </w:tc>
      </w:tr>
      <w:tr w:rsidR="009F49D1" w:rsidRPr="0024386C" w14:paraId="4DDEAD2C" w14:textId="77777777" w:rsidTr="00912D88">
        <w:trPr>
          <w:trHeight w:val="407"/>
        </w:trPr>
        <w:tc>
          <w:tcPr>
            <w:tcW w:w="4957" w:type="dxa"/>
            <w:noWrap/>
          </w:tcPr>
          <w:p w14:paraId="5BC76873" w14:textId="77777777" w:rsidR="009F49D1" w:rsidRPr="0024386C" w:rsidRDefault="009F49D1" w:rsidP="00912D88">
            <w:pPr>
              <w:spacing w:after="160"/>
            </w:pPr>
            <w:r>
              <w:t>International Women’s Day</w:t>
            </w:r>
          </w:p>
        </w:tc>
        <w:tc>
          <w:tcPr>
            <w:tcW w:w="3887" w:type="dxa"/>
          </w:tcPr>
          <w:p w14:paraId="0BFEED34" w14:textId="6EBEF255" w:rsidR="009F49D1" w:rsidRPr="0024386C" w:rsidRDefault="009F49D1" w:rsidP="00912D88">
            <w:pPr>
              <w:spacing w:after="160"/>
            </w:pPr>
            <w:r>
              <w:t>8 March 202</w:t>
            </w:r>
            <w:r w:rsidR="31203C2D">
              <w:t>4</w:t>
            </w:r>
          </w:p>
        </w:tc>
      </w:tr>
      <w:tr w:rsidR="009F49D1" w:rsidRPr="0024386C" w14:paraId="2C00CB71" w14:textId="77777777" w:rsidTr="00912D88">
        <w:trPr>
          <w:trHeight w:val="407"/>
        </w:trPr>
        <w:tc>
          <w:tcPr>
            <w:tcW w:w="4957" w:type="dxa"/>
            <w:noWrap/>
          </w:tcPr>
          <w:p w14:paraId="3A557502" w14:textId="2AE82970" w:rsidR="009F49D1" w:rsidRPr="0024386C" w:rsidRDefault="009F49D1" w:rsidP="00912D88">
            <w:pPr>
              <w:spacing w:after="160"/>
            </w:pPr>
            <w:r>
              <w:t xml:space="preserve">Harmony </w:t>
            </w:r>
            <w:r w:rsidR="0A9910D4">
              <w:t xml:space="preserve">Week </w:t>
            </w:r>
            <w:r w:rsidR="003F20C5">
              <w:t xml:space="preserve">(also known as Cultural Diversity Week) </w:t>
            </w:r>
            <w:r w:rsidR="0A9910D4">
              <w:t>&amp;</w:t>
            </w:r>
          </w:p>
          <w:p w14:paraId="72A63D2F" w14:textId="68B7E028" w:rsidR="009F49D1" w:rsidRPr="0024386C" w:rsidRDefault="0A9910D4" w:rsidP="00912D88">
            <w:pPr>
              <w:spacing w:after="160"/>
            </w:pPr>
            <w:r>
              <w:t>International Day for the Elimination of Discrimination</w:t>
            </w:r>
          </w:p>
        </w:tc>
        <w:tc>
          <w:tcPr>
            <w:tcW w:w="3887" w:type="dxa"/>
          </w:tcPr>
          <w:p w14:paraId="5CD75CB8" w14:textId="291DA61C" w:rsidR="009F49D1" w:rsidRPr="0024386C" w:rsidRDefault="0A9910D4" w:rsidP="00912D88">
            <w:pPr>
              <w:spacing w:after="160"/>
            </w:pPr>
            <w:r>
              <w:t>18</w:t>
            </w:r>
            <w:r w:rsidR="09965626">
              <w:t>–</w:t>
            </w:r>
            <w:r>
              <w:t>24</w:t>
            </w:r>
            <w:r w:rsidR="009F49D1">
              <w:t xml:space="preserve"> March 202</w:t>
            </w:r>
            <w:r w:rsidR="0951EE03">
              <w:t>4</w:t>
            </w:r>
          </w:p>
          <w:p w14:paraId="6E8629DC" w14:textId="4C508ACE" w:rsidR="009F49D1" w:rsidRPr="0024386C" w:rsidRDefault="11843121" w:rsidP="00912D88">
            <w:pPr>
              <w:spacing w:after="160"/>
            </w:pPr>
            <w:r>
              <w:t>21 March 2024</w:t>
            </w:r>
          </w:p>
        </w:tc>
      </w:tr>
      <w:tr w:rsidR="009F49D1" w:rsidRPr="0024386C" w14:paraId="3CFA12DD" w14:textId="77777777" w:rsidTr="00912D88">
        <w:trPr>
          <w:trHeight w:val="407"/>
        </w:trPr>
        <w:tc>
          <w:tcPr>
            <w:tcW w:w="4957" w:type="dxa"/>
            <w:noWrap/>
          </w:tcPr>
          <w:p w14:paraId="362CE327" w14:textId="77777777" w:rsidR="009F49D1" w:rsidRPr="0024386C" w:rsidRDefault="009F49D1" w:rsidP="00912D88">
            <w:pPr>
              <w:spacing w:after="160"/>
            </w:pPr>
            <w:r>
              <w:t>Global Accessibility Awareness Day</w:t>
            </w:r>
          </w:p>
        </w:tc>
        <w:tc>
          <w:tcPr>
            <w:tcW w:w="3887" w:type="dxa"/>
          </w:tcPr>
          <w:p w14:paraId="73130D81" w14:textId="73EC0F17" w:rsidR="009F49D1" w:rsidRPr="0024386C" w:rsidRDefault="009F49D1" w:rsidP="00912D88">
            <w:pPr>
              <w:spacing w:after="160"/>
            </w:pPr>
            <w:r>
              <w:t>1</w:t>
            </w:r>
            <w:r w:rsidR="0B004A3D">
              <w:t>6</w:t>
            </w:r>
            <w:r>
              <w:t xml:space="preserve"> May 202</w:t>
            </w:r>
            <w:r w:rsidR="7166AE91">
              <w:t>4</w:t>
            </w:r>
          </w:p>
        </w:tc>
      </w:tr>
      <w:tr w:rsidR="4B2BCFF2" w14:paraId="505CEA78" w14:textId="77777777" w:rsidTr="4B2BCFF2">
        <w:trPr>
          <w:trHeight w:val="407"/>
        </w:trPr>
        <w:tc>
          <w:tcPr>
            <w:tcW w:w="4957" w:type="dxa"/>
            <w:noWrap/>
          </w:tcPr>
          <w:p w14:paraId="60D82C5A" w14:textId="03F10620" w:rsidR="5A959EA2" w:rsidRDefault="5A959EA2" w:rsidP="4B2BCFF2">
            <w:r>
              <w:t>Reconciliation Week</w:t>
            </w:r>
          </w:p>
        </w:tc>
        <w:tc>
          <w:tcPr>
            <w:tcW w:w="3887" w:type="dxa"/>
          </w:tcPr>
          <w:p w14:paraId="78CAE67C" w14:textId="71BAC7D5" w:rsidR="4B2BCFF2" w:rsidRDefault="3CE2F6CF" w:rsidP="4B2BCFF2">
            <w:r>
              <w:t>27 May – 3 June 2024</w:t>
            </w:r>
          </w:p>
        </w:tc>
      </w:tr>
    </w:tbl>
    <w:p w14:paraId="5E4445F5" w14:textId="09841EA5" w:rsidR="006D5414" w:rsidRDefault="006D5414" w:rsidP="006D5414">
      <w:pPr>
        <w:pStyle w:val="Heading2"/>
      </w:pPr>
      <w:r>
        <w:t>Fostering a healthy and supportive work environment</w:t>
      </w:r>
    </w:p>
    <w:p w14:paraId="059933EF" w14:textId="7195EEE4" w:rsidR="005040E0" w:rsidRPr="00A12F42" w:rsidRDefault="005040E0" w:rsidP="00105389">
      <w:pPr>
        <w:pStyle w:val="Body"/>
      </w:pPr>
      <w:r w:rsidRPr="00A12F42">
        <w:t>In 202</w:t>
      </w:r>
      <w:r w:rsidR="269AED89" w:rsidRPr="00A12F42">
        <w:t>3</w:t>
      </w:r>
      <w:r w:rsidRPr="00A12F42">
        <w:t>–2</w:t>
      </w:r>
      <w:r w:rsidR="657F69E4" w:rsidRPr="00A12F42">
        <w:t>4</w:t>
      </w:r>
      <w:r w:rsidRPr="00A12F42">
        <w:t>, SV continued to prioritise staff wellbeing, health and safety</w:t>
      </w:r>
      <w:r w:rsidR="6D597923">
        <w:t xml:space="preserve"> (WHS)</w:t>
      </w:r>
      <w:r w:rsidR="5CF8FE5F">
        <w:t xml:space="preserve">. </w:t>
      </w:r>
      <w:r w:rsidR="2C5AF4A0">
        <w:t xml:space="preserve">We have normalised </w:t>
      </w:r>
      <w:r w:rsidR="2BE06287">
        <w:t>h</w:t>
      </w:r>
      <w:r w:rsidR="5CF8FE5F">
        <w:t>ybrid</w:t>
      </w:r>
      <w:r w:rsidRPr="00A12F42">
        <w:t xml:space="preserve"> working</w:t>
      </w:r>
      <w:r w:rsidR="27C47EA5">
        <w:t xml:space="preserve">, rolled out </w:t>
      </w:r>
      <w:r w:rsidRPr="00A12F42">
        <w:t xml:space="preserve">additional wellbeing initiatives and </w:t>
      </w:r>
      <w:r w:rsidR="36872544">
        <w:t xml:space="preserve">further embedded </w:t>
      </w:r>
      <w:r w:rsidRPr="00A12F42">
        <w:t>SV’s flexible working culture</w:t>
      </w:r>
      <w:r w:rsidR="7EE90EF2">
        <w:t xml:space="preserve">. </w:t>
      </w:r>
      <w:r w:rsidR="2271B544">
        <w:t>SV</w:t>
      </w:r>
      <w:r w:rsidR="228E666E">
        <w:t>’s work culture</w:t>
      </w:r>
      <w:r w:rsidR="00A12F42">
        <w:t xml:space="preserve"> continues to </w:t>
      </w:r>
      <w:r w:rsidR="6858F297">
        <w:t>receive recognition</w:t>
      </w:r>
      <w:r w:rsidR="00D67242">
        <w:t xml:space="preserve"> </w:t>
      </w:r>
      <w:r w:rsidR="00626E86">
        <w:t xml:space="preserve">internally and </w:t>
      </w:r>
      <w:r>
        <w:t>externally.</w:t>
      </w:r>
    </w:p>
    <w:p w14:paraId="2D3846EC" w14:textId="514D6238" w:rsidR="78E9D332" w:rsidRDefault="005040E0" w:rsidP="00105389">
      <w:pPr>
        <w:pStyle w:val="Body"/>
        <w:rPr>
          <w:highlight w:val="yellow"/>
        </w:rPr>
      </w:pPr>
      <w:r>
        <w:t>Over 202</w:t>
      </w:r>
      <w:r w:rsidR="35B5B78D">
        <w:t>3</w:t>
      </w:r>
      <w:r>
        <w:t xml:space="preserve"> and 202</w:t>
      </w:r>
      <w:r w:rsidR="07B0DC45">
        <w:t>4</w:t>
      </w:r>
      <w:r>
        <w:t xml:space="preserve">, SV </w:t>
      </w:r>
      <w:r w:rsidR="657A5078">
        <w:t>maintained</w:t>
      </w:r>
      <w:r>
        <w:t xml:space="preserve"> a range of wellbeing initiatives to support staff, including</w:t>
      </w:r>
      <w:r w:rsidR="00E21DA0">
        <w:t xml:space="preserve"> a h</w:t>
      </w:r>
      <w:r w:rsidR="19DDCF26">
        <w:t xml:space="preserve">olistic Employee Assistance Program refresh </w:t>
      </w:r>
      <w:r w:rsidR="00B33A5A">
        <w:t>which now</w:t>
      </w:r>
      <w:r w:rsidR="4C218FD7">
        <w:t xml:space="preserve"> includes counselling, financial advice, legal referral, Manager hotline, </w:t>
      </w:r>
      <w:r w:rsidR="136A53B4">
        <w:t xml:space="preserve">and </w:t>
      </w:r>
      <w:r w:rsidR="4C218FD7">
        <w:t>crisis and nutritional support for SV employees and their families.</w:t>
      </w:r>
    </w:p>
    <w:p w14:paraId="44D7854F" w14:textId="434DC20A" w:rsidR="00DB24B1" w:rsidRPr="00AE31C5" w:rsidRDefault="00B33A5A" w:rsidP="00105389">
      <w:pPr>
        <w:pStyle w:val="Body"/>
      </w:pPr>
      <w:r>
        <w:t xml:space="preserve">Additionally, </w:t>
      </w:r>
      <w:r w:rsidR="00BA6CDF">
        <w:t xml:space="preserve">SV </w:t>
      </w:r>
      <w:r w:rsidR="69F6B276">
        <w:t>celebrate</w:t>
      </w:r>
      <w:r w:rsidR="14541634">
        <w:t>d</w:t>
      </w:r>
      <w:r w:rsidR="00BA6CDF">
        <w:t xml:space="preserve"> </w:t>
      </w:r>
      <w:r w:rsidR="00DB24B1">
        <w:t xml:space="preserve">WHS month </w:t>
      </w:r>
      <w:r w:rsidR="00BA6CDF">
        <w:t>in October 2023 which included</w:t>
      </w:r>
      <w:r w:rsidR="4F1A18C7">
        <w:t xml:space="preserve"> </w:t>
      </w:r>
      <w:r w:rsidR="7C87567C">
        <w:t xml:space="preserve">The Black Dog Institute’s </w:t>
      </w:r>
      <w:r w:rsidR="6E781D31">
        <w:t>‘</w:t>
      </w:r>
      <w:r w:rsidR="4F1A18C7">
        <w:t xml:space="preserve">One Foot </w:t>
      </w:r>
      <w:r w:rsidR="39C118D2">
        <w:t>Forward</w:t>
      </w:r>
      <w:r w:rsidR="5223E108">
        <w:t>’</w:t>
      </w:r>
      <w:r w:rsidR="4F1A18C7">
        <w:t xml:space="preserve"> fundraiser</w:t>
      </w:r>
      <w:r w:rsidR="6118CB28">
        <w:t xml:space="preserve">. </w:t>
      </w:r>
      <w:r w:rsidR="67154DF3">
        <w:t>SV raised $</w:t>
      </w:r>
      <w:r w:rsidR="7C480C5E">
        <w:t>2</w:t>
      </w:r>
      <w:r w:rsidR="0519D22A">
        <w:t>,</w:t>
      </w:r>
      <w:r w:rsidR="7C480C5E">
        <w:t>578</w:t>
      </w:r>
      <w:r w:rsidR="76277CA0">
        <w:t xml:space="preserve"> and promoted</w:t>
      </w:r>
      <w:r w:rsidR="4405E7DD">
        <w:t xml:space="preserve"> </w:t>
      </w:r>
      <w:r w:rsidR="4F1A18C7">
        <w:t xml:space="preserve">Mental Health First Aid </w:t>
      </w:r>
      <w:r w:rsidR="00807143">
        <w:t>training courses</w:t>
      </w:r>
      <w:r w:rsidR="4F1A18C7">
        <w:t xml:space="preserve">, </w:t>
      </w:r>
      <w:r w:rsidR="696AEF7B">
        <w:t xml:space="preserve">a </w:t>
      </w:r>
      <w:r w:rsidR="08280C25">
        <w:t xml:space="preserve">‘Psychology for a Safe Climate’ </w:t>
      </w:r>
      <w:r w:rsidR="00807143">
        <w:t xml:space="preserve">support </w:t>
      </w:r>
      <w:r w:rsidR="08280C25">
        <w:t>session, and a range of webinars</w:t>
      </w:r>
      <w:r w:rsidR="110DC30D">
        <w:t xml:space="preserve"> </w:t>
      </w:r>
      <w:r w:rsidR="4280953A">
        <w:t>which can be accessed</w:t>
      </w:r>
      <w:r w:rsidR="67A6D164">
        <w:t xml:space="preserve"> throughout the year.</w:t>
      </w:r>
      <w:r w:rsidR="00F82001">
        <w:t xml:space="preserve"> </w:t>
      </w:r>
      <w:r w:rsidR="005C0333">
        <w:t xml:space="preserve">SV has also rolled out various </w:t>
      </w:r>
      <w:r w:rsidR="086F09E3">
        <w:t>W</w:t>
      </w:r>
      <w:r w:rsidR="005C0333">
        <w:t>HS training sessions to employees</w:t>
      </w:r>
      <w:r w:rsidR="00BE4E27">
        <w:t xml:space="preserve"> and the leadership team.</w:t>
      </w:r>
    </w:p>
    <w:p w14:paraId="33097B25" w14:textId="7B248414" w:rsidR="00AE31C5" w:rsidRPr="00DB24B1" w:rsidRDefault="005C0333" w:rsidP="00105389">
      <w:pPr>
        <w:pStyle w:val="Body"/>
      </w:pPr>
      <w:r>
        <w:t xml:space="preserve">For the third year running, SV provided </w:t>
      </w:r>
      <w:r w:rsidR="02300A41">
        <w:t xml:space="preserve">summer hours </w:t>
      </w:r>
      <w:r>
        <w:t xml:space="preserve">to employees </w:t>
      </w:r>
      <w:r w:rsidR="02300A41">
        <w:t>with 2 pm Friday finishes over summer</w:t>
      </w:r>
      <w:r>
        <w:t xml:space="preserve"> and </w:t>
      </w:r>
      <w:r w:rsidR="00954676">
        <w:t>t</w:t>
      </w:r>
      <w:r w:rsidR="7202FBD9">
        <w:t>wo</w:t>
      </w:r>
      <w:r w:rsidR="00AE31C5">
        <w:t xml:space="preserve"> wellbeing </w:t>
      </w:r>
      <w:r w:rsidR="00AC22B7">
        <w:t xml:space="preserve">leave </w:t>
      </w:r>
      <w:r w:rsidR="00AE31C5">
        <w:t xml:space="preserve">days </w:t>
      </w:r>
      <w:r w:rsidR="00954676">
        <w:t>where staff could refresh and recharge.</w:t>
      </w:r>
    </w:p>
    <w:p w14:paraId="30677C02" w14:textId="1F958B5E" w:rsidR="299430D8" w:rsidRDefault="00954676" w:rsidP="00105389">
      <w:pPr>
        <w:pStyle w:val="Body"/>
      </w:pPr>
      <w:r>
        <w:t xml:space="preserve">SV have continued to provide </w:t>
      </w:r>
      <w:r w:rsidR="004D2AA3">
        <w:t>regular</w:t>
      </w:r>
      <w:r w:rsidR="537F3F9C">
        <w:t xml:space="preserve"> </w:t>
      </w:r>
      <w:r w:rsidR="00AD0CA0">
        <w:t>opportunities for social connection</w:t>
      </w:r>
      <w:r w:rsidR="486A77A9">
        <w:t>,</w:t>
      </w:r>
      <w:r w:rsidR="00AD0CA0">
        <w:t xml:space="preserve"> </w:t>
      </w:r>
      <w:r w:rsidR="00DF19BE">
        <w:t>hosting in</w:t>
      </w:r>
      <w:r w:rsidR="16DA6E7E">
        <w:t>-</w:t>
      </w:r>
      <w:r w:rsidR="00DF19BE">
        <w:t xml:space="preserve">office monthly mingles, </w:t>
      </w:r>
      <w:r w:rsidR="004D1686">
        <w:t xml:space="preserve">end of financial year </w:t>
      </w:r>
      <w:r w:rsidR="567F677A">
        <w:t>thank</w:t>
      </w:r>
      <w:r w:rsidR="326C5F8A">
        <w:t>s</w:t>
      </w:r>
      <w:r w:rsidR="004D1686">
        <w:t xml:space="preserve"> and recognition events, </w:t>
      </w:r>
      <w:r w:rsidR="005433AE">
        <w:t xml:space="preserve">and the monthly </w:t>
      </w:r>
      <w:r w:rsidR="537F3F9C">
        <w:t xml:space="preserve">‘SV Loves Morning Tea’ </w:t>
      </w:r>
      <w:r w:rsidR="6FAA408C">
        <w:t xml:space="preserve">which </w:t>
      </w:r>
      <w:r w:rsidR="3281669E">
        <w:t>were well attended.</w:t>
      </w:r>
    </w:p>
    <w:p w14:paraId="1C9A964C" w14:textId="0253F860" w:rsidR="7A610DAE" w:rsidRDefault="5FAA7703" w:rsidP="00C75D63">
      <w:pPr>
        <w:spacing w:line="257" w:lineRule="auto"/>
        <w:rPr>
          <w:rFonts w:ascii="Aptos" w:eastAsia="Aptos" w:hAnsi="Aptos" w:cs="Aptos"/>
          <w:sz w:val="22"/>
          <w:lang w:val="en-GB"/>
        </w:rPr>
      </w:pPr>
      <w:r>
        <w:lastRenderedPageBreak/>
        <w:t xml:space="preserve">A </w:t>
      </w:r>
      <w:r w:rsidR="00C04194">
        <w:t>n</w:t>
      </w:r>
      <w:r>
        <w:t xml:space="preserve">ew </w:t>
      </w:r>
      <w:r w:rsidR="447A160A">
        <w:t>physical</w:t>
      </w:r>
      <w:r>
        <w:t xml:space="preserve"> wellbeing initiative in 2023</w:t>
      </w:r>
      <w:r w:rsidR="450FDF36" w:rsidRPr="65EFC765">
        <w:rPr>
          <w:rFonts w:ascii="Aptos" w:eastAsia="Aptos" w:hAnsi="Aptos" w:cs="Aptos"/>
          <w:sz w:val="22"/>
          <w:lang w:val="en-GB"/>
        </w:rPr>
        <w:t>–</w:t>
      </w:r>
      <w:r>
        <w:t xml:space="preserve">24 included </w:t>
      </w:r>
      <w:r w:rsidR="4F38F88E">
        <w:t>introduc</w:t>
      </w:r>
      <w:r w:rsidR="41DFEFDF">
        <w:t xml:space="preserve">ing </w:t>
      </w:r>
      <w:r w:rsidR="43D43A8D">
        <w:t xml:space="preserve">a </w:t>
      </w:r>
      <w:r>
        <w:t>Fitness Passport</w:t>
      </w:r>
      <w:r w:rsidR="533083E7">
        <w:t>,</w:t>
      </w:r>
      <w:r>
        <w:t xml:space="preserve"> a workplace</w:t>
      </w:r>
      <w:r w:rsidR="3BBCE2B1">
        <w:t>-</w:t>
      </w:r>
      <w:r>
        <w:t xml:space="preserve">facilitated discounted gym </w:t>
      </w:r>
      <w:r w:rsidR="4684EC94">
        <w:t>membership program</w:t>
      </w:r>
      <w:r w:rsidR="00CF1CF8">
        <w:t xml:space="preserve"> to encourage staff and their families to be active</w:t>
      </w:r>
      <w:r w:rsidR="00A524DB">
        <w:t>.</w:t>
      </w:r>
    </w:p>
    <w:p w14:paraId="0BC20114" w14:textId="0F316CBA" w:rsidR="00A303FD" w:rsidRDefault="00DB6661" w:rsidP="00A303FD">
      <w:pPr>
        <w:pStyle w:val="Heading2"/>
      </w:pPr>
      <w:bookmarkStart w:id="50" w:name="_Toc166585685"/>
      <w:r>
        <w:t>O</w:t>
      </w:r>
      <w:r w:rsidR="00104A18" w:rsidRPr="0012521E">
        <w:t>perational excellence</w:t>
      </w:r>
      <w:bookmarkEnd w:id="50"/>
    </w:p>
    <w:p w14:paraId="74F21718" w14:textId="5FCC3EA6" w:rsidR="00840AA9" w:rsidRDefault="00840AA9" w:rsidP="00105389">
      <w:pPr>
        <w:pStyle w:val="Body"/>
      </w:pPr>
      <w:r w:rsidRPr="004676AA">
        <w:t xml:space="preserve">Over </w:t>
      </w:r>
      <w:r w:rsidRPr="004676AA" w:rsidDel="007B4783">
        <w:t>2023</w:t>
      </w:r>
      <w:r w:rsidR="007B4783">
        <w:t>–24</w:t>
      </w:r>
      <w:r w:rsidRPr="004676AA">
        <w:t>, SV has been on a transformative journey to bui</w:t>
      </w:r>
      <w:r w:rsidR="00665747" w:rsidRPr="004676AA">
        <w:t xml:space="preserve">ld and strengthen organisation-wide capability and performance. We have embedded a continuous improvement culture with organisational principles to guide how SV will prioritise its organisational services and improvements and ensure it has the capabilities, </w:t>
      </w:r>
      <w:r w:rsidR="00CD65CF" w:rsidRPr="00CD65CF">
        <w:t>systems</w:t>
      </w:r>
      <w:r w:rsidR="00665747" w:rsidRPr="004676AA">
        <w:t xml:space="preserve"> and processes to deliver the right impacts.</w:t>
      </w:r>
    </w:p>
    <w:p w14:paraId="0D4A604B" w14:textId="17706557" w:rsidR="00EF410C" w:rsidRPr="004676AA" w:rsidRDefault="00EF410C" w:rsidP="00105389">
      <w:pPr>
        <w:pStyle w:val="Body"/>
        <w:rPr>
          <w:highlight w:val="yellow"/>
        </w:rPr>
      </w:pPr>
      <w:r w:rsidRPr="004676AA">
        <w:t xml:space="preserve">In </w:t>
      </w:r>
      <w:r w:rsidRPr="004676AA" w:rsidDel="007B4783">
        <w:t>2023</w:t>
      </w:r>
      <w:r w:rsidR="007B4783">
        <w:t>–24</w:t>
      </w:r>
      <w:r w:rsidRPr="004676AA">
        <w:t>, SV delivered operational excellence in a range of areas including:</w:t>
      </w:r>
    </w:p>
    <w:p w14:paraId="722D7D92" w14:textId="707FF293" w:rsidR="00ED6A9B" w:rsidRDefault="00ED6A9B" w:rsidP="00105389">
      <w:pPr>
        <w:pStyle w:val="Body"/>
      </w:pPr>
      <w:r>
        <w:t>Systems</w:t>
      </w:r>
      <w:r w:rsidR="00C31873">
        <w:t xml:space="preserve"> and processes</w:t>
      </w:r>
      <w:r>
        <w:t>:</w:t>
      </w:r>
    </w:p>
    <w:p w14:paraId="68364662" w14:textId="77777777" w:rsidR="00C31873" w:rsidRDefault="00FB0FAB" w:rsidP="00C356CE">
      <w:pPr>
        <w:pStyle w:val="Body"/>
        <w:numPr>
          <w:ilvl w:val="0"/>
          <w:numId w:val="27"/>
        </w:numPr>
      </w:pPr>
      <w:r>
        <w:t>i</w:t>
      </w:r>
      <w:r w:rsidR="0CD3CBDD">
        <w:t>mplement</w:t>
      </w:r>
      <w:r w:rsidR="4CEFB185">
        <w:t>ing</w:t>
      </w:r>
      <w:r w:rsidR="00CC049D">
        <w:t xml:space="preserve"> a modern enterprise data system platform to enable data</w:t>
      </w:r>
      <w:r w:rsidR="00CC049D" w:rsidRPr="006775B8">
        <w:rPr>
          <w:rFonts w:ascii="Cambria Math" w:hAnsi="Cambria Math" w:cs="Cambria Math"/>
        </w:rPr>
        <w:t>‑</w:t>
      </w:r>
      <w:r w:rsidR="00CC049D">
        <w:t xml:space="preserve">driven </w:t>
      </w:r>
      <w:r w:rsidR="00A44FD5">
        <w:t>decision making</w:t>
      </w:r>
    </w:p>
    <w:p w14:paraId="472AD686" w14:textId="17D8836A" w:rsidR="00117D51" w:rsidRDefault="00FB0FAB" w:rsidP="00C356CE">
      <w:pPr>
        <w:pStyle w:val="Body"/>
        <w:numPr>
          <w:ilvl w:val="0"/>
          <w:numId w:val="27"/>
        </w:numPr>
      </w:pPr>
      <w:r>
        <w:t>d</w:t>
      </w:r>
      <w:r w:rsidR="0CD3CBDD">
        <w:t>eliver</w:t>
      </w:r>
      <w:r w:rsidR="77A9C6A0">
        <w:t>ing</w:t>
      </w:r>
      <w:r w:rsidR="00CC049D">
        <w:t xml:space="preserve"> and </w:t>
      </w:r>
      <w:r w:rsidR="0CD3CBDD">
        <w:t>implement</w:t>
      </w:r>
      <w:r w:rsidR="47700E38">
        <w:t>ing</w:t>
      </w:r>
      <w:r w:rsidR="00CC049D">
        <w:t xml:space="preserve"> </w:t>
      </w:r>
      <w:r w:rsidR="00117D51" w:rsidRPr="00117D51">
        <w:t>a Portfolio Management Office Strategy bringing together defined framework and standards, tools, resources and expert advice to uplift portfolio-level assurance and oversight of SV’s projects and programs</w:t>
      </w:r>
    </w:p>
    <w:p w14:paraId="47C5A372" w14:textId="609B9648" w:rsidR="004A12C9" w:rsidRPr="00117D51" w:rsidRDefault="4A4430E4" w:rsidP="00C356CE">
      <w:pPr>
        <w:pStyle w:val="Body"/>
        <w:numPr>
          <w:ilvl w:val="0"/>
          <w:numId w:val="27"/>
        </w:numPr>
      </w:pPr>
      <w:r>
        <w:t>i</w:t>
      </w:r>
      <w:r w:rsidR="51A71A50">
        <w:t>mplement</w:t>
      </w:r>
      <w:r w:rsidR="363DFACC">
        <w:t>ing</w:t>
      </w:r>
      <w:r w:rsidR="003D7B00" w:rsidDel="00FB0FAB">
        <w:t xml:space="preserve"> </w:t>
      </w:r>
      <w:r w:rsidR="003D7B00">
        <w:t>an integrated human resources, payroll and finance system bringing payroll function in-house, giving better control and oversight of our financial processes</w:t>
      </w:r>
    </w:p>
    <w:p w14:paraId="7C5E7AF2" w14:textId="519E5B4C" w:rsidR="00C31873" w:rsidRDefault="00C31873" w:rsidP="00105389">
      <w:pPr>
        <w:pStyle w:val="Body"/>
      </w:pPr>
      <w:r>
        <w:t>Continuous improvement:</w:t>
      </w:r>
    </w:p>
    <w:p w14:paraId="5D8302CB" w14:textId="19071074" w:rsidR="00C31873" w:rsidRDefault="00C31873" w:rsidP="00C356CE">
      <w:pPr>
        <w:pStyle w:val="Body"/>
        <w:numPr>
          <w:ilvl w:val="0"/>
          <w:numId w:val="27"/>
        </w:numPr>
      </w:pPr>
      <w:r>
        <w:t>ongoing continuous improvements to our client relationship management roadmap improving user experience and marketing services integration</w:t>
      </w:r>
    </w:p>
    <w:p w14:paraId="3206476A" w14:textId="2C12C13E" w:rsidR="00295608" w:rsidRDefault="00295608" w:rsidP="00C356CE">
      <w:pPr>
        <w:pStyle w:val="Body"/>
        <w:numPr>
          <w:ilvl w:val="0"/>
          <w:numId w:val="27"/>
        </w:numPr>
      </w:pPr>
      <w:r>
        <w:t>embedding an operational risk-based approach to the organisation with an operational risk register in place to proactively monitor and manage organisation-wide risk</w:t>
      </w:r>
    </w:p>
    <w:p w14:paraId="7BAB7940" w14:textId="193D3E12" w:rsidR="00EF410C" w:rsidRDefault="004B05E2" w:rsidP="00C356CE">
      <w:pPr>
        <w:pStyle w:val="Body"/>
        <w:numPr>
          <w:ilvl w:val="0"/>
          <w:numId w:val="27"/>
        </w:numPr>
      </w:pPr>
      <w:r>
        <w:t>i</w:t>
      </w:r>
      <w:r w:rsidR="5311BF29">
        <w:t>mprov</w:t>
      </w:r>
      <w:r w:rsidR="5A075A02">
        <w:t>ing</w:t>
      </w:r>
      <w:r w:rsidR="00506A22" w:rsidRPr="009C2820" w:rsidDel="004B05E2">
        <w:t xml:space="preserve"> </w:t>
      </w:r>
      <w:r w:rsidR="00AC32E0">
        <w:t xml:space="preserve">cybersecurity and </w:t>
      </w:r>
      <w:r w:rsidR="00506A22" w:rsidRPr="009C2820">
        <w:t>technical security controls</w:t>
      </w:r>
      <w:r w:rsidR="00DA0008">
        <w:t>.</w:t>
      </w:r>
    </w:p>
    <w:p w14:paraId="40FF8FEB" w14:textId="77777777" w:rsidR="005C4FB3" w:rsidRDefault="005C4FB3" w:rsidP="00105389">
      <w:pPr>
        <w:pStyle w:val="Body"/>
      </w:pPr>
      <w:r>
        <w:t>Services and offerings:</w:t>
      </w:r>
    </w:p>
    <w:p w14:paraId="27411226" w14:textId="77777777" w:rsidR="005C4FB3" w:rsidRDefault="005C4FB3" w:rsidP="00C356CE">
      <w:pPr>
        <w:pStyle w:val="Body"/>
        <w:numPr>
          <w:ilvl w:val="0"/>
          <w:numId w:val="27"/>
        </w:numPr>
      </w:pPr>
      <w:r>
        <w:t>reviewing</w:t>
      </w:r>
      <w:r w:rsidRPr="005E10E9">
        <w:t xml:space="preserve"> commercial </w:t>
      </w:r>
      <w:r w:rsidRPr="004676AA">
        <w:t>opportunities</w:t>
      </w:r>
      <w:r w:rsidRPr="005E10E9">
        <w:t xml:space="preserve"> to build SV’s financial sustainability</w:t>
      </w:r>
    </w:p>
    <w:p w14:paraId="61602886" w14:textId="0E2D1D45" w:rsidR="005C4FB3" w:rsidRDefault="005C4FB3" w:rsidP="00C356CE">
      <w:pPr>
        <w:pStyle w:val="Body"/>
        <w:numPr>
          <w:ilvl w:val="0"/>
          <w:numId w:val="27"/>
        </w:numPr>
      </w:pPr>
      <w:r>
        <w:t>reviewing the SV Hub offering to enable co-working flexibility with industry to work, connect, collaborate and grow</w:t>
      </w:r>
      <w:r w:rsidR="00A07D5C">
        <w:t>.</w:t>
      </w:r>
    </w:p>
    <w:p w14:paraId="3B591FDA" w14:textId="0144AC46" w:rsidR="00590ACB" w:rsidRPr="004475C1" w:rsidRDefault="00A303FD" w:rsidP="00105389">
      <w:pPr>
        <w:pStyle w:val="Body"/>
      </w:pPr>
      <w:r>
        <w:t xml:space="preserve">SV will </w:t>
      </w:r>
      <w:r w:rsidR="0026110C">
        <w:t xml:space="preserve">continue to deliver operational excellence and </w:t>
      </w:r>
      <w:r>
        <w:t xml:space="preserve">transition to a more focused organisation, optimising our service offerings </w:t>
      </w:r>
      <w:r w:rsidR="00D554EA">
        <w:t>to be more</w:t>
      </w:r>
      <w:r>
        <w:t xml:space="preserve"> value-adding and customer-centred.</w:t>
      </w:r>
      <w:bookmarkStart w:id="51" w:name="_Toc147395355"/>
      <w:r w:rsidR="00590ACB" w:rsidRPr="425F5E4D">
        <w:rPr>
          <w:rFonts w:asciiTheme="majorHAnsi" w:hAnsiTheme="majorHAnsi" w:cstheme="majorBidi"/>
        </w:rPr>
        <w:br w:type="page"/>
      </w:r>
    </w:p>
    <w:p w14:paraId="7C52D8B9" w14:textId="28592D89" w:rsidR="00D5568E" w:rsidRPr="0012521E" w:rsidRDefault="00EA7EDF" w:rsidP="00665C0E">
      <w:pPr>
        <w:pStyle w:val="Heading1"/>
        <w:rPr>
          <w:rFonts w:asciiTheme="majorHAnsi" w:hAnsiTheme="majorHAnsi" w:cstheme="majorHAnsi"/>
        </w:rPr>
      </w:pPr>
      <w:bookmarkStart w:id="52" w:name="_Toc144883450"/>
      <w:bookmarkStart w:id="53" w:name="_Toc144884418"/>
      <w:bookmarkStart w:id="54" w:name="_Toc147395356"/>
      <w:bookmarkStart w:id="55" w:name="_Toc166585693"/>
      <w:bookmarkStart w:id="56" w:name="_Toc179469478"/>
      <w:bookmarkEnd w:id="51"/>
      <w:r w:rsidRPr="0012521E">
        <w:rPr>
          <w:rFonts w:asciiTheme="majorHAnsi" w:hAnsiTheme="majorHAnsi" w:cstheme="majorHAnsi"/>
        </w:rPr>
        <w:lastRenderedPageBreak/>
        <w:t>Non-financial performance</w:t>
      </w:r>
      <w:bookmarkEnd w:id="52"/>
      <w:bookmarkEnd w:id="53"/>
      <w:bookmarkEnd w:id="54"/>
      <w:bookmarkEnd w:id="55"/>
      <w:bookmarkEnd w:id="56"/>
    </w:p>
    <w:p w14:paraId="1F1F40D4" w14:textId="32B5CCDB" w:rsidR="00C627D6" w:rsidRPr="003D62C5" w:rsidRDefault="00665C0E" w:rsidP="003D62C5">
      <w:pPr>
        <w:pStyle w:val="Heading2"/>
      </w:pPr>
      <w:bookmarkStart w:id="57" w:name="_Ref144750624"/>
      <w:bookmarkStart w:id="58" w:name="_Toc144884419"/>
      <w:bookmarkStart w:id="59" w:name="_Toc166585694"/>
      <w:r w:rsidRPr="65EFC765">
        <w:t xml:space="preserve">Summary of impacts achieved in </w:t>
      </w:r>
      <w:r w:rsidRPr="65EFC765" w:rsidDel="007B4783">
        <w:t>202</w:t>
      </w:r>
      <w:bookmarkEnd w:id="57"/>
      <w:bookmarkEnd w:id="58"/>
      <w:r w:rsidRPr="65EFC765" w:rsidDel="007B4783">
        <w:t>3</w:t>
      </w:r>
      <w:bookmarkEnd w:id="59"/>
      <w:r w:rsidR="007B4783" w:rsidRPr="65EFC765">
        <w:t>–24</w:t>
      </w:r>
    </w:p>
    <w:p w14:paraId="770D6404" w14:textId="36D9D49E" w:rsidR="000172F5" w:rsidRDefault="000172F5" w:rsidP="004C742A">
      <w:pPr>
        <w:tabs>
          <w:tab w:val="left" w:pos="1110"/>
        </w:tabs>
        <w:rPr>
          <w:rFonts w:asciiTheme="majorHAnsi" w:hAnsiTheme="majorHAnsi" w:cstheme="majorBidi"/>
        </w:rPr>
      </w:pPr>
      <w:r w:rsidRPr="65EFC765">
        <w:rPr>
          <w:rFonts w:asciiTheme="majorHAnsi" w:hAnsiTheme="majorHAnsi" w:cstheme="majorBidi"/>
        </w:rPr>
        <w:t xml:space="preserve">In </w:t>
      </w:r>
      <w:r w:rsidRPr="65EFC765" w:rsidDel="007B4783">
        <w:rPr>
          <w:rFonts w:asciiTheme="majorHAnsi" w:hAnsiTheme="majorHAnsi" w:cstheme="majorBidi"/>
        </w:rPr>
        <w:t>2023</w:t>
      </w:r>
      <w:r w:rsidR="007B4783" w:rsidRPr="65EFC765">
        <w:rPr>
          <w:rFonts w:asciiTheme="majorHAnsi" w:hAnsiTheme="majorHAnsi" w:cstheme="majorBidi"/>
        </w:rPr>
        <w:t>–24</w:t>
      </w:r>
      <w:r w:rsidRPr="65EFC765">
        <w:rPr>
          <w:rFonts w:asciiTheme="majorHAnsi" w:hAnsiTheme="majorHAnsi" w:cstheme="majorBidi"/>
        </w:rPr>
        <w:t>, we continued to deliver results under four impact areas</w:t>
      </w:r>
      <w:r w:rsidRPr="00DD08F8">
        <w:rPr>
          <w:rFonts w:asciiTheme="majorHAnsi" w:hAnsiTheme="majorHAnsi" w:cstheme="majorBidi"/>
        </w:rPr>
        <w:t xml:space="preserve">, meeting or exceeding </w:t>
      </w:r>
      <w:r w:rsidR="00DD08F8" w:rsidRPr="00DD08F8">
        <w:rPr>
          <w:rFonts w:asciiTheme="majorHAnsi" w:hAnsiTheme="majorHAnsi" w:cstheme="majorBidi"/>
        </w:rPr>
        <w:t>11</w:t>
      </w:r>
      <w:r w:rsidRPr="65EFC765">
        <w:rPr>
          <w:rFonts w:asciiTheme="majorHAnsi" w:hAnsiTheme="majorHAnsi" w:cstheme="majorBidi"/>
        </w:rPr>
        <w:t xml:space="preserve"> out of 16 targets.</w:t>
      </w:r>
    </w:p>
    <w:p w14:paraId="60C4C711" w14:textId="20A9CC6B" w:rsidR="000172F5" w:rsidRDefault="00090040" w:rsidP="004C742A">
      <w:pPr>
        <w:tabs>
          <w:tab w:val="left" w:pos="1110"/>
        </w:tabs>
        <w:rPr>
          <w:rFonts w:asciiTheme="majorHAnsi" w:hAnsiTheme="majorHAnsi" w:cstheme="majorBidi"/>
        </w:rPr>
      </w:pPr>
      <w:r>
        <w:rPr>
          <w:noProof/>
        </w:rPr>
        <w:drawing>
          <wp:inline distT="0" distB="0" distL="0" distR="0" wp14:anchorId="0865EE63" wp14:editId="6E017B54">
            <wp:extent cx="5562600" cy="1229076"/>
            <wp:effectExtent l="0" t="0" r="0" b="9525"/>
            <wp:docPr id="1190912479" name="Picture 1190912479" descr="A diagram showing the four impact areas and the icons used to represent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912479"/>
                    <pic:cNvPicPr/>
                  </pic:nvPicPr>
                  <pic:blipFill>
                    <a:blip r:embed="rId41">
                      <a:extLst>
                        <a:ext uri="{28A0092B-C50C-407E-A947-70E740481C1C}">
                          <a14:useLocalDpi xmlns:a14="http://schemas.microsoft.com/office/drawing/2010/main" val="0"/>
                        </a:ext>
                      </a:extLst>
                    </a:blip>
                    <a:stretch>
                      <a:fillRect/>
                    </a:stretch>
                  </pic:blipFill>
                  <pic:spPr>
                    <a:xfrm>
                      <a:off x="0" y="0"/>
                      <a:ext cx="5562600" cy="1229076"/>
                    </a:xfrm>
                    <a:prstGeom prst="rect">
                      <a:avLst/>
                    </a:prstGeom>
                  </pic:spPr>
                </pic:pic>
              </a:graphicData>
            </a:graphic>
          </wp:inline>
        </w:drawing>
      </w:r>
    </w:p>
    <w:p w14:paraId="368CB603" w14:textId="070AF71C" w:rsidR="0052710C" w:rsidRDefault="004C742A" w:rsidP="001639FC">
      <w:pPr>
        <w:pStyle w:val="Heading3"/>
      </w:pPr>
      <w:r w:rsidRPr="000172F5">
        <w:t xml:space="preserve">Meeting our targets in </w:t>
      </w:r>
      <w:r w:rsidRPr="000172F5" w:rsidDel="007B4783">
        <w:t>2023</w:t>
      </w:r>
      <w:r w:rsidR="007B4783">
        <w:t>–24</w:t>
      </w:r>
    </w:p>
    <w:tbl>
      <w:tblPr>
        <w:tblStyle w:val="LightList-Accent311"/>
        <w:tblpPr w:leftFromText="180" w:rightFromText="180" w:vertAnchor="text" w:horzAnchor="margin" w:tblpY="84"/>
        <w:tblW w:w="8921" w:type="dxa"/>
        <w:tblInd w:w="0" w:type="dxa"/>
        <w:tblLook w:val="04A0" w:firstRow="1" w:lastRow="0" w:firstColumn="1" w:lastColumn="0" w:noHBand="0" w:noVBand="1"/>
      </w:tblPr>
      <w:tblGrid>
        <w:gridCol w:w="1289"/>
        <w:gridCol w:w="1195"/>
        <w:gridCol w:w="6522"/>
      </w:tblGrid>
      <w:tr w:rsidR="004C742A" w:rsidRPr="00DA271D" w14:paraId="254A9930" w14:textId="77777777" w:rsidTr="00EA69CD">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165" w:type="dxa"/>
            <w:shd w:val="clear" w:color="auto" w:fill="D4DFA0" w:themeFill="accent3"/>
            <w:noWrap/>
            <w:hideMark/>
          </w:tcPr>
          <w:p w14:paraId="437B6F29" w14:textId="2194034E" w:rsidR="004C742A" w:rsidRPr="00EA69CD" w:rsidRDefault="00D84D35" w:rsidP="00EA69CD">
            <w:pPr>
              <w:pStyle w:val="Tablehead10"/>
              <w:rPr>
                <w:rFonts w:cstheme="majorHAnsi"/>
                <w:b/>
                <w:color w:val="auto"/>
                <w:szCs w:val="22"/>
              </w:rPr>
            </w:pPr>
            <w:r>
              <w:rPr>
                <w:rFonts w:cstheme="majorHAnsi"/>
                <w:b/>
                <w:color w:val="auto"/>
                <w:szCs w:val="22"/>
              </w:rPr>
              <w:t>Outcome</w:t>
            </w:r>
          </w:p>
        </w:tc>
        <w:tc>
          <w:tcPr>
            <w:tcW w:w="1200" w:type="dxa"/>
            <w:shd w:val="clear" w:color="auto" w:fill="D4DFA0" w:themeFill="accent3"/>
            <w:noWrap/>
            <w:hideMark/>
          </w:tcPr>
          <w:p w14:paraId="71644764" w14:textId="6670AC3E" w:rsidR="004C742A" w:rsidRPr="00EA69CD" w:rsidRDefault="004C742A" w:rsidP="00EA69CD">
            <w:pPr>
              <w:pStyle w:val="Tablehead10"/>
              <w:cnfStyle w:val="100000000000" w:firstRow="1" w:lastRow="0" w:firstColumn="0" w:lastColumn="0" w:oddVBand="0" w:evenVBand="0" w:oddHBand="0" w:evenHBand="0" w:firstRowFirstColumn="0" w:firstRowLastColumn="0" w:lastRowFirstColumn="0" w:lastRowLastColumn="0"/>
              <w:rPr>
                <w:rFonts w:cstheme="majorBidi"/>
                <w:b/>
                <w:color w:val="auto"/>
              </w:rPr>
            </w:pPr>
            <w:r w:rsidRPr="65EFC765">
              <w:rPr>
                <w:rFonts w:cstheme="majorBidi"/>
                <w:b/>
                <w:color w:val="auto"/>
              </w:rPr>
              <w:t>Unit</w:t>
            </w:r>
          </w:p>
        </w:tc>
        <w:tc>
          <w:tcPr>
            <w:tcW w:w="6556" w:type="dxa"/>
            <w:shd w:val="clear" w:color="auto" w:fill="D4DFA0" w:themeFill="accent3"/>
            <w:noWrap/>
            <w:hideMark/>
          </w:tcPr>
          <w:p w14:paraId="2F13CA74" w14:textId="63C7D2DB" w:rsidR="004C742A" w:rsidRPr="00EA69CD" w:rsidRDefault="00D84D35" w:rsidP="00EA69CD">
            <w:pPr>
              <w:pStyle w:val="Tablehead10"/>
              <w:cnfStyle w:val="100000000000" w:firstRow="1" w:lastRow="0" w:firstColumn="0" w:lastColumn="0" w:oddVBand="0" w:evenVBand="0" w:oddHBand="0" w:evenHBand="0" w:firstRowFirstColumn="0" w:firstRowLastColumn="0" w:lastRowFirstColumn="0" w:lastRowLastColumn="0"/>
              <w:rPr>
                <w:rFonts w:cstheme="majorBidi"/>
                <w:b/>
                <w:color w:val="auto"/>
              </w:rPr>
            </w:pPr>
            <w:r w:rsidRPr="65EFC765">
              <w:rPr>
                <w:rFonts w:cstheme="majorBidi"/>
                <w:b/>
                <w:color w:val="auto"/>
              </w:rPr>
              <w:t xml:space="preserve">Target </w:t>
            </w:r>
            <w:r w:rsidR="7BCC9D8E" w:rsidRPr="65EFC765">
              <w:rPr>
                <w:rFonts w:cstheme="majorBidi"/>
                <w:b/>
                <w:bCs/>
                <w:color w:val="auto"/>
              </w:rPr>
              <w:t>m</w:t>
            </w:r>
            <w:r w:rsidR="4012FF36" w:rsidRPr="65EFC765">
              <w:rPr>
                <w:rFonts w:cstheme="majorBidi"/>
                <w:b/>
                <w:bCs/>
                <w:color w:val="auto"/>
              </w:rPr>
              <w:t>easure</w:t>
            </w:r>
          </w:p>
        </w:tc>
      </w:tr>
      <w:tr w:rsidR="004C742A" w:rsidRPr="00DA271D" w14:paraId="34796E00" w14:textId="7777777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9E38022" w14:textId="741B871D" w:rsidR="004C742A" w:rsidRPr="00DA271D" w:rsidRDefault="00F14591">
            <w:pPr>
              <w:rPr>
                <w:lang w:eastAsia="en-AU"/>
              </w:rPr>
            </w:pPr>
            <w:r>
              <w:rPr>
                <w:lang w:eastAsia="en-AU"/>
              </w:rPr>
              <w:t>125</w:t>
            </w:r>
            <w:r w:rsidR="004C742A" w:rsidRPr="00DA271D">
              <w:rPr>
                <w:lang w:eastAsia="en-AU"/>
              </w:rPr>
              <w:t xml:space="preserve"> days</w:t>
            </w:r>
            <w:r w:rsidR="00EC6C32">
              <w:rPr>
                <w:rStyle w:val="EndnoteReference"/>
                <w:lang w:eastAsia="en-AU"/>
              </w:rPr>
              <w:endnoteReference w:id="2"/>
            </w:r>
          </w:p>
        </w:tc>
        <w:tc>
          <w:tcPr>
            <w:tcW w:w="1200" w:type="dxa"/>
            <w:noWrap/>
            <w:hideMark/>
          </w:tcPr>
          <w:p w14:paraId="67B76CF2"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Days</w:t>
            </w:r>
          </w:p>
        </w:tc>
        <w:tc>
          <w:tcPr>
            <w:tcW w:w="6556" w:type="dxa"/>
            <w:hideMark/>
          </w:tcPr>
          <w:p w14:paraId="02DB5C88"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75 (calendar) days average assessment time for major investment grants from application closure to recommendation (BP3)</w:t>
            </w:r>
          </w:p>
        </w:tc>
      </w:tr>
      <w:tr w:rsidR="004C742A" w:rsidRPr="00DA271D" w14:paraId="4FBE70A7" w14:textId="77777777">
        <w:trPr>
          <w:trHeight w:val="455"/>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17DD05E" w14:textId="39CB1007" w:rsidR="004C742A" w:rsidRPr="00DA271D" w:rsidRDefault="004C742A">
            <w:pPr>
              <w:rPr>
                <w:lang w:eastAsia="en-AU"/>
              </w:rPr>
            </w:pPr>
            <w:r w:rsidRPr="00DA271D">
              <w:rPr>
                <w:lang w:eastAsia="en-AU"/>
              </w:rPr>
              <w:t>$</w:t>
            </w:r>
            <w:r w:rsidR="00F724BA">
              <w:rPr>
                <w:lang w:eastAsia="en-AU"/>
              </w:rPr>
              <w:t>74.8</w:t>
            </w:r>
            <w:r w:rsidRPr="00DA271D">
              <w:rPr>
                <w:lang w:eastAsia="en-AU"/>
              </w:rPr>
              <w:t>M</w:t>
            </w:r>
            <w:r w:rsidR="009F43B6">
              <w:rPr>
                <w:rStyle w:val="EndnoteReference"/>
                <w:lang w:eastAsia="en-AU"/>
              </w:rPr>
              <w:endnoteReference w:id="3"/>
            </w:r>
          </w:p>
        </w:tc>
        <w:tc>
          <w:tcPr>
            <w:tcW w:w="1200" w:type="dxa"/>
            <w:noWrap/>
            <w:hideMark/>
          </w:tcPr>
          <w:p w14:paraId="42AF72E0"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w:t>
            </w:r>
          </w:p>
        </w:tc>
        <w:tc>
          <w:tcPr>
            <w:tcW w:w="6556" w:type="dxa"/>
            <w:hideMark/>
          </w:tcPr>
          <w:p w14:paraId="5FD6D536" w14:textId="3045C23B"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 xml:space="preserve">Leverage $50 million of private and Commonwealth investment into new circular economy and zero carbon infrastructure </w:t>
            </w:r>
          </w:p>
        </w:tc>
      </w:tr>
      <w:tr w:rsidR="004C742A" w:rsidRPr="00DA271D" w14:paraId="3E35BCEC" w14:textId="7777777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65" w:type="dxa"/>
            <w:noWrap/>
            <w:hideMark/>
          </w:tcPr>
          <w:p w14:paraId="57F4900E" w14:textId="23881FAD" w:rsidR="004C742A" w:rsidRPr="00DA271D" w:rsidRDefault="00F724BA">
            <w:pPr>
              <w:rPr>
                <w:lang w:eastAsia="en-AU"/>
              </w:rPr>
            </w:pPr>
            <w:r>
              <w:rPr>
                <w:lang w:eastAsia="en-AU"/>
              </w:rPr>
              <w:t>~395</w:t>
            </w:r>
            <w:r w:rsidR="004C742A" w:rsidRPr="00DA271D">
              <w:rPr>
                <w:lang w:eastAsia="en-AU"/>
              </w:rPr>
              <w:t>,</w:t>
            </w:r>
            <w:r>
              <w:rPr>
                <w:lang w:eastAsia="en-AU"/>
              </w:rPr>
              <w:t>988</w:t>
            </w:r>
            <w:r w:rsidR="004C742A" w:rsidRPr="00DA271D">
              <w:rPr>
                <w:lang w:eastAsia="en-AU"/>
              </w:rPr>
              <w:t xml:space="preserve"> </w:t>
            </w:r>
            <w:proofErr w:type="spellStart"/>
            <w:r w:rsidR="004C742A" w:rsidRPr="00DA271D">
              <w:rPr>
                <w:lang w:eastAsia="en-AU"/>
              </w:rPr>
              <w:t>tpa</w:t>
            </w:r>
            <w:proofErr w:type="spellEnd"/>
            <w:r w:rsidR="007616CA">
              <w:rPr>
                <w:rStyle w:val="EndnoteReference"/>
                <w:lang w:eastAsia="en-AU"/>
              </w:rPr>
              <w:endnoteReference w:id="4"/>
            </w:r>
          </w:p>
        </w:tc>
        <w:tc>
          <w:tcPr>
            <w:tcW w:w="1200" w:type="dxa"/>
            <w:noWrap/>
            <w:hideMark/>
          </w:tcPr>
          <w:p w14:paraId="5C475DAC"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t CO2-e</w:t>
            </w:r>
          </w:p>
        </w:tc>
        <w:tc>
          <w:tcPr>
            <w:tcW w:w="6556" w:type="dxa"/>
            <w:hideMark/>
          </w:tcPr>
          <w:p w14:paraId="38E1819A" w14:textId="3AD11625"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 xml:space="preserve">Reduce </w:t>
            </w:r>
            <w:r w:rsidR="4012FF36" w:rsidRPr="65EFC765">
              <w:rPr>
                <w:lang w:eastAsia="en-AU"/>
              </w:rPr>
              <w:t>Victoria</w:t>
            </w:r>
            <w:r w:rsidR="548A2D99" w:rsidRPr="65EFC765">
              <w:rPr>
                <w:lang w:eastAsia="en-AU"/>
              </w:rPr>
              <w:t>’</w:t>
            </w:r>
            <w:r w:rsidR="4012FF36" w:rsidRPr="65EFC765">
              <w:rPr>
                <w:lang w:eastAsia="en-AU"/>
              </w:rPr>
              <w:t>s</w:t>
            </w:r>
            <w:r w:rsidRPr="00DA271D">
              <w:rPr>
                <w:lang w:eastAsia="en-AU"/>
              </w:rPr>
              <w:t xml:space="preserve"> CO2 footprint by 200,000 </w:t>
            </w:r>
            <w:r w:rsidR="4012FF36" w:rsidRPr="65EFC765">
              <w:rPr>
                <w:lang w:eastAsia="en-AU"/>
              </w:rPr>
              <w:t>t</w:t>
            </w:r>
            <w:r w:rsidR="3C059A7B" w:rsidRPr="65EFC765">
              <w:rPr>
                <w:lang w:eastAsia="en-AU"/>
              </w:rPr>
              <w:t>onnes</w:t>
            </w:r>
          </w:p>
        </w:tc>
      </w:tr>
      <w:tr w:rsidR="004C742A" w:rsidRPr="00DA271D" w14:paraId="5A3A189B" w14:textId="77777777">
        <w:trPr>
          <w:trHeight w:val="538"/>
        </w:trPr>
        <w:tc>
          <w:tcPr>
            <w:cnfStyle w:val="001000000000" w:firstRow="0" w:lastRow="0" w:firstColumn="1" w:lastColumn="0" w:oddVBand="0" w:evenVBand="0" w:oddHBand="0" w:evenHBand="0" w:firstRowFirstColumn="0" w:firstRowLastColumn="0" w:lastRowFirstColumn="0" w:lastRowLastColumn="0"/>
            <w:tcW w:w="1165" w:type="dxa"/>
            <w:noWrap/>
            <w:hideMark/>
          </w:tcPr>
          <w:p w14:paraId="2E9D8A9E" w14:textId="3B42A634" w:rsidR="004C742A" w:rsidRPr="00DA271D" w:rsidRDefault="004C742A">
            <w:pPr>
              <w:rPr>
                <w:lang w:eastAsia="en-AU"/>
              </w:rPr>
            </w:pPr>
            <w:r w:rsidRPr="00DA271D">
              <w:rPr>
                <w:lang w:eastAsia="en-AU"/>
              </w:rPr>
              <w:t>$</w:t>
            </w:r>
            <w:r w:rsidR="00A6535B">
              <w:rPr>
                <w:lang w:eastAsia="en-AU"/>
              </w:rPr>
              <w:t>19.8</w:t>
            </w:r>
            <w:r w:rsidRPr="00DA271D">
              <w:rPr>
                <w:lang w:eastAsia="en-AU"/>
              </w:rPr>
              <w:t>M</w:t>
            </w:r>
            <w:r w:rsidR="00620B25">
              <w:rPr>
                <w:rStyle w:val="EndnoteReference"/>
                <w:lang w:eastAsia="en-AU"/>
              </w:rPr>
              <w:endnoteReference w:id="5"/>
            </w:r>
          </w:p>
        </w:tc>
        <w:tc>
          <w:tcPr>
            <w:tcW w:w="1200" w:type="dxa"/>
            <w:noWrap/>
            <w:hideMark/>
          </w:tcPr>
          <w:p w14:paraId="6CDBA3EA"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w:t>
            </w:r>
          </w:p>
        </w:tc>
        <w:tc>
          <w:tcPr>
            <w:tcW w:w="6556" w:type="dxa"/>
            <w:hideMark/>
          </w:tcPr>
          <w:p w14:paraId="412C4404" w14:textId="06EEE04D"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 xml:space="preserve">$15 million invested into the Victorian </w:t>
            </w:r>
            <w:r w:rsidR="729B5B33" w:rsidRPr="65EFC765">
              <w:rPr>
                <w:lang w:eastAsia="en-AU"/>
              </w:rPr>
              <w:t>e</w:t>
            </w:r>
            <w:r w:rsidRPr="00DA271D">
              <w:rPr>
                <w:lang w:eastAsia="en-AU"/>
              </w:rPr>
              <w:t xml:space="preserve">conomy </w:t>
            </w:r>
            <w:r w:rsidR="00150CE0">
              <w:rPr>
                <w:lang w:eastAsia="en-AU"/>
              </w:rPr>
              <w:t>for</w:t>
            </w:r>
            <w:r w:rsidRPr="00DA271D">
              <w:rPr>
                <w:lang w:eastAsia="en-AU"/>
              </w:rPr>
              <w:t xml:space="preserve"> new resource recovery and zero carbon infrastructure</w:t>
            </w:r>
          </w:p>
        </w:tc>
      </w:tr>
      <w:tr w:rsidR="004C742A" w:rsidRPr="00DA271D" w14:paraId="3358C2AF" w14:textId="7777777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65" w:type="dxa"/>
            <w:noWrap/>
            <w:hideMark/>
          </w:tcPr>
          <w:p w14:paraId="01CED345" w14:textId="4F45FF5F" w:rsidR="004C742A" w:rsidRPr="00DA271D" w:rsidRDefault="007350CB">
            <w:pPr>
              <w:rPr>
                <w:lang w:eastAsia="en-AU"/>
              </w:rPr>
            </w:pPr>
            <w:r>
              <w:rPr>
                <w:lang w:eastAsia="en-AU"/>
              </w:rPr>
              <w:t>281</w:t>
            </w:r>
            <w:r w:rsidR="004C742A" w:rsidRPr="00DA271D">
              <w:rPr>
                <w:lang w:eastAsia="en-AU"/>
              </w:rPr>
              <w:t>,</w:t>
            </w:r>
            <w:r>
              <w:rPr>
                <w:lang w:eastAsia="en-AU"/>
              </w:rPr>
              <w:t>622</w:t>
            </w:r>
            <w:r w:rsidR="004C742A" w:rsidRPr="00DA271D">
              <w:rPr>
                <w:lang w:eastAsia="en-AU"/>
              </w:rPr>
              <w:t xml:space="preserve"> </w:t>
            </w:r>
            <w:proofErr w:type="spellStart"/>
            <w:r w:rsidR="004C742A" w:rsidRPr="00DA271D">
              <w:rPr>
                <w:lang w:eastAsia="en-AU"/>
              </w:rPr>
              <w:t>tpa</w:t>
            </w:r>
            <w:proofErr w:type="spellEnd"/>
            <w:r w:rsidR="009C24A5">
              <w:rPr>
                <w:rStyle w:val="EndnoteReference"/>
                <w:lang w:eastAsia="en-AU"/>
              </w:rPr>
              <w:endnoteReference w:id="6"/>
            </w:r>
          </w:p>
        </w:tc>
        <w:tc>
          <w:tcPr>
            <w:tcW w:w="1200" w:type="dxa"/>
            <w:noWrap/>
            <w:hideMark/>
          </w:tcPr>
          <w:p w14:paraId="768BB330"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proofErr w:type="spellStart"/>
            <w:r w:rsidRPr="00DA271D">
              <w:rPr>
                <w:lang w:eastAsia="en-AU"/>
              </w:rPr>
              <w:t>tpa</w:t>
            </w:r>
            <w:proofErr w:type="spellEnd"/>
          </w:p>
        </w:tc>
        <w:tc>
          <w:tcPr>
            <w:tcW w:w="6556" w:type="dxa"/>
            <w:hideMark/>
          </w:tcPr>
          <w:p w14:paraId="68663053" w14:textId="4B62C1BE"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 xml:space="preserve">500,000 </w:t>
            </w:r>
            <w:r w:rsidR="4012FF36" w:rsidRPr="65EFC765">
              <w:rPr>
                <w:lang w:eastAsia="en-AU"/>
              </w:rPr>
              <w:t>t</w:t>
            </w:r>
            <w:r w:rsidR="2D61B9B1" w:rsidRPr="65EFC765">
              <w:rPr>
                <w:lang w:eastAsia="en-AU"/>
              </w:rPr>
              <w:t>onnes</w:t>
            </w:r>
            <w:r w:rsidR="4012FF36" w:rsidRPr="65EFC765">
              <w:rPr>
                <w:lang w:eastAsia="en-AU"/>
              </w:rPr>
              <w:t xml:space="preserve"> </w:t>
            </w:r>
            <w:r w:rsidR="133E5E08" w:rsidRPr="65EFC765">
              <w:rPr>
                <w:lang w:eastAsia="en-AU"/>
              </w:rPr>
              <w:t>r</w:t>
            </w:r>
            <w:r w:rsidRPr="00DA271D">
              <w:rPr>
                <w:lang w:eastAsia="en-AU"/>
              </w:rPr>
              <w:t>esource recovery capacity funded and installed (BP3)</w:t>
            </w:r>
          </w:p>
        </w:tc>
      </w:tr>
      <w:tr w:rsidR="004C742A" w:rsidRPr="00DA271D" w14:paraId="4E3DCFBD" w14:textId="77777777">
        <w:trPr>
          <w:trHeight w:val="473"/>
        </w:trPr>
        <w:tc>
          <w:tcPr>
            <w:cnfStyle w:val="001000000000" w:firstRow="0" w:lastRow="0" w:firstColumn="1" w:lastColumn="0" w:oddVBand="0" w:evenVBand="0" w:oddHBand="0" w:evenHBand="0" w:firstRowFirstColumn="0" w:firstRowLastColumn="0" w:lastRowFirstColumn="0" w:lastRowLastColumn="0"/>
            <w:tcW w:w="1165" w:type="dxa"/>
            <w:noWrap/>
            <w:hideMark/>
          </w:tcPr>
          <w:p w14:paraId="6F3187F1" w14:textId="3423DA4B" w:rsidR="004C742A" w:rsidRPr="00DA271D" w:rsidRDefault="00A03C7D">
            <w:pPr>
              <w:rPr>
                <w:lang w:eastAsia="en-AU"/>
              </w:rPr>
            </w:pPr>
            <w:r>
              <w:rPr>
                <w:lang w:eastAsia="en-AU"/>
              </w:rPr>
              <w:t>~803,411</w:t>
            </w:r>
            <w:r w:rsidR="004C742A" w:rsidRPr="00DA271D">
              <w:rPr>
                <w:lang w:eastAsia="en-AU"/>
              </w:rPr>
              <w:t xml:space="preserve"> </w:t>
            </w:r>
            <w:proofErr w:type="spellStart"/>
            <w:r w:rsidR="004C742A" w:rsidRPr="00DA271D">
              <w:rPr>
                <w:lang w:eastAsia="en-AU"/>
              </w:rPr>
              <w:t>tpa</w:t>
            </w:r>
            <w:proofErr w:type="spellEnd"/>
            <w:r w:rsidR="00AD1F77">
              <w:rPr>
                <w:rStyle w:val="EndnoteReference"/>
                <w:lang w:eastAsia="en-AU"/>
              </w:rPr>
              <w:endnoteReference w:id="7"/>
            </w:r>
          </w:p>
        </w:tc>
        <w:tc>
          <w:tcPr>
            <w:tcW w:w="1200" w:type="dxa"/>
            <w:noWrap/>
            <w:hideMark/>
          </w:tcPr>
          <w:p w14:paraId="5A39169F"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proofErr w:type="spellStart"/>
            <w:r w:rsidRPr="00DA271D">
              <w:rPr>
                <w:lang w:eastAsia="en-AU"/>
              </w:rPr>
              <w:t>tpa</w:t>
            </w:r>
            <w:proofErr w:type="spellEnd"/>
          </w:p>
        </w:tc>
        <w:tc>
          <w:tcPr>
            <w:tcW w:w="6556" w:type="dxa"/>
            <w:hideMark/>
          </w:tcPr>
          <w:p w14:paraId="5B25A528" w14:textId="4BCA7BEB"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 xml:space="preserve">500,000 </w:t>
            </w:r>
            <w:r w:rsidR="4012FF36" w:rsidRPr="65EFC765">
              <w:rPr>
                <w:lang w:eastAsia="en-AU"/>
              </w:rPr>
              <w:t>t</w:t>
            </w:r>
            <w:r w:rsidR="7E87F188" w:rsidRPr="65EFC765">
              <w:rPr>
                <w:lang w:eastAsia="en-AU"/>
              </w:rPr>
              <w:t>onnes</w:t>
            </w:r>
            <w:r w:rsidRPr="00DA271D">
              <w:rPr>
                <w:lang w:eastAsia="en-AU"/>
              </w:rPr>
              <w:t xml:space="preserve"> less waste going to landfill</w:t>
            </w:r>
          </w:p>
        </w:tc>
      </w:tr>
      <w:tr w:rsidR="004C742A" w:rsidRPr="00DA271D" w14:paraId="5392709F" w14:textId="7777777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4576831" w14:textId="131F1081" w:rsidR="004C742A" w:rsidRPr="00DA271D" w:rsidRDefault="0042461A">
            <w:pPr>
              <w:rPr>
                <w:lang w:eastAsia="en-AU"/>
              </w:rPr>
            </w:pPr>
            <w:r>
              <w:rPr>
                <w:lang w:eastAsia="en-AU"/>
              </w:rPr>
              <w:t>563</w:t>
            </w:r>
            <w:r w:rsidR="00341F6F">
              <w:rPr>
                <w:rStyle w:val="EndnoteReference"/>
                <w:lang w:eastAsia="en-AU"/>
              </w:rPr>
              <w:endnoteReference w:id="8"/>
            </w:r>
          </w:p>
        </w:tc>
        <w:tc>
          <w:tcPr>
            <w:tcW w:w="1200" w:type="dxa"/>
            <w:noWrap/>
            <w:hideMark/>
          </w:tcPr>
          <w:p w14:paraId="1844F42C"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w:t>
            </w:r>
          </w:p>
        </w:tc>
        <w:tc>
          <w:tcPr>
            <w:tcW w:w="6556" w:type="dxa"/>
            <w:hideMark/>
          </w:tcPr>
          <w:p w14:paraId="285803B1"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700 Victorian schools participating in the ResourceSmart Schools program (BP3)</w:t>
            </w:r>
          </w:p>
        </w:tc>
      </w:tr>
      <w:tr w:rsidR="004C742A" w:rsidRPr="00DA271D" w14:paraId="5EADDDFC" w14:textId="77777777">
        <w:trPr>
          <w:trHeight w:val="461"/>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3F75D01" w14:textId="2273CF63" w:rsidR="004C742A" w:rsidRPr="00DA271D" w:rsidRDefault="000901DA">
            <w:pPr>
              <w:rPr>
                <w:lang w:eastAsia="en-AU"/>
              </w:rPr>
            </w:pPr>
            <w:r>
              <w:rPr>
                <w:lang w:eastAsia="en-AU"/>
              </w:rPr>
              <w:t>10</w:t>
            </w:r>
            <w:r w:rsidR="004C742A" w:rsidRPr="00DA271D">
              <w:rPr>
                <w:lang w:eastAsia="en-AU"/>
              </w:rPr>
              <w:t>,</w:t>
            </w:r>
            <w:r>
              <w:rPr>
                <w:lang w:eastAsia="en-AU"/>
              </w:rPr>
              <w:t>063</w:t>
            </w:r>
            <w:r w:rsidR="004C742A" w:rsidRPr="00DA271D">
              <w:rPr>
                <w:lang w:eastAsia="en-AU"/>
              </w:rPr>
              <w:t>,</w:t>
            </w:r>
            <w:r>
              <w:rPr>
                <w:lang w:eastAsia="en-AU"/>
              </w:rPr>
              <w:t>674</w:t>
            </w:r>
            <w:r w:rsidR="00341F6F">
              <w:rPr>
                <w:rStyle w:val="EndnoteReference"/>
                <w:lang w:eastAsia="en-AU"/>
              </w:rPr>
              <w:endnoteReference w:id="9"/>
            </w:r>
          </w:p>
        </w:tc>
        <w:tc>
          <w:tcPr>
            <w:tcW w:w="1200" w:type="dxa"/>
            <w:noWrap/>
            <w:hideMark/>
          </w:tcPr>
          <w:p w14:paraId="33B7AFA7"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kWh</w:t>
            </w:r>
          </w:p>
        </w:tc>
        <w:tc>
          <w:tcPr>
            <w:tcW w:w="6556" w:type="dxa"/>
            <w:hideMark/>
          </w:tcPr>
          <w:p w14:paraId="28DA6DAA"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8,500,000 kWh energy saved by Victorian schools participating in the ResourceSmart Schools program (BP3)</w:t>
            </w:r>
          </w:p>
        </w:tc>
      </w:tr>
      <w:tr w:rsidR="004C742A" w:rsidRPr="00DA271D" w14:paraId="119FF9A8" w14:textId="77777777">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165" w:type="dxa"/>
            <w:noWrap/>
            <w:hideMark/>
          </w:tcPr>
          <w:p w14:paraId="4F29F479" w14:textId="58B5A8C8" w:rsidR="004C742A" w:rsidRPr="00DA271D" w:rsidRDefault="000901DA">
            <w:pPr>
              <w:rPr>
                <w:lang w:eastAsia="en-AU"/>
              </w:rPr>
            </w:pPr>
            <w:r>
              <w:rPr>
                <w:lang w:eastAsia="en-AU"/>
              </w:rPr>
              <w:t>6,061,950</w:t>
            </w:r>
            <w:r w:rsidR="002A525E">
              <w:rPr>
                <w:rStyle w:val="EndnoteReference"/>
                <w:lang w:eastAsia="en-AU"/>
              </w:rPr>
              <w:endnoteReference w:id="10"/>
            </w:r>
          </w:p>
        </w:tc>
        <w:tc>
          <w:tcPr>
            <w:tcW w:w="1200" w:type="dxa"/>
            <w:noWrap/>
            <w:hideMark/>
          </w:tcPr>
          <w:p w14:paraId="17949D54"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w:t>
            </w:r>
          </w:p>
        </w:tc>
        <w:tc>
          <w:tcPr>
            <w:tcW w:w="6556" w:type="dxa"/>
            <w:hideMark/>
          </w:tcPr>
          <w:p w14:paraId="3B644B0D" w14:textId="09653AF5"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 xml:space="preserve">1 million people have been reached by the </w:t>
            </w:r>
            <w:r w:rsidR="00150CE0">
              <w:rPr>
                <w:lang w:eastAsia="en-AU"/>
              </w:rPr>
              <w:t xml:space="preserve">Circular </w:t>
            </w:r>
            <w:r w:rsidR="00876724">
              <w:rPr>
                <w:lang w:eastAsia="en-AU"/>
              </w:rPr>
              <w:t>Economy Education</w:t>
            </w:r>
            <w:r w:rsidRPr="00DA271D">
              <w:rPr>
                <w:lang w:eastAsia="en-AU"/>
              </w:rPr>
              <w:t xml:space="preserve"> and behaviour change campaigns</w:t>
            </w:r>
          </w:p>
        </w:tc>
      </w:tr>
      <w:tr w:rsidR="004C742A" w:rsidRPr="00DA271D" w14:paraId="727B9E11" w14:textId="77777777">
        <w:trPr>
          <w:trHeight w:val="336"/>
        </w:trPr>
        <w:tc>
          <w:tcPr>
            <w:cnfStyle w:val="001000000000" w:firstRow="0" w:lastRow="0" w:firstColumn="1" w:lastColumn="0" w:oddVBand="0" w:evenVBand="0" w:oddHBand="0" w:evenHBand="0" w:firstRowFirstColumn="0" w:firstRowLastColumn="0" w:lastRowFirstColumn="0" w:lastRowLastColumn="0"/>
            <w:tcW w:w="1165" w:type="dxa"/>
            <w:noWrap/>
            <w:hideMark/>
          </w:tcPr>
          <w:p w14:paraId="413963E5" w14:textId="17A63C58" w:rsidR="004C742A" w:rsidRPr="00DA271D" w:rsidRDefault="00CB434E">
            <w:pPr>
              <w:rPr>
                <w:lang w:eastAsia="en-AU"/>
              </w:rPr>
            </w:pPr>
            <w:r>
              <w:rPr>
                <w:lang w:eastAsia="en-AU"/>
              </w:rPr>
              <w:t>11</w:t>
            </w:r>
            <w:r w:rsidR="004C742A" w:rsidRPr="00DA271D">
              <w:rPr>
                <w:lang w:eastAsia="en-AU"/>
              </w:rPr>
              <w:t>,</w:t>
            </w:r>
            <w:r>
              <w:rPr>
                <w:lang w:eastAsia="en-AU"/>
              </w:rPr>
              <w:t>781</w:t>
            </w:r>
            <w:r w:rsidR="002A525E">
              <w:rPr>
                <w:rStyle w:val="EndnoteReference"/>
                <w:lang w:eastAsia="en-AU"/>
              </w:rPr>
              <w:endnoteReference w:id="11"/>
            </w:r>
          </w:p>
        </w:tc>
        <w:tc>
          <w:tcPr>
            <w:tcW w:w="1200" w:type="dxa"/>
            <w:noWrap/>
            <w:hideMark/>
          </w:tcPr>
          <w:p w14:paraId="51BA1511"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w:t>
            </w:r>
          </w:p>
        </w:tc>
        <w:tc>
          <w:tcPr>
            <w:tcW w:w="6556" w:type="dxa"/>
            <w:hideMark/>
          </w:tcPr>
          <w:p w14:paraId="6AC714F3" w14:textId="63BE41CF"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 xml:space="preserve">7,500 Victorians safely </w:t>
            </w:r>
            <w:r w:rsidR="4012FF36" w:rsidRPr="65EFC765">
              <w:rPr>
                <w:lang w:eastAsia="en-AU"/>
              </w:rPr>
              <w:t>dispose</w:t>
            </w:r>
            <w:r w:rsidR="12A4E8B6" w:rsidRPr="65EFC765">
              <w:rPr>
                <w:lang w:eastAsia="en-AU"/>
              </w:rPr>
              <w:t>d of</w:t>
            </w:r>
            <w:r w:rsidRPr="00DA271D">
              <w:rPr>
                <w:lang w:eastAsia="en-AU"/>
              </w:rPr>
              <w:t xml:space="preserve"> their household chemicals at a Detox Your Home event</w:t>
            </w:r>
          </w:p>
        </w:tc>
      </w:tr>
      <w:tr w:rsidR="004C742A" w:rsidRPr="00DA271D" w14:paraId="320F6A33" w14:textId="7777777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65" w:type="dxa"/>
            <w:noWrap/>
            <w:hideMark/>
          </w:tcPr>
          <w:p w14:paraId="0B6BF2AE" w14:textId="5D5B7F50" w:rsidR="004C742A" w:rsidRPr="00DA271D" w:rsidRDefault="00E36F69">
            <w:pPr>
              <w:rPr>
                <w:lang w:eastAsia="en-AU"/>
              </w:rPr>
            </w:pPr>
            <w:r>
              <w:rPr>
                <w:lang w:eastAsia="en-AU"/>
              </w:rPr>
              <w:t>~</w:t>
            </w:r>
            <w:r w:rsidR="004C742A" w:rsidRPr="00DA271D">
              <w:rPr>
                <w:lang w:eastAsia="en-AU"/>
              </w:rPr>
              <w:t>$</w:t>
            </w:r>
            <w:r>
              <w:rPr>
                <w:lang w:eastAsia="en-AU"/>
              </w:rPr>
              <w:t>407</w:t>
            </w:r>
            <w:r w:rsidR="004C742A" w:rsidRPr="00DA271D">
              <w:rPr>
                <w:lang w:eastAsia="en-AU"/>
              </w:rPr>
              <w:t>M</w:t>
            </w:r>
            <w:r w:rsidR="002A525E">
              <w:rPr>
                <w:rStyle w:val="EndnoteReference"/>
                <w:lang w:eastAsia="en-AU"/>
              </w:rPr>
              <w:endnoteReference w:id="12"/>
            </w:r>
          </w:p>
        </w:tc>
        <w:tc>
          <w:tcPr>
            <w:tcW w:w="1200" w:type="dxa"/>
            <w:noWrap/>
            <w:hideMark/>
          </w:tcPr>
          <w:p w14:paraId="4749C478"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w:t>
            </w:r>
          </w:p>
        </w:tc>
        <w:tc>
          <w:tcPr>
            <w:tcW w:w="6556" w:type="dxa"/>
            <w:hideMark/>
          </w:tcPr>
          <w:p w14:paraId="7402FF77" w14:textId="1A3016C0"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w:t>
            </w:r>
            <w:r w:rsidR="4012FF36" w:rsidRPr="65EFC765">
              <w:rPr>
                <w:lang w:eastAsia="en-AU"/>
              </w:rPr>
              <w:t>350</w:t>
            </w:r>
            <w:r w:rsidR="05AB7C22" w:rsidRPr="65EFC765">
              <w:rPr>
                <w:lang w:eastAsia="en-AU"/>
              </w:rPr>
              <w:t xml:space="preserve"> </w:t>
            </w:r>
            <w:r w:rsidR="4012FF36" w:rsidRPr="65EFC765">
              <w:rPr>
                <w:lang w:eastAsia="en-AU"/>
              </w:rPr>
              <w:t>m</w:t>
            </w:r>
            <w:r w:rsidR="05AB7C22" w:rsidRPr="65EFC765">
              <w:rPr>
                <w:lang w:eastAsia="en-AU"/>
              </w:rPr>
              <w:t>illion</w:t>
            </w:r>
            <w:r w:rsidRPr="00DA271D">
              <w:rPr>
                <w:lang w:eastAsia="en-AU"/>
              </w:rPr>
              <w:t xml:space="preserve"> (modelled) energy bill savings through policy support and technical advice to other agencies</w:t>
            </w:r>
          </w:p>
        </w:tc>
      </w:tr>
      <w:tr w:rsidR="004C742A" w:rsidRPr="00DA271D" w14:paraId="7DB6C269" w14:textId="77777777">
        <w:trPr>
          <w:trHeight w:val="473"/>
        </w:trPr>
        <w:tc>
          <w:tcPr>
            <w:cnfStyle w:val="001000000000" w:firstRow="0" w:lastRow="0" w:firstColumn="1" w:lastColumn="0" w:oddVBand="0" w:evenVBand="0" w:oddHBand="0" w:evenHBand="0" w:firstRowFirstColumn="0" w:firstRowLastColumn="0" w:lastRowFirstColumn="0" w:lastRowLastColumn="0"/>
            <w:tcW w:w="1165" w:type="dxa"/>
            <w:noWrap/>
            <w:hideMark/>
          </w:tcPr>
          <w:p w14:paraId="1469E4A5" w14:textId="1F3D8E27" w:rsidR="004C742A" w:rsidRPr="00DA271D" w:rsidRDefault="00E36F69">
            <w:pPr>
              <w:rPr>
                <w:lang w:eastAsia="en-AU"/>
              </w:rPr>
            </w:pPr>
            <w:r>
              <w:rPr>
                <w:lang w:eastAsia="en-AU"/>
              </w:rPr>
              <w:t>~</w:t>
            </w:r>
            <w:r w:rsidR="004C742A" w:rsidRPr="00DA271D">
              <w:rPr>
                <w:lang w:eastAsia="en-AU"/>
              </w:rPr>
              <w:t>1.</w:t>
            </w:r>
            <w:r>
              <w:rPr>
                <w:lang w:eastAsia="en-AU"/>
              </w:rPr>
              <w:t>2</w:t>
            </w:r>
            <w:r w:rsidR="004C742A" w:rsidRPr="00DA271D">
              <w:rPr>
                <w:lang w:eastAsia="en-AU"/>
              </w:rPr>
              <w:t>m</w:t>
            </w:r>
            <w:r w:rsidR="009276FA">
              <w:rPr>
                <w:rStyle w:val="EndnoteReference"/>
                <w:lang w:eastAsia="en-AU"/>
              </w:rPr>
              <w:endnoteReference w:id="13"/>
            </w:r>
          </w:p>
        </w:tc>
        <w:tc>
          <w:tcPr>
            <w:tcW w:w="1200" w:type="dxa"/>
            <w:noWrap/>
            <w:hideMark/>
          </w:tcPr>
          <w:p w14:paraId="3D7557AC"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t CO2-e</w:t>
            </w:r>
          </w:p>
        </w:tc>
        <w:tc>
          <w:tcPr>
            <w:tcW w:w="6556" w:type="dxa"/>
            <w:hideMark/>
          </w:tcPr>
          <w:p w14:paraId="59B13122" w14:textId="1783332E"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 xml:space="preserve">1.5 million </w:t>
            </w:r>
            <w:r w:rsidR="4012FF36" w:rsidRPr="65EFC765">
              <w:rPr>
                <w:lang w:eastAsia="en-AU"/>
              </w:rPr>
              <w:t>t</w:t>
            </w:r>
            <w:r w:rsidR="0B8776C6" w:rsidRPr="65EFC765">
              <w:rPr>
                <w:lang w:eastAsia="en-AU"/>
              </w:rPr>
              <w:t>onnes</w:t>
            </w:r>
            <w:r w:rsidRPr="00DA271D">
              <w:rPr>
                <w:lang w:eastAsia="en-AU"/>
              </w:rPr>
              <w:t xml:space="preserve"> CO2e of (modelled) abatement through policy support and technical advice to other agencies</w:t>
            </w:r>
          </w:p>
        </w:tc>
      </w:tr>
      <w:tr w:rsidR="004C742A" w:rsidRPr="00DA271D" w14:paraId="6B5DB375" w14:textId="7777777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165" w:type="dxa"/>
            <w:noWrap/>
            <w:hideMark/>
          </w:tcPr>
          <w:p w14:paraId="674D26E9" w14:textId="3B1892D7" w:rsidR="004C742A" w:rsidRPr="00DA271D" w:rsidRDefault="00E36F69">
            <w:pPr>
              <w:rPr>
                <w:lang w:eastAsia="en-AU"/>
              </w:rPr>
            </w:pPr>
            <w:r>
              <w:rPr>
                <w:lang w:eastAsia="en-AU"/>
              </w:rPr>
              <w:lastRenderedPageBreak/>
              <w:t>529</w:t>
            </w:r>
            <w:r w:rsidR="00BB21D9">
              <w:rPr>
                <w:rStyle w:val="EndnoteReference"/>
                <w:lang w:eastAsia="en-AU"/>
              </w:rPr>
              <w:endnoteReference w:id="14"/>
            </w:r>
          </w:p>
        </w:tc>
        <w:tc>
          <w:tcPr>
            <w:tcW w:w="1200" w:type="dxa"/>
            <w:noWrap/>
            <w:hideMark/>
          </w:tcPr>
          <w:p w14:paraId="15DAA0B9"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w:t>
            </w:r>
          </w:p>
        </w:tc>
        <w:tc>
          <w:tcPr>
            <w:tcW w:w="6556" w:type="dxa"/>
            <w:hideMark/>
          </w:tcPr>
          <w:p w14:paraId="7F549825" w14:textId="5F166EDD"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 xml:space="preserve">300 </w:t>
            </w:r>
            <w:r w:rsidR="7D931FE4" w:rsidRPr="65EFC765">
              <w:rPr>
                <w:lang w:eastAsia="en-AU"/>
              </w:rPr>
              <w:t>n</w:t>
            </w:r>
            <w:r w:rsidRPr="00DA271D">
              <w:rPr>
                <w:lang w:eastAsia="en-AU"/>
              </w:rPr>
              <w:t>ew clean economy jobs created for Victoria (ongoing and temporary)</w:t>
            </w:r>
          </w:p>
        </w:tc>
      </w:tr>
      <w:tr w:rsidR="004C742A" w:rsidRPr="00DA271D" w14:paraId="1A956DCD" w14:textId="77777777">
        <w:trPr>
          <w:trHeight w:val="385"/>
        </w:trPr>
        <w:tc>
          <w:tcPr>
            <w:cnfStyle w:val="001000000000" w:firstRow="0" w:lastRow="0" w:firstColumn="1" w:lastColumn="0" w:oddVBand="0" w:evenVBand="0" w:oddHBand="0" w:evenHBand="0" w:firstRowFirstColumn="0" w:firstRowLastColumn="0" w:lastRowFirstColumn="0" w:lastRowLastColumn="0"/>
            <w:tcW w:w="1165" w:type="dxa"/>
            <w:noWrap/>
            <w:hideMark/>
          </w:tcPr>
          <w:p w14:paraId="04BA7EA0" w14:textId="4E2D3209" w:rsidR="004C742A" w:rsidRPr="00DA271D" w:rsidRDefault="004C742A">
            <w:pPr>
              <w:rPr>
                <w:lang w:eastAsia="en-AU"/>
              </w:rPr>
            </w:pPr>
            <w:r w:rsidRPr="00DA271D">
              <w:rPr>
                <w:lang w:eastAsia="en-AU"/>
              </w:rPr>
              <w:t>15</w:t>
            </w:r>
            <w:r w:rsidR="00AB07A9">
              <w:rPr>
                <w:lang w:eastAsia="en-AU"/>
              </w:rPr>
              <w:t>6</w:t>
            </w:r>
            <w:r w:rsidRPr="00DA271D">
              <w:rPr>
                <w:lang w:eastAsia="en-AU"/>
              </w:rPr>
              <w:t>,</w:t>
            </w:r>
            <w:r w:rsidR="00AB07A9">
              <w:rPr>
                <w:lang w:eastAsia="en-AU"/>
              </w:rPr>
              <w:t>831</w:t>
            </w:r>
            <w:r w:rsidR="00187850">
              <w:rPr>
                <w:rStyle w:val="EndnoteReference"/>
                <w:lang w:eastAsia="en-AU"/>
              </w:rPr>
              <w:endnoteReference w:id="15"/>
            </w:r>
          </w:p>
        </w:tc>
        <w:tc>
          <w:tcPr>
            <w:tcW w:w="1200" w:type="dxa"/>
            <w:noWrap/>
            <w:hideMark/>
          </w:tcPr>
          <w:p w14:paraId="019881FE"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w:t>
            </w:r>
          </w:p>
        </w:tc>
        <w:tc>
          <w:tcPr>
            <w:tcW w:w="6556" w:type="dxa"/>
            <w:hideMark/>
          </w:tcPr>
          <w:p w14:paraId="52BF93C9" w14:textId="77777777" w:rsidR="004C742A" w:rsidRPr="00DA271D" w:rsidRDefault="004C742A">
            <w:pPr>
              <w:cnfStyle w:val="000000000000" w:firstRow="0" w:lastRow="0" w:firstColumn="0" w:lastColumn="0" w:oddVBand="0" w:evenVBand="0" w:oddHBand="0" w:evenHBand="0" w:firstRowFirstColumn="0" w:firstRowLastColumn="0" w:lastRowFirstColumn="0" w:lastRowLastColumn="0"/>
              <w:rPr>
                <w:lang w:eastAsia="en-AU"/>
              </w:rPr>
            </w:pPr>
            <w:r w:rsidRPr="00DA271D">
              <w:rPr>
                <w:lang w:eastAsia="en-AU"/>
              </w:rPr>
              <w:t>SV training and events will engage 150,000+ Victorians/organisations to adopt positive environmental action</w:t>
            </w:r>
          </w:p>
        </w:tc>
      </w:tr>
      <w:tr w:rsidR="004C742A" w:rsidRPr="00DA271D" w14:paraId="40D17F0A"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165" w:type="dxa"/>
            <w:noWrap/>
            <w:hideMark/>
          </w:tcPr>
          <w:p w14:paraId="71A20000" w14:textId="18CFE5BC" w:rsidR="004C742A" w:rsidRPr="00DA271D" w:rsidRDefault="004C742A">
            <w:pPr>
              <w:rPr>
                <w:lang w:eastAsia="en-AU"/>
              </w:rPr>
            </w:pPr>
            <w:r w:rsidRPr="00DA271D">
              <w:rPr>
                <w:lang w:eastAsia="en-AU"/>
              </w:rPr>
              <w:t>75,0</w:t>
            </w:r>
            <w:r w:rsidR="00AB07A9">
              <w:rPr>
                <w:lang w:eastAsia="en-AU"/>
              </w:rPr>
              <w:t>14</w:t>
            </w:r>
            <w:r w:rsidR="00FC3BDC">
              <w:rPr>
                <w:rStyle w:val="EndnoteReference"/>
                <w:lang w:eastAsia="en-AU"/>
              </w:rPr>
              <w:endnoteReference w:id="16"/>
            </w:r>
          </w:p>
        </w:tc>
        <w:tc>
          <w:tcPr>
            <w:tcW w:w="1200" w:type="dxa"/>
            <w:noWrap/>
            <w:hideMark/>
          </w:tcPr>
          <w:p w14:paraId="6EE6F87B" w14:textId="77777777"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Hours</w:t>
            </w:r>
          </w:p>
        </w:tc>
        <w:tc>
          <w:tcPr>
            <w:tcW w:w="6556" w:type="dxa"/>
            <w:hideMark/>
          </w:tcPr>
          <w:p w14:paraId="2DD789E2" w14:textId="5CDF284C" w:rsidR="004C742A" w:rsidRPr="00DA271D" w:rsidRDefault="004C742A">
            <w:pPr>
              <w:cnfStyle w:val="000000100000" w:firstRow="0" w:lastRow="0" w:firstColumn="0" w:lastColumn="0" w:oddVBand="0" w:evenVBand="0" w:oddHBand="1" w:evenHBand="0" w:firstRowFirstColumn="0" w:firstRowLastColumn="0" w:lastRowFirstColumn="0" w:lastRowLastColumn="0"/>
              <w:rPr>
                <w:lang w:eastAsia="en-AU"/>
              </w:rPr>
            </w:pPr>
            <w:r w:rsidRPr="00DA271D">
              <w:rPr>
                <w:lang w:eastAsia="en-AU"/>
              </w:rPr>
              <w:t xml:space="preserve">75,000 </w:t>
            </w:r>
            <w:r w:rsidR="7AB967FE" w:rsidRPr="65EFC765">
              <w:rPr>
                <w:lang w:eastAsia="en-AU"/>
              </w:rPr>
              <w:t>v</w:t>
            </w:r>
            <w:r w:rsidRPr="00DA271D">
              <w:rPr>
                <w:lang w:eastAsia="en-AU"/>
              </w:rPr>
              <w:t>olunteer hours, increasing local capacity and capability within communities to deliver renewable energy and circular economy projects</w:t>
            </w:r>
          </w:p>
        </w:tc>
      </w:tr>
    </w:tbl>
    <w:p w14:paraId="30F8AEBE" w14:textId="77777777" w:rsidR="00CB58F0" w:rsidRDefault="00CB58F0" w:rsidP="00C87AEB">
      <w:pPr>
        <w:sectPr w:rsidR="00CB58F0" w:rsidSect="006B5042">
          <w:footerReference w:type="even" r:id="rId42"/>
          <w:footerReference w:type="default" r:id="rId43"/>
          <w:headerReference w:type="first" r:id="rId44"/>
          <w:footerReference w:type="first" r:id="rId45"/>
          <w:endnotePr>
            <w:numFmt w:val="decimal"/>
          </w:endnotePr>
          <w:pgSz w:w="11906" w:h="16838" w:code="9"/>
          <w:pgMar w:top="1702" w:right="1440" w:bottom="993" w:left="1440" w:header="851" w:footer="369" w:gutter="0"/>
          <w:pgNumType w:start="1"/>
          <w:cols w:space="708"/>
          <w:titlePg/>
          <w:docGrid w:linePitch="360"/>
        </w:sectPr>
      </w:pPr>
    </w:p>
    <w:p w14:paraId="053F1321" w14:textId="77777777" w:rsidR="00C87AEB" w:rsidRPr="00C87AEB" w:rsidRDefault="00C87AEB" w:rsidP="00105389">
      <w:pPr>
        <w:pStyle w:val="Body"/>
      </w:pPr>
    </w:p>
    <w:p w14:paraId="5E3C6AC9" w14:textId="77777777" w:rsidR="00C87AEB" w:rsidRDefault="00C87AEB" w:rsidP="00105389">
      <w:pPr>
        <w:pStyle w:val="Body"/>
      </w:pPr>
      <w:bookmarkStart w:id="60" w:name="_Ref144750633"/>
      <w:bookmarkStart w:id="61" w:name="_Toc144884420"/>
      <w:bookmarkStart w:id="62" w:name="_Toc166585695"/>
    </w:p>
    <w:p w14:paraId="720CA008" w14:textId="77777777" w:rsidR="002B0D9E" w:rsidRDefault="002B0D9E">
      <w:pPr>
        <w:spacing w:line="259" w:lineRule="auto"/>
        <w:rPr>
          <w:rFonts w:eastAsiaTheme="majorEastAsia" w:cstheme="majorBidi"/>
          <w:b/>
          <w:color w:val="595959" w:themeColor="text1" w:themeTint="A6"/>
          <w:sz w:val="28"/>
          <w:szCs w:val="24"/>
        </w:rPr>
      </w:pPr>
      <w:r>
        <w:br w:type="page"/>
      </w:r>
    </w:p>
    <w:p w14:paraId="3394D544" w14:textId="230AD7FC" w:rsidR="00D5568E" w:rsidRPr="0012521E" w:rsidRDefault="0073268C" w:rsidP="00126908">
      <w:pPr>
        <w:pStyle w:val="Heading3"/>
      </w:pPr>
      <w:r w:rsidRPr="03F954DB">
        <w:lastRenderedPageBreak/>
        <w:t xml:space="preserve">Activities delivered </w:t>
      </w:r>
      <w:bookmarkEnd w:id="60"/>
      <w:bookmarkEnd w:id="61"/>
      <w:r w:rsidR="00970A0F">
        <w:t xml:space="preserve">in </w:t>
      </w:r>
      <w:r w:rsidR="00970A0F" w:rsidDel="007B4783">
        <w:t>2023</w:t>
      </w:r>
      <w:r w:rsidR="007B4783">
        <w:t>–24</w:t>
      </w:r>
    </w:p>
    <w:tbl>
      <w:tblPr>
        <w:tblStyle w:val="TableGrid"/>
        <w:tblW w:w="9266" w:type="dxa"/>
        <w:tblBorders>
          <w:top w:val="single" w:sz="4" w:space="0" w:color="D4DFA0" w:themeColor="background2"/>
          <w:left w:val="single" w:sz="4" w:space="0" w:color="D4DFA0" w:themeColor="background2"/>
          <w:bottom w:val="single" w:sz="4" w:space="0" w:color="D4DFA0" w:themeColor="background2"/>
          <w:right w:val="single" w:sz="4" w:space="0" w:color="D4DFA0" w:themeColor="background2"/>
          <w:insideH w:val="single" w:sz="4" w:space="0" w:color="D4DFA0" w:themeColor="background2"/>
          <w:insideV w:val="single" w:sz="4" w:space="0" w:color="D4DFA0" w:themeColor="background2"/>
        </w:tblBorders>
        <w:tblLook w:val="04A0" w:firstRow="1" w:lastRow="0" w:firstColumn="1" w:lastColumn="0" w:noHBand="0" w:noVBand="1"/>
      </w:tblPr>
      <w:tblGrid>
        <w:gridCol w:w="2263"/>
        <w:gridCol w:w="5287"/>
        <w:gridCol w:w="1716"/>
      </w:tblGrid>
      <w:tr w:rsidR="007A68AF" w:rsidRPr="00510071" w14:paraId="329D9B3A" w14:textId="77777777" w:rsidTr="00510071">
        <w:trPr>
          <w:tblHeader/>
        </w:trPr>
        <w:tc>
          <w:tcPr>
            <w:tcW w:w="2263" w:type="dxa"/>
            <w:shd w:val="clear" w:color="auto" w:fill="D4DFA0" w:themeFill="accent3"/>
          </w:tcPr>
          <w:bookmarkEnd w:id="62"/>
          <w:p w14:paraId="0065D218" w14:textId="77777777" w:rsidR="007A68AF" w:rsidRPr="00510071" w:rsidRDefault="007A68AF" w:rsidP="00EC78E4">
            <w:pPr>
              <w:pStyle w:val="Tablehead10"/>
              <w:rPr>
                <w:rFonts w:asciiTheme="minorHAnsi" w:hAnsiTheme="minorHAnsi"/>
                <w:color w:val="auto"/>
                <w:sz w:val="20"/>
                <w:szCs w:val="20"/>
              </w:rPr>
            </w:pPr>
            <w:r w:rsidRPr="00510071">
              <w:rPr>
                <w:rFonts w:asciiTheme="minorHAnsi" w:hAnsiTheme="minorHAnsi"/>
                <w:color w:val="auto"/>
                <w:sz w:val="20"/>
                <w:szCs w:val="20"/>
              </w:rPr>
              <w:t>Activity</w:t>
            </w:r>
          </w:p>
        </w:tc>
        <w:tc>
          <w:tcPr>
            <w:tcW w:w="5287" w:type="dxa"/>
            <w:shd w:val="clear" w:color="auto" w:fill="D4DFA0" w:themeFill="accent3"/>
          </w:tcPr>
          <w:p w14:paraId="5D399C90" w14:textId="29456D8C" w:rsidR="007A68AF" w:rsidRPr="00510071" w:rsidRDefault="007A68AF" w:rsidP="00EC78E4">
            <w:pPr>
              <w:pStyle w:val="Tablehead10"/>
              <w:rPr>
                <w:rFonts w:asciiTheme="minorHAnsi" w:hAnsiTheme="minorHAnsi"/>
                <w:color w:val="auto"/>
                <w:sz w:val="20"/>
                <w:szCs w:val="20"/>
              </w:rPr>
            </w:pPr>
            <w:r w:rsidRPr="00510071">
              <w:rPr>
                <w:rFonts w:asciiTheme="minorHAnsi" w:hAnsiTheme="minorHAnsi"/>
                <w:color w:val="auto"/>
                <w:sz w:val="20"/>
                <w:szCs w:val="20"/>
              </w:rPr>
              <w:t xml:space="preserve">Performance in </w:t>
            </w:r>
            <w:r w:rsidRPr="00510071" w:rsidDel="007B4783">
              <w:rPr>
                <w:rFonts w:asciiTheme="minorHAnsi" w:hAnsiTheme="minorHAnsi"/>
                <w:color w:val="auto"/>
                <w:sz w:val="20"/>
                <w:szCs w:val="20"/>
              </w:rPr>
              <w:t>2023</w:t>
            </w:r>
            <w:r w:rsidR="007B4783" w:rsidRPr="00510071">
              <w:rPr>
                <w:rFonts w:asciiTheme="minorHAnsi" w:hAnsiTheme="minorHAnsi"/>
                <w:color w:val="auto"/>
                <w:sz w:val="20"/>
                <w:szCs w:val="20"/>
              </w:rPr>
              <w:t>–24</w:t>
            </w:r>
          </w:p>
        </w:tc>
        <w:tc>
          <w:tcPr>
            <w:tcW w:w="1716" w:type="dxa"/>
            <w:shd w:val="clear" w:color="auto" w:fill="D4DFA0" w:themeFill="accent3"/>
          </w:tcPr>
          <w:p w14:paraId="063822D9" w14:textId="77777777" w:rsidR="007A68AF" w:rsidRPr="00510071" w:rsidRDefault="007A68AF" w:rsidP="00EC78E4">
            <w:pPr>
              <w:pStyle w:val="Tablehead10"/>
              <w:rPr>
                <w:rFonts w:asciiTheme="minorHAnsi" w:hAnsiTheme="minorHAnsi"/>
                <w:color w:val="auto"/>
                <w:sz w:val="20"/>
                <w:szCs w:val="20"/>
              </w:rPr>
            </w:pPr>
            <w:r w:rsidRPr="00510071">
              <w:rPr>
                <w:rFonts w:asciiTheme="minorHAnsi" w:hAnsiTheme="minorHAnsi"/>
                <w:color w:val="auto"/>
                <w:sz w:val="20"/>
                <w:szCs w:val="20"/>
              </w:rPr>
              <w:t xml:space="preserve">SV2030 impacts </w:t>
            </w:r>
          </w:p>
        </w:tc>
      </w:tr>
      <w:tr w:rsidR="007A68AF" w:rsidRPr="00510071" w14:paraId="783C420C" w14:textId="77777777" w:rsidTr="00510071">
        <w:tc>
          <w:tcPr>
            <w:tcW w:w="2263" w:type="dxa"/>
          </w:tcPr>
          <w:p w14:paraId="41251746" w14:textId="027EBA13" w:rsidR="007A68AF" w:rsidRPr="00510071" w:rsidRDefault="00B665F9" w:rsidP="00EC78E4">
            <w:pPr>
              <w:pStyle w:val="TableText"/>
              <w:rPr>
                <w:color w:val="auto"/>
                <w:sz w:val="20"/>
                <w:szCs w:val="20"/>
              </w:rPr>
            </w:pPr>
            <w:r w:rsidRPr="00510071">
              <w:rPr>
                <w:color w:val="auto"/>
                <w:sz w:val="20"/>
                <w:szCs w:val="20"/>
              </w:rPr>
              <w:t>Circular Economy Recycling Modernisation Fund</w:t>
            </w:r>
          </w:p>
        </w:tc>
        <w:tc>
          <w:tcPr>
            <w:tcW w:w="5287" w:type="dxa"/>
          </w:tcPr>
          <w:p w14:paraId="18E98603" w14:textId="3B3A2531" w:rsidR="007A68AF" w:rsidRPr="00510071" w:rsidRDefault="008B5AA3" w:rsidP="008B5AA3">
            <w:pPr>
              <w:pStyle w:val="TableText"/>
              <w:rPr>
                <w:sz w:val="20"/>
                <w:szCs w:val="20"/>
              </w:rPr>
            </w:pPr>
            <w:r w:rsidRPr="00510071">
              <w:rPr>
                <w:sz w:val="20"/>
                <w:szCs w:val="20"/>
              </w:rPr>
              <w:t>Six new projects received $3.4 million in grants in 2023-24. This brings the total funding to $68.3 million for 27 projects led by industry and council over four rounds of funding in the past three years (jointly funded by the Victorian and Australian governments).  Projects from the first three rounds are progressing well with 12 already complete. These 27 projects will create almost 320 ongoing full-time jobs and process up to 360,000 tonnes of glass, plastic, and paper and cardboard waste each year. In addition, projects aimed at improving the quality of recycled products will improve up to 56,000 tonnes a year for reuse in new products.</w:t>
            </w:r>
          </w:p>
        </w:tc>
        <w:tc>
          <w:tcPr>
            <w:tcW w:w="1716" w:type="dxa"/>
          </w:tcPr>
          <w:p w14:paraId="53CCF0BC" w14:textId="7DBC695F" w:rsidR="007A68AF" w:rsidRPr="00510071" w:rsidRDefault="00DC3716" w:rsidP="00EC78E4">
            <w:pPr>
              <w:pStyle w:val="TableText"/>
              <w:rPr>
                <w:sz w:val="20"/>
                <w:szCs w:val="20"/>
              </w:rPr>
            </w:pPr>
            <w:r w:rsidRPr="00510071">
              <w:rPr>
                <w:noProof/>
                <w:sz w:val="20"/>
                <w:szCs w:val="20"/>
              </w:rPr>
              <w:drawing>
                <wp:inline distT="0" distB="0" distL="0" distR="0" wp14:anchorId="40235294" wp14:editId="2623D55A">
                  <wp:extent cx="248603" cy="220980"/>
                  <wp:effectExtent l="0" t="0" r="0" b="7620"/>
                  <wp:docPr id="556091863" name="Picture 556091863"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47BCB284" wp14:editId="2D193D1C">
                  <wp:extent cx="248603" cy="220980"/>
                  <wp:effectExtent l="0" t="0" r="0" b="7620"/>
                  <wp:docPr id="1334372460" name="Picture 1334372460"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3C4A15C4" wp14:editId="0131DBB2">
                  <wp:extent cx="246888" cy="213360"/>
                  <wp:effectExtent l="0" t="0" r="1270" b="0"/>
                  <wp:docPr id="1520137560" name="Picture 1520137560"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6F4CD2" w:rsidRPr="00510071" w14:paraId="7C609103" w14:textId="77777777" w:rsidTr="00510071">
        <w:tc>
          <w:tcPr>
            <w:tcW w:w="2263" w:type="dxa"/>
          </w:tcPr>
          <w:p w14:paraId="75F1D289" w14:textId="5BE1311C" w:rsidR="006F4CD2" w:rsidRPr="00510071" w:rsidRDefault="006F4CD2" w:rsidP="00B665F9">
            <w:pPr>
              <w:pStyle w:val="TableText"/>
              <w:rPr>
                <w:color w:val="auto"/>
                <w:sz w:val="20"/>
                <w:szCs w:val="20"/>
              </w:rPr>
            </w:pPr>
            <w:r w:rsidRPr="00510071">
              <w:rPr>
                <w:color w:val="auto"/>
                <w:sz w:val="20"/>
                <w:szCs w:val="20"/>
              </w:rPr>
              <w:t>Circular Economy Infrastructure Fund – Materials</w:t>
            </w:r>
          </w:p>
        </w:tc>
        <w:tc>
          <w:tcPr>
            <w:tcW w:w="5287" w:type="dxa"/>
          </w:tcPr>
          <w:p w14:paraId="5926CC0D" w14:textId="3AAF36E4" w:rsidR="006F4CD2" w:rsidRPr="00510071" w:rsidRDefault="004D15C1" w:rsidP="00EC78E4">
            <w:pPr>
              <w:pStyle w:val="TableText"/>
              <w:rPr>
                <w:sz w:val="20"/>
                <w:szCs w:val="20"/>
              </w:rPr>
            </w:pPr>
            <w:r w:rsidRPr="00510071">
              <w:rPr>
                <w:sz w:val="20"/>
                <w:szCs w:val="20"/>
              </w:rPr>
              <w:t>Two organics projects received $2 million in grants in 2023-24 under round 4 of this funding programs. This makes a total of 11 projects funded through multiple rounds. Projects from rounds 2 and 3 are progressing with two already finished. These 11 projects will create 62 new ongoing full-time jobs and increase processing capacity for glass and organics by up to 375,000 tonnes a year. They will also increase the quality of up to 325,000 tonnes a year of recycled glass and organics products for reuse.</w:t>
            </w:r>
          </w:p>
        </w:tc>
        <w:tc>
          <w:tcPr>
            <w:tcW w:w="1716" w:type="dxa"/>
          </w:tcPr>
          <w:p w14:paraId="406EF959" w14:textId="178855DC" w:rsidR="006F4CD2" w:rsidRPr="00510071" w:rsidRDefault="006F4CD2" w:rsidP="00EC78E4">
            <w:pPr>
              <w:pStyle w:val="TableText"/>
              <w:rPr>
                <w:noProof/>
                <w:sz w:val="20"/>
                <w:szCs w:val="20"/>
              </w:rPr>
            </w:pPr>
            <w:r w:rsidRPr="00510071">
              <w:rPr>
                <w:noProof/>
                <w:sz w:val="20"/>
                <w:szCs w:val="20"/>
              </w:rPr>
              <w:drawing>
                <wp:inline distT="0" distB="0" distL="0" distR="0" wp14:anchorId="73184D12" wp14:editId="06519112">
                  <wp:extent cx="248603" cy="220980"/>
                  <wp:effectExtent l="0" t="0" r="0" b="7620"/>
                  <wp:docPr id="442090071" name="Picture 442090071"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0CD72BD2" wp14:editId="35B8D8ED">
                  <wp:extent cx="248603" cy="220980"/>
                  <wp:effectExtent l="0" t="0" r="0" b="7620"/>
                  <wp:docPr id="2086665752" name="Picture 2086665752"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6166EA1A" wp14:editId="442FDF2E">
                  <wp:extent cx="246888" cy="213360"/>
                  <wp:effectExtent l="0" t="0" r="1270" b="0"/>
                  <wp:docPr id="1226687117" name="Picture 1226687117"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7A68AF" w:rsidRPr="00510071" w14:paraId="0E75A5BD" w14:textId="77777777" w:rsidTr="00510071">
        <w:tc>
          <w:tcPr>
            <w:tcW w:w="2263" w:type="dxa"/>
          </w:tcPr>
          <w:p w14:paraId="3ABEB9D3" w14:textId="0DB8E1AE" w:rsidR="007A68AF" w:rsidRPr="00510071" w:rsidRDefault="00B665F9" w:rsidP="00EC78E4">
            <w:pPr>
              <w:pStyle w:val="TableText"/>
              <w:rPr>
                <w:color w:val="auto"/>
                <w:sz w:val="20"/>
                <w:szCs w:val="20"/>
              </w:rPr>
            </w:pPr>
            <w:r w:rsidRPr="00510071">
              <w:rPr>
                <w:color w:val="auto"/>
                <w:sz w:val="20"/>
                <w:szCs w:val="20"/>
              </w:rPr>
              <w:t>Circular Economy Infrastructure Fund – Hazardous Waste</w:t>
            </w:r>
          </w:p>
        </w:tc>
        <w:tc>
          <w:tcPr>
            <w:tcW w:w="5287" w:type="dxa"/>
          </w:tcPr>
          <w:p w14:paraId="41EBAA0B" w14:textId="066E7C89" w:rsidR="007A68AF" w:rsidRPr="00510071" w:rsidRDefault="00083BEC" w:rsidP="00EC78E4">
            <w:pPr>
              <w:pStyle w:val="TableText"/>
              <w:rPr>
                <w:sz w:val="20"/>
                <w:szCs w:val="20"/>
              </w:rPr>
            </w:pPr>
            <w:r w:rsidRPr="00510071">
              <w:rPr>
                <w:sz w:val="20"/>
                <w:szCs w:val="20"/>
              </w:rPr>
              <w:t>Three projects received a total of $4.9 million in funding in 2023-24 under round 3. This brings the total funded projects to six. Round 2 projects are in progress. Two of the new projects will increase processing capacity to recover lithium batteries and build circularity by extracting critical minerals for reintegration into the economy. The third project will optimise and diversify the recovery of contaminated soils. Together, these six projects aim to recover 371,500 tonnes a year of hazardous materials, leverage $43.5 million in industry investment and create 53 full time jobs.</w:t>
            </w:r>
          </w:p>
        </w:tc>
        <w:tc>
          <w:tcPr>
            <w:tcW w:w="1716" w:type="dxa"/>
          </w:tcPr>
          <w:p w14:paraId="2D50C3D6" w14:textId="70C5E6D2" w:rsidR="007A68AF" w:rsidRPr="00510071" w:rsidRDefault="00DC3716" w:rsidP="00EC78E4">
            <w:pPr>
              <w:pStyle w:val="TableText"/>
              <w:rPr>
                <w:sz w:val="20"/>
                <w:szCs w:val="20"/>
              </w:rPr>
            </w:pPr>
            <w:r w:rsidRPr="00510071">
              <w:rPr>
                <w:noProof/>
                <w:sz w:val="20"/>
                <w:szCs w:val="20"/>
              </w:rPr>
              <w:drawing>
                <wp:inline distT="0" distB="0" distL="0" distR="0" wp14:anchorId="7334F81B" wp14:editId="521F05E4">
                  <wp:extent cx="248603" cy="220980"/>
                  <wp:effectExtent l="0" t="0" r="0" b="7620"/>
                  <wp:docPr id="666959569" name="Picture 666959569"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0B31CCD4" wp14:editId="108BA20E">
                  <wp:extent cx="248603" cy="220980"/>
                  <wp:effectExtent l="0" t="0" r="0" b="7620"/>
                  <wp:docPr id="1690718917" name="Picture 1690718917"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p>
        </w:tc>
      </w:tr>
      <w:tr w:rsidR="007A68AF" w:rsidRPr="00510071" w14:paraId="6FC1E5F7" w14:textId="77777777" w:rsidTr="00510071">
        <w:tc>
          <w:tcPr>
            <w:tcW w:w="2263" w:type="dxa"/>
          </w:tcPr>
          <w:p w14:paraId="08B681D1" w14:textId="77777777" w:rsidR="00B665F9" w:rsidRPr="00510071" w:rsidRDefault="00B665F9" w:rsidP="00B665F9">
            <w:pPr>
              <w:pStyle w:val="TableText"/>
              <w:rPr>
                <w:color w:val="auto"/>
                <w:sz w:val="20"/>
                <w:szCs w:val="20"/>
              </w:rPr>
            </w:pPr>
            <w:r w:rsidRPr="00510071">
              <w:rPr>
                <w:color w:val="auto"/>
                <w:sz w:val="20"/>
                <w:szCs w:val="20"/>
              </w:rPr>
              <w:t>Waste to Energy Fund – Bioenergy</w:t>
            </w:r>
          </w:p>
          <w:p w14:paraId="5263F197" w14:textId="56ED06B8" w:rsidR="007A68AF" w:rsidRPr="00510071" w:rsidRDefault="007A68AF" w:rsidP="00EC78E4">
            <w:pPr>
              <w:pStyle w:val="TableText"/>
              <w:rPr>
                <w:color w:val="auto"/>
                <w:sz w:val="20"/>
                <w:szCs w:val="20"/>
              </w:rPr>
            </w:pPr>
          </w:p>
        </w:tc>
        <w:tc>
          <w:tcPr>
            <w:tcW w:w="5287" w:type="dxa"/>
          </w:tcPr>
          <w:p w14:paraId="5F3814F5" w14:textId="2328EF22" w:rsidR="007A68AF" w:rsidRPr="00510071" w:rsidRDefault="00083BEC" w:rsidP="00EC78E4">
            <w:pPr>
              <w:pStyle w:val="TableText"/>
              <w:rPr>
                <w:sz w:val="20"/>
                <w:szCs w:val="20"/>
              </w:rPr>
            </w:pPr>
            <w:r w:rsidRPr="00510071">
              <w:rPr>
                <w:sz w:val="20"/>
                <w:szCs w:val="20"/>
              </w:rPr>
              <w:t>A total of 26 bioenergy projects have been funded with $8.5 million in grants. Five projects are finished and have produced business cases for further investment and case studies for SV to use. The 21 remaining projects are expected to be completed in 2024-25. The program will then move into an evaluation phase, followed by promotion of project and program outcomes. SV also runs a Bioenergy Fund working group where projects can connect and learn from each other. This gives SV a leading role in developing and growing Victoria's bioenergy community.</w:t>
            </w:r>
          </w:p>
        </w:tc>
        <w:tc>
          <w:tcPr>
            <w:tcW w:w="1716" w:type="dxa"/>
          </w:tcPr>
          <w:p w14:paraId="6CFE3847" w14:textId="57D4C009" w:rsidR="007A68AF" w:rsidRPr="00510071" w:rsidRDefault="00DC3716" w:rsidP="00EC78E4">
            <w:pPr>
              <w:pStyle w:val="TableText"/>
              <w:rPr>
                <w:sz w:val="20"/>
                <w:szCs w:val="20"/>
              </w:rPr>
            </w:pPr>
            <w:r w:rsidRPr="00510071">
              <w:rPr>
                <w:noProof/>
                <w:sz w:val="20"/>
                <w:szCs w:val="20"/>
              </w:rPr>
              <w:drawing>
                <wp:inline distT="0" distB="0" distL="0" distR="0" wp14:anchorId="17D80804" wp14:editId="55B846C3">
                  <wp:extent cx="248603" cy="220980"/>
                  <wp:effectExtent l="0" t="0" r="0" b="7620"/>
                  <wp:docPr id="1367841557" name="Picture 1367841557"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197F815B" wp14:editId="4B9243B8">
                  <wp:extent cx="248603" cy="220980"/>
                  <wp:effectExtent l="0" t="0" r="0" b="7620"/>
                  <wp:docPr id="78387538" name="Picture 78387538"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453CC482" wp14:editId="474B80D3">
                  <wp:extent cx="246888" cy="213360"/>
                  <wp:effectExtent l="0" t="0" r="1270" b="0"/>
                  <wp:docPr id="344964788" name="Picture 344964788"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7A68AF" w:rsidRPr="00510071" w14:paraId="4A7D9137" w14:textId="77777777" w:rsidTr="00510071">
        <w:tc>
          <w:tcPr>
            <w:tcW w:w="2263" w:type="dxa"/>
          </w:tcPr>
          <w:p w14:paraId="5C9EEBD7" w14:textId="77777777" w:rsidR="00B665F9" w:rsidRPr="00510071" w:rsidRDefault="00B665F9" w:rsidP="00B665F9">
            <w:pPr>
              <w:pStyle w:val="TableText"/>
              <w:rPr>
                <w:color w:val="auto"/>
                <w:sz w:val="20"/>
                <w:szCs w:val="20"/>
              </w:rPr>
            </w:pPr>
            <w:r w:rsidRPr="00510071">
              <w:rPr>
                <w:color w:val="auto"/>
                <w:sz w:val="20"/>
                <w:szCs w:val="20"/>
              </w:rPr>
              <w:t>Asbestos disposal management plan</w:t>
            </w:r>
          </w:p>
          <w:p w14:paraId="7CA01D67" w14:textId="0F2383F9" w:rsidR="007A68AF" w:rsidRPr="00510071" w:rsidRDefault="00804E43" w:rsidP="00EC78E4">
            <w:pPr>
              <w:pStyle w:val="TableText"/>
              <w:rPr>
                <w:color w:val="auto"/>
                <w:sz w:val="20"/>
                <w:szCs w:val="20"/>
              </w:rPr>
            </w:pPr>
            <w:r>
              <w:rPr>
                <w:color w:val="auto"/>
                <w:sz w:val="20"/>
                <w:szCs w:val="20"/>
              </w:rPr>
              <w:t>.</w:t>
            </w:r>
          </w:p>
        </w:tc>
        <w:tc>
          <w:tcPr>
            <w:tcW w:w="5287" w:type="dxa"/>
          </w:tcPr>
          <w:p w14:paraId="5DA88DCD" w14:textId="58363A68" w:rsidR="007A68AF" w:rsidRPr="00510071" w:rsidRDefault="0056206B" w:rsidP="00EC78E4">
            <w:pPr>
              <w:pStyle w:val="TableText"/>
              <w:rPr>
                <w:sz w:val="20"/>
                <w:szCs w:val="20"/>
              </w:rPr>
            </w:pPr>
            <w:r w:rsidRPr="00510071">
              <w:rPr>
                <w:sz w:val="20"/>
                <w:szCs w:val="20"/>
              </w:rPr>
              <w:t xml:space="preserve">The three funded pilot sites are now operating, providing a local option for the community to dispose of small quantities of non-friable, packaged asbestos. Sites are located at existing waste facilities and temporarily sort the asbestos before transferring it to landfill. To support the pilot, SV developed the </w:t>
            </w:r>
            <w:r w:rsidRPr="00510071">
              <w:rPr>
                <w:i/>
                <w:iCs/>
                <w:sz w:val="20"/>
                <w:szCs w:val="20"/>
              </w:rPr>
              <w:t xml:space="preserve">Guide to Developing and Managing Asbestos Disposal Points for the Temporary Storage of Non-Friable Asbestos Waste. </w:t>
            </w:r>
            <w:r w:rsidRPr="00510071">
              <w:rPr>
                <w:sz w:val="20"/>
                <w:szCs w:val="20"/>
              </w:rPr>
              <w:t xml:space="preserve">SV also developed communication and education resources to help site operators and customers to dispose of asbestos waste safely. The pilot sites are being used to test the </w:t>
            </w:r>
            <w:r w:rsidRPr="00510071">
              <w:rPr>
                <w:sz w:val="20"/>
                <w:szCs w:val="20"/>
              </w:rPr>
              <w:lastRenderedPageBreak/>
              <w:t>infrastructure, systems and resources needed to manage an asbestos disposal point. SV will evaluate the pilot with input from site managers, on-ground teams, customers, regulators and other stakeholders. The findings will help inform the rollout of more disposal sites in Victoria.</w:t>
            </w:r>
          </w:p>
        </w:tc>
        <w:tc>
          <w:tcPr>
            <w:tcW w:w="1716" w:type="dxa"/>
          </w:tcPr>
          <w:p w14:paraId="22163F0D" w14:textId="3699F113" w:rsidR="007A68AF" w:rsidRPr="00510071" w:rsidRDefault="00DC3716" w:rsidP="00EC78E4">
            <w:pPr>
              <w:pStyle w:val="TableText"/>
              <w:rPr>
                <w:sz w:val="20"/>
                <w:szCs w:val="20"/>
              </w:rPr>
            </w:pPr>
            <w:r w:rsidRPr="00510071">
              <w:rPr>
                <w:noProof/>
                <w:sz w:val="20"/>
                <w:szCs w:val="20"/>
              </w:rPr>
              <w:lastRenderedPageBreak/>
              <w:drawing>
                <wp:inline distT="0" distB="0" distL="0" distR="0" wp14:anchorId="4AC23840" wp14:editId="17F4BAA1">
                  <wp:extent cx="248603" cy="220980"/>
                  <wp:effectExtent l="0" t="0" r="0" b="7620"/>
                  <wp:docPr id="295107597" name="Picture 295107597"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22A881FD" wp14:editId="358F9609">
                  <wp:extent cx="248285" cy="259968"/>
                  <wp:effectExtent l="0" t="0" r="0" b="6985"/>
                  <wp:docPr id="124444328" name="Picture 124444328"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sz w:val="20"/>
                <w:szCs w:val="20"/>
              </w:rPr>
              <w:t xml:space="preserve"> </w:t>
            </w:r>
          </w:p>
        </w:tc>
      </w:tr>
      <w:tr w:rsidR="00970A0F" w:rsidRPr="00510071" w14:paraId="508FAC6D" w14:textId="77777777" w:rsidTr="00510071">
        <w:tc>
          <w:tcPr>
            <w:tcW w:w="2263" w:type="dxa"/>
          </w:tcPr>
          <w:p w14:paraId="2A878FC0" w14:textId="77777777" w:rsidR="00820804" w:rsidRPr="00510071" w:rsidRDefault="00820804" w:rsidP="00820804">
            <w:pPr>
              <w:pStyle w:val="TableText"/>
              <w:rPr>
                <w:color w:val="auto"/>
                <w:sz w:val="20"/>
                <w:szCs w:val="20"/>
              </w:rPr>
            </w:pPr>
            <w:r w:rsidRPr="00510071">
              <w:rPr>
                <w:color w:val="auto"/>
                <w:sz w:val="20"/>
                <w:szCs w:val="20"/>
              </w:rPr>
              <w:t>E-Waste Infrastructure Support Program (Landfill Ban)</w:t>
            </w:r>
          </w:p>
          <w:p w14:paraId="29478169" w14:textId="77777777" w:rsidR="00970A0F" w:rsidRPr="00510071" w:rsidRDefault="00970A0F" w:rsidP="00EC78E4">
            <w:pPr>
              <w:pStyle w:val="TableText"/>
              <w:rPr>
                <w:color w:val="auto"/>
                <w:sz w:val="20"/>
                <w:szCs w:val="20"/>
              </w:rPr>
            </w:pPr>
          </w:p>
        </w:tc>
        <w:tc>
          <w:tcPr>
            <w:tcW w:w="5287" w:type="dxa"/>
          </w:tcPr>
          <w:p w14:paraId="373C6160" w14:textId="263E0A9E" w:rsidR="00970A0F" w:rsidRPr="00510071" w:rsidRDefault="005209BC" w:rsidP="00EC78E4">
            <w:pPr>
              <w:pStyle w:val="TableText"/>
              <w:rPr>
                <w:sz w:val="20"/>
                <w:szCs w:val="20"/>
              </w:rPr>
            </w:pPr>
            <w:r w:rsidRPr="00510071">
              <w:rPr>
                <w:sz w:val="20"/>
                <w:szCs w:val="20"/>
              </w:rPr>
              <w:t xml:space="preserve">The e-waste program ended in 2023-24 after upgrading 140 e-waste collection sites and five </w:t>
            </w:r>
            <w:proofErr w:type="spellStart"/>
            <w:r w:rsidRPr="00510071">
              <w:rPr>
                <w:sz w:val="20"/>
                <w:szCs w:val="20"/>
              </w:rPr>
              <w:t>reprocessor</w:t>
            </w:r>
            <w:proofErr w:type="spellEnd"/>
            <w:r w:rsidRPr="00510071">
              <w:rPr>
                <w:sz w:val="20"/>
                <w:szCs w:val="20"/>
              </w:rPr>
              <w:t xml:space="preserve"> sites over six years. The </w:t>
            </w:r>
            <w:proofErr w:type="spellStart"/>
            <w:r w:rsidRPr="00510071">
              <w:rPr>
                <w:sz w:val="20"/>
                <w:szCs w:val="20"/>
              </w:rPr>
              <w:t>reprocessor</w:t>
            </w:r>
            <w:proofErr w:type="spellEnd"/>
            <w:r w:rsidRPr="00510071">
              <w:rPr>
                <w:sz w:val="20"/>
                <w:szCs w:val="20"/>
              </w:rPr>
              <w:t xml:space="preserve"> projects focused on recovering mixed e-waste including e-plastics, metals and rechargeable batteries. These five projects increased Victoria’s e-waste treatment capacity by 33,747 tonnes a year, attracted $6.9 million in industry investment and created 24 full time jobs.  SV evaluated the program to guide future funding in the e-waste sector.</w:t>
            </w:r>
          </w:p>
        </w:tc>
        <w:tc>
          <w:tcPr>
            <w:tcW w:w="1716" w:type="dxa"/>
          </w:tcPr>
          <w:p w14:paraId="22707D9D" w14:textId="0C729B5D" w:rsidR="00970A0F" w:rsidRPr="00510071" w:rsidRDefault="001C5C36" w:rsidP="00EC78E4">
            <w:pPr>
              <w:pStyle w:val="TableText"/>
              <w:rPr>
                <w:sz w:val="20"/>
                <w:szCs w:val="20"/>
              </w:rPr>
            </w:pPr>
            <w:r w:rsidRPr="00510071">
              <w:rPr>
                <w:noProof/>
                <w:sz w:val="20"/>
                <w:szCs w:val="20"/>
              </w:rPr>
              <w:drawing>
                <wp:inline distT="0" distB="0" distL="0" distR="0" wp14:anchorId="23BEE650" wp14:editId="6D964AA3">
                  <wp:extent cx="248603" cy="220980"/>
                  <wp:effectExtent l="0" t="0" r="0" b="7620"/>
                  <wp:docPr id="1243208789" name="Picture 1243208789"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39BA40EB" wp14:editId="3959569B">
                  <wp:extent cx="248603" cy="220980"/>
                  <wp:effectExtent l="0" t="0" r="0" b="7620"/>
                  <wp:docPr id="1469045163" name="Picture 1469045163"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p>
        </w:tc>
      </w:tr>
      <w:tr w:rsidR="00970A0F" w:rsidRPr="00510071" w14:paraId="304F4990" w14:textId="77777777" w:rsidTr="00510071">
        <w:tc>
          <w:tcPr>
            <w:tcW w:w="2263" w:type="dxa"/>
          </w:tcPr>
          <w:p w14:paraId="1E34D1E9" w14:textId="400B5E0A" w:rsidR="00970A0F" w:rsidRPr="00510071" w:rsidRDefault="00F31CB6" w:rsidP="00EC78E4">
            <w:pPr>
              <w:pStyle w:val="TableText"/>
              <w:rPr>
                <w:color w:val="auto"/>
                <w:sz w:val="20"/>
                <w:szCs w:val="20"/>
              </w:rPr>
            </w:pPr>
            <w:r w:rsidRPr="00510071">
              <w:rPr>
                <w:color w:val="auto"/>
                <w:sz w:val="20"/>
                <w:szCs w:val="20"/>
              </w:rPr>
              <w:t xml:space="preserve">Circular </w:t>
            </w:r>
            <w:proofErr w:type="gramStart"/>
            <w:r w:rsidRPr="00510071">
              <w:rPr>
                <w:color w:val="auto"/>
                <w:sz w:val="20"/>
                <w:szCs w:val="20"/>
              </w:rPr>
              <w:t xml:space="preserve">Economy </w:t>
            </w:r>
            <w:r w:rsidR="00804E43">
              <w:rPr>
                <w:color w:val="auto"/>
                <w:sz w:val="20"/>
                <w:szCs w:val="20"/>
              </w:rPr>
              <w:t>.</w:t>
            </w:r>
            <w:r w:rsidRPr="00510071">
              <w:rPr>
                <w:color w:val="auto"/>
                <w:sz w:val="20"/>
                <w:szCs w:val="20"/>
              </w:rPr>
              <w:t>Research</w:t>
            </w:r>
            <w:proofErr w:type="gramEnd"/>
            <w:r w:rsidRPr="00510071">
              <w:rPr>
                <w:color w:val="auto"/>
                <w:sz w:val="20"/>
                <w:szCs w:val="20"/>
              </w:rPr>
              <w:t xml:space="preserve"> and Development Fund</w:t>
            </w:r>
          </w:p>
        </w:tc>
        <w:tc>
          <w:tcPr>
            <w:tcW w:w="5287" w:type="dxa"/>
          </w:tcPr>
          <w:p w14:paraId="6B659CCD" w14:textId="2324905C" w:rsidR="00970A0F" w:rsidRPr="00510071" w:rsidRDefault="00122ADC" w:rsidP="00EC78E4">
            <w:pPr>
              <w:pStyle w:val="TableText"/>
              <w:rPr>
                <w:sz w:val="20"/>
                <w:szCs w:val="20"/>
              </w:rPr>
            </w:pPr>
            <w:r w:rsidRPr="00510071">
              <w:rPr>
                <w:sz w:val="20"/>
                <w:szCs w:val="20"/>
              </w:rPr>
              <w:t>Nine out of 10 materials stream projects are now complete, and all five organics projects are complete, with two still to submit final documentation. The program has been extended to June 2025 and all projects must be completed by this date.</w:t>
            </w:r>
          </w:p>
        </w:tc>
        <w:tc>
          <w:tcPr>
            <w:tcW w:w="1716" w:type="dxa"/>
          </w:tcPr>
          <w:p w14:paraId="343D576A" w14:textId="790A33A6" w:rsidR="00970A0F" w:rsidRPr="00510071" w:rsidRDefault="003071CD" w:rsidP="00EC78E4">
            <w:pPr>
              <w:pStyle w:val="TableText"/>
              <w:rPr>
                <w:sz w:val="20"/>
                <w:szCs w:val="20"/>
              </w:rPr>
            </w:pPr>
            <w:r w:rsidRPr="00510071">
              <w:rPr>
                <w:noProof/>
                <w:sz w:val="20"/>
                <w:szCs w:val="20"/>
              </w:rPr>
              <w:drawing>
                <wp:inline distT="0" distB="0" distL="0" distR="0" wp14:anchorId="176C6C15" wp14:editId="357B1003">
                  <wp:extent cx="248603" cy="220980"/>
                  <wp:effectExtent l="0" t="0" r="0" b="7620"/>
                  <wp:docPr id="1897382913" name="Picture 1897382913"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4D220746" wp14:editId="2D7DED82">
                  <wp:extent cx="246888" cy="213360"/>
                  <wp:effectExtent l="0" t="0" r="1270" b="0"/>
                  <wp:docPr id="1127036867" name="Picture 1127036867"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970A0F" w:rsidRPr="00510071" w14:paraId="32812A64" w14:textId="77777777" w:rsidTr="00510071">
        <w:tc>
          <w:tcPr>
            <w:tcW w:w="2263" w:type="dxa"/>
          </w:tcPr>
          <w:p w14:paraId="3E1DBC62" w14:textId="4BB41FF0" w:rsidR="00970A0F" w:rsidRPr="00510071" w:rsidRDefault="00F31CB6" w:rsidP="00EC78E4">
            <w:pPr>
              <w:pStyle w:val="TableText"/>
              <w:rPr>
                <w:color w:val="auto"/>
                <w:sz w:val="20"/>
                <w:szCs w:val="20"/>
              </w:rPr>
            </w:pPr>
            <w:r w:rsidRPr="00510071">
              <w:rPr>
                <w:color w:val="auto"/>
                <w:sz w:val="20"/>
                <w:szCs w:val="20"/>
              </w:rPr>
              <w:t>Circular Economy Markets Fund – Materials</w:t>
            </w:r>
          </w:p>
        </w:tc>
        <w:tc>
          <w:tcPr>
            <w:tcW w:w="5287" w:type="dxa"/>
          </w:tcPr>
          <w:p w14:paraId="15D0CCAD" w14:textId="00483EDC" w:rsidR="00970A0F" w:rsidRPr="00510071" w:rsidRDefault="0078653C" w:rsidP="00EC78E4">
            <w:pPr>
              <w:pStyle w:val="TableText"/>
              <w:rPr>
                <w:sz w:val="20"/>
                <w:szCs w:val="20"/>
              </w:rPr>
            </w:pPr>
            <w:r w:rsidRPr="00510071">
              <w:rPr>
                <w:sz w:val="20"/>
                <w:szCs w:val="20"/>
              </w:rPr>
              <w:t>Nine projects are complete and 11 are still being delivered. All projects must finish in 2025.</w:t>
            </w:r>
          </w:p>
        </w:tc>
        <w:tc>
          <w:tcPr>
            <w:tcW w:w="1716" w:type="dxa"/>
          </w:tcPr>
          <w:p w14:paraId="0648D0DC" w14:textId="530D6F57" w:rsidR="00970A0F" w:rsidRPr="00510071" w:rsidRDefault="003071CD" w:rsidP="00EC78E4">
            <w:pPr>
              <w:pStyle w:val="TableText"/>
              <w:rPr>
                <w:sz w:val="20"/>
                <w:szCs w:val="20"/>
              </w:rPr>
            </w:pPr>
            <w:r w:rsidRPr="00510071">
              <w:rPr>
                <w:noProof/>
                <w:sz w:val="20"/>
                <w:szCs w:val="20"/>
              </w:rPr>
              <w:drawing>
                <wp:inline distT="0" distB="0" distL="0" distR="0" wp14:anchorId="457531A6" wp14:editId="3BFE8D5D">
                  <wp:extent cx="248603" cy="220980"/>
                  <wp:effectExtent l="0" t="0" r="0" b="7620"/>
                  <wp:docPr id="435553694" name="Picture 435553694"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2F81FD61" wp14:editId="28E24EDA">
                  <wp:extent cx="246888" cy="213360"/>
                  <wp:effectExtent l="0" t="0" r="1270" b="0"/>
                  <wp:docPr id="1079919759" name="Picture 1079919759"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970A0F" w:rsidRPr="00510071" w14:paraId="7741AAA4" w14:textId="77777777" w:rsidTr="00510071">
        <w:tc>
          <w:tcPr>
            <w:tcW w:w="2263" w:type="dxa"/>
          </w:tcPr>
          <w:p w14:paraId="2D980C7A" w14:textId="583A0CC2" w:rsidR="00970A0F" w:rsidRPr="00510071" w:rsidRDefault="00F31CB6" w:rsidP="00EC78E4">
            <w:pPr>
              <w:pStyle w:val="TableText"/>
              <w:rPr>
                <w:color w:val="auto"/>
                <w:sz w:val="20"/>
                <w:szCs w:val="20"/>
              </w:rPr>
            </w:pPr>
            <w:r w:rsidRPr="00510071">
              <w:rPr>
                <w:color w:val="auto"/>
                <w:sz w:val="20"/>
                <w:szCs w:val="20"/>
              </w:rPr>
              <w:t>Circular Economy Markets Fund – Organics</w:t>
            </w:r>
          </w:p>
        </w:tc>
        <w:tc>
          <w:tcPr>
            <w:tcW w:w="5287" w:type="dxa"/>
          </w:tcPr>
          <w:p w14:paraId="3D235E3E" w14:textId="4C1E82E6" w:rsidR="00970A0F" w:rsidRPr="00510071" w:rsidRDefault="007873E9" w:rsidP="00EC78E4">
            <w:pPr>
              <w:pStyle w:val="TableText"/>
              <w:rPr>
                <w:sz w:val="20"/>
                <w:szCs w:val="20"/>
              </w:rPr>
            </w:pPr>
            <w:r w:rsidRPr="00510071">
              <w:rPr>
                <w:sz w:val="20"/>
                <w:szCs w:val="20"/>
              </w:rPr>
              <w:t xml:space="preserve">Two of the 12 projects are now complete, with the rest expected to finish in the next six months.  SV is preparing to promote the market acceleration outcomes from this fund, for example, by publishing content on the SV website on the three vineyard projects.  </w:t>
            </w:r>
          </w:p>
        </w:tc>
        <w:tc>
          <w:tcPr>
            <w:tcW w:w="1716" w:type="dxa"/>
          </w:tcPr>
          <w:p w14:paraId="10E333AA" w14:textId="0CF7C828" w:rsidR="00970A0F" w:rsidRPr="00510071" w:rsidRDefault="003071CD" w:rsidP="00EC78E4">
            <w:pPr>
              <w:pStyle w:val="TableText"/>
              <w:rPr>
                <w:sz w:val="20"/>
                <w:szCs w:val="20"/>
              </w:rPr>
            </w:pPr>
            <w:r w:rsidRPr="00510071">
              <w:rPr>
                <w:noProof/>
                <w:sz w:val="20"/>
                <w:szCs w:val="20"/>
              </w:rPr>
              <w:drawing>
                <wp:inline distT="0" distB="0" distL="0" distR="0" wp14:anchorId="18C65A89" wp14:editId="0C8BEF7F">
                  <wp:extent cx="248603" cy="220980"/>
                  <wp:effectExtent l="0" t="0" r="0" b="7620"/>
                  <wp:docPr id="1420432639" name="Picture 1420432639"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6F6F97AD" wp14:editId="271ABF0F">
                  <wp:extent cx="246888" cy="213360"/>
                  <wp:effectExtent l="0" t="0" r="1270" b="0"/>
                  <wp:docPr id="574341030" name="Picture 574341030"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970A0F" w:rsidRPr="00510071" w14:paraId="545E3A5F" w14:textId="77777777" w:rsidTr="00510071">
        <w:tc>
          <w:tcPr>
            <w:tcW w:w="2263" w:type="dxa"/>
          </w:tcPr>
          <w:p w14:paraId="7810B1E6" w14:textId="46084EC2" w:rsidR="00970A0F" w:rsidRPr="00510071" w:rsidRDefault="00F31CB6" w:rsidP="00EC78E4">
            <w:pPr>
              <w:pStyle w:val="TableText"/>
              <w:rPr>
                <w:color w:val="auto"/>
                <w:sz w:val="20"/>
                <w:szCs w:val="20"/>
              </w:rPr>
            </w:pPr>
            <w:r w:rsidRPr="00510071">
              <w:rPr>
                <w:color w:val="auto"/>
                <w:sz w:val="20"/>
                <w:szCs w:val="20"/>
              </w:rPr>
              <w:t>Circular Economy Organics Sector Transformation Fund</w:t>
            </w:r>
          </w:p>
        </w:tc>
        <w:tc>
          <w:tcPr>
            <w:tcW w:w="5287" w:type="dxa"/>
          </w:tcPr>
          <w:p w14:paraId="3385BA45" w14:textId="228A0059" w:rsidR="00970A0F" w:rsidRPr="00510071" w:rsidRDefault="00054834" w:rsidP="00EC78E4">
            <w:pPr>
              <w:pStyle w:val="TableText"/>
              <w:rPr>
                <w:sz w:val="20"/>
                <w:szCs w:val="20"/>
              </w:rPr>
            </w:pPr>
            <w:r w:rsidRPr="00510071">
              <w:rPr>
                <w:sz w:val="20"/>
                <w:szCs w:val="20"/>
              </w:rPr>
              <w:t xml:space="preserve">One project is </w:t>
            </w:r>
            <w:proofErr w:type="gramStart"/>
            <w:r w:rsidRPr="00510071">
              <w:rPr>
                <w:sz w:val="20"/>
                <w:szCs w:val="20"/>
              </w:rPr>
              <w:t>complete</w:t>
            </w:r>
            <w:proofErr w:type="gramEnd"/>
            <w:r w:rsidRPr="00510071">
              <w:rPr>
                <w:sz w:val="20"/>
                <w:szCs w:val="20"/>
              </w:rPr>
              <w:t xml:space="preserve"> and the remaining projects are expected to finish in 2024-25. The completed project installed decontamination equipment, allowing the recipient to continue operations despite rising contamination levels. These projects will divert more organic waste from landfill, reduce contamination and improve the quality of recovered organic material to help grow the food of tomorrow and secure Australia’s agricultural future.</w:t>
            </w:r>
          </w:p>
        </w:tc>
        <w:tc>
          <w:tcPr>
            <w:tcW w:w="1716" w:type="dxa"/>
          </w:tcPr>
          <w:p w14:paraId="2C47AA55" w14:textId="48207BFD" w:rsidR="00970A0F" w:rsidRPr="00510071" w:rsidRDefault="003071CD" w:rsidP="00EC78E4">
            <w:pPr>
              <w:pStyle w:val="TableText"/>
              <w:rPr>
                <w:sz w:val="20"/>
                <w:szCs w:val="20"/>
              </w:rPr>
            </w:pPr>
            <w:r w:rsidRPr="00510071">
              <w:rPr>
                <w:noProof/>
                <w:sz w:val="20"/>
                <w:szCs w:val="20"/>
              </w:rPr>
              <w:drawing>
                <wp:inline distT="0" distB="0" distL="0" distR="0" wp14:anchorId="21417513" wp14:editId="67351D69">
                  <wp:extent cx="248603" cy="220980"/>
                  <wp:effectExtent l="0" t="0" r="0" b="7620"/>
                  <wp:docPr id="284300725" name="Picture 284300725"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7BB6383B" wp14:editId="18982FA3">
                  <wp:extent cx="246888" cy="213360"/>
                  <wp:effectExtent l="0" t="0" r="1270" b="0"/>
                  <wp:docPr id="501611159" name="Picture 501611159"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970A0F" w:rsidRPr="00510071" w14:paraId="3E41AE20" w14:textId="77777777" w:rsidTr="00510071">
        <w:tc>
          <w:tcPr>
            <w:tcW w:w="2263" w:type="dxa"/>
          </w:tcPr>
          <w:p w14:paraId="3C2DF568" w14:textId="15ECCFF3" w:rsidR="00970A0F" w:rsidRPr="00510071" w:rsidRDefault="00BC4E67" w:rsidP="00EC78E4">
            <w:pPr>
              <w:pStyle w:val="TableText"/>
              <w:rPr>
                <w:color w:val="auto"/>
                <w:sz w:val="20"/>
                <w:szCs w:val="20"/>
              </w:rPr>
            </w:pPr>
            <w:r w:rsidRPr="00510071">
              <w:rPr>
                <w:color w:val="auto"/>
                <w:sz w:val="20"/>
                <w:szCs w:val="20"/>
              </w:rPr>
              <w:t>Circular Economy Research &amp; Development Fund - Organics</w:t>
            </w:r>
          </w:p>
        </w:tc>
        <w:tc>
          <w:tcPr>
            <w:tcW w:w="5287" w:type="dxa"/>
          </w:tcPr>
          <w:p w14:paraId="4A2C7D5C" w14:textId="39FB284F" w:rsidR="00970A0F" w:rsidRPr="00510071" w:rsidRDefault="0096689A" w:rsidP="00EC78E4">
            <w:pPr>
              <w:pStyle w:val="TableText"/>
              <w:rPr>
                <w:sz w:val="20"/>
                <w:szCs w:val="20"/>
              </w:rPr>
            </w:pPr>
            <w:r w:rsidRPr="00510071">
              <w:rPr>
                <w:sz w:val="20"/>
                <w:szCs w:val="20"/>
              </w:rPr>
              <w:t>Three of five projects are complete with the remaining two awaiting evidence to finish.  A suite of organics market development outcomes will result from these projects, which will be promoted to relevant stakeholders in 2024-25. One grant recipient reported that they gained an extra 12 clients (farmers who want to use compost) as a direct result of their project.</w:t>
            </w:r>
          </w:p>
        </w:tc>
        <w:tc>
          <w:tcPr>
            <w:tcW w:w="1716" w:type="dxa"/>
          </w:tcPr>
          <w:p w14:paraId="27D1FF73" w14:textId="7329CFAF" w:rsidR="00970A0F" w:rsidRPr="00510071" w:rsidRDefault="003071CD" w:rsidP="00EC78E4">
            <w:pPr>
              <w:pStyle w:val="TableText"/>
              <w:rPr>
                <w:sz w:val="20"/>
                <w:szCs w:val="20"/>
              </w:rPr>
            </w:pPr>
            <w:r w:rsidRPr="00510071">
              <w:rPr>
                <w:noProof/>
                <w:sz w:val="20"/>
                <w:szCs w:val="20"/>
              </w:rPr>
              <w:drawing>
                <wp:inline distT="0" distB="0" distL="0" distR="0" wp14:anchorId="3A1D2ABA" wp14:editId="0BFCEBAE">
                  <wp:extent cx="248603" cy="220980"/>
                  <wp:effectExtent l="0" t="0" r="0" b="7620"/>
                  <wp:docPr id="1317411534" name="Picture 1317411534"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p>
        </w:tc>
      </w:tr>
      <w:tr w:rsidR="002B0D9E" w:rsidRPr="00510071" w14:paraId="1C9BE0C6" w14:textId="77777777" w:rsidTr="00510071">
        <w:tc>
          <w:tcPr>
            <w:tcW w:w="2263" w:type="dxa"/>
          </w:tcPr>
          <w:p w14:paraId="54F477C5" w14:textId="38B0C4A2" w:rsidR="002B0D9E" w:rsidRPr="00510071" w:rsidRDefault="00040777" w:rsidP="00EC78E4">
            <w:pPr>
              <w:pStyle w:val="TableText"/>
              <w:rPr>
                <w:color w:val="auto"/>
                <w:sz w:val="20"/>
                <w:szCs w:val="20"/>
              </w:rPr>
            </w:pPr>
            <w:r w:rsidRPr="00510071">
              <w:rPr>
                <w:color w:val="auto"/>
                <w:sz w:val="20"/>
                <w:szCs w:val="20"/>
              </w:rPr>
              <w:t>Circular Economy Organics Trial Extensions (allocated grants)</w:t>
            </w:r>
          </w:p>
        </w:tc>
        <w:tc>
          <w:tcPr>
            <w:tcW w:w="5287" w:type="dxa"/>
          </w:tcPr>
          <w:p w14:paraId="41A3A951" w14:textId="00A1AF58" w:rsidR="002B0D9E" w:rsidRPr="00510071" w:rsidRDefault="0096689A" w:rsidP="00EC78E4">
            <w:pPr>
              <w:pStyle w:val="TableText"/>
              <w:rPr>
                <w:sz w:val="20"/>
                <w:szCs w:val="20"/>
              </w:rPr>
            </w:pPr>
            <w:r w:rsidRPr="00510071">
              <w:rPr>
                <w:sz w:val="20"/>
                <w:szCs w:val="20"/>
              </w:rPr>
              <w:t>Six grants totalling $84,110 were awarded as allocated grants to continue collecting data from on-farm organics trial sites for an extra year.  This recognises the long period needed for soil to improve after applying compost.  The additional data will be shared with farmers to encourage them to use recycled organics. This pro-active initiative by SV has been applauded by industry.</w:t>
            </w:r>
          </w:p>
        </w:tc>
        <w:tc>
          <w:tcPr>
            <w:tcW w:w="1716" w:type="dxa"/>
          </w:tcPr>
          <w:p w14:paraId="3EA35FB8" w14:textId="2611637D" w:rsidR="002B0D9E" w:rsidRPr="00510071" w:rsidRDefault="00885554" w:rsidP="00EC78E4">
            <w:pPr>
              <w:pStyle w:val="TableText"/>
              <w:rPr>
                <w:noProof/>
                <w:sz w:val="20"/>
                <w:szCs w:val="20"/>
              </w:rPr>
            </w:pPr>
            <w:r w:rsidRPr="00510071">
              <w:rPr>
                <w:noProof/>
                <w:sz w:val="20"/>
                <w:szCs w:val="20"/>
              </w:rPr>
              <w:drawing>
                <wp:inline distT="0" distB="0" distL="0" distR="0" wp14:anchorId="4798B2BF" wp14:editId="480E1D75">
                  <wp:extent cx="248603" cy="220980"/>
                  <wp:effectExtent l="0" t="0" r="0" b="7620"/>
                  <wp:docPr id="1953908966" name="Picture 1953908966"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noProof/>
                <w:sz w:val="20"/>
                <w:szCs w:val="20"/>
              </w:rPr>
              <w:drawing>
                <wp:inline distT="0" distB="0" distL="0" distR="0" wp14:anchorId="04227015" wp14:editId="3832758D">
                  <wp:extent cx="248603" cy="220980"/>
                  <wp:effectExtent l="0" t="0" r="0" b="7620"/>
                  <wp:docPr id="1992626837" name="Picture 1992626837"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p>
        </w:tc>
      </w:tr>
      <w:tr w:rsidR="00970A0F" w:rsidRPr="00510071" w14:paraId="51BAFA70" w14:textId="77777777" w:rsidTr="00510071">
        <w:tc>
          <w:tcPr>
            <w:tcW w:w="2263" w:type="dxa"/>
          </w:tcPr>
          <w:p w14:paraId="72252444" w14:textId="04CFB413" w:rsidR="00970A0F" w:rsidRPr="00510071" w:rsidRDefault="00F31CB6" w:rsidP="00EC78E4">
            <w:pPr>
              <w:pStyle w:val="TableText"/>
              <w:rPr>
                <w:color w:val="auto"/>
                <w:sz w:val="20"/>
                <w:szCs w:val="20"/>
              </w:rPr>
            </w:pPr>
            <w:r w:rsidRPr="00510071">
              <w:rPr>
                <w:color w:val="auto"/>
                <w:sz w:val="20"/>
                <w:szCs w:val="20"/>
              </w:rPr>
              <w:t>Recycled First – Public leadership in recycling</w:t>
            </w:r>
          </w:p>
        </w:tc>
        <w:tc>
          <w:tcPr>
            <w:tcW w:w="5287" w:type="dxa"/>
          </w:tcPr>
          <w:p w14:paraId="15ED3B8B" w14:textId="3861AB71" w:rsidR="00970A0F" w:rsidRPr="00510071" w:rsidRDefault="00505A64" w:rsidP="00EC78E4">
            <w:pPr>
              <w:pStyle w:val="TableText"/>
              <w:rPr>
                <w:sz w:val="20"/>
                <w:szCs w:val="20"/>
              </w:rPr>
            </w:pPr>
            <w:r w:rsidRPr="00510071">
              <w:rPr>
                <w:sz w:val="20"/>
                <w:szCs w:val="20"/>
              </w:rPr>
              <w:t xml:space="preserve">The Buy Recycled Service continued to support Victorian councils by offering opportunities to upskill in sustainable procurement, learn about recycled products, and network with other councils. Eight events were held to promote sustainable procurement and recycled products to 224 </w:t>
            </w:r>
            <w:r w:rsidRPr="00510071">
              <w:rPr>
                <w:sz w:val="20"/>
                <w:szCs w:val="20"/>
              </w:rPr>
              <w:lastRenderedPageBreak/>
              <w:t>council officers. Five new educational resources were added to the Buy Recycled Service website to help councils embed sustainable procurement practices. The 23 Buy Recycled Council Champions had the opportunity to upskill, attend events, share knowledge and network to increase their knowledge of sustainable procurement and build their skills to influence and change processes at council. As part of the champions program, 17 councils updated their procurement documents or data collection methods.</w:t>
            </w:r>
          </w:p>
        </w:tc>
        <w:tc>
          <w:tcPr>
            <w:tcW w:w="1716" w:type="dxa"/>
          </w:tcPr>
          <w:p w14:paraId="4911FA45" w14:textId="25796213" w:rsidR="00970A0F" w:rsidRPr="00510071" w:rsidRDefault="003071CD" w:rsidP="00EC78E4">
            <w:pPr>
              <w:pStyle w:val="TableText"/>
              <w:rPr>
                <w:sz w:val="20"/>
                <w:szCs w:val="20"/>
              </w:rPr>
            </w:pPr>
            <w:r w:rsidRPr="00510071">
              <w:rPr>
                <w:noProof/>
                <w:sz w:val="20"/>
                <w:szCs w:val="20"/>
              </w:rPr>
              <w:lastRenderedPageBreak/>
              <w:drawing>
                <wp:inline distT="0" distB="0" distL="0" distR="0" wp14:anchorId="3CB42E6F" wp14:editId="67662B01">
                  <wp:extent cx="248603" cy="220980"/>
                  <wp:effectExtent l="0" t="0" r="0" b="7620"/>
                  <wp:docPr id="901872588" name="Picture 901872588"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558CC33E" wp14:editId="142B015C">
                  <wp:extent cx="248603" cy="220980"/>
                  <wp:effectExtent l="0" t="0" r="0" b="7620"/>
                  <wp:docPr id="137450494" name="Picture 137450494"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p>
        </w:tc>
      </w:tr>
      <w:tr w:rsidR="00970A0F" w:rsidRPr="00510071" w14:paraId="1A90E299" w14:textId="77777777" w:rsidTr="00510071">
        <w:tc>
          <w:tcPr>
            <w:tcW w:w="2263" w:type="dxa"/>
          </w:tcPr>
          <w:p w14:paraId="354F4AB4" w14:textId="273D7E83" w:rsidR="00970A0F" w:rsidRPr="00510071" w:rsidRDefault="0023194E" w:rsidP="00EC78E4">
            <w:pPr>
              <w:pStyle w:val="TableText"/>
              <w:rPr>
                <w:color w:val="auto"/>
                <w:sz w:val="20"/>
                <w:szCs w:val="20"/>
              </w:rPr>
            </w:pPr>
            <w:r w:rsidRPr="00510071">
              <w:rPr>
                <w:color w:val="auto"/>
                <w:sz w:val="20"/>
                <w:szCs w:val="20"/>
              </w:rPr>
              <w:t>Market development for products derived from contaminated soil</w:t>
            </w:r>
          </w:p>
        </w:tc>
        <w:tc>
          <w:tcPr>
            <w:tcW w:w="5287" w:type="dxa"/>
          </w:tcPr>
          <w:p w14:paraId="3DF1A532" w14:textId="3E30A537" w:rsidR="00970A0F" w:rsidRPr="00510071" w:rsidRDefault="00B03459" w:rsidP="00EC78E4">
            <w:pPr>
              <w:pStyle w:val="TableText"/>
              <w:rPr>
                <w:sz w:val="20"/>
                <w:szCs w:val="20"/>
              </w:rPr>
            </w:pPr>
            <w:r w:rsidRPr="00510071">
              <w:rPr>
                <w:sz w:val="20"/>
                <w:szCs w:val="20"/>
              </w:rPr>
              <w:t>SV has undertaken research to support and further government understanding of the generation and management of Spoil material in Victoria. Outputs from this research may support identification of future opportunities to better plan for and support the reuse of spoil material. This work has also supported other government departments and agencies involved in planning and regulating spoil material.</w:t>
            </w:r>
          </w:p>
        </w:tc>
        <w:tc>
          <w:tcPr>
            <w:tcW w:w="1716" w:type="dxa"/>
          </w:tcPr>
          <w:p w14:paraId="7A5B45C7" w14:textId="7CFA75DB" w:rsidR="00970A0F" w:rsidRPr="00510071" w:rsidRDefault="0023194E" w:rsidP="00EC78E4">
            <w:pPr>
              <w:pStyle w:val="TableText"/>
              <w:rPr>
                <w:sz w:val="20"/>
                <w:szCs w:val="20"/>
              </w:rPr>
            </w:pPr>
            <w:r w:rsidRPr="00510071">
              <w:rPr>
                <w:noProof/>
                <w:sz w:val="20"/>
                <w:szCs w:val="20"/>
              </w:rPr>
              <w:drawing>
                <wp:inline distT="0" distB="0" distL="0" distR="0" wp14:anchorId="2F885E00" wp14:editId="1D8B0131">
                  <wp:extent cx="248603" cy="220980"/>
                  <wp:effectExtent l="0" t="0" r="0" b="7620"/>
                  <wp:docPr id="472892020" name="Picture 472892020"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78B96A72" wp14:editId="7C3599B6">
                  <wp:extent cx="248603" cy="220980"/>
                  <wp:effectExtent l="0" t="0" r="0" b="7620"/>
                  <wp:docPr id="1167266630" name="Picture 1167266630"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p>
        </w:tc>
      </w:tr>
      <w:tr w:rsidR="00C627D6" w:rsidRPr="00510071" w14:paraId="6D5D4DC5" w14:textId="77777777" w:rsidTr="00510071">
        <w:tc>
          <w:tcPr>
            <w:tcW w:w="2263" w:type="dxa"/>
          </w:tcPr>
          <w:p w14:paraId="6B035450" w14:textId="7D2B3164" w:rsidR="00C627D6" w:rsidRPr="00510071" w:rsidRDefault="0023194E"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t>Recycling Modernisation Fund – Plastics Technology stream*</w:t>
            </w:r>
          </w:p>
        </w:tc>
        <w:tc>
          <w:tcPr>
            <w:tcW w:w="5287" w:type="dxa"/>
          </w:tcPr>
          <w:p w14:paraId="79C67CC4" w14:textId="1152A6F5" w:rsidR="00C627D6" w:rsidRPr="00510071" w:rsidRDefault="00E45723" w:rsidP="00912D88">
            <w:pPr>
              <w:pStyle w:val="TableText"/>
              <w:rPr>
                <w:sz w:val="20"/>
                <w:szCs w:val="20"/>
              </w:rPr>
            </w:pPr>
            <w:r w:rsidRPr="00510071">
              <w:rPr>
                <w:sz w:val="20"/>
                <w:szCs w:val="20"/>
              </w:rPr>
              <w:t>In July 2024, the Australian Government announced $60 million in national funding for advanced and innovative technology projects targeting hard-to-recycle plastics, to be managed by each state or territory. SV received applications for Victorian projects and led the Interdepartmental Assessment Panel, which recommended shortlisted projects for further review by the Australian Government. The demand from Victorian industry for investment exceeded the total available funding pool. The Australian Government has not yet announced successful projects.</w:t>
            </w:r>
          </w:p>
        </w:tc>
        <w:tc>
          <w:tcPr>
            <w:tcW w:w="1716" w:type="dxa"/>
          </w:tcPr>
          <w:p w14:paraId="4EAD6735" w14:textId="2F56D687" w:rsidR="00C627D6" w:rsidRPr="00510071" w:rsidRDefault="0023194E" w:rsidP="00912D88">
            <w:pPr>
              <w:pStyle w:val="TableText"/>
              <w:rPr>
                <w:sz w:val="20"/>
                <w:szCs w:val="20"/>
              </w:rPr>
            </w:pPr>
            <w:r w:rsidRPr="00510071">
              <w:rPr>
                <w:noProof/>
                <w:sz w:val="20"/>
                <w:szCs w:val="20"/>
              </w:rPr>
              <w:drawing>
                <wp:inline distT="0" distB="0" distL="0" distR="0" wp14:anchorId="3170B2D0" wp14:editId="4B88B120">
                  <wp:extent cx="248603" cy="220980"/>
                  <wp:effectExtent l="0" t="0" r="0" b="7620"/>
                  <wp:docPr id="878019664" name="Picture 878019664"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55FFF11D" wp14:editId="56D1D33B">
                  <wp:extent cx="248603" cy="220980"/>
                  <wp:effectExtent l="0" t="0" r="0" b="7620"/>
                  <wp:docPr id="1016290496" name="Picture 1016290496"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4AA15546" wp14:editId="2A514C47">
                  <wp:extent cx="246888" cy="213360"/>
                  <wp:effectExtent l="0" t="0" r="1270" b="0"/>
                  <wp:docPr id="1941145919" name="Picture 1941145919"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970A0F" w:rsidRPr="00510071" w14:paraId="3D607676" w14:textId="77777777" w:rsidTr="00510071">
        <w:tc>
          <w:tcPr>
            <w:tcW w:w="2263" w:type="dxa"/>
          </w:tcPr>
          <w:p w14:paraId="4CA5C34C" w14:textId="6B4070FC" w:rsidR="00970A0F" w:rsidRPr="00510071" w:rsidRDefault="00FB02AC"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t>Circular Economy Business Innovation Centre (CEBIC)</w:t>
            </w:r>
          </w:p>
        </w:tc>
        <w:tc>
          <w:tcPr>
            <w:tcW w:w="5287" w:type="dxa"/>
          </w:tcPr>
          <w:p w14:paraId="0E422A2E" w14:textId="0DB95D8D" w:rsidR="00970A0F" w:rsidRPr="00510071" w:rsidRDefault="00272661" w:rsidP="00912D88">
            <w:pPr>
              <w:pStyle w:val="TableText"/>
              <w:rPr>
                <w:sz w:val="20"/>
                <w:szCs w:val="20"/>
              </w:rPr>
            </w:pPr>
            <w:r w:rsidRPr="00510071">
              <w:rPr>
                <w:sz w:val="20"/>
                <w:szCs w:val="20"/>
              </w:rPr>
              <w:t>CEBIC is driving circular innovation within industry to minimise waste and maximise the lifespan and value of products. This year, CEBIC empowered over 300 professionals through dynamic thought leadership and training events, fostering industry knowledge and skills and sparking networking and collaboration around circularity within sectors and across supply chains.</w:t>
            </w:r>
          </w:p>
        </w:tc>
        <w:tc>
          <w:tcPr>
            <w:tcW w:w="1716" w:type="dxa"/>
          </w:tcPr>
          <w:p w14:paraId="1B58EBF2" w14:textId="64579F81" w:rsidR="00970A0F" w:rsidRPr="00510071" w:rsidRDefault="00FB02AC" w:rsidP="00912D88">
            <w:pPr>
              <w:pStyle w:val="TableText"/>
              <w:rPr>
                <w:sz w:val="20"/>
                <w:szCs w:val="20"/>
              </w:rPr>
            </w:pPr>
            <w:r w:rsidRPr="00510071">
              <w:rPr>
                <w:noProof/>
                <w:sz w:val="20"/>
                <w:szCs w:val="20"/>
              </w:rPr>
              <w:drawing>
                <wp:inline distT="0" distB="0" distL="0" distR="0" wp14:anchorId="108EF634" wp14:editId="5787D04D">
                  <wp:extent cx="248603" cy="220980"/>
                  <wp:effectExtent l="0" t="0" r="0" b="7620"/>
                  <wp:docPr id="223335962" name="Picture 223335962"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104F08A5" wp14:editId="430B6048">
                  <wp:extent cx="248603" cy="220980"/>
                  <wp:effectExtent l="0" t="0" r="0" b="7620"/>
                  <wp:docPr id="383166723" name="Picture 383166723"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267988CB" wp14:editId="1F819709">
                  <wp:extent cx="246888" cy="213360"/>
                  <wp:effectExtent l="0" t="0" r="1270" b="0"/>
                  <wp:docPr id="16578465" name="Picture 16578465"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970A0F" w:rsidRPr="00510071" w14:paraId="0AB74E1D" w14:textId="77777777" w:rsidTr="00510071">
        <w:tc>
          <w:tcPr>
            <w:tcW w:w="2263" w:type="dxa"/>
          </w:tcPr>
          <w:p w14:paraId="755DEB86" w14:textId="223B6883" w:rsidR="00970A0F" w:rsidRPr="00510071" w:rsidRDefault="00FB02AC"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t>Circular Economy Business Support Fund</w:t>
            </w:r>
          </w:p>
        </w:tc>
        <w:tc>
          <w:tcPr>
            <w:tcW w:w="5287" w:type="dxa"/>
          </w:tcPr>
          <w:p w14:paraId="2F2175E8" w14:textId="54BB7636" w:rsidR="00970A0F" w:rsidRPr="00510071" w:rsidRDefault="00B044C7" w:rsidP="00912D88">
            <w:pPr>
              <w:pStyle w:val="TableText"/>
              <w:rPr>
                <w:sz w:val="20"/>
                <w:szCs w:val="20"/>
              </w:rPr>
            </w:pPr>
            <w:r w:rsidRPr="00510071">
              <w:rPr>
                <w:sz w:val="20"/>
                <w:szCs w:val="20"/>
              </w:rPr>
              <w:t xml:space="preserve">The Circular Economy Innovation Fund and Business Support Fund launched 14 projects this year, each offering innovative solutions to accelerate Victoria's transition towards a circular economy. </w:t>
            </w:r>
            <w:r w:rsidR="00C1076C" w:rsidRPr="00510071">
              <w:rPr>
                <w:sz w:val="20"/>
                <w:szCs w:val="20"/>
              </w:rPr>
              <w:t>Projects</w:t>
            </w:r>
            <w:r w:rsidRPr="00510071">
              <w:rPr>
                <w:sz w:val="20"/>
                <w:szCs w:val="20"/>
              </w:rPr>
              <w:t xml:space="preserve"> ranged from transforming apple and seafood waste into high-value products to expanding a textile repair service. Highlights included launching a dairy sector food waste action plan, developing a circular sourcing platform for surplus pre-consumer textile waste, and upgrading reusable crockery infrastructure. Collectively, these initiatives have diverted 1,506 tonnes of waste, introduced 13 new circular products and services, and generated 24 new full-time equivalent (FTE) jobs. Projects have significantly bolstered the state's processing capacity to extend the value of materials by 29,544 tonnes a year.</w:t>
            </w:r>
          </w:p>
        </w:tc>
        <w:tc>
          <w:tcPr>
            <w:tcW w:w="1716" w:type="dxa"/>
          </w:tcPr>
          <w:p w14:paraId="31B5136F" w14:textId="498BEC17" w:rsidR="00970A0F" w:rsidRPr="00510071" w:rsidRDefault="00FB02AC" w:rsidP="00912D88">
            <w:pPr>
              <w:pStyle w:val="TableText"/>
              <w:rPr>
                <w:sz w:val="20"/>
                <w:szCs w:val="20"/>
              </w:rPr>
            </w:pPr>
            <w:r w:rsidRPr="00510071">
              <w:rPr>
                <w:noProof/>
                <w:sz w:val="20"/>
                <w:szCs w:val="20"/>
              </w:rPr>
              <w:drawing>
                <wp:inline distT="0" distB="0" distL="0" distR="0" wp14:anchorId="17ED148F" wp14:editId="7D3A827E">
                  <wp:extent cx="248603" cy="220980"/>
                  <wp:effectExtent l="0" t="0" r="0" b="7620"/>
                  <wp:docPr id="595790846" name="Picture 595790846"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48AD2617" wp14:editId="359B262F">
                  <wp:extent cx="248603" cy="220980"/>
                  <wp:effectExtent l="0" t="0" r="0" b="7620"/>
                  <wp:docPr id="225695757" name="Picture 225695757"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1C14AD25" wp14:editId="604336A3">
                  <wp:extent cx="246888" cy="213360"/>
                  <wp:effectExtent l="0" t="0" r="1270" b="0"/>
                  <wp:docPr id="1252716475" name="Picture 1252716475"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p>
        </w:tc>
      </w:tr>
      <w:tr w:rsidR="00970A0F" w:rsidRPr="00510071" w14:paraId="3F525F4D" w14:textId="77777777" w:rsidTr="00510071">
        <w:tc>
          <w:tcPr>
            <w:tcW w:w="2263" w:type="dxa"/>
          </w:tcPr>
          <w:p w14:paraId="36E79F18" w14:textId="7E6F77A5" w:rsidR="00970A0F" w:rsidRPr="00510071" w:rsidRDefault="00A00D3E"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t>7-Star Homes</w:t>
            </w:r>
          </w:p>
        </w:tc>
        <w:tc>
          <w:tcPr>
            <w:tcW w:w="5287" w:type="dxa"/>
          </w:tcPr>
          <w:p w14:paraId="6ECF2A8A" w14:textId="1223AABB" w:rsidR="00970A0F" w:rsidRPr="00510071" w:rsidRDefault="00C7299F" w:rsidP="00912D88">
            <w:pPr>
              <w:pStyle w:val="TableText"/>
              <w:rPr>
                <w:sz w:val="20"/>
                <w:szCs w:val="20"/>
              </w:rPr>
            </w:pPr>
            <w:r w:rsidRPr="00510071">
              <w:rPr>
                <w:sz w:val="20"/>
                <w:szCs w:val="20"/>
              </w:rPr>
              <w:t xml:space="preserve">The 7 Star Homes Program was completed in 2023-24, successfully increasing the capability of volume home builders in Victoria to build energy efficient houses ahead of the NCC 2022 mandated efficiency standards for new homes and to communicate the benefits to consumers. </w:t>
            </w:r>
            <w:r w:rsidRPr="00510071">
              <w:rPr>
                <w:sz w:val="20"/>
                <w:szCs w:val="20"/>
              </w:rPr>
              <w:lastRenderedPageBreak/>
              <w:t>SV exceeded its targets for program enrolment and delivery of training to builders, land developers, and industry participants, and built 72 of the 80 planned 7-star homes - an impressive outcome given the upheaval in the building industry during COVID-19. SV developed lots of program materials, including five research reports, 12 case studies and online resources for industry and consumers. We surpassed our target of 50,000 content views on the SV website. A standout success of the 7 Star Homes Program was its collaborative approach, based on practical learning and upskilling the building industry. Involving the peak industry associations, Housing Industry Association and Master Builders Victoria gave the program extensive reach.</w:t>
            </w:r>
          </w:p>
        </w:tc>
        <w:tc>
          <w:tcPr>
            <w:tcW w:w="1716" w:type="dxa"/>
          </w:tcPr>
          <w:p w14:paraId="1C9FF3A2" w14:textId="6D9A8765" w:rsidR="00970A0F" w:rsidRPr="00510071" w:rsidRDefault="00A00D3E" w:rsidP="00912D88">
            <w:pPr>
              <w:pStyle w:val="TableText"/>
              <w:rPr>
                <w:sz w:val="20"/>
                <w:szCs w:val="20"/>
              </w:rPr>
            </w:pPr>
            <w:r w:rsidRPr="00510071">
              <w:rPr>
                <w:noProof/>
                <w:sz w:val="20"/>
                <w:szCs w:val="20"/>
              </w:rPr>
              <w:lastRenderedPageBreak/>
              <w:drawing>
                <wp:inline distT="0" distB="0" distL="0" distR="0" wp14:anchorId="5C491132" wp14:editId="7A258D64">
                  <wp:extent cx="246888" cy="213360"/>
                  <wp:effectExtent l="0" t="0" r="1270" b="0"/>
                  <wp:docPr id="1644768554" name="Picture 1644768554"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0DAE3A8E" wp14:editId="70090B8F">
                  <wp:extent cx="248285" cy="259968"/>
                  <wp:effectExtent l="0" t="0" r="0" b="6985"/>
                  <wp:docPr id="1646056680" name="Picture 1646056680"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p>
        </w:tc>
      </w:tr>
      <w:tr w:rsidR="00970A0F" w:rsidRPr="00510071" w14:paraId="5FE4975B" w14:textId="77777777" w:rsidTr="00510071">
        <w:tc>
          <w:tcPr>
            <w:tcW w:w="2263" w:type="dxa"/>
          </w:tcPr>
          <w:p w14:paraId="154DEEDA" w14:textId="77777777" w:rsidR="00A00D3E" w:rsidRPr="00510071" w:rsidRDefault="00A00D3E" w:rsidP="00A00D3E">
            <w:pPr>
              <w:pStyle w:val="TableText"/>
              <w:rPr>
                <w:rStyle w:val="Strong"/>
                <w:b w:val="0"/>
                <w:color w:val="auto"/>
                <w:sz w:val="20"/>
                <w:szCs w:val="20"/>
              </w:rPr>
            </w:pPr>
            <w:r w:rsidRPr="00510071">
              <w:rPr>
                <w:rStyle w:val="Strong"/>
                <w:b w:val="0"/>
                <w:color w:val="auto"/>
                <w:sz w:val="20"/>
                <w:szCs w:val="20"/>
              </w:rPr>
              <w:t xml:space="preserve">FirstRate5 – </w:t>
            </w:r>
            <w:proofErr w:type="spellStart"/>
            <w:r w:rsidRPr="00510071">
              <w:rPr>
                <w:rStyle w:val="Strong"/>
                <w:b w:val="0"/>
                <w:color w:val="auto"/>
                <w:sz w:val="20"/>
                <w:szCs w:val="20"/>
              </w:rPr>
              <w:t>NatHERS</w:t>
            </w:r>
            <w:proofErr w:type="spellEnd"/>
            <w:r w:rsidRPr="00510071">
              <w:rPr>
                <w:rStyle w:val="Strong"/>
                <w:b w:val="0"/>
                <w:color w:val="auto"/>
                <w:sz w:val="20"/>
                <w:szCs w:val="20"/>
              </w:rPr>
              <w:t xml:space="preserve"> Accreditation of the Whole-of-Home and Thermal Assessment</w:t>
            </w:r>
          </w:p>
          <w:p w14:paraId="0BCF43BA" w14:textId="77777777" w:rsidR="00970A0F" w:rsidRPr="00510071" w:rsidRDefault="00970A0F" w:rsidP="00970A0F">
            <w:pPr>
              <w:spacing w:line="259" w:lineRule="auto"/>
              <w:rPr>
                <w:rFonts w:asciiTheme="minorHAnsi" w:hAnsiTheme="minorHAnsi" w:cstheme="minorHAnsi"/>
                <w:color w:val="auto"/>
                <w:szCs w:val="20"/>
              </w:rPr>
            </w:pPr>
          </w:p>
        </w:tc>
        <w:tc>
          <w:tcPr>
            <w:tcW w:w="5287" w:type="dxa"/>
          </w:tcPr>
          <w:p w14:paraId="2965E7F3" w14:textId="2BCAA7CC" w:rsidR="00970A0F" w:rsidRPr="00510071" w:rsidRDefault="006E7ED8" w:rsidP="00912D88">
            <w:pPr>
              <w:pStyle w:val="TableText"/>
              <w:rPr>
                <w:sz w:val="20"/>
                <w:szCs w:val="20"/>
              </w:rPr>
            </w:pPr>
            <w:r w:rsidRPr="00510071">
              <w:rPr>
                <w:sz w:val="20"/>
                <w:szCs w:val="20"/>
              </w:rPr>
              <w:t xml:space="preserve">FirstRate5 is a portfolio of software applications developed by SV. FirstRate5 (thermal) assesses the thermal shell of a proposed dwelling by entering the building design (floorplan and material specifications) into the software. SV was granted full </w:t>
            </w:r>
            <w:proofErr w:type="spellStart"/>
            <w:r w:rsidRPr="00510071">
              <w:rPr>
                <w:sz w:val="20"/>
                <w:szCs w:val="20"/>
              </w:rPr>
              <w:t>NatHERS</w:t>
            </w:r>
            <w:proofErr w:type="spellEnd"/>
            <w:r w:rsidRPr="00510071">
              <w:rPr>
                <w:sz w:val="20"/>
                <w:szCs w:val="20"/>
              </w:rPr>
              <w:t xml:space="preserve"> Accreditation of FirstRate5 (thermal) and FirstRate5 Whole of Home web app in </w:t>
            </w:r>
            <w:proofErr w:type="gramStart"/>
            <w:r w:rsidRPr="00510071">
              <w:rPr>
                <w:sz w:val="20"/>
                <w:szCs w:val="20"/>
              </w:rPr>
              <w:t>2024, and</w:t>
            </w:r>
            <w:proofErr w:type="gramEnd"/>
            <w:r w:rsidRPr="00510071">
              <w:rPr>
                <w:sz w:val="20"/>
                <w:szCs w:val="20"/>
              </w:rPr>
              <w:t xml:space="preserve"> continues to deploy software updates to improve functionality and usability.</w:t>
            </w:r>
          </w:p>
        </w:tc>
        <w:tc>
          <w:tcPr>
            <w:tcW w:w="1716" w:type="dxa"/>
          </w:tcPr>
          <w:p w14:paraId="458023A7" w14:textId="260D7313" w:rsidR="00970A0F" w:rsidRPr="00510071" w:rsidRDefault="00A00D3E" w:rsidP="00912D88">
            <w:pPr>
              <w:pStyle w:val="TableText"/>
              <w:rPr>
                <w:sz w:val="20"/>
                <w:szCs w:val="20"/>
              </w:rPr>
            </w:pPr>
            <w:r w:rsidRPr="00510071">
              <w:rPr>
                <w:noProof/>
                <w:sz w:val="20"/>
                <w:szCs w:val="20"/>
              </w:rPr>
              <w:drawing>
                <wp:inline distT="0" distB="0" distL="0" distR="0" wp14:anchorId="6D0458C5" wp14:editId="5ACE7899">
                  <wp:extent cx="246888" cy="213360"/>
                  <wp:effectExtent l="0" t="0" r="1270" b="0"/>
                  <wp:docPr id="914156032" name="Picture 914156032"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3DF56950" wp14:editId="0AD5F2D7">
                  <wp:extent cx="248285" cy="259968"/>
                  <wp:effectExtent l="0" t="0" r="0" b="6985"/>
                  <wp:docPr id="1631494959" name="Picture 1631494959"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p>
        </w:tc>
      </w:tr>
      <w:tr w:rsidR="00970A0F" w:rsidRPr="00510071" w14:paraId="10F04D3B" w14:textId="77777777" w:rsidTr="00510071">
        <w:tc>
          <w:tcPr>
            <w:tcW w:w="2263" w:type="dxa"/>
          </w:tcPr>
          <w:p w14:paraId="5BDFBA38" w14:textId="41F583CB" w:rsidR="00970A0F" w:rsidRPr="00510071" w:rsidRDefault="00BB5F8B" w:rsidP="007F613E">
            <w:pPr>
              <w:pStyle w:val="TableText"/>
              <w:rPr>
                <w:b/>
                <w:color w:val="auto"/>
                <w:sz w:val="20"/>
                <w:szCs w:val="20"/>
              </w:rPr>
            </w:pPr>
            <w:r w:rsidRPr="00510071">
              <w:rPr>
                <w:color w:val="auto"/>
                <w:sz w:val="20"/>
                <w:szCs w:val="20"/>
              </w:rPr>
              <w:t>Investment Facilitation Service</w:t>
            </w:r>
          </w:p>
        </w:tc>
        <w:tc>
          <w:tcPr>
            <w:tcW w:w="5287" w:type="dxa"/>
          </w:tcPr>
          <w:p w14:paraId="30F7CBC3" w14:textId="38A032F2" w:rsidR="00970A0F" w:rsidRPr="00510071" w:rsidRDefault="008478C5" w:rsidP="00912D88">
            <w:pPr>
              <w:pStyle w:val="TableText"/>
              <w:rPr>
                <w:sz w:val="20"/>
                <w:szCs w:val="20"/>
              </w:rPr>
            </w:pPr>
            <w:r w:rsidRPr="00510071">
              <w:rPr>
                <w:sz w:val="20"/>
                <w:szCs w:val="20"/>
              </w:rPr>
              <w:t>SV continues to deliver the IFS, offering personalised support for projects and companies that invest in Victoria’s circular economy and providing a single point of contact and concierge service across the Victorian Government to facilitate investment, beginning with our own Victorian Government grants that support local industry. SV expanded its service delivery in 2023-24 to include the Application Review and Advisory Service (ARAS) for selected circular economy programs. Grant applicants can use ARAS to have their applications reviewed for areas that could be strengthened before submission to increase the quality of the application.</w:t>
            </w:r>
          </w:p>
        </w:tc>
        <w:tc>
          <w:tcPr>
            <w:tcW w:w="1716" w:type="dxa"/>
          </w:tcPr>
          <w:p w14:paraId="2D50D461" w14:textId="0174A9AF" w:rsidR="00970A0F" w:rsidRPr="00510071" w:rsidRDefault="0062385C" w:rsidP="00912D88">
            <w:pPr>
              <w:pStyle w:val="TableText"/>
              <w:rPr>
                <w:sz w:val="20"/>
                <w:szCs w:val="20"/>
              </w:rPr>
            </w:pPr>
            <w:r w:rsidRPr="00510071">
              <w:rPr>
                <w:noProof/>
                <w:sz w:val="20"/>
                <w:szCs w:val="20"/>
              </w:rPr>
              <w:drawing>
                <wp:inline distT="0" distB="0" distL="0" distR="0" wp14:anchorId="739E47DB" wp14:editId="1A379FFD">
                  <wp:extent cx="248603" cy="220980"/>
                  <wp:effectExtent l="0" t="0" r="0" b="7620"/>
                  <wp:docPr id="1003794903" name="Picture 1003794903"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63015C7D" wp14:editId="46460E5D">
                  <wp:extent cx="248603" cy="220980"/>
                  <wp:effectExtent l="0" t="0" r="0" b="7620"/>
                  <wp:docPr id="151383821" name="Picture 151383821"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p>
        </w:tc>
      </w:tr>
      <w:tr w:rsidR="00970A0F" w:rsidRPr="00510071" w14:paraId="31837A70" w14:textId="77777777" w:rsidTr="00510071">
        <w:tc>
          <w:tcPr>
            <w:tcW w:w="2263" w:type="dxa"/>
          </w:tcPr>
          <w:p w14:paraId="26E629C4" w14:textId="7737C1A5" w:rsidR="00970A0F" w:rsidRPr="00510071" w:rsidRDefault="007F613E" w:rsidP="00970A0F">
            <w:pPr>
              <w:spacing w:line="259" w:lineRule="auto"/>
              <w:rPr>
                <w:rFonts w:asciiTheme="minorHAnsi" w:hAnsiTheme="minorHAnsi" w:cstheme="minorHAnsi"/>
                <w:color w:val="auto"/>
                <w:szCs w:val="20"/>
              </w:rPr>
            </w:pPr>
            <w:r w:rsidRPr="00510071">
              <w:rPr>
                <w:rStyle w:val="Strong"/>
                <w:rFonts w:asciiTheme="minorHAnsi" w:hAnsiTheme="minorHAnsi" w:cstheme="minorHAnsi"/>
                <w:b w:val="0"/>
                <w:color w:val="auto"/>
                <w:sz w:val="20"/>
                <w:szCs w:val="20"/>
              </w:rPr>
              <w:t>ResourceSmart Schools</w:t>
            </w:r>
          </w:p>
        </w:tc>
        <w:tc>
          <w:tcPr>
            <w:tcW w:w="5287" w:type="dxa"/>
          </w:tcPr>
          <w:p w14:paraId="66DD0829" w14:textId="1FF26EC5" w:rsidR="00970A0F" w:rsidRPr="00510071" w:rsidRDefault="0050498D" w:rsidP="00912D88">
            <w:pPr>
              <w:pStyle w:val="TableText"/>
              <w:rPr>
                <w:sz w:val="20"/>
                <w:szCs w:val="20"/>
              </w:rPr>
            </w:pPr>
            <w:r w:rsidRPr="00510071">
              <w:rPr>
                <w:sz w:val="20"/>
                <w:szCs w:val="20"/>
              </w:rPr>
              <w:t>In 2023-24, 563 schools actively participated in RSS, saving more than 10 million kWh of energy in 2023, over $2.8 million on yearly energy bills, and avoiding more than 8,554 tonnes of greenhouse gases. Participation was lower than targeted due to schools managing ongoing stress in the education sector. SV continued to run online professional learning sessions and workshops to help schools implement sustainability actions delivering 60 events over the year. SV also delivered the second Climate Change Education Forum in partnership with the Victorian Department of Education and Deakin University's Centre for Regenerative Futures. The event brought together 140 students, teachers, education and environmental professionals, and state government representatives for intergenerational conversations and learning on climate change.</w:t>
            </w:r>
          </w:p>
        </w:tc>
        <w:tc>
          <w:tcPr>
            <w:tcW w:w="1716" w:type="dxa"/>
          </w:tcPr>
          <w:p w14:paraId="488F036E" w14:textId="44851E2C" w:rsidR="00970A0F" w:rsidRPr="00510071" w:rsidRDefault="007F613E" w:rsidP="00912D88">
            <w:pPr>
              <w:pStyle w:val="TableText"/>
              <w:rPr>
                <w:sz w:val="20"/>
                <w:szCs w:val="20"/>
              </w:rPr>
            </w:pPr>
            <w:r w:rsidRPr="00510071">
              <w:rPr>
                <w:noProof/>
                <w:sz w:val="20"/>
                <w:szCs w:val="20"/>
              </w:rPr>
              <w:drawing>
                <wp:inline distT="0" distB="0" distL="0" distR="0" wp14:anchorId="41E3666F" wp14:editId="4BDD921B">
                  <wp:extent cx="248285" cy="259968"/>
                  <wp:effectExtent l="0" t="0" r="0" b="6985"/>
                  <wp:docPr id="41754820" name="Picture 41754820"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0E3AF139" wp14:editId="0644E244">
                  <wp:extent cx="246888" cy="213360"/>
                  <wp:effectExtent l="0" t="0" r="1270" b="0"/>
                  <wp:docPr id="1827535383" name="Picture 1827535383"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1BA8F3EB" wp14:editId="3BA22E1A">
                  <wp:extent cx="248603" cy="220980"/>
                  <wp:effectExtent l="0" t="0" r="0" b="7620"/>
                  <wp:docPr id="1671251673" name="Picture 1671251673"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p>
        </w:tc>
      </w:tr>
      <w:tr w:rsidR="00970A0F" w:rsidRPr="00510071" w14:paraId="18549054" w14:textId="77777777" w:rsidTr="00510071">
        <w:tc>
          <w:tcPr>
            <w:tcW w:w="2263" w:type="dxa"/>
          </w:tcPr>
          <w:p w14:paraId="1DEEFFF3" w14:textId="77777777" w:rsidR="00F70784" w:rsidRPr="00510071" w:rsidRDefault="00F70784" w:rsidP="00F70784">
            <w:pPr>
              <w:pStyle w:val="TableText"/>
              <w:rPr>
                <w:rStyle w:val="Strong"/>
                <w:b w:val="0"/>
                <w:color w:val="auto"/>
                <w:sz w:val="20"/>
                <w:szCs w:val="20"/>
              </w:rPr>
            </w:pPr>
            <w:r w:rsidRPr="00510071">
              <w:rPr>
                <w:rStyle w:val="Strong"/>
                <w:b w:val="0"/>
                <w:color w:val="auto"/>
                <w:sz w:val="20"/>
                <w:szCs w:val="20"/>
              </w:rPr>
              <w:t>Education and Behaviour Change Program</w:t>
            </w:r>
          </w:p>
          <w:p w14:paraId="283411B3" w14:textId="77777777" w:rsidR="00970A0F" w:rsidRPr="00510071" w:rsidRDefault="00970A0F" w:rsidP="00970A0F">
            <w:pPr>
              <w:spacing w:line="259" w:lineRule="auto"/>
              <w:rPr>
                <w:rFonts w:asciiTheme="minorHAnsi" w:hAnsiTheme="minorHAnsi" w:cstheme="minorHAnsi"/>
                <w:color w:val="auto"/>
                <w:szCs w:val="20"/>
              </w:rPr>
            </w:pPr>
          </w:p>
        </w:tc>
        <w:tc>
          <w:tcPr>
            <w:tcW w:w="5287" w:type="dxa"/>
          </w:tcPr>
          <w:p w14:paraId="7097D046" w14:textId="57DA74AD" w:rsidR="00970A0F" w:rsidRPr="00510071" w:rsidRDefault="00B031B8" w:rsidP="00912D88">
            <w:pPr>
              <w:pStyle w:val="TableText"/>
              <w:rPr>
                <w:sz w:val="20"/>
                <w:szCs w:val="20"/>
              </w:rPr>
            </w:pPr>
            <w:r w:rsidRPr="00510071">
              <w:rPr>
                <w:sz w:val="20"/>
                <w:szCs w:val="20"/>
              </w:rPr>
              <w:t xml:space="preserve">SV continued to deliver its statewide campaign, ‘Small Acts, Big Impact’ through public relations, direct mail, stakeholder engagement, events and council support. SV held an event with one of its community ambassadors, Dr. Harpreet Kandra, to launch the ‘Recycling is changing for the better’ campaign at the annual World </w:t>
            </w:r>
            <w:r w:rsidRPr="00510071">
              <w:rPr>
                <w:sz w:val="20"/>
                <w:szCs w:val="20"/>
              </w:rPr>
              <w:lastRenderedPageBreak/>
              <w:t>Environment Day event hosted by Sikh community organisation, Gurdwara Siri Guru Nanak Darbar in Officer. SV also delivered the first of a two-phased ‘Making the most of your food scraps and garden clippings’ campaign, targeting residents in six councils with high FOGO contamination rates through direct mail.</w:t>
            </w:r>
          </w:p>
        </w:tc>
        <w:tc>
          <w:tcPr>
            <w:tcW w:w="1716" w:type="dxa"/>
          </w:tcPr>
          <w:p w14:paraId="0B1DFBE1" w14:textId="0EADD344" w:rsidR="00970A0F" w:rsidRPr="00510071" w:rsidRDefault="00592342" w:rsidP="00912D88">
            <w:pPr>
              <w:pStyle w:val="TableText"/>
              <w:rPr>
                <w:sz w:val="20"/>
                <w:szCs w:val="20"/>
              </w:rPr>
            </w:pPr>
            <w:r w:rsidRPr="00510071">
              <w:rPr>
                <w:noProof/>
                <w:sz w:val="20"/>
                <w:szCs w:val="20"/>
              </w:rPr>
              <w:lastRenderedPageBreak/>
              <w:drawing>
                <wp:inline distT="0" distB="0" distL="0" distR="0" wp14:anchorId="3D8E9F1C" wp14:editId="237AD2FC">
                  <wp:extent cx="248285" cy="259968"/>
                  <wp:effectExtent l="0" t="0" r="0" b="6985"/>
                  <wp:docPr id="1385523454" name="Picture 1385523454"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39FCD0E8" wp14:editId="32E73970">
                  <wp:extent cx="246888" cy="213360"/>
                  <wp:effectExtent l="0" t="0" r="1270" b="0"/>
                  <wp:docPr id="1067767416" name="Picture 1067767416"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6B933967" wp14:editId="0A0E1BB5">
                  <wp:extent cx="248603" cy="220980"/>
                  <wp:effectExtent l="0" t="0" r="0" b="7620"/>
                  <wp:docPr id="746890012" name="Picture 746890012"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p>
        </w:tc>
      </w:tr>
      <w:tr w:rsidR="00970A0F" w:rsidRPr="00510071" w14:paraId="4024318A" w14:textId="77777777" w:rsidTr="00510071">
        <w:tc>
          <w:tcPr>
            <w:tcW w:w="2263" w:type="dxa"/>
          </w:tcPr>
          <w:p w14:paraId="2F27C1D4" w14:textId="74DDC2B3" w:rsidR="00970A0F" w:rsidRPr="00510071" w:rsidRDefault="00F70784"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t>Circular Economy Household Education Fund</w:t>
            </w:r>
          </w:p>
        </w:tc>
        <w:tc>
          <w:tcPr>
            <w:tcW w:w="5287" w:type="dxa"/>
          </w:tcPr>
          <w:p w14:paraId="2343B484" w14:textId="22D170A0" w:rsidR="00970A0F" w:rsidRPr="00510071" w:rsidRDefault="00C65232" w:rsidP="00912D88">
            <w:pPr>
              <w:pStyle w:val="TableText"/>
              <w:rPr>
                <w:sz w:val="20"/>
                <w:szCs w:val="20"/>
              </w:rPr>
            </w:pPr>
            <w:r w:rsidRPr="00510071">
              <w:rPr>
                <w:sz w:val="20"/>
                <w:szCs w:val="20"/>
              </w:rPr>
              <w:t>A total of 66 councils and all alpine resorts have received funding through this program. Projects are due to finish in June 2025, with four councils already completing their projects this year. One successful example is the Alpine Shire Council, which introduced a new FOGO service for residents. This service achieved a 0.1% contamination rate and diverted 38% of organics from landfill.  SV also launched a new digital asset library to make it easier for recipients to access Small Acts, Big Impact campaign materials. The library now includes over 3,500 assets.</w:t>
            </w:r>
          </w:p>
        </w:tc>
        <w:tc>
          <w:tcPr>
            <w:tcW w:w="1716" w:type="dxa"/>
          </w:tcPr>
          <w:p w14:paraId="7770DEE7" w14:textId="5A49A8D2" w:rsidR="00970A0F" w:rsidRPr="00510071" w:rsidRDefault="00592342" w:rsidP="00912D88">
            <w:pPr>
              <w:pStyle w:val="TableText"/>
              <w:rPr>
                <w:sz w:val="20"/>
                <w:szCs w:val="20"/>
              </w:rPr>
            </w:pPr>
            <w:r w:rsidRPr="00510071">
              <w:rPr>
                <w:noProof/>
                <w:sz w:val="20"/>
                <w:szCs w:val="20"/>
              </w:rPr>
              <w:drawing>
                <wp:inline distT="0" distB="0" distL="0" distR="0" wp14:anchorId="56DE77B9" wp14:editId="2FA3E294">
                  <wp:extent cx="248603" cy="220980"/>
                  <wp:effectExtent l="0" t="0" r="0" b="7620"/>
                  <wp:docPr id="618142127" name="Picture 618142127"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noProof/>
                <w:sz w:val="20"/>
                <w:szCs w:val="20"/>
              </w:rPr>
              <w:t xml:space="preserve"> </w:t>
            </w:r>
          </w:p>
        </w:tc>
      </w:tr>
      <w:tr w:rsidR="00970A0F" w:rsidRPr="00510071" w14:paraId="672E6FB0" w14:textId="77777777" w:rsidTr="00510071">
        <w:tc>
          <w:tcPr>
            <w:tcW w:w="2263" w:type="dxa"/>
          </w:tcPr>
          <w:p w14:paraId="1146F38F" w14:textId="7A833A6B" w:rsidR="00970A0F" w:rsidRPr="00510071" w:rsidRDefault="00F70784"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t>Education for Waste Minimisation</w:t>
            </w:r>
          </w:p>
        </w:tc>
        <w:tc>
          <w:tcPr>
            <w:tcW w:w="5287" w:type="dxa"/>
          </w:tcPr>
          <w:p w14:paraId="69FA6427" w14:textId="47D17A67" w:rsidR="00970A0F" w:rsidRPr="00510071" w:rsidRDefault="008B76D9" w:rsidP="00912D88">
            <w:pPr>
              <w:pStyle w:val="TableText"/>
              <w:rPr>
                <w:sz w:val="20"/>
                <w:szCs w:val="20"/>
              </w:rPr>
            </w:pPr>
            <w:r w:rsidRPr="00510071">
              <w:rPr>
                <w:sz w:val="20"/>
                <w:szCs w:val="20"/>
              </w:rPr>
              <w:t xml:space="preserve">The Education for Waste Minimisation program finished in 2023-24 after delivering the 'Remember your reusable cup' coffee campaign. Highlights include an activation at Melbourne Central where participants received a branded tote bag with a coffee voucher or a reusable coffee/bubble </w:t>
            </w:r>
            <w:proofErr w:type="gramStart"/>
            <w:r w:rsidRPr="00510071">
              <w:rPr>
                <w:sz w:val="20"/>
                <w:szCs w:val="20"/>
              </w:rPr>
              <w:t>tea cup</w:t>
            </w:r>
            <w:proofErr w:type="gramEnd"/>
            <w:r w:rsidRPr="00510071">
              <w:rPr>
                <w:sz w:val="20"/>
                <w:szCs w:val="20"/>
              </w:rPr>
              <w:t xml:space="preserve"> on completion of an education quiz. SV engaged a range of social creators to help spread the reuse message in unique and creative ways with top performing content from personalities including Julian O'Shea who delivered messaging in his trademark doco-style.  SV included several new campaign delivery tactics, one being a successful content partnership with The Urban List including a video with great local talent, owner of sustainable design brand Into Carry, Luke Phillips. We also piloted an agency community app to recruit people to take part in a reusable cup challenge. Over 2,000 Victorians joined the challenge which involved watching educational videos on why disposable cups are problematic, completing a quiz, using a daily behaviour tracker and a creative competition where people shared their tips to remember their cups.</w:t>
            </w:r>
          </w:p>
        </w:tc>
        <w:tc>
          <w:tcPr>
            <w:tcW w:w="1716" w:type="dxa"/>
          </w:tcPr>
          <w:p w14:paraId="45E116A4" w14:textId="3D381099" w:rsidR="00970A0F" w:rsidRPr="00510071" w:rsidRDefault="00592342" w:rsidP="00912D88">
            <w:pPr>
              <w:pStyle w:val="TableText"/>
              <w:rPr>
                <w:sz w:val="20"/>
                <w:szCs w:val="20"/>
              </w:rPr>
            </w:pPr>
            <w:r w:rsidRPr="00510071">
              <w:rPr>
                <w:noProof/>
                <w:sz w:val="20"/>
                <w:szCs w:val="20"/>
              </w:rPr>
              <w:drawing>
                <wp:inline distT="0" distB="0" distL="0" distR="0" wp14:anchorId="2AE18657" wp14:editId="28EB7965">
                  <wp:extent cx="248603" cy="220980"/>
                  <wp:effectExtent l="0" t="0" r="0" b="7620"/>
                  <wp:docPr id="555339764" name="Picture 555339764"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p>
        </w:tc>
      </w:tr>
      <w:tr w:rsidR="00970A0F" w:rsidRPr="00510071" w14:paraId="3FB77168" w14:textId="77777777" w:rsidTr="00510071">
        <w:tc>
          <w:tcPr>
            <w:tcW w:w="2263" w:type="dxa"/>
          </w:tcPr>
          <w:p w14:paraId="55419DA0" w14:textId="5868C295" w:rsidR="00970A0F" w:rsidRPr="00510071" w:rsidRDefault="0004173C"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t>Circular Economy Reuse Pilot program (Single-use Plastic Ban)</w:t>
            </w:r>
          </w:p>
        </w:tc>
        <w:tc>
          <w:tcPr>
            <w:tcW w:w="5287" w:type="dxa"/>
          </w:tcPr>
          <w:p w14:paraId="5148E834" w14:textId="58448270" w:rsidR="00970A0F" w:rsidRPr="00510071" w:rsidRDefault="00E642FA" w:rsidP="00912D88">
            <w:pPr>
              <w:pStyle w:val="TableText"/>
              <w:rPr>
                <w:sz w:val="20"/>
                <w:szCs w:val="20"/>
              </w:rPr>
            </w:pPr>
            <w:r w:rsidRPr="00510071">
              <w:rPr>
                <w:sz w:val="20"/>
                <w:szCs w:val="20"/>
              </w:rPr>
              <w:t>SV helped DEECA communicate the single-use plastic (SUP) ban to small and medium-sized enterprises (SMEs). The program focused on raising awareness of the impact of SUPs on the environment and introducing reusable alternatives for banned items. SMEs were identified as key stakeholders who, despite being largely affected by the ban, might lack the resources to get information on the ban and how to adapt their business. By providing face-to-face support, the program effectively engaged with over 3,400 businesses, giving them tailored advice and guidance.</w:t>
            </w:r>
          </w:p>
        </w:tc>
        <w:tc>
          <w:tcPr>
            <w:tcW w:w="1716" w:type="dxa"/>
          </w:tcPr>
          <w:p w14:paraId="7500EE00" w14:textId="0682E470" w:rsidR="00970A0F" w:rsidRPr="00510071" w:rsidRDefault="00BB3D25" w:rsidP="00912D88">
            <w:pPr>
              <w:pStyle w:val="TableText"/>
              <w:rPr>
                <w:sz w:val="20"/>
                <w:szCs w:val="20"/>
              </w:rPr>
            </w:pPr>
            <w:r w:rsidRPr="00510071">
              <w:rPr>
                <w:noProof/>
                <w:sz w:val="20"/>
                <w:szCs w:val="20"/>
              </w:rPr>
              <w:drawing>
                <wp:inline distT="0" distB="0" distL="0" distR="0" wp14:anchorId="6682576E" wp14:editId="31610063">
                  <wp:extent cx="248285" cy="259968"/>
                  <wp:effectExtent l="0" t="0" r="0" b="6985"/>
                  <wp:docPr id="410010716" name="Picture 410010716"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sz w:val="20"/>
                <w:szCs w:val="20"/>
              </w:rPr>
              <w:t xml:space="preserve"> </w:t>
            </w:r>
            <w:r w:rsidRPr="00510071">
              <w:rPr>
                <w:noProof/>
                <w:sz w:val="20"/>
                <w:szCs w:val="20"/>
              </w:rPr>
              <w:drawing>
                <wp:inline distT="0" distB="0" distL="0" distR="0" wp14:anchorId="71589F3E" wp14:editId="6FE20016">
                  <wp:extent cx="248603" cy="220980"/>
                  <wp:effectExtent l="0" t="0" r="0" b="7620"/>
                  <wp:docPr id="1074342402" name="Picture 1074342402"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p>
        </w:tc>
      </w:tr>
      <w:tr w:rsidR="00970A0F" w:rsidRPr="00510071" w14:paraId="7DAB5164" w14:textId="77777777" w:rsidTr="00510071">
        <w:tc>
          <w:tcPr>
            <w:tcW w:w="2263" w:type="dxa"/>
          </w:tcPr>
          <w:p w14:paraId="102B1F3C" w14:textId="56B94D02" w:rsidR="00970A0F" w:rsidRPr="00510071" w:rsidRDefault="00F228C6" w:rsidP="00970A0F">
            <w:pPr>
              <w:spacing w:line="259" w:lineRule="auto"/>
              <w:rPr>
                <w:rFonts w:asciiTheme="minorHAnsi" w:hAnsiTheme="minorHAnsi" w:cstheme="minorHAnsi"/>
                <w:color w:val="auto"/>
                <w:szCs w:val="20"/>
              </w:rPr>
            </w:pPr>
            <w:r w:rsidRPr="00510071">
              <w:rPr>
                <w:rStyle w:val="Strong"/>
                <w:rFonts w:asciiTheme="minorHAnsi" w:hAnsiTheme="minorHAnsi" w:cstheme="minorHAnsi"/>
                <w:b w:val="0"/>
                <w:color w:val="auto"/>
                <w:sz w:val="20"/>
                <w:szCs w:val="20"/>
              </w:rPr>
              <w:t>Household Detox Program (Detox your Home)</w:t>
            </w:r>
          </w:p>
        </w:tc>
        <w:tc>
          <w:tcPr>
            <w:tcW w:w="5287" w:type="dxa"/>
          </w:tcPr>
          <w:p w14:paraId="615A0BE0" w14:textId="4DA2B00C" w:rsidR="00970A0F" w:rsidRPr="00510071" w:rsidRDefault="000B2A27" w:rsidP="00912D88">
            <w:pPr>
              <w:pStyle w:val="TableText"/>
              <w:rPr>
                <w:sz w:val="20"/>
                <w:szCs w:val="20"/>
              </w:rPr>
            </w:pPr>
            <w:r w:rsidRPr="00510071">
              <w:rPr>
                <w:sz w:val="20"/>
                <w:szCs w:val="20"/>
              </w:rPr>
              <w:t>SV continued to provide Victorian householders with free, safe, accessible and environmentally responsible disposal options for both high and low toxicity household chemical products through 52 contactless, drive-through Detox your Home events. These events collected 248 tonnes of toxic household chemicals from 11,718 householders in 2023-24. A further 84 tonnes of targeted materials (handheld batteries, fluorescent lights, paint) were collected at 28 permanent drop-off sites.</w:t>
            </w:r>
          </w:p>
        </w:tc>
        <w:tc>
          <w:tcPr>
            <w:tcW w:w="1716" w:type="dxa"/>
          </w:tcPr>
          <w:p w14:paraId="56866A5D" w14:textId="2E44A154" w:rsidR="00970A0F" w:rsidRPr="00510071" w:rsidRDefault="003F77C1" w:rsidP="00912D88">
            <w:pPr>
              <w:pStyle w:val="TableText"/>
              <w:rPr>
                <w:sz w:val="20"/>
                <w:szCs w:val="20"/>
              </w:rPr>
            </w:pPr>
            <w:r w:rsidRPr="00510071">
              <w:rPr>
                <w:noProof/>
                <w:sz w:val="20"/>
                <w:szCs w:val="20"/>
              </w:rPr>
              <w:drawing>
                <wp:inline distT="0" distB="0" distL="0" distR="0" wp14:anchorId="19EDD5E8" wp14:editId="5433D635">
                  <wp:extent cx="248603" cy="220980"/>
                  <wp:effectExtent l="0" t="0" r="0" b="7620"/>
                  <wp:docPr id="2091626379" name="Picture 2091626379"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p>
        </w:tc>
      </w:tr>
      <w:tr w:rsidR="00970A0F" w:rsidRPr="00510071" w14:paraId="44AE2F52" w14:textId="77777777" w:rsidTr="00510071">
        <w:tc>
          <w:tcPr>
            <w:tcW w:w="2263" w:type="dxa"/>
          </w:tcPr>
          <w:p w14:paraId="335E6CFF" w14:textId="75D11DB8" w:rsidR="00970A0F" w:rsidRPr="00510071" w:rsidRDefault="00412309" w:rsidP="00970A0F">
            <w:pPr>
              <w:spacing w:line="259" w:lineRule="auto"/>
              <w:rPr>
                <w:rFonts w:asciiTheme="minorHAnsi" w:hAnsiTheme="minorHAnsi" w:cstheme="minorHAnsi"/>
                <w:color w:val="auto"/>
                <w:szCs w:val="20"/>
              </w:rPr>
            </w:pPr>
            <w:r w:rsidRPr="00510071">
              <w:rPr>
                <w:rFonts w:asciiTheme="minorHAnsi" w:hAnsiTheme="minorHAnsi" w:cstheme="minorHAnsi"/>
                <w:color w:val="auto"/>
                <w:szCs w:val="20"/>
              </w:rPr>
              <w:lastRenderedPageBreak/>
              <w:t>Circular Economy Communities Fund</w:t>
            </w:r>
          </w:p>
        </w:tc>
        <w:tc>
          <w:tcPr>
            <w:tcW w:w="5287" w:type="dxa"/>
          </w:tcPr>
          <w:p w14:paraId="48884C07" w14:textId="28FAEB8B" w:rsidR="00970A0F" w:rsidRPr="00510071" w:rsidRDefault="00544F15" w:rsidP="00912D88">
            <w:pPr>
              <w:pStyle w:val="TableText"/>
              <w:rPr>
                <w:sz w:val="20"/>
                <w:szCs w:val="20"/>
              </w:rPr>
            </w:pPr>
            <w:r w:rsidRPr="00510071">
              <w:rPr>
                <w:sz w:val="20"/>
                <w:szCs w:val="20"/>
              </w:rPr>
              <w:t>The Communities Fund finished in June 2024, achieving positive behaviour changes in over 82,000 Victorians, creating 103 jobs, leveraging 134,000 volunteer hours, and reducing waste to landfill by 2,229 tonnes over the life of the program. As part of this program, a Community Organisation Capability Building Program was established to provide extra support to organisations, recognising that community organisations need more than just grant funding to succeed. The Capability Building Program delivered 23 education workshops attended by 533 individuals and hosted 12 forums, producing six capability statements for specialised waste recovery streams. From this, a capability kit resource was developed for organisations wanting to start or expand their sustainability projects. The program was well-represented at 20 external events through networking, panels and stalls.</w:t>
            </w:r>
          </w:p>
        </w:tc>
        <w:tc>
          <w:tcPr>
            <w:tcW w:w="1716" w:type="dxa"/>
          </w:tcPr>
          <w:p w14:paraId="2FD976C5" w14:textId="5E435D7F" w:rsidR="00970A0F" w:rsidRPr="00510071" w:rsidRDefault="00F07FCE" w:rsidP="00912D88">
            <w:pPr>
              <w:pStyle w:val="TableText"/>
              <w:rPr>
                <w:sz w:val="20"/>
                <w:szCs w:val="20"/>
              </w:rPr>
            </w:pPr>
            <w:r w:rsidRPr="00510071">
              <w:rPr>
                <w:noProof/>
                <w:sz w:val="20"/>
                <w:szCs w:val="20"/>
              </w:rPr>
              <w:drawing>
                <wp:inline distT="0" distB="0" distL="0" distR="0" wp14:anchorId="53376F24" wp14:editId="10AF8FBF">
                  <wp:extent cx="248603" cy="220980"/>
                  <wp:effectExtent l="0" t="0" r="0" b="7620"/>
                  <wp:docPr id="1091516695" name="Picture 1091516695"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3A2A59CB" wp14:editId="05C39E8F">
                  <wp:extent cx="248285" cy="259968"/>
                  <wp:effectExtent l="0" t="0" r="0" b="6985"/>
                  <wp:docPr id="719018665" name="Picture 719018665"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3CA6974F" wp14:editId="5E0796DA">
                  <wp:extent cx="248603" cy="220980"/>
                  <wp:effectExtent l="0" t="0" r="0" b="7620"/>
                  <wp:docPr id="905737285" name="Picture 905737285"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p>
        </w:tc>
      </w:tr>
      <w:tr w:rsidR="00970A0F" w:rsidRPr="00510071" w14:paraId="5D44816E" w14:textId="77777777" w:rsidTr="00510071">
        <w:tc>
          <w:tcPr>
            <w:tcW w:w="2263" w:type="dxa"/>
          </w:tcPr>
          <w:p w14:paraId="29DCDE49" w14:textId="726E1F91" w:rsidR="00970A0F" w:rsidRPr="00510071" w:rsidRDefault="00412309" w:rsidP="00970A0F">
            <w:pPr>
              <w:spacing w:line="259" w:lineRule="auto"/>
              <w:rPr>
                <w:rFonts w:asciiTheme="minorHAnsi" w:hAnsiTheme="minorHAnsi" w:cstheme="minorHAnsi"/>
                <w:color w:val="auto"/>
                <w:szCs w:val="20"/>
              </w:rPr>
            </w:pPr>
            <w:r w:rsidRPr="00510071">
              <w:rPr>
                <w:rStyle w:val="Strong"/>
                <w:rFonts w:asciiTheme="minorHAnsi" w:hAnsiTheme="minorHAnsi" w:cstheme="minorHAnsi"/>
                <w:b w:val="0"/>
                <w:color w:val="auto"/>
                <w:sz w:val="20"/>
                <w:szCs w:val="20"/>
              </w:rPr>
              <w:t>Circular Economy Councils Fund</w:t>
            </w:r>
          </w:p>
        </w:tc>
        <w:tc>
          <w:tcPr>
            <w:tcW w:w="5287" w:type="dxa"/>
          </w:tcPr>
          <w:p w14:paraId="1948668C" w14:textId="57A00ADA" w:rsidR="00970A0F" w:rsidRPr="00510071" w:rsidRDefault="007A36FD" w:rsidP="00912D88">
            <w:pPr>
              <w:pStyle w:val="TableText"/>
              <w:rPr>
                <w:sz w:val="20"/>
                <w:szCs w:val="20"/>
              </w:rPr>
            </w:pPr>
            <w:r w:rsidRPr="00510071">
              <w:rPr>
                <w:sz w:val="20"/>
                <w:szCs w:val="20"/>
              </w:rPr>
              <w:t>The Circular Economy Councils Fund completed 13 projects in 2023-24 that were funded from previous rounds. These projects added over 1,330 tonnes of organic processing capacity to Victoria's infrastructure and diverted 1,657 tonnes of waste from landfill. SV attracted $1,937,543 of investment from local council and created 31 jobs for Victorian residents. The program reached 110,900 Victorians through the community ties created through repair events, collection days and resale shops.</w:t>
            </w:r>
          </w:p>
        </w:tc>
        <w:tc>
          <w:tcPr>
            <w:tcW w:w="1716" w:type="dxa"/>
          </w:tcPr>
          <w:p w14:paraId="0992BC0A" w14:textId="5966C6C6" w:rsidR="00970A0F" w:rsidRPr="00510071" w:rsidRDefault="00F07FCE" w:rsidP="00912D88">
            <w:pPr>
              <w:pStyle w:val="TableText"/>
              <w:rPr>
                <w:sz w:val="20"/>
                <w:szCs w:val="20"/>
              </w:rPr>
            </w:pPr>
            <w:r w:rsidRPr="00510071">
              <w:rPr>
                <w:noProof/>
                <w:sz w:val="20"/>
                <w:szCs w:val="20"/>
              </w:rPr>
              <w:drawing>
                <wp:inline distT="0" distB="0" distL="0" distR="0" wp14:anchorId="154473B8" wp14:editId="7E1813E9">
                  <wp:extent cx="248603" cy="220980"/>
                  <wp:effectExtent l="0" t="0" r="0" b="7620"/>
                  <wp:docPr id="1737584663" name="Picture 1737584663" descr="Retaining value from our resour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3" name="Picture 124444333" descr="Retaining value from our resources icon"/>
                          <pic:cNvPicPr/>
                        </pic:nvPicPr>
                        <pic:blipFill>
                          <a:blip r:embed="rId47">
                            <a:extLst>
                              <a:ext uri="{28A0092B-C50C-407E-A947-70E740481C1C}">
                                <a14:useLocalDpi xmlns:a14="http://schemas.microsoft.com/office/drawing/2010/main" val="0"/>
                              </a:ext>
                            </a:extLst>
                          </a:blip>
                          <a:stretch>
                            <a:fillRect/>
                          </a:stretch>
                        </pic:blipFill>
                        <pic:spPr>
                          <a:xfrm>
                            <a:off x="0" y="0"/>
                            <a:ext cx="250279" cy="222470"/>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7CC0C914" wp14:editId="0AEEF2CA">
                  <wp:extent cx="248603" cy="220980"/>
                  <wp:effectExtent l="0" t="0" r="0" b="7620"/>
                  <wp:docPr id="400016303" name="Picture 400016303"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r w:rsidRPr="00510071">
              <w:rPr>
                <w:noProof/>
                <w:sz w:val="20"/>
                <w:szCs w:val="20"/>
              </w:rPr>
              <w:drawing>
                <wp:inline distT="0" distB="0" distL="0" distR="0" wp14:anchorId="0BE4DFDD" wp14:editId="666CE8C4">
                  <wp:extent cx="248285" cy="259968"/>
                  <wp:effectExtent l="0" t="0" r="0" b="6985"/>
                  <wp:docPr id="1456871289" name="Picture 1456871289"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noProof/>
                <w:sz w:val="20"/>
                <w:szCs w:val="20"/>
              </w:rPr>
              <w:t xml:space="preserve"> </w:t>
            </w:r>
          </w:p>
        </w:tc>
      </w:tr>
      <w:tr w:rsidR="00C627D6" w:rsidRPr="00510071" w14:paraId="0447CCD4" w14:textId="77777777" w:rsidTr="00510071">
        <w:tc>
          <w:tcPr>
            <w:tcW w:w="2263" w:type="dxa"/>
          </w:tcPr>
          <w:p w14:paraId="2F7D5F86" w14:textId="05BDE41B" w:rsidR="00C627D6" w:rsidRPr="00510071" w:rsidRDefault="00412309" w:rsidP="00912D88">
            <w:pPr>
              <w:pStyle w:val="TableText"/>
              <w:rPr>
                <w:color w:val="auto"/>
                <w:sz w:val="20"/>
                <w:szCs w:val="20"/>
              </w:rPr>
            </w:pPr>
            <w:r w:rsidRPr="00510071">
              <w:rPr>
                <w:rStyle w:val="Strong"/>
                <w:b w:val="0"/>
                <w:color w:val="auto"/>
                <w:sz w:val="20"/>
                <w:szCs w:val="20"/>
              </w:rPr>
              <w:t>Community Climate Change and Energy Action program</w:t>
            </w:r>
          </w:p>
        </w:tc>
        <w:tc>
          <w:tcPr>
            <w:tcW w:w="5287" w:type="dxa"/>
          </w:tcPr>
          <w:p w14:paraId="77C67350" w14:textId="6FB1D655" w:rsidR="00C627D6" w:rsidRPr="00510071" w:rsidRDefault="006B0C97" w:rsidP="00912D88">
            <w:pPr>
              <w:pStyle w:val="TableText"/>
              <w:rPr>
                <w:sz w:val="20"/>
                <w:szCs w:val="20"/>
              </w:rPr>
            </w:pPr>
            <w:r w:rsidRPr="00510071">
              <w:rPr>
                <w:sz w:val="20"/>
                <w:szCs w:val="20"/>
              </w:rPr>
              <w:t>Community organisations installed 495 kW of solar PV systems in 2023-24 saving $</w:t>
            </w:r>
            <w:r w:rsidRPr="39C76B99">
              <w:rPr>
                <w:sz w:val="20"/>
                <w:szCs w:val="20"/>
              </w:rPr>
              <w:t>1</w:t>
            </w:r>
            <w:r w:rsidR="0E309ABA" w:rsidRPr="39C76B99">
              <w:rPr>
                <w:sz w:val="20"/>
                <w:szCs w:val="20"/>
              </w:rPr>
              <w:t>80</w:t>
            </w:r>
            <w:r w:rsidRPr="39C76B99">
              <w:rPr>
                <w:sz w:val="20"/>
                <w:szCs w:val="20"/>
              </w:rPr>
              <w:t>,4</w:t>
            </w:r>
            <w:r w:rsidR="146BD0F0" w:rsidRPr="39C76B99">
              <w:rPr>
                <w:sz w:val="20"/>
                <w:szCs w:val="20"/>
              </w:rPr>
              <w:t>69</w:t>
            </w:r>
            <w:r w:rsidRPr="00510071">
              <w:rPr>
                <w:sz w:val="20"/>
                <w:szCs w:val="20"/>
              </w:rPr>
              <w:t xml:space="preserve"> on energy bills. These energy upgrades will cut over 20,000 tonnes of greenhouse gas emissions in their lifetime. </w:t>
            </w:r>
            <w:proofErr w:type="spellStart"/>
            <w:r w:rsidRPr="00510071">
              <w:rPr>
                <w:sz w:val="20"/>
                <w:szCs w:val="20"/>
              </w:rPr>
              <w:t>Sustainbility</w:t>
            </w:r>
            <w:proofErr w:type="spellEnd"/>
            <w:r w:rsidRPr="00510071">
              <w:rPr>
                <w:sz w:val="20"/>
                <w:szCs w:val="20"/>
              </w:rPr>
              <w:t xml:space="preserve"> Victoria's investment of $541,961 attracted an additional $657,660 in community investment to total almost $1.2 million into energy efficiency upgrades.</w:t>
            </w:r>
          </w:p>
        </w:tc>
        <w:tc>
          <w:tcPr>
            <w:tcW w:w="1716" w:type="dxa"/>
          </w:tcPr>
          <w:p w14:paraId="1342C9E3" w14:textId="56E488E6" w:rsidR="00C627D6" w:rsidRPr="00510071" w:rsidRDefault="00F07FCE" w:rsidP="00912D88">
            <w:pPr>
              <w:pStyle w:val="TableText"/>
              <w:rPr>
                <w:sz w:val="20"/>
                <w:szCs w:val="20"/>
              </w:rPr>
            </w:pPr>
            <w:r w:rsidRPr="00510071">
              <w:rPr>
                <w:noProof/>
                <w:sz w:val="20"/>
                <w:szCs w:val="20"/>
              </w:rPr>
              <w:drawing>
                <wp:inline distT="0" distB="0" distL="0" distR="0" wp14:anchorId="2A4901CA" wp14:editId="4DD6618C">
                  <wp:extent cx="246888" cy="213360"/>
                  <wp:effectExtent l="0" t="0" r="1270" b="0"/>
                  <wp:docPr id="1173732821" name="Picture 1173732821"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3469166B" wp14:editId="3E8DE98D">
                  <wp:extent cx="248285" cy="259968"/>
                  <wp:effectExtent l="0" t="0" r="0" b="6985"/>
                  <wp:docPr id="1545442484" name="Picture 1545442484"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6545A887" wp14:editId="3C5F28DF">
                  <wp:extent cx="248603" cy="220980"/>
                  <wp:effectExtent l="0" t="0" r="0" b="7620"/>
                  <wp:docPr id="361633773" name="Picture 361633773"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p>
        </w:tc>
      </w:tr>
      <w:tr w:rsidR="00C627D6" w:rsidRPr="00510071" w14:paraId="27BCE0AE" w14:textId="77777777" w:rsidTr="00510071">
        <w:tc>
          <w:tcPr>
            <w:tcW w:w="2263" w:type="dxa"/>
          </w:tcPr>
          <w:p w14:paraId="51899FCE" w14:textId="60E49EF9" w:rsidR="00C627D6" w:rsidRPr="00510071" w:rsidRDefault="00412309" w:rsidP="00912D88">
            <w:pPr>
              <w:pStyle w:val="TableText"/>
              <w:rPr>
                <w:color w:val="auto"/>
                <w:sz w:val="20"/>
                <w:szCs w:val="20"/>
              </w:rPr>
            </w:pPr>
            <w:r w:rsidRPr="00510071">
              <w:rPr>
                <w:rStyle w:val="Strong"/>
                <w:b w:val="0"/>
                <w:color w:val="auto"/>
                <w:sz w:val="20"/>
                <w:szCs w:val="20"/>
              </w:rPr>
              <w:t>Community Power Hubs program</w:t>
            </w:r>
          </w:p>
        </w:tc>
        <w:tc>
          <w:tcPr>
            <w:tcW w:w="5287" w:type="dxa"/>
          </w:tcPr>
          <w:p w14:paraId="27C483EB" w14:textId="35E1E913" w:rsidR="00C627D6" w:rsidRPr="00510071" w:rsidRDefault="0083572B" w:rsidP="00912D88">
            <w:pPr>
              <w:pStyle w:val="TableText"/>
              <w:rPr>
                <w:sz w:val="20"/>
                <w:szCs w:val="20"/>
              </w:rPr>
            </w:pPr>
            <w:r w:rsidRPr="00510071">
              <w:rPr>
                <w:sz w:val="20"/>
                <w:szCs w:val="20"/>
              </w:rPr>
              <w:t>SV helped deliver two election-promised projects under the Community Power Hub remit. Healesville Community Renewable Energy and Indigo Power both completed projects to make their communities more energy efficient. Healesville retrofitted the Badger Creek Hall and local community housing, trained five new home energy efficiency advisors and shared a brochure with the Healesville and Yarra Glen community about their affordable services. Indigo Power boosted renewables across Benambra by teaching communities about renewable energy and switching 30 households to heat their hot water system during the day when renewable generation is high, instead of at night.</w:t>
            </w:r>
          </w:p>
        </w:tc>
        <w:tc>
          <w:tcPr>
            <w:tcW w:w="1716" w:type="dxa"/>
          </w:tcPr>
          <w:p w14:paraId="39059F4B" w14:textId="1864B9C5" w:rsidR="00C627D6" w:rsidRPr="00510071" w:rsidRDefault="00F07FCE" w:rsidP="00912D88">
            <w:pPr>
              <w:pStyle w:val="TableText"/>
              <w:rPr>
                <w:sz w:val="20"/>
                <w:szCs w:val="20"/>
              </w:rPr>
            </w:pPr>
            <w:r w:rsidRPr="00510071">
              <w:rPr>
                <w:noProof/>
                <w:sz w:val="20"/>
                <w:szCs w:val="20"/>
              </w:rPr>
              <w:drawing>
                <wp:inline distT="0" distB="0" distL="0" distR="0" wp14:anchorId="577542D3" wp14:editId="48917C75">
                  <wp:extent cx="246888" cy="213360"/>
                  <wp:effectExtent l="0" t="0" r="1270" b="0"/>
                  <wp:docPr id="417340598" name="Picture 417340598" descr="Reduced emiss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4" name="Picture 124444334" descr="Reduced emissions icon"/>
                          <pic:cNvPicPr/>
                        </pic:nvPicPr>
                        <pic:blipFill>
                          <a:blip r:embed="rId48">
                            <a:extLst>
                              <a:ext uri="{28A0092B-C50C-407E-A947-70E740481C1C}">
                                <a14:useLocalDpi xmlns:a14="http://schemas.microsoft.com/office/drawing/2010/main" val="0"/>
                              </a:ext>
                            </a:extLst>
                          </a:blip>
                          <a:stretch>
                            <a:fillRect/>
                          </a:stretch>
                        </pic:blipFill>
                        <pic:spPr>
                          <a:xfrm>
                            <a:off x="0" y="0"/>
                            <a:ext cx="250505" cy="216486"/>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10606C40" wp14:editId="5E257B43">
                  <wp:extent cx="248285" cy="259968"/>
                  <wp:effectExtent l="0" t="0" r="0" b="6985"/>
                  <wp:docPr id="1700342210" name="Picture 1700342210" descr="Resilient and healthy Victorian communiti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28" name="Picture 124444328" descr="Resilient and healthy Victorian communities icon"/>
                          <pic:cNvPicPr/>
                        </pic:nvPicPr>
                        <pic:blipFill>
                          <a:blip r:embed="rId49"/>
                          <a:stretch>
                            <a:fillRect/>
                          </a:stretch>
                        </pic:blipFill>
                        <pic:spPr>
                          <a:xfrm>
                            <a:off x="0" y="0"/>
                            <a:ext cx="255243" cy="267253"/>
                          </a:xfrm>
                          <a:prstGeom prst="rect">
                            <a:avLst/>
                          </a:prstGeom>
                        </pic:spPr>
                      </pic:pic>
                    </a:graphicData>
                  </a:graphic>
                </wp:inline>
              </w:drawing>
            </w:r>
            <w:r w:rsidRPr="00510071">
              <w:rPr>
                <w:noProof/>
                <w:sz w:val="20"/>
                <w:szCs w:val="20"/>
              </w:rPr>
              <w:t xml:space="preserve"> </w:t>
            </w:r>
            <w:r w:rsidRPr="00510071">
              <w:rPr>
                <w:noProof/>
                <w:sz w:val="20"/>
                <w:szCs w:val="20"/>
              </w:rPr>
              <w:drawing>
                <wp:inline distT="0" distB="0" distL="0" distR="0" wp14:anchorId="5EF69307" wp14:editId="34735DA4">
                  <wp:extent cx="248603" cy="220980"/>
                  <wp:effectExtent l="0" t="0" r="0" b="7620"/>
                  <wp:docPr id="1938280117" name="Picture 1938280117" descr="Jobs and return on invest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4332" name="Picture 124444332" descr="Jobs and return on investment icon"/>
                          <pic:cNvPicPr/>
                        </pic:nvPicPr>
                        <pic:blipFill>
                          <a:blip r:embed="rId46">
                            <a:extLst>
                              <a:ext uri="{28A0092B-C50C-407E-A947-70E740481C1C}">
                                <a14:useLocalDpi xmlns:a14="http://schemas.microsoft.com/office/drawing/2010/main" val="0"/>
                              </a:ext>
                            </a:extLst>
                          </a:blip>
                          <a:stretch>
                            <a:fillRect/>
                          </a:stretch>
                        </pic:blipFill>
                        <pic:spPr>
                          <a:xfrm>
                            <a:off x="0" y="0"/>
                            <a:ext cx="249539" cy="221812"/>
                          </a:xfrm>
                          <a:prstGeom prst="rect">
                            <a:avLst/>
                          </a:prstGeom>
                        </pic:spPr>
                      </pic:pic>
                    </a:graphicData>
                  </a:graphic>
                </wp:inline>
              </w:drawing>
            </w:r>
          </w:p>
        </w:tc>
      </w:tr>
    </w:tbl>
    <w:p w14:paraId="43C659BA" w14:textId="77777777" w:rsidR="00FF74F0" w:rsidRDefault="00FF74F0" w:rsidP="00105389">
      <w:pPr>
        <w:pStyle w:val="Body"/>
      </w:pPr>
      <w:bookmarkStart w:id="63" w:name="_Toc56627327"/>
      <w:bookmarkStart w:id="64" w:name="_Toc57039861"/>
      <w:bookmarkStart w:id="65" w:name="_Ref85022990"/>
      <w:bookmarkStart w:id="66" w:name="_Ref144805677"/>
      <w:bookmarkStart w:id="67" w:name="_Ref144805694"/>
      <w:bookmarkStart w:id="68" w:name="_Toc144883453"/>
      <w:bookmarkStart w:id="69" w:name="_Toc144884435"/>
      <w:bookmarkStart w:id="70" w:name="_Toc147395357"/>
      <w:bookmarkStart w:id="71" w:name="_Toc166585698"/>
    </w:p>
    <w:p w14:paraId="1355923B" w14:textId="77777777" w:rsidR="00FF74F0" w:rsidRDefault="00FF74F0">
      <w:pPr>
        <w:spacing w:line="259" w:lineRule="auto"/>
        <w:rPr>
          <w:rFonts w:asciiTheme="majorHAnsi" w:eastAsiaTheme="majorEastAsia" w:hAnsiTheme="majorHAnsi" w:cstheme="majorHAnsi"/>
          <w:b/>
          <w:color w:val="174F37"/>
          <w:sz w:val="40"/>
          <w:szCs w:val="32"/>
        </w:rPr>
      </w:pPr>
      <w:r>
        <w:rPr>
          <w:rFonts w:asciiTheme="majorHAnsi" w:hAnsiTheme="majorHAnsi" w:cstheme="majorHAnsi"/>
        </w:rPr>
        <w:br w:type="page"/>
      </w:r>
    </w:p>
    <w:p w14:paraId="4B5B4D09" w14:textId="5B6554CD" w:rsidR="00D5357D" w:rsidRDefault="00D5357D" w:rsidP="00D5357D">
      <w:pPr>
        <w:pStyle w:val="Heading1"/>
        <w:rPr>
          <w:rFonts w:asciiTheme="majorHAnsi" w:hAnsiTheme="majorHAnsi" w:cstheme="majorHAnsi"/>
        </w:rPr>
      </w:pPr>
      <w:bookmarkStart w:id="72" w:name="_Toc179469479"/>
      <w:r w:rsidRPr="0012521E">
        <w:rPr>
          <w:rFonts w:asciiTheme="majorHAnsi" w:hAnsiTheme="majorHAnsi" w:cstheme="majorHAnsi"/>
        </w:rPr>
        <w:lastRenderedPageBreak/>
        <w:t>Performance reporting (financial)</w:t>
      </w:r>
      <w:bookmarkEnd w:id="63"/>
      <w:bookmarkEnd w:id="64"/>
      <w:bookmarkEnd w:id="65"/>
      <w:bookmarkEnd w:id="66"/>
      <w:bookmarkEnd w:id="67"/>
      <w:bookmarkEnd w:id="68"/>
      <w:bookmarkEnd w:id="69"/>
      <w:bookmarkEnd w:id="70"/>
      <w:bookmarkEnd w:id="71"/>
      <w:bookmarkEnd w:id="72"/>
    </w:p>
    <w:p w14:paraId="08A71EED" w14:textId="77777777" w:rsidR="00D5357D" w:rsidRPr="0012521E" w:rsidRDefault="00D5357D" w:rsidP="00D5357D">
      <w:pPr>
        <w:pStyle w:val="Heading2"/>
      </w:pPr>
      <w:bookmarkStart w:id="73" w:name="_Toc166585699"/>
      <w:r w:rsidRPr="0012521E">
        <w:t>Five-year financial summary</w:t>
      </w:r>
      <w:bookmarkEnd w:id="73"/>
    </w:p>
    <w:p w14:paraId="0E5A169C" w14:textId="366C2A74" w:rsidR="00D5357D" w:rsidRPr="0012521E" w:rsidRDefault="003C5C5D" w:rsidP="00C75D63">
      <w:pPr>
        <w:rPr>
          <w:rFonts w:asciiTheme="majorHAnsi" w:hAnsiTheme="majorHAnsi" w:cstheme="majorBidi"/>
        </w:rPr>
      </w:pPr>
      <w:r>
        <w:fldChar w:fldCharType="begin"/>
      </w:r>
      <w:r>
        <w:instrText xml:space="preserve"> REF _Ref172634665 \h </w:instrText>
      </w:r>
      <w:r>
        <w:fldChar w:fldCharType="separate"/>
      </w:r>
      <w:r w:rsidR="00EB70DF">
        <w:t xml:space="preserve">Table </w:t>
      </w:r>
      <w:r w:rsidR="00EB70DF">
        <w:rPr>
          <w:noProof/>
        </w:rPr>
        <w:t>6</w:t>
      </w:r>
      <w:r>
        <w:fldChar w:fldCharType="end"/>
      </w:r>
      <w:r w:rsidR="00971DFC">
        <w:t xml:space="preserve"> </w:t>
      </w:r>
      <w:r w:rsidR="00D5357D" w:rsidRPr="00C75D63">
        <w:t>outlines our five-year financial summary and current year financial review.</w:t>
      </w:r>
    </w:p>
    <w:p w14:paraId="31220E1A" w14:textId="3B5DE6AE" w:rsidR="00D5357D" w:rsidRPr="0012521E" w:rsidRDefault="003C5C5D" w:rsidP="003C5C5D">
      <w:pPr>
        <w:pStyle w:val="Caption"/>
        <w:rPr>
          <w:rFonts w:asciiTheme="majorHAnsi" w:hAnsiTheme="majorHAnsi" w:cstheme="majorBidi"/>
        </w:rPr>
      </w:pPr>
      <w:bookmarkStart w:id="74" w:name="_Ref172634665"/>
      <w:r>
        <w:t xml:space="preserve">Table </w:t>
      </w:r>
      <w:r>
        <w:fldChar w:fldCharType="begin"/>
      </w:r>
      <w:r>
        <w:instrText xml:space="preserve"> SEQ Table \* ARABIC </w:instrText>
      </w:r>
      <w:r>
        <w:fldChar w:fldCharType="separate"/>
      </w:r>
      <w:r w:rsidR="00EB70DF">
        <w:rPr>
          <w:noProof/>
        </w:rPr>
        <w:t>6</w:t>
      </w:r>
      <w:r>
        <w:fldChar w:fldCharType="end"/>
      </w:r>
      <w:bookmarkEnd w:id="74"/>
      <w:r w:rsidR="00D5357D" w:rsidRPr="3BFD30A0">
        <w:rPr>
          <w:rFonts w:asciiTheme="majorHAnsi" w:hAnsiTheme="majorHAnsi" w:cstheme="majorBidi"/>
        </w:rPr>
        <w:t>: Five-year financial summary and current year financial review</w:t>
      </w:r>
    </w:p>
    <w:tbl>
      <w:tblPr>
        <w:tblStyle w:val="TableGrid"/>
        <w:tblW w:w="0" w:type="auto"/>
        <w:tblLook w:val="04A0" w:firstRow="1" w:lastRow="0" w:firstColumn="1" w:lastColumn="0" w:noHBand="0" w:noVBand="1"/>
      </w:tblPr>
      <w:tblGrid>
        <w:gridCol w:w="2178"/>
        <w:gridCol w:w="1329"/>
        <w:gridCol w:w="1356"/>
        <w:gridCol w:w="1356"/>
        <w:gridCol w:w="1356"/>
        <w:gridCol w:w="1356"/>
      </w:tblGrid>
      <w:tr w:rsidR="00D5357D" w:rsidRPr="0012521E" w14:paraId="7FC1977F" w14:textId="77777777" w:rsidTr="00E159ED">
        <w:tc>
          <w:tcPr>
            <w:tcW w:w="2178" w:type="dxa"/>
            <w:shd w:val="clear" w:color="auto" w:fill="D4DFA0" w:themeFill="background2"/>
          </w:tcPr>
          <w:p w14:paraId="0283D477" w14:textId="77777777" w:rsidR="00D5357D" w:rsidRPr="0012521E" w:rsidRDefault="00D5357D" w:rsidP="00EC78E4">
            <w:pPr>
              <w:rPr>
                <w:rFonts w:asciiTheme="majorHAnsi" w:hAnsiTheme="majorHAnsi" w:cstheme="majorHAnsi"/>
                <w:color w:val="auto"/>
              </w:rPr>
            </w:pPr>
          </w:p>
        </w:tc>
        <w:tc>
          <w:tcPr>
            <w:tcW w:w="1329" w:type="dxa"/>
            <w:shd w:val="clear" w:color="auto" w:fill="D4DFA0" w:themeFill="background2"/>
          </w:tcPr>
          <w:p w14:paraId="167A849E" w14:textId="1A093AAA" w:rsidR="00D5357D" w:rsidRPr="0012521E" w:rsidRDefault="00D5357D" w:rsidP="00EC78E4">
            <w:pPr>
              <w:pStyle w:val="tableheadright"/>
              <w:rPr>
                <w:rFonts w:cstheme="majorHAnsi"/>
                <w:color w:val="auto"/>
              </w:rPr>
            </w:pPr>
            <w:r w:rsidRPr="0012521E">
              <w:rPr>
                <w:rFonts w:cstheme="majorHAnsi"/>
                <w:color w:val="auto"/>
              </w:rPr>
              <w:t>2024</w:t>
            </w:r>
          </w:p>
          <w:p w14:paraId="753E5B64" w14:textId="77777777" w:rsidR="00D5357D" w:rsidRPr="0012521E" w:rsidRDefault="00D5357D" w:rsidP="00EC78E4">
            <w:pPr>
              <w:pStyle w:val="tableheadright"/>
              <w:rPr>
                <w:rFonts w:cstheme="majorHAnsi"/>
                <w:color w:val="auto"/>
              </w:rPr>
            </w:pPr>
            <w:r w:rsidRPr="0012521E">
              <w:rPr>
                <w:rFonts w:cstheme="majorHAnsi"/>
                <w:color w:val="auto"/>
              </w:rPr>
              <w:t>$’000</w:t>
            </w:r>
          </w:p>
        </w:tc>
        <w:tc>
          <w:tcPr>
            <w:tcW w:w="1356" w:type="dxa"/>
            <w:shd w:val="clear" w:color="auto" w:fill="D4DFA0" w:themeFill="background2"/>
          </w:tcPr>
          <w:p w14:paraId="744512CC" w14:textId="79F591DF" w:rsidR="00D5357D" w:rsidRPr="0012521E" w:rsidRDefault="00D5357D" w:rsidP="00EC78E4">
            <w:pPr>
              <w:pStyle w:val="tableheadright"/>
              <w:rPr>
                <w:rFonts w:cstheme="majorHAnsi"/>
                <w:color w:val="auto"/>
              </w:rPr>
            </w:pPr>
            <w:r w:rsidRPr="0012521E">
              <w:rPr>
                <w:rFonts w:cstheme="majorHAnsi"/>
                <w:color w:val="auto"/>
              </w:rPr>
              <w:t>2023</w:t>
            </w:r>
          </w:p>
          <w:p w14:paraId="18EF0589" w14:textId="77777777" w:rsidR="00D5357D" w:rsidRPr="0012521E" w:rsidRDefault="00D5357D" w:rsidP="00EC78E4">
            <w:pPr>
              <w:pStyle w:val="tableheadright"/>
              <w:rPr>
                <w:rFonts w:cstheme="majorHAnsi"/>
                <w:color w:val="auto"/>
              </w:rPr>
            </w:pPr>
            <w:r w:rsidRPr="0012521E">
              <w:rPr>
                <w:rFonts w:cstheme="majorHAnsi"/>
                <w:color w:val="auto"/>
              </w:rPr>
              <w:t>$’000</w:t>
            </w:r>
          </w:p>
        </w:tc>
        <w:tc>
          <w:tcPr>
            <w:tcW w:w="1356" w:type="dxa"/>
            <w:shd w:val="clear" w:color="auto" w:fill="D4DFA0" w:themeFill="background2"/>
          </w:tcPr>
          <w:p w14:paraId="24B42220" w14:textId="4953C8B2" w:rsidR="00D5357D" w:rsidRPr="0012521E" w:rsidRDefault="00D5357D" w:rsidP="00EC78E4">
            <w:pPr>
              <w:pStyle w:val="tableheadright"/>
              <w:rPr>
                <w:rFonts w:cstheme="majorHAnsi"/>
                <w:color w:val="auto"/>
              </w:rPr>
            </w:pPr>
            <w:r w:rsidRPr="0012521E">
              <w:rPr>
                <w:rFonts w:cstheme="majorHAnsi"/>
                <w:color w:val="auto"/>
              </w:rPr>
              <w:t>2022</w:t>
            </w:r>
          </w:p>
          <w:p w14:paraId="2D8DF8CC" w14:textId="77777777" w:rsidR="00D5357D" w:rsidRPr="0012521E" w:rsidRDefault="00D5357D" w:rsidP="00EC78E4">
            <w:pPr>
              <w:pStyle w:val="tableheadright"/>
              <w:rPr>
                <w:rFonts w:cstheme="majorHAnsi"/>
                <w:color w:val="auto"/>
              </w:rPr>
            </w:pPr>
            <w:r w:rsidRPr="0012521E">
              <w:rPr>
                <w:rFonts w:cstheme="majorHAnsi"/>
                <w:color w:val="auto"/>
              </w:rPr>
              <w:t>$’000</w:t>
            </w:r>
          </w:p>
        </w:tc>
        <w:tc>
          <w:tcPr>
            <w:tcW w:w="1356" w:type="dxa"/>
            <w:shd w:val="clear" w:color="auto" w:fill="D4DFA0" w:themeFill="background2"/>
          </w:tcPr>
          <w:p w14:paraId="3A8E756A" w14:textId="796575C5" w:rsidR="00D5357D" w:rsidRPr="0012521E" w:rsidRDefault="00D5357D" w:rsidP="00EC78E4">
            <w:pPr>
              <w:pStyle w:val="tableheadright"/>
              <w:rPr>
                <w:rFonts w:cstheme="majorHAnsi"/>
                <w:color w:val="auto"/>
              </w:rPr>
            </w:pPr>
            <w:r w:rsidRPr="0012521E">
              <w:rPr>
                <w:rFonts w:cstheme="majorHAnsi"/>
                <w:color w:val="auto"/>
              </w:rPr>
              <w:t>2021</w:t>
            </w:r>
          </w:p>
          <w:p w14:paraId="063B2C0B" w14:textId="77777777" w:rsidR="00D5357D" w:rsidRPr="0012521E" w:rsidRDefault="00D5357D" w:rsidP="00EC78E4">
            <w:pPr>
              <w:pStyle w:val="tableheadright"/>
              <w:rPr>
                <w:rFonts w:cstheme="majorHAnsi"/>
                <w:color w:val="auto"/>
              </w:rPr>
            </w:pPr>
            <w:r w:rsidRPr="0012521E">
              <w:rPr>
                <w:rFonts w:cstheme="majorHAnsi"/>
                <w:color w:val="auto"/>
              </w:rPr>
              <w:t>$’000</w:t>
            </w:r>
          </w:p>
        </w:tc>
        <w:tc>
          <w:tcPr>
            <w:tcW w:w="1356" w:type="dxa"/>
            <w:shd w:val="clear" w:color="auto" w:fill="D4DFA0" w:themeFill="background2"/>
          </w:tcPr>
          <w:p w14:paraId="27154EE1" w14:textId="19AAE837" w:rsidR="00D5357D" w:rsidRPr="0012521E" w:rsidRDefault="00D5357D" w:rsidP="00EC78E4">
            <w:pPr>
              <w:pStyle w:val="tableheadright"/>
              <w:rPr>
                <w:rFonts w:cstheme="majorHAnsi"/>
                <w:color w:val="auto"/>
              </w:rPr>
            </w:pPr>
            <w:r w:rsidRPr="0012521E">
              <w:rPr>
                <w:rFonts w:cstheme="majorHAnsi"/>
                <w:color w:val="auto"/>
              </w:rPr>
              <w:t>2020</w:t>
            </w:r>
          </w:p>
          <w:p w14:paraId="777FE002" w14:textId="77777777" w:rsidR="00D5357D" w:rsidRPr="0012521E" w:rsidRDefault="00D5357D" w:rsidP="00EC78E4">
            <w:pPr>
              <w:pStyle w:val="tableheadright"/>
              <w:rPr>
                <w:rFonts w:cstheme="majorHAnsi"/>
                <w:color w:val="auto"/>
              </w:rPr>
            </w:pPr>
            <w:r w:rsidRPr="0012521E">
              <w:rPr>
                <w:rFonts w:cstheme="majorHAnsi"/>
                <w:color w:val="auto"/>
              </w:rPr>
              <w:t>$’000</w:t>
            </w:r>
          </w:p>
        </w:tc>
      </w:tr>
      <w:tr w:rsidR="00EC78E4" w:rsidRPr="0012521E" w14:paraId="1628A20F" w14:textId="77777777" w:rsidTr="00EC78E4">
        <w:tc>
          <w:tcPr>
            <w:tcW w:w="2178" w:type="dxa"/>
          </w:tcPr>
          <w:p w14:paraId="40DDDD32" w14:textId="77777777" w:rsidR="00EC78E4" w:rsidRPr="0012521E" w:rsidRDefault="00EC78E4" w:rsidP="00EC78E4">
            <w:pPr>
              <w:pStyle w:val="TableText"/>
              <w:rPr>
                <w:rFonts w:asciiTheme="majorHAnsi" w:hAnsiTheme="majorHAnsi" w:cstheme="majorHAnsi"/>
              </w:rPr>
            </w:pPr>
            <w:r w:rsidRPr="0012521E">
              <w:rPr>
                <w:rFonts w:asciiTheme="majorHAnsi" w:hAnsiTheme="majorHAnsi" w:cstheme="majorHAnsi"/>
              </w:rPr>
              <w:t>Income from Government</w:t>
            </w:r>
          </w:p>
        </w:tc>
        <w:tc>
          <w:tcPr>
            <w:tcW w:w="1329" w:type="dxa"/>
          </w:tcPr>
          <w:p w14:paraId="1A7B9CF6" w14:textId="68CC7930" w:rsidR="00EC78E4" w:rsidRPr="00C217ED" w:rsidRDefault="00AA2254" w:rsidP="00EC78E4">
            <w:pPr>
              <w:pStyle w:val="Tablerightlarge"/>
              <w:rPr>
                <w:rFonts w:asciiTheme="majorHAnsi" w:hAnsiTheme="majorHAnsi" w:cstheme="majorHAnsi"/>
              </w:rPr>
            </w:pPr>
            <w:r>
              <w:rPr>
                <w:rFonts w:asciiTheme="majorHAnsi" w:hAnsiTheme="majorHAnsi" w:cstheme="majorHAnsi"/>
              </w:rPr>
              <w:t>86,499</w:t>
            </w:r>
          </w:p>
        </w:tc>
        <w:tc>
          <w:tcPr>
            <w:tcW w:w="1356" w:type="dxa"/>
          </w:tcPr>
          <w:p w14:paraId="13413C06" w14:textId="1BE43EAA" w:rsidR="00EC78E4" w:rsidRPr="0012521E" w:rsidRDefault="00EC78E4" w:rsidP="00EC78E4">
            <w:pPr>
              <w:pStyle w:val="Tablerightlarge"/>
              <w:rPr>
                <w:rFonts w:asciiTheme="majorHAnsi" w:hAnsiTheme="majorHAnsi" w:cstheme="majorHAnsi"/>
              </w:rPr>
            </w:pPr>
            <w:r>
              <w:t>80,970</w:t>
            </w:r>
          </w:p>
        </w:tc>
        <w:tc>
          <w:tcPr>
            <w:tcW w:w="1356" w:type="dxa"/>
          </w:tcPr>
          <w:p w14:paraId="48A85D90" w14:textId="1E44C0CC" w:rsidR="00EC78E4" w:rsidRPr="0012521E" w:rsidRDefault="00EC78E4" w:rsidP="00EC78E4">
            <w:pPr>
              <w:pStyle w:val="Tablerightlarge"/>
              <w:rPr>
                <w:rFonts w:asciiTheme="majorHAnsi" w:hAnsiTheme="majorHAnsi" w:cstheme="majorHAnsi"/>
              </w:rPr>
            </w:pPr>
            <w:r>
              <w:t>79,214</w:t>
            </w:r>
          </w:p>
        </w:tc>
        <w:tc>
          <w:tcPr>
            <w:tcW w:w="1356" w:type="dxa"/>
          </w:tcPr>
          <w:p w14:paraId="7E1A3DAB" w14:textId="4EA51F0F" w:rsidR="00EC78E4" w:rsidRPr="0012521E" w:rsidRDefault="00EC78E4" w:rsidP="00EC78E4">
            <w:pPr>
              <w:pStyle w:val="Tablerightlarge"/>
              <w:rPr>
                <w:rFonts w:asciiTheme="majorHAnsi" w:hAnsiTheme="majorHAnsi" w:cstheme="majorHAnsi"/>
              </w:rPr>
            </w:pPr>
            <w:r>
              <w:t>48,119</w:t>
            </w:r>
          </w:p>
        </w:tc>
        <w:tc>
          <w:tcPr>
            <w:tcW w:w="1356" w:type="dxa"/>
          </w:tcPr>
          <w:p w14:paraId="4FBCB996" w14:textId="2FA57132" w:rsidR="00EC78E4" w:rsidRPr="0012521E" w:rsidRDefault="00EC78E4" w:rsidP="00EC78E4">
            <w:pPr>
              <w:pStyle w:val="Tablerightlarge"/>
              <w:rPr>
                <w:rFonts w:asciiTheme="majorHAnsi" w:hAnsiTheme="majorHAnsi" w:cstheme="majorHAnsi"/>
              </w:rPr>
            </w:pPr>
            <w:r>
              <w:t>48,084</w:t>
            </w:r>
          </w:p>
        </w:tc>
      </w:tr>
      <w:tr w:rsidR="00EC78E4" w:rsidRPr="0012521E" w14:paraId="3DF23569" w14:textId="77777777" w:rsidTr="00EC78E4">
        <w:tc>
          <w:tcPr>
            <w:tcW w:w="2178" w:type="dxa"/>
          </w:tcPr>
          <w:p w14:paraId="2FDDE8E0" w14:textId="77777777" w:rsidR="00EC78E4" w:rsidRPr="0012521E" w:rsidRDefault="00EC78E4" w:rsidP="00EC78E4">
            <w:pPr>
              <w:pStyle w:val="TableText"/>
              <w:rPr>
                <w:rFonts w:asciiTheme="majorHAnsi" w:hAnsiTheme="majorHAnsi" w:cstheme="majorHAnsi"/>
              </w:rPr>
            </w:pPr>
            <w:r w:rsidRPr="0012521E">
              <w:rPr>
                <w:rFonts w:asciiTheme="majorHAnsi" w:hAnsiTheme="majorHAnsi" w:cstheme="majorHAnsi"/>
              </w:rPr>
              <w:t>Total income from transactions</w:t>
            </w:r>
          </w:p>
        </w:tc>
        <w:tc>
          <w:tcPr>
            <w:tcW w:w="1329" w:type="dxa"/>
          </w:tcPr>
          <w:p w14:paraId="6F3BA187" w14:textId="1A0A60F0" w:rsidR="00EC78E4" w:rsidRPr="00C217ED" w:rsidRDefault="00AA2254" w:rsidP="00EC78E4">
            <w:pPr>
              <w:pStyle w:val="Tablerightlarge"/>
              <w:rPr>
                <w:rFonts w:asciiTheme="majorHAnsi" w:hAnsiTheme="majorHAnsi" w:cstheme="majorHAnsi"/>
              </w:rPr>
            </w:pPr>
            <w:r>
              <w:rPr>
                <w:rFonts w:asciiTheme="majorHAnsi" w:hAnsiTheme="majorHAnsi" w:cstheme="majorHAnsi"/>
              </w:rPr>
              <w:t>93,102</w:t>
            </w:r>
          </w:p>
        </w:tc>
        <w:tc>
          <w:tcPr>
            <w:tcW w:w="1356" w:type="dxa"/>
          </w:tcPr>
          <w:p w14:paraId="5DB0B52C" w14:textId="78F45078" w:rsidR="00EC78E4" w:rsidRPr="0012521E" w:rsidRDefault="00EC78E4" w:rsidP="00EC78E4">
            <w:pPr>
              <w:pStyle w:val="Tablerightlarge"/>
              <w:rPr>
                <w:rFonts w:asciiTheme="majorHAnsi" w:hAnsiTheme="majorHAnsi" w:cstheme="majorHAnsi"/>
              </w:rPr>
            </w:pPr>
            <w:r>
              <w:t>86,602</w:t>
            </w:r>
          </w:p>
        </w:tc>
        <w:tc>
          <w:tcPr>
            <w:tcW w:w="1356" w:type="dxa"/>
          </w:tcPr>
          <w:p w14:paraId="5F234002" w14:textId="4FC00C78" w:rsidR="00EC78E4" w:rsidRPr="0012521E" w:rsidRDefault="00EC78E4" w:rsidP="00EC78E4">
            <w:pPr>
              <w:pStyle w:val="Tablerightlarge"/>
              <w:rPr>
                <w:rFonts w:asciiTheme="majorHAnsi" w:hAnsiTheme="majorHAnsi" w:cstheme="majorHAnsi"/>
              </w:rPr>
            </w:pPr>
            <w:r>
              <w:t>83,516</w:t>
            </w:r>
          </w:p>
        </w:tc>
        <w:tc>
          <w:tcPr>
            <w:tcW w:w="1356" w:type="dxa"/>
          </w:tcPr>
          <w:p w14:paraId="665B8390" w14:textId="15AB419F" w:rsidR="00EC78E4" w:rsidRPr="0012521E" w:rsidRDefault="00EC78E4" w:rsidP="00EC78E4">
            <w:pPr>
              <w:pStyle w:val="Tablerightlarge"/>
              <w:rPr>
                <w:rFonts w:asciiTheme="majorHAnsi" w:hAnsiTheme="majorHAnsi" w:cstheme="majorHAnsi"/>
              </w:rPr>
            </w:pPr>
            <w:r>
              <w:t>51,863</w:t>
            </w:r>
          </w:p>
        </w:tc>
        <w:tc>
          <w:tcPr>
            <w:tcW w:w="1356" w:type="dxa"/>
          </w:tcPr>
          <w:p w14:paraId="5FD3084C" w14:textId="6601250F" w:rsidR="00EC78E4" w:rsidRPr="0012521E" w:rsidRDefault="00EC78E4" w:rsidP="00EC78E4">
            <w:pPr>
              <w:pStyle w:val="Tablerightlarge"/>
              <w:rPr>
                <w:rFonts w:asciiTheme="majorHAnsi" w:hAnsiTheme="majorHAnsi" w:cstheme="majorHAnsi"/>
              </w:rPr>
            </w:pPr>
            <w:r>
              <w:t>51,877</w:t>
            </w:r>
          </w:p>
        </w:tc>
      </w:tr>
      <w:tr w:rsidR="00615C43" w:rsidRPr="0012521E" w14:paraId="40E69D9C" w14:textId="77777777" w:rsidTr="00EC78E4">
        <w:tc>
          <w:tcPr>
            <w:tcW w:w="2178" w:type="dxa"/>
          </w:tcPr>
          <w:p w14:paraId="0FF7C2E8" w14:textId="77777777" w:rsidR="00615C43" w:rsidRPr="0012521E" w:rsidRDefault="00615C43" w:rsidP="00615C43">
            <w:pPr>
              <w:pStyle w:val="TableText"/>
              <w:rPr>
                <w:rFonts w:asciiTheme="majorHAnsi" w:hAnsiTheme="majorHAnsi" w:cstheme="majorHAnsi"/>
              </w:rPr>
            </w:pPr>
            <w:r w:rsidRPr="0012521E">
              <w:rPr>
                <w:rFonts w:asciiTheme="majorHAnsi" w:hAnsiTheme="majorHAnsi" w:cstheme="majorHAnsi"/>
              </w:rPr>
              <w:t>Total expenses from transactions</w:t>
            </w:r>
          </w:p>
        </w:tc>
        <w:tc>
          <w:tcPr>
            <w:tcW w:w="1329" w:type="dxa"/>
          </w:tcPr>
          <w:p w14:paraId="2EFCF5E1" w14:textId="0FAF034A" w:rsidR="00615C43" w:rsidRPr="00C217ED" w:rsidRDefault="00AA2254" w:rsidP="00615C43">
            <w:pPr>
              <w:pStyle w:val="Tablerightlarge"/>
              <w:rPr>
                <w:rFonts w:asciiTheme="majorHAnsi" w:hAnsiTheme="majorHAnsi" w:cstheme="majorHAnsi"/>
              </w:rPr>
            </w:pPr>
            <w:r>
              <w:rPr>
                <w:rFonts w:asciiTheme="majorHAnsi" w:hAnsiTheme="majorHAnsi" w:cstheme="majorHAnsi"/>
              </w:rPr>
              <w:t>(</w:t>
            </w:r>
            <w:r w:rsidR="00100E12">
              <w:rPr>
                <w:rFonts w:asciiTheme="majorHAnsi" w:hAnsiTheme="majorHAnsi" w:cstheme="majorHAnsi"/>
              </w:rPr>
              <w:t>89,783)</w:t>
            </w:r>
          </w:p>
        </w:tc>
        <w:tc>
          <w:tcPr>
            <w:tcW w:w="1356" w:type="dxa"/>
          </w:tcPr>
          <w:p w14:paraId="39718A09" w14:textId="54F7A869" w:rsidR="00615C43" w:rsidRPr="0012521E" w:rsidRDefault="00615C43" w:rsidP="00615C43">
            <w:pPr>
              <w:pStyle w:val="Tablerightlarge"/>
              <w:rPr>
                <w:rFonts w:asciiTheme="majorHAnsi" w:hAnsiTheme="majorHAnsi" w:cstheme="majorHAnsi"/>
              </w:rPr>
            </w:pPr>
            <w:r>
              <w:t>(84,244)</w:t>
            </w:r>
          </w:p>
        </w:tc>
        <w:tc>
          <w:tcPr>
            <w:tcW w:w="1356" w:type="dxa"/>
          </w:tcPr>
          <w:p w14:paraId="53C9582E" w14:textId="3C049691" w:rsidR="00615C43" w:rsidRPr="0012521E" w:rsidRDefault="00615C43" w:rsidP="00615C43">
            <w:pPr>
              <w:pStyle w:val="Tablerightlarge"/>
              <w:rPr>
                <w:rFonts w:asciiTheme="majorHAnsi" w:hAnsiTheme="majorHAnsi" w:cstheme="majorHAnsi"/>
              </w:rPr>
            </w:pPr>
            <w:r>
              <w:t>(84,914)</w:t>
            </w:r>
          </w:p>
        </w:tc>
        <w:tc>
          <w:tcPr>
            <w:tcW w:w="1356" w:type="dxa"/>
          </w:tcPr>
          <w:p w14:paraId="6E48BF8A" w14:textId="17110B06" w:rsidR="00615C43" w:rsidRPr="0012521E" w:rsidRDefault="00615C43" w:rsidP="00615C43">
            <w:pPr>
              <w:pStyle w:val="Tablerightlarge"/>
              <w:rPr>
                <w:rFonts w:asciiTheme="majorHAnsi" w:hAnsiTheme="majorHAnsi" w:cstheme="majorHAnsi"/>
              </w:rPr>
            </w:pPr>
            <w:r>
              <w:t>(47,117)</w:t>
            </w:r>
          </w:p>
        </w:tc>
        <w:tc>
          <w:tcPr>
            <w:tcW w:w="1356" w:type="dxa"/>
          </w:tcPr>
          <w:p w14:paraId="77E9015F" w14:textId="03E0B090" w:rsidR="00615C43" w:rsidRPr="0012521E" w:rsidRDefault="00615C43" w:rsidP="00615C43">
            <w:pPr>
              <w:pStyle w:val="Tablerightlarge"/>
              <w:rPr>
                <w:rFonts w:asciiTheme="majorHAnsi" w:hAnsiTheme="majorHAnsi" w:cstheme="majorHAnsi"/>
              </w:rPr>
            </w:pPr>
            <w:r>
              <w:t>(58,116)</w:t>
            </w:r>
          </w:p>
        </w:tc>
      </w:tr>
      <w:tr w:rsidR="00615C43" w:rsidRPr="0012521E" w14:paraId="3B110285" w14:textId="77777777" w:rsidTr="00EC78E4">
        <w:tc>
          <w:tcPr>
            <w:tcW w:w="2178" w:type="dxa"/>
          </w:tcPr>
          <w:p w14:paraId="6A394C80" w14:textId="77777777" w:rsidR="00615C43" w:rsidRPr="0012521E" w:rsidRDefault="00615C43" w:rsidP="00615C43">
            <w:pPr>
              <w:pStyle w:val="TableText"/>
              <w:rPr>
                <w:rFonts w:asciiTheme="majorHAnsi" w:hAnsiTheme="majorHAnsi" w:cstheme="majorHAnsi"/>
              </w:rPr>
            </w:pPr>
            <w:r w:rsidRPr="0012521E">
              <w:rPr>
                <w:rFonts w:asciiTheme="majorHAnsi" w:hAnsiTheme="majorHAnsi" w:cstheme="majorHAnsi"/>
              </w:rPr>
              <w:t>Net result from transactions</w:t>
            </w:r>
          </w:p>
        </w:tc>
        <w:tc>
          <w:tcPr>
            <w:tcW w:w="1329" w:type="dxa"/>
          </w:tcPr>
          <w:p w14:paraId="3338BABE" w14:textId="3B0CD0A0" w:rsidR="00615C43" w:rsidRPr="00C217ED" w:rsidRDefault="00AC5FC7" w:rsidP="00615C43">
            <w:pPr>
              <w:pStyle w:val="Tablerightlarge"/>
              <w:rPr>
                <w:rFonts w:asciiTheme="majorHAnsi" w:hAnsiTheme="majorHAnsi" w:cstheme="majorHAnsi"/>
              </w:rPr>
            </w:pPr>
            <w:r>
              <w:rPr>
                <w:rFonts w:asciiTheme="majorHAnsi" w:hAnsiTheme="majorHAnsi" w:cstheme="majorHAnsi"/>
              </w:rPr>
              <w:t>3,318</w:t>
            </w:r>
          </w:p>
        </w:tc>
        <w:tc>
          <w:tcPr>
            <w:tcW w:w="1356" w:type="dxa"/>
          </w:tcPr>
          <w:p w14:paraId="2260E89C" w14:textId="5DE22D72" w:rsidR="00615C43" w:rsidRPr="0012521E" w:rsidRDefault="00615C43" w:rsidP="00615C43">
            <w:pPr>
              <w:pStyle w:val="Tablerightlarge"/>
              <w:rPr>
                <w:rFonts w:asciiTheme="majorHAnsi" w:hAnsiTheme="majorHAnsi" w:cstheme="majorHAnsi"/>
              </w:rPr>
            </w:pPr>
            <w:r>
              <w:t>2,358</w:t>
            </w:r>
          </w:p>
        </w:tc>
        <w:tc>
          <w:tcPr>
            <w:tcW w:w="1356" w:type="dxa"/>
          </w:tcPr>
          <w:p w14:paraId="7AC87D7D" w14:textId="48F663E7" w:rsidR="00615C43" w:rsidRPr="0012521E" w:rsidRDefault="00615C43" w:rsidP="00615C43">
            <w:pPr>
              <w:pStyle w:val="Tablerightlarge"/>
              <w:rPr>
                <w:rFonts w:asciiTheme="majorHAnsi" w:hAnsiTheme="majorHAnsi" w:cstheme="majorHAnsi"/>
              </w:rPr>
            </w:pPr>
            <w:r>
              <w:t>(1,398)</w:t>
            </w:r>
          </w:p>
        </w:tc>
        <w:tc>
          <w:tcPr>
            <w:tcW w:w="1356" w:type="dxa"/>
          </w:tcPr>
          <w:p w14:paraId="788315EC" w14:textId="2F636791" w:rsidR="00615C43" w:rsidRPr="0012521E" w:rsidRDefault="00615C43" w:rsidP="00615C43">
            <w:pPr>
              <w:pStyle w:val="Tablerightlarge"/>
              <w:rPr>
                <w:rFonts w:asciiTheme="majorHAnsi" w:hAnsiTheme="majorHAnsi" w:cstheme="majorHAnsi"/>
              </w:rPr>
            </w:pPr>
            <w:r>
              <w:t>4,746</w:t>
            </w:r>
          </w:p>
        </w:tc>
        <w:tc>
          <w:tcPr>
            <w:tcW w:w="1356" w:type="dxa"/>
          </w:tcPr>
          <w:p w14:paraId="57ED0621" w14:textId="1388E691" w:rsidR="00615C43" w:rsidRPr="0012521E" w:rsidRDefault="00615C43" w:rsidP="00615C43">
            <w:pPr>
              <w:pStyle w:val="Tablerightlarge"/>
              <w:rPr>
                <w:rFonts w:asciiTheme="majorHAnsi" w:hAnsiTheme="majorHAnsi" w:cstheme="majorHAnsi"/>
              </w:rPr>
            </w:pPr>
            <w:r>
              <w:t>(6,238)</w:t>
            </w:r>
          </w:p>
        </w:tc>
      </w:tr>
      <w:tr w:rsidR="00615C43" w:rsidRPr="0012521E" w14:paraId="508772F3" w14:textId="77777777" w:rsidTr="00EC78E4">
        <w:tc>
          <w:tcPr>
            <w:tcW w:w="2178" w:type="dxa"/>
          </w:tcPr>
          <w:p w14:paraId="169A7CB0" w14:textId="77777777" w:rsidR="00615C43" w:rsidRPr="0012521E" w:rsidRDefault="00615C43" w:rsidP="00615C43">
            <w:pPr>
              <w:pStyle w:val="TableText"/>
              <w:rPr>
                <w:rFonts w:asciiTheme="majorHAnsi" w:hAnsiTheme="majorHAnsi" w:cstheme="majorHAnsi"/>
              </w:rPr>
            </w:pPr>
            <w:r w:rsidRPr="0012521E">
              <w:rPr>
                <w:rFonts w:asciiTheme="majorHAnsi" w:hAnsiTheme="majorHAnsi" w:cstheme="majorHAnsi"/>
              </w:rPr>
              <w:t>Net result for the period</w:t>
            </w:r>
          </w:p>
        </w:tc>
        <w:tc>
          <w:tcPr>
            <w:tcW w:w="1329" w:type="dxa"/>
          </w:tcPr>
          <w:p w14:paraId="3FAE33A5" w14:textId="1E25EE67" w:rsidR="00615C43" w:rsidRPr="00C217ED" w:rsidRDefault="00AC5FC7" w:rsidP="00615C43">
            <w:pPr>
              <w:pStyle w:val="Tablerightlarge"/>
              <w:rPr>
                <w:rFonts w:asciiTheme="majorHAnsi" w:hAnsiTheme="majorHAnsi" w:cstheme="majorHAnsi"/>
              </w:rPr>
            </w:pPr>
            <w:r>
              <w:rPr>
                <w:rFonts w:asciiTheme="majorHAnsi" w:hAnsiTheme="majorHAnsi" w:cstheme="majorHAnsi"/>
              </w:rPr>
              <w:t>1,187</w:t>
            </w:r>
          </w:p>
        </w:tc>
        <w:tc>
          <w:tcPr>
            <w:tcW w:w="1356" w:type="dxa"/>
          </w:tcPr>
          <w:p w14:paraId="19001444" w14:textId="060207B2" w:rsidR="00615C43" w:rsidRPr="0012521E" w:rsidRDefault="00615C43" w:rsidP="00615C43">
            <w:pPr>
              <w:pStyle w:val="Tablerightlarge"/>
              <w:rPr>
                <w:rFonts w:asciiTheme="majorHAnsi" w:hAnsiTheme="majorHAnsi" w:cstheme="majorHAnsi"/>
              </w:rPr>
            </w:pPr>
            <w:r>
              <w:t>2,545</w:t>
            </w:r>
          </w:p>
        </w:tc>
        <w:tc>
          <w:tcPr>
            <w:tcW w:w="1356" w:type="dxa"/>
          </w:tcPr>
          <w:p w14:paraId="33162795" w14:textId="16EDE1ED" w:rsidR="00615C43" w:rsidRPr="0012521E" w:rsidRDefault="00615C43" w:rsidP="00615C43">
            <w:pPr>
              <w:pStyle w:val="Tablerightlarge"/>
              <w:rPr>
                <w:rFonts w:asciiTheme="majorHAnsi" w:hAnsiTheme="majorHAnsi" w:cstheme="majorHAnsi"/>
              </w:rPr>
            </w:pPr>
            <w:r>
              <w:t>(997)</w:t>
            </w:r>
          </w:p>
        </w:tc>
        <w:tc>
          <w:tcPr>
            <w:tcW w:w="1356" w:type="dxa"/>
          </w:tcPr>
          <w:p w14:paraId="73F93F6A" w14:textId="3F0105A8" w:rsidR="00615C43" w:rsidRPr="0012521E" w:rsidRDefault="00615C43" w:rsidP="00615C43">
            <w:pPr>
              <w:pStyle w:val="Tablerightlarge"/>
              <w:rPr>
                <w:rFonts w:asciiTheme="majorHAnsi" w:hAnsiTheme="majorHAnsi" w:cstheme="majorHAnsi"/>
              </w:rPr>
            </w:pPr>
            <w:r>
              <w:t>4,646</w:t>
            </w:r>
          </w:p>
        </w:tc>
        <w:tc>
          <w:tcPr>
            <w:tcW w:w="1356" w:type="dxa"/>
          </w:tcPr>
          <w:p w14:paraId="3C02BFDE" w14:textId="2542DF97" w:rsidR="00615C43" w:rsidRPr="0012521E" w:rsidRDefault="00615C43" w:rsidP="00615C43">
            <w:pPr>
              <w:pStyle w:val="Tablerightlarge"/>
              <w:rPr>
                <w:rFonts w:asciiTheme="majorHAnsi" w:hAnsiTheme="majorHAnsi" w:cstheme="majorHAnsi"/>
              </w:rPr>
            </w:pPr>
            <w:r>
              <w:t>(6,223)</w:t>
            </w:r>
          </w:p>
        </w:tc>
      </w:tr>
      <w:tr w:rsidR="00615C43" w:rsidRPr="0012521E" w14:paraId="2E432BF3" w14:textId="77777777" w:rsidTr="00EC78E4">
        <w:tc>
          <w:tcPr>
            <w:tcW w:w="2178" w:type="dxa"/>
          </w:tcPr>
          <w:p w14:paraId="7751C32B" w14:textId="77777777" w:rsidR="00615C43" w:rsidRPr="0012521E" w:rsidRDefault="00615C43" w:rsidP="00615C43">
            <w:pPr>
              <w:pStyle w:val="TableText"/>
              <w:rPr>
                <w:rFonts w:asciiTheme="majorHAnsi" w:hAnsiTheme="majorHAnsi" w:cstheme="majorHAnsi"/>
              </w:rPr>
            </w:pPr>
            <w:r w:rsidRPr="0012521E">
              <w:rPr>
                <w:rFonts w:asciiTheme="majorHAnsi" w:hAnsiTheme="majorHAnsi" w:cstheme="majorHAnsi"/>
              </w:rPr>
              <w:t>Net cashflow from operating activities</w:t>
            </w:r>
          </w:p>
        </w:tc>
        <w:tc>
          <w:tcPr>
            <w:tcW w:w="1329" w:type="dxa"/>
          </w:tcPr>
          <w:p w14:paraId="16B9423C" w14:textId="0608A396" w:rsidR="00615C43" w:rsidRPr="00C217ED" w:rsidRDefault="0023706C" w:rsidP="00615C43">
            <w:pPr>
              <w:pStyle w:val="Tablerightlarge"/>
              <w:rPr>
                <w:rFonts w:asciiTheme="majorHAnsi" w:hAnsiTheme="majorHAnsi" w:cstheme="majorHAnsi"/>
              </w:rPr>
            </w:pPr>
            <w:r>
              <w:rPr>
                <w:rFonts w:asciiTheme="majorHAnsi" w:hAnsiTheme="majorHAnsi" w:cstheme="majorHAnsi"/>
              </w:rPr>
              <w:t>8,108</w:t>
            </w:r>
          </w:p>
        </w:tc>
        <w:tc>
          <w:tcPr>
            <w:tcW w:w="1356" w:type="dxa"/>
          </w:tcPr>
          <w:p w14:paraId="5C2EA3C7" w14:textId="11886A5E" w:rsidR="00615C43" w:rsidRPr="0012521E" w:rsidRDefault="00615C43" w:rsidP="00615C43">
            <w:pPr>
              <w:pStyle w:val="Tablerightlarge"/>
              <w:rPr>
                <w:rFonts w:asciiTheme="majorHAnsi" w:hAnsiTheme="majorHAnsi" w:cstheme="majorHAnsi"/>
              </w:rPr>
            </w:pPr>
            <w:r>
              <w:t>(19,247)</w:t>
            </w:r>
          </w:p>
        </w:tc>
        <w:tc>
          <w:tcPr>
            <w:tcW w:w="1356" w:type="dxa"/>
          </w:tcPr>
          <w:p w14:paraId="044DFB0A" w14:textId="396548B4" w:rsidR="00615C43" w:rsidRPr="0012521E" w:rsidRDefault="00615C43" w:rsidP="00615C43">
            <w:pPr>
              <w:pStyle w:val="Tablerightlarge"/>
              <w:rPr>
                <w:rFonts w:asciiTheme="majorHAnsi" w:hAnsiTheme="majorHAnsi" w:cstheme="majorHAnsi"/>
              </w:rPr>
            </w:pPr>
            <w:r w:rsidRPr="005E4ADD">
              <w:t>22,816</w:t>
            </w:r>
          </w:p>
        </w:tc>
        <w:tc>
          <w:tcPr>
            <w:tcW w:w="1356" w:type="dxa"/>
          </w:tcPr>
          <w:p w14:paraId="3EA457C5" w14:textId="7DA2EFD6" w:rsidR="00615C43" w:rsidRPr="0012521E" w:rsidRDefault="00615C43" w:rsidP="00615C43">
            <w:pPr>
              <w:pStyle w:val="Tablerightlarge"/>
              <w:rPr>
                <w:rFonts w:asciiTheme="majorHAnsi" w:hAnsiTheme="majorHAnsi" w:cstheme="majorHAnsi"/>
              </w:rPr>
            </w:pPr>
            <w:r>
              <w:t>28,929</w:t>
            </w:r>
          </w:p>
        </w:tc>
        <w:tc>
          <w:tcPr>
            <w:tcW w:w="1356" w:type="dxa"/>
          </w:tcPr>
          <w:p w14:paraId="41C7EFB1" w14:textId="6ED7EBC3" w:rsidR="00615C43" w:rsidRPr="0012521E" w:rsidRDefault="00615C43" w:rsidP="00615C43">
            <w:pPr>
              <w:pStyle w:val="Tablerightlarge"/>
              <w:rPr>
                <w:rFonts w:asciiTheme="majorHAnsi" w:hAnsiTheme="majorHAnsi" w:cstheme="majorHAnsi"/>
              </w:rPr>
            </w:pPr>
            <w:r>
              <w:t>(20,779)</w:t>
            </w:r>
          </w:p>
        </w:tc>
      </w:tr>
      <w:tr w:rsidR="00615C43" w:rsidRPr="0012521E" w14:paraId="125AA2BF" w14:textId="77777777" w:rsidTr="00EC78E4">
        <w:tc>
          <w:tcPr>
            <w:tcW w:w="2178" w:type="dxa"/>
          </w:tcPr>
          <w:p w14:paraId="61F9CA2A" w14:textId="77777777" w:rsidR="00615C43" w:rsidRPr="0012521E" w:rsidRDefault="00615C43" w:rsidP="00615C43">
            <w:pPr>
              <w:pStyle w:val="TableText"/>
              <w:rPr>
                <w:rFonts w:asciiTheme="majorHAnsi" w:hAnsiTheme="majorHAnsi" w:cstheme="majorHAnsi"/>
              </w:rPr>
            </w:pPr>
            <w:r w:rsidRPr="0012521E">
              <w:rPr>
                <w:rFonts w:asciiTheme="majorHAnsi" w:hAnsiTheme="majorHAnsi" w:cstheme="majorHAnsi"/>
              </w:rPr>
              <w:t>Total assets</w:t>
            </w:r>
          </w:p>
        </w:tc>
        <w:tc>
          <w:tcPr>
            <w:tcW w:w="1329" w:type="dxa"/>
          </w:tcPr>
          <w:p w14:paraId="46CD92A3" w14:textId="39B7F41F" w:rsidR="00615C43" w:rsidRPr="00C217ED" w:rsidRDefault="0023706C" w:rsidP="00615C43">
            <w:pPr>
              <w:pStyle w:val="Tablerightlarge"/>
              <w:rPr>
                <w:rFonts w:asciiTheme="majorHAnsi" w:hAnsiTheme="majorHAnsi" w:cstheme="majorHAnsi"/>
              </w:rPr>
            </w:pPr>
            <w:r>
              <w:rPr>
                <w:rFonts w:asciiTheme="majorHAnsi" w:hAnsiTheme="majorHAnsi" w:cstheme="majorHAnsi"/>
              </w:rPr>
              <w:t>101,438</w:t>
            </w:r>
          </w:p>
        </w:tc>
        <w:tc>
          <w:tcPr>
            <w:tcW w:w="1356" w:type="dxa"/>
          </w:tcPr>
          <w:p w14:paraId="577F47D6" w14:textId="6C7C7DF7" w:rsidR="00615C43" w:rsidRPr="0012521E" w:rsidRDefault="00615C43" w:rsidP="00615C43">
            <w:pPr>
              <w:pStyle w:val="Tablerightlarge"/>
              <w:rPr>
                <w:rFonts w:asciiTheme="majorHAnsi" w:hAnsiTheme="majorHAnsi" w:cstheme="majorHAnsi"/>
              </w:rPr>
            </w:pPr>
            <w:r w:rsidRPr="004E4BFA">
              <w:t>109,182</w:t>
            </w:r>
          </w:p>
        </w:tc>
        <w:tc>
          <w:tcPr>
            <w:tcW w:w="1356" w:type="dxa"/>
          </w:tcPr>
          <w:p w14:paraId="48F3C7AA" w14:textId="7EF95CBF" w:rsidR="00615C43" w:rsidRPr="0012521E" w:rsidRDefault="00615C43" w:rsidP="00615C43">
            <w:pPr>
              <w:pStyle w:val="Tablerightlarge"/>
              <w:rPr>
                <w:rFonts w:asciiTheme="majorHAnsi" w:hAnsiTheme="majorHAnsi" w:cstheme="majorHAnsi"/>
              </w:rPr>
            </w:pPr>
            <w:r w:rsidRPr="004E4BFA">
              <w:t>127,175</w:t>
            </w:r>
          </w:p>
        </w:tc>
        <w:tc>
          <w:tcPr>
            <w:tcW w:w="1356" w:type="dxa"/>
          </w:tcPr>
          <w:p w14:paraId="4B3FA650" w14:textId="3F67FA81" w:rsidR="00615C43" w:rsidRPr="0012521E" w:rsidRDefault="00615C43" w:rsidP="00615C43">
            <w:pPr>
              <w:pStyle w:val="Tablerightlarge"/>
              <w:rPr>
                <w:rFonts w:asciiTheme="majorHAnsi" w:hAnsiTheme="majorHAnsi" w:cstheme="majorHAnsi"/>
              </w:rPr>
            </w:pPr>
            <w:r w:rsidRPr="004E4BFA">
              <w:t>93,897</w:t>
            </w:r>
          </w:p>
        </w:tc>
        <w:tc>
          <w:tcPr>
            <w:tcW w:w="1356" w:type="dxa"/>
          </w:tcPr>
          <w:p w14:paraId="63DC37EE" w14:textId="13020F17" w:rsidR="00615C43" w:rsidRPr="0012521E" w:rsidRDefault="00615C43" w:rsidP="00615C43">
            <w:pPr>
              <w:pStyle w:val="Tablerightlarge"/>
              <w:rPr>
                <w:rFonts w:asciiTheme="majorHAnsi" w:hAnsiTheme="majorHAnsi" w:cstheme="majorHAnsi"/>
              </w:rPr>
            </w:pPr>
            <w:r w:rsidRPr="004E4BFA">
              <w:t>52,614</w:t>
            </w:r>
          </w:p>
        </w:tc>
      </w:tr>
      <w:tr w:rsidR="00615C43" w:rsidRPr="0012521E" w14:paraId="741BE259" w14:textId="77777777" w:rsidTr="00EC78E4">
        <w:tc>
          <w:tcPr>
            <w:tcW w:w="2178" w:type="dxa"/>
          </w:tcPr>
          <w:p w14:paraId="3A222179" w14:textId="77777777" w:rsidR="00615C43" w:rsidRPr="0012521E" w:rsidRDefault="00615C43" w:rsidP="00615C43">
            <w:pPr>
              <w:pStyle w:val="TableText"/>
              <w:rPr>
                <w:rFonts w:asciiTheme="majorHAnsi" w:hAnsiTheme="majorHAnsi" w:cstheme="majorHAnsi"/>
              </w:rPr>
            </w:pPr>
            <w:r w:rsidRPr="0012521E">
              <w:rPr>
                <w:rFonts w:asciiTheme="majorHAnsi" w:hAnsiTheme="majorHAnsi" w:cstheme="majorHAnsi"/>
              </w:rPr>
              <w:t>Total liabilities</w:t>
            </w:r>
          </w:p>
        </w:tc>
        <w:tc>
          <w:tcPr>
            <w:tcW w:w="1329" w:type="dxa"/>
          </w:tcPr>
          <w:p w14:paraId="4A6AFF9D" w14:textId="345F0659" w:rsidR="00615C43" w:rsidRPr="00C217ED" w:rsidRDefault="00351156" w:rsidP="00615C43">
            <w:pPr>
              <w:pStyle w:val="Tablerightlarge"/>
              <w:rPr>
                <w:rFonts w:asciiTheme="majorHAnsi" w:hAnsiTheme="majorHAnsi" w:cstheme="majorHAnsi"/>
              </w:rPr>
            </w:pPr>
            <w:r>
              <w:rPr>
                <w:rFonts w:asciiTheme="majorHAnsi" w:hAnsiTheme="majorHAnsi" w:cstheme="majorHAnsi"/>
              </w:rPr>
              <w:t>(79,970)</w:t>
            </w:r>
          </w:p>
        </w:tc>
        <w:tc>
          <w:tcPr>
            <w:tcW w:w="1356" w:type="dxa"/>
          </w:tcPr>
          <w:p w14:paraId="05DD1004" w14:textId="5109B23B" w:rsidR="00615C43" w:rsidRPr="0012521E" w:rsidRDefault="00615C43" w:rsidP="00615C43">
            <w:pPr>
              <w:pStyle w:val="Tablerightlarge"/>
              <w:rPr>
                <w:rFonts w:asciiTheme="majorHAnsi" w:hAnsiTheme="majorHAnsi" w:cstheme="majorHAnsi"/>
              </w:rPr>
            </w:pPr>
            <w:r w:rsidRPr="004E4BFA">
              <w:t>(82,839)</w:t>
            </w:r>
          </w:p>
        </w:tc>
        <w:tc>
          <w:tcPr>
            <w:tcW w:w="1356" w:type="dxa"/>
          </w:tcPr>
          <w:p w14:paraId="0CBC2519" w14:textId="7C076935" w:rsidR="00615C43" w:rsidRPr="0012521E" w:rsidRDefault="00615C43" w:rsidP="00615C43">
            <w:pPr>
              <w:pStyle w:val="Tablerightlarge"/>
              <w:rPr>
                <w:rFonts w:asciiTheme="majorHAnsi" w:hAnsiTheme="majorHAnsi" w:cstheme="majorHAnsi"/>
              </w:rPr>
            </w:pPr>
            <w:r w:rsidRPr="004E4BFA">
              <w:t>(104,439)</w:t>
            </w:r>
          </w:p>
        </w:tc>
        <w:tc>
          <w:tcPr>
            <w:tcW w:w="1356" w:type="dxa"/>
          </w:tcPr>
          <w:p w14:paraId="28E7FA0A" w14:textId="435C060C" w:rsidR="00615C43" w:rsidRPr="0012521E" w:rsidRDefault="00615C43" w:rsidP="00615C43">
            <w:pPr>
              <w:pStyle w:val="Tablerightlarge"/>
              <w:rPr>
                <w:rFonts w:asciiTheme="majorHAnsi" w:hAnsiTheme="majorHAnsi" w:cstheme="majorHAnsi"/>
              </w:rPr>
            </w:pPr>
            <w:r w:rsidRPr="004E4BFA">
              <w:t>(70,164)</w:t>
            </w:r>
          </w:p>
        </w:tc>
        <w:tc>
          <w:tcPr>
            <w:tcW w:w="1356" w:type="dxa"/>
          </w:tcPr>
          <w:p w14:paraId="66700FD2" w14:textId="3C60D480" w:rsidR="00615C43" w:rsidRPr="0012521E" w:rsidRDefault="00615C43" w:rsidP="00615C43">
            <w:pPr>
              <w:pStyle w:val="Tablerightlarge"/>
              <w:rPr>
                <w:rFonts w:asciiTheme="majorHAnsi" w:hAnsiTheme="majorHAnsi" w:cstheme="majorHAnsi"/>
              </w:rPr>
            </w:pPr>
            <w:r w:rsidRPr="004E4BFA">
              <w:t>(33,527)</w:t>
            </w:r>
          </w:p>
        </w:tc>
      </w:tr>
    </w:tbl>
    <w:p w14:paraId="6CC76238" w14:textId="77777777" w:rsidR="00D5357D" w:rsidRPr="0012521E" w:rsidRDefault="00D5357D" w:rsidP="00D5357D">
      <w:pPr>
        <w:pStyle w:val="Heading2"/>
      </w:pPr>
      <w:bookmarkStart w:id="75" w:name="_Toc166585700"/>
      <w:r w:rsidRPr="0012521E">
        <w:t>Current year financial review</w:t>
      </w:r>
      <w:bookmarkEnd w:id="75"/>
    </w:p>
    <w:p w14:paraId="38100225" w14:textId="77777777" w:rsidR="00D5357D" w:rsidRPr="0012521E" w:rsidRDefault="00D5357D" w:rsidP="00126908">
      <w:pPr>
        <w:pStyle w:val="Heading3"/>
      </w:pPr>
      <w:bookmarkStart w:id="76" w:name="_Toc166585701"/>
      <w:r w:rsidRPr="0012521E">
        <w:t>Overview</w:t>
      </w:r>
      <w:bookmarkEnd w:id="76"/>
    </w:p>
    <w:p w14:paraId="592F0C66" w14:textId="77777777" w:rsidR="00D5357D" w:rsidRPr="0012521E" w:rsidRDefault="00D5357D" w:rsidP="00105389">
      <w:pPr>
        <w:pStyle w:val="Body"/>
      </w:pPr>
      <w:r w:rsidRPr="0012521E">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 prices and other changes in the volume of assets shown under ‘other economic flows’ on the comprehensive operating statement, which are outside the control of the agency.</w:t>
      </w:r>
    </w:p>
    <w:p w14:paraId="7CFB7F6A" w14:textId="77777777" w:rsidR="00D5357D" w:rsidRPr="00C217ED" w:rsidRDefault="00D5357D" w:rsidP="00126908">
      <w:pPr>
        <w:pStyle w:val="Heading3"/>
      </w:pPr>
      <w:bookmarkStart w:id="77" w:name="_Toc166585702"/>
      <w:r w:rsidRPr="00C217ED">
        <w:t>Financial performance and business review</w:t>
      </w:r>
      <w:bookmarkEnd w:id="77"/>
    </w:p>
    <w:p w14:paraId="575407F5" w14:textId="4A004230" w:rsidR="00D5357D" w:rsidRPr="00C217ED" w:rsidRDefault="00D5357D" w:rsidP="00105389">
      <w:pPr>
        <w:pStyle w:val="Body"/>
      </w:pPr>
      <w:r w:rsidRPr="00C217ED">
        <w:t xml:space="preserve">In </w:t>
      </w:r>
      <w:r w:rsidR="33048B6C">
        <w:t>202</w:t>
      </w:r>
      <w:r w:rsidR="238152E5">
        <w:t>3</w:t>
      </w:r>
      <w:r w:rsidR="33048B6C">
        <w:t>–2</w:t>
      </w:r>
      <w:r w:rsidR="1F71F55C">
        <w:t>4</w:t>
      </w:r>
      <w:r w:rsidRPr="00C217ED">
        <w:t xml:space="preserve">, SV recorded a net result from transactions of a </w:t>
      </w:r>
      <w:r w:rsidRPr="004676AA">
        <w:t>surplus</w:t>
      </w:r>
      <w:r w:rsidRPr="00C217ED">
        <w:t xml:space="preserve"> of $</w:t>
      </w:r>
      <w:r w:rsidR="003F3DE6">
        <w:t>3</w:t>
      </w:r>
      <w:r w:rsidR="00DB66A7">
        <w:t>.</w:t>
      </w:r>
      <w:r w:rsidR="00A34482">
        <w:t>32</w:t>
      </w:r>
      <w:r w:rsidRPr="00C217ED">
        <w:t xml:space="preserve"> million, which is an increase of $</w:t>
      </w:r>
      <w:r w:rsidR="00C70653">
        <w:t>0.96</w:t>
      </w:r>
      <w:r w:rsidRPr="00C217ED">
        <w:t xml:space="preserve"> million compared to 202</w:t>
      </w:r>
      <w:r w:rsidR="0073370C" w:rsidRPr="00C217ED">
        <w:t>2</w:t>
      </w:r>
      <w:r w:rsidRPr="00C217ED">
        <w:t>–2</w:t>
      </w:r>
      <w:r w:rsidR="0073370C" w:rsidRPr="00C217ED">
        <w:t>3</w:t>
      </w:r>
      <w:r w:rsidRPr="00C217ED">
        <w:t>. Income from transactions increased by $</w:t>
      </w:r>
      <w:r w:rsidR="005C0267">
        <w:t>6.50</w:t>
      </w:r>
      <w:r w:rsidR="0073370C" w:rsidRPr="00C217ED">
        <w:t xml:space="preserve"> </w:t>
      </w:r>
      <w:r w:rsidRPr="00C217ED">
        <w:t>million (</w:t>
      </w:r>
      <w:r w:rsidR="005C0267">
        <w:t>8</w:t>
      </w:r>
      <w:r w:rsidRPr="00C217ED">
        <w:t xml:space="preserve">%) and total expenses from transactions </w:t>
      </w:r>
      <w:r w:rsidR="00120F42" w:rsidRPr="004676AA">
        <w:t>increased</w:t>
      </w:r>
      <w:r w:rsidRPr="00C217ED">
        <w:t xml:space="preserve"> $</w:t>
      </w:r>
      <w:r w:rsidR="000E7244">
        <w:t>5.5</w:t>
      </w:r>
      <w:r w:rsidR="00D426A5">
        <w:t>4</w:t>
      </w:r>
      <w:r w:rsidRPr="00C217ED">
        <w:t xml:space="preserve"> million (</w:t>
      </w:r>
      <w:r w:rsidR="00A615A3">
        <w:t>7</w:t>
      </w:r>
      <w:r w:rsidRPr="00C217ED">
        <w:t>%).</w:t>
      </w:r>
    </w:p>
    <w:p w14:paraId="4DC224FC" w14:textId="77777777" w:rsidR="00D5357D" w:rsidRPr="00C217ED" w:rsidRDefault="00D5357D" w:rsidP="00126908">
      <w:pPr>
        <w:pStyle w:val="Heading3"/>
      </w:pPr>
      <w:bookmarkStart w:id="78" w:name="_Toc166585703"/>
      <w:r w:rsidRPr="00C217ED">
        <w:t>Financial position – balance sheet</w:t>
      </w:r>
      <w:bookmarkEnd w:id="78"/>
    </w:p>
    <w:p w14:paraId="2C11AF5D" w14:textId="600FB262" w:rsidR="00D5357D" w:rsidRPr="00C217ED" w:rsidRDefault="00D5357D" w:rsidP="00D5357D">
      <w:pPr>
        <w:rPr>
          <w:rFonts w:asciiTheme="majorHAnsi" w:hAnsiTheme="majorHAnsi" w:cstheme="majorHAnsi"/>
        </w:rPr>
      </w:pPr>
      <w:r w:rsidRPr="00C217ED">
        <w:rPr>
          <w:rFonts w:asciiTheme="majorHAnsi" w:hAnsiTheme="majorHAnsi" w:cstheme="majorHAnsi"/>
        </w:rPr>
        <w:t xml:space="preserve">Total assets </w:t>
      </w:r>
      <w:r w:rsidRPr="004F5852">
        <w:rPr>
          <w:rFonts w:asciiTheme="majorHAnsi" w:hAnsiTheme="majorHAnsi" w:cstheme="majorHAnsi"/>
        </w:rPr>
        <w:t>decreased</w:t>
      </w:r>
      <w:r w:rsidRPr="00C217ED">
        <w:rPr>
          <w:rFonts w:asciiTheme="majorHAnsi" w:hAnsiTheme="majorHAnsi" w:cstheme="majorHAnsi"/>
        </w:rPr>
        <w:t xml:space="preserve"> by $</w:t>
      </w:r>
      <w:r w:rsidR="00D524EA">
        <w:rPr>
          <w:rFonts w:asciiTheme="majorHAnsi" w:hAnsiTheme="majorHAnsi" w:cstheme="majorHAnsi"/>
        </w:rPr>
        <w:t>7.74</w:t>
      </w:r>
      <w:r w:rsidRPr="00C217ED">
        <w:rPr>
          <w:rFonts w:asciiTheme="majorHAnsi" w:hAnsiTheme="majorHAnsi" w:cstheme="majorHAnsi"/>
        </w:rPr>
        <w:t xml:space="preserve"> million and total liabilities decreased by $</w:t>
      </w:r>
      <w:r w:rsidR="00760080">
        <w:rPr>
          <w:rFonts w:asciiTheme="majorHAnsi" w:hAnsiTheme="majorHAnsi" w:cstheme="majorHAnsi"/>
        </w:rPr>
        <w:t>7.87</w:t>
      </w:r>
      <w:r w:rsidRPr="00C217ED">
        <w:rPr>
          <w:rFonts w:asciiTheme="majorHAnsi" w:hAnsiTheme="majorHAnsi" w:cstheme="majorHAnsi"/>
        </w:rPr>
        <w:t xml:space="preserve"> million compared to the prior year.</w:t>
      </w:r>
    </w:p>
    <w:p w14:paraId="3D815821" w14:textId="77777777" w:rsidR="00D5357D" w:rsidRPr="00C217ED" w:rsidRDefault="00D5357D" w:rsidP="00126908">
      <w:pPr>
        <w:pStyle w:val="Heading3"/>
      </w:pPr>
      <w:bookmarkStart w:id="79" w:name="_Toc166585704"/>
      <w:r w:rsidRPr="00C217ED">
        <w:t>Cash flows</w:t>
      </w:r>
      <w:bookmarkEnd w:id="79"/>
    </w:p>
    <w:p w14:paraId="261EBF8F" w14:textId="3B91795B" w:rsidR="00D5357D" w:rsidRPr="00C217ED" w:rsidRDefault="00D5357D" w:rsidP="00105389">
      <w:pPr>
        <w:pStyle w:val="Body"/>
      </w:pPr>
      <w:r w:rsidRPr="00C217ED">
        <w:t xml:space="preserve">SV has in place a Financial Sustainability Strategy which seeks to ensure the organisation’s financial sustainability and maintain an adequate financial buffer in the out years. SV generated an operating cash </w:t>
      </w:r>
      <w:r w:rsidR="0095697D">
        <w:t>inflow</w:t>
      </w:r>
      <w:r w:rsidRPr="00C217ED">
        <w:t xml:space="preserve"> of $</w:t>
      </w:r>
      <w:r w:rsidR="00C615EE">
        <w:t>8.11</w:t>
      </w:r>
      <w:r w:rsidRPr="00C217ED">
        <w:t xml:space="preserve"> million during the year (202</w:t>
      </w:r>
      <w:r w:rsidR="00E62553" w:rsidRPr="00C217ED">
        <w:t>3</w:t>
      </w:r>
      <w:r w:rsidRPr="00C217ED">
        <w:t>–2</w:t>
      </w:r>
      <w:r w:rsidR="00E62553" w:rsidRPr="00C217ED">
        <w:t>4</w:t>
      </w:r>
      <w:r w:rsidRPr="00C217ED">
        <w:t xml:space="preserve">: operating cash </w:t>
      </w:r>
      <w:r w:rsidR="00AF5AD4">
        <w:t>out</w:t>
      </w:r>
      <w:r w:rsidRPr="00C217ED">
        <w:t>flow of $</w:t>
      </w:r>
      <w:r w:rsidR="00C40021">
        <w:t>19.25</w:t>
      </w:r>
      <w:r w:rsidRPr="00C217ED">
        <w:t xml:space="preserve"> million) attributable to project activities which are funded in advance of expenditure.</w:t>
      </w:r>
    </w:p>
    <w:p w14:paraId="04A79510" w14:textId="3AE28896" w:rsidR="00D5357D" w:rsidRPr="00C217ED" w:rsidRDefault="00D5357D" w:rsidP="00105389">
      <w:pPr>
        <w:pStyle w:val="Body"/>
      </w:pPr>
      <w:r w:rsidRPr="00C217ED">
        <w:lastRenderedPageBreak/>
        <w:t>SV maintains a cash reserve of $</w:t>
      </w:r>
      <w:r w:rsidR="00034BE1">
        <w:t>6.0</w:t>
      </w:r>
      <w:r w:rsidRPr="00C217ED">
        <w:t xml:space="preserve"> million as contingency.</w:t>
      </w:r>
    </w:p>
    <w:p w14:paraId="2C0E3E90" w14:textId="77777777" w:rsidR="00D5357D" w:rsidRPr="00C217ED" w:rsidRDefault="00D5357D" w:rsidP="00126908">
      <w:pPr>
        <w:pStyle w:val="Heading3"/>
      </w:pPr>
      <w:bookmarkStart w:id="80" w:name="_Toc166585705"/>
      <w:r w:rsidRPr="00C217ED">
        <w:t>Significant changes in financial position</w:t>
      </w:r>
      <w:bookmarkEnd w:id="80"/>
    </w:p>
    <w:p w14:paraId="3982D32F" w14:textId="77777777" w:rsidR="00D5357D" w:rsidRPr="00C217ED" w:rsidRDefault="00D5357D" w:rsidP="00105389">
      <w:pPr>
        <w:pStyle w:val="Body"/>
      </w:pPr>
      <w:r w:rsidRPr="00C217ED">
        <w:t>There are no significant changes in financial position to report.</w:t>
      </w:r>
    </w:p>
    <w:p w14:paraId="6AEC86BE" w14:textId="77777777" w:rsidR="00D5357D" w:rsidRPr="00C217ED" w:rsidRDefault="00D5357D" w:rsidP="00126908">
      <w:pPr>
        <w:pStyle w:val="Heading3"/>
      </w:pPr>
      <w:bookmarkStart w:id="81" w:name="_Toc166585706"/>
      <w:r w:rsidRPr="00C217ED">
        <w:t>Significant changes or factors affecting performance</w:t>
      </w:r>
      <w:bookmarkEnd w:id="81"/>
    </w:p>
    <w:p w14:paraId="0EFA0A9B" w14:textId="77777777" w:rsidR="00D5357D" w:rsidRPr="00C217ED" w:rsidRDefault="00D5357D" w:rsidP="00105389">
      <w:pPr>
        <w:pStyle w:val="Body"/>
      </w:pPr>
      <w:r w:rsidRPr="00C217ED">
        <w:t>There are no changes or factors affecting performance to report.</w:t>
      </w:r>
    </w:p>
    <w:p w14:paraId="29759F39" w14:textId="77777777" w:rsidR="00D5357D" w:rsidRPr="00C217ED" w:rsidRDefault="00D5357D" w:rsidP="00126908">
      <w:pPr>
        <w:pStyle w:val="Heading3"/>
      </w:pPr>
      <w:bookmarkStart w:id="82" w:name="_Toc166585707"/>
      <w:r w:rsidRPr="00C217ED">
        <w:t>Capital projects</w:t>
      </w:r>
      <w:bookmarkEnd w:id="82"/>
    </w:p>
    <w:p w14:paraId="206A090D" w14:textId="7275940B" w:rsidR="00D5357D" w:rsidRPr="00C217ED" w:rsidRDefault="00D5357D" w:rsidP="00105389">
      <w:pPr>
        <w:pStyle w:val="Body"/>
      </w:pPr>
      <w:r w:rsidRPr="00C217ED">
        <w:t>In 202</w:t>
      </w:r>
      <w:r w:rsidR="00F64915" w:rsidRPr="00C217ED">
        <w:t>3</w:t>
      </w:r>
      <w:r w:rsidRPr="00C217ED">
        <w:t>–2</w:t>
      </w:r>
      <w:r w:rsidR="00F64915" w:rsidRPr="00C217ED">
        <w:t>4</w:t>
      </w:r>
      <w:r w:rsidRPr="00C217ED">
        <w:t>, SV did not have any capital projects with a total estimated investment of $10 million or more</w:t>
      </w:r>
      <w:r w:rsidR="00F64915" w:rsidRPr="00C217ED">
        <w:t>.</w:t>
      </w:r>
    </w:p>
    <w:p w14:paraId="1EEA0C2B" w14:textId="77777777" w:rsidR="00D5357D" w:rsidRPr="00C217ED" w:rsidRDefault="00D5357D" w:rsidP="00126908">
      <w:pPr>
        <w:pStyle w:val="Heading3"/>
      </w:pPr>
      <w:bookmarkStart w:id="83" w:name="_Toc166585708"/>
      <w:r w:rsidRPr="00C217ED">
        <w:t>Disclosure of grants and transfer payments</w:t>
      </w:r>
      <w:bookmarkEnd w:id="83"/>
    </w:p>
    <w:p w14:paraId="13E19C4C" w14:textId="77777777" w:rsidR="00D5357D" w:rsidRPr="00C217ED" w:rsidRDefault="00D5357D" w:rsidP="00105389">
      <w:pPr>
        <w:pStyle w:val="Body"/>
      </w:pPr>
      <w:r w:rsidRPr="00C217ED">
        <w:t>Please refer to Appendix 3.</w:t>
      </w:r>
    </w:p>
    <w:p w14:paraId="5135DECF" w14:textId="77777777" w:rsidR="00D5357D" w:rsidRPr="00C217ED" w:rsidRDefault="00D5357D" w:rsidP="00126908">
      <w:pPr>
        <w:pStyle w:val="Heading3"/>
      </w:pPr>
      <w:bookmarkStart w:id="84" w:name="_Toc166585709"/>
      <w:r w:rsidRPr="00C217ED">
        <w:t>Subsequent events</w:t>
      </w:r>
      <w:bookmarkEnd w:id="84"/>
    </w:p>
    <w:p w14:paraId="5BABFBC3" w14:textId="7B45F183" w:rsidR="007A68AF" w:rsidRPr="0012521E" w:rsidRDefault="00A84BFA" w:rsidP="0073268C">
      <w:pPr>
        <w:rPr>
          <w:rFonts w:asciiTheme="majorHAnsi" w:hAnsiTheme="majorHAnsi" w:cstheme="majorHAnsi"/>
        </w:rPr>
      </w:pPr>
      <w:r w:rsidRPr="00A84BFA">
        <w:rPr>
          <w:rFonts w:asciiTheme="minorHAnsi" w:eastAsiaTheme="minorEastAsia" w:hAnsiTheme="minorHAnsi" w:cstheme="minorHAnsi"/>
          <w:color w:val="auto"/>
          <w:szCs w:val="20"/>
          <w:lang w:eastAsia="en-AU"/>
        </w:rPr>
        <w:t>On 5th July 2024, the proposed Victorian Public Service Enterprise Agreement (Agreement) 2024 was endorsed by Public Sector employees. The Agreement includes a lump sum payment to all staff employed by the Victorian Public Sector on 28th June 2024. The overall financial impact of the Agreement is estimated to be $</w:t>
      </w:r>
      <w:r w:rsidR="00A34D92">
        <w:rPr>
          <w:rFonts w:asciiTheme="minorHAnsi" w:eastAsiaTheme="minorEastAsia" w:hAnsiTheme="minorHAnsi" w:cstheme="minorHAnsi"/>
          <w:color w:val="auto"/>
          <w:szCs w:val="20"/>
          <w:lang w:eastAsia="en-AU"/>
        </w:rPr>
        <w:t>0.85</w:t>
      </w:r>
      <w:r w:rsidRPr="00A84BFA">
        <w:rPr>
          <w:rFonts w:asciiTheme="minorHAnsi" w:eastAsiaTheme="minorEastAsia" w:hAnsiTheme="minorHAnsi" w:cstheme="minorHAnsi"/>
          <w:color w:val="auto"/>
          <w:szCs w:val="20"/>
          <w:lang w:eastAsia="en-AU"/>
        </w:rPr>
        <w:t xml:space="preserve"> </w:t>
      </w:r>
      <w:r w:rsidR="00165B67">
        <w:rPr>
          <w:rFonts w:asciiTheme="minorHAnsi" w:eastAsiaTheme="minorEastAsia" w:hAnsiTheme="minorHAnsi" w:cstheme="minorHAnsi"/>
          <w:color w:val="auto"/>
          <w:szCs w:val="20"/>
          <w:lang w:eastAsia="en-AU"/>
        </w:rPr>
        <w:t>million</w:t>
      </w:r>
      <w:r w:rsidRPr="00A84BFA">
        <w:rPr>
          <w:rFonts w:asciiTheme="minorHAnsi" w:eastAsiaTheme="minorEastAsia" w:hAnsiTheme="minorHAnsi" w:cstheme="minorHAnsi"/>
          <w:color w:val="auto"/>
          <w:szCs w:val="20"/>
          <w:lang w:eastAsia="en-AU"/>
        </w:rPr>
        <w:t xml:space="preserve"> payable to employees in the 2024-2025 financial year.</w:t>
      </w:r>
    </w:p>
    <w:p w14:paraId="40826E70" w14:textId="77777777" w:rsidR="00913DE6" w:rsidRPr="0012521E" w:rsidRDefault="00913DE6" w:rsidP="0073268C">
      <w:pPr>
        <w:rPr>
          <w:rFonts w:asciiTheme="majorHAnsi" w:hAnsiTheme="majorHAnsi" w:cstheme="majorHAnsi"/>
        </w:rPr>
      </w:pPr>
    </w:p>
    <w:p w14:paraId="5C619DCD" w14:textId="77777777" w:rsidR="00913DE6" w:rsidRPr="0012521E" w:rsidRDefault="00913DE6" w:rsidP="0073268C">
      <w:pPr>
        <w:rPr>
          <w:rFonts w:asciiTheme="majorHAnsi" w:hAnsiTheme="majorHAnsi" w:cstheme="majorHAnsi"/>
        </w:rPr>
      </w:pPr>
    </w:p>
    <w:p w14:paraId="32E8E6E7" w14:textId="77777777" w:rsidR="00913DE6" w:rsidRPr="0012521E" w:rsidRDefault="00913DE6" w:rsidP="0073268C">
      <w:pPr>
        <w:rPr>
          <w:rFonts w:asciiTheme="majorHAnsi" w:hAnsiTheme="majorHAnsi" w:cstheme="majorHAnsi"/>
        </w:rPr>
      </w:pPr>
    </w:p>
    <w:p w14:paraId="08869A24" w14:textId="77777777" w:rsidR="00913DE6" w:rsidRPr="0012521E" w:rsidRDefault="00913DE6" w:rsidP="0073268C">
      <w:pPr>
        <w:rPr>
          <w:rFonts w:asciiTheme="majorHAnsi" w:hAnsiTheme="majorHAnsi" w:cstheme="majorHAnsi"/>
        </w:rPr>
      </w:pPr>
    </w:p>
    <w:p w14:paraId="15FC4E67" w14:textId="0B58748D" w:rsidR="00913DE6" w:rsidRPr="0012521E" w:rsidRDefault="00913DE6">
      <w:pPr>
        <w:spacing w:line="259" w:lineRule="auto"/>
        <w:rPr>
          <w:rFonts w:asciiTheme="majorHAnsi" w:hAnsiTheme="majorHAnsi" w:cstheme="majorHAnsi"/>
        </w:rPr>
      </w:pPr>
      <w:r w:rsidRPr="0012521E">
        <w:rPr>
          <w:rFonts w:asciiTheme="majorHAnsi" w:hAnsiTheme="majorHAnsi" w:cstheme="majorHAnsi"/>
        </w:rPr>
        <w:br w:type="page"/>
      </w:r>
    </w:p>
    <w:p w14:paraId="3F738C04" w14:textId="77777777" w:rsidR="00913DE6" w:rsidRPr="0012521E" w:rsidRDefault="00913DE6" w:rsidP="00913DE6">
      <w:pPr>
        <w:pStyle w:val="Heading1"/>
        <w:rPr>
          <w:rFonts w:asciiTheme="majorHAnsi" w:hAnsiTheme="majorHAnsi" w:cstheme="majorHAnsi"/>
        </w:rPr>
      </w:pPr>
      <w:bookmarkStart w:id="85" w:name="_Ref84945861"/>
      <w:bookmarkStart w:id="86" w:name="_Toc144883454"/>
      <w:bookmarkStart w:id="87" w:name="_Toc144884436"/>
      <w:bookmarkStart w:id="88" w:name="_Toc147395358"/>
      <w:bookmarkStart w:id="89" w:name="_Toc166585710"/>
      <w:bookmarkStart w:id="90" w:name="_Toc179469480"/>
      <w:r w:rsidRPr="0012521E">
        <w:rPr>
          <w:rFonts w:asciiTheme="majorHAnsi" w:hAnsiTheme="majorHAnsi" w:cstheme="majorHAnsi"/>
        </w:rPr>
        <w:lastRenderedPageBreak/>
        <w:t>Governance and organisational structure</w:t>
      </w:r>
      <w:bookmarkEnd w:id="85"/>
      <w:bookmarkEnd w:id="86"/>
      <w:bookmarkEnd w:id="87"/>
      <w:bookmarkEnd w:id="88"/>
      <w:bookmarkEnd w:id="89"/>
      <w:bookmarkEnd w:id="90"/>
    </w:p>
    <w:p w14:paraId="1262D890" w14:textId="77777777" w:rsidR="00860D3D" w:rsidRPr="0012521E" w:rsidRDefault="00860D3D" w:rsidP="00860D3D">
      <w:pPr>
        <w:pStyle w:val="Heading2"/>
      </w:pPr>
      <w:bookmarkStart w:id="91" w:name="_Ref139311525"/>
      <w:bookmarkStart w:id="92" w:name="_Toc144884437"/>
      <w:bookmarkStart w:id="93" w:name="_Toc166585711"/>
      <w:bookmarkStart w:id="94" w:name="_Toc56627331"/>
      <w:bookmarkStart w:id="95" w:name="_Toc57039865"/>
      <w:r w:rsidRPr="2F08D0DC">
        <w:t>Organisational structure</w:t>
      </w:r>
      <w:bookmarkEnd w:id="91"/>
      <w:bookmarkEnd w:id="92"/>
      <w:bookmarkEnd w:id="93"/>
    </w:p>
    <w:p w14:paraId="751ABAFD" w14:textId="4BA3F19F" w:rsidR="00860D3D" w:rsidRPr="0012521E" w:rsidRDefault="00860D3D" w:rsidP="00860D3D">
      <w:pPr>
        <w:pStyle w:val="Caption"/>
        <w:rPr>
          <w:rFonts w:asciiTheme="majorHAnsi" w:hAnsiTheme="majorHAnsi" w:cstheme="majorHAnsi"/>
        </w:rPr>
      </w:pPr>
      <w:bookmarkStart w:id="96" w:name="_Ref57272968"/>
      <w:bookmarkStart w:id="97" w:name="_Ref85658254"/>
      <w:r w:rsidRPr="0012521E">
        <w:rPr>
          <w:rFonts w:asciiTheme="majorHAnsi" w:hAnsiTheme="majorHAnsi" w:cstheme="majorHAnsi"/>
        </w:rPr>
        <w:t>Figure</w:t>
      </w:r>
      <w:bookmarkEnd w:id="96"/>
      <w:r w:rsidRPr="0012521E" w:rsidDel="00DC4A1F">
        <w:rPr>
          <w:rFonts w:asciiTheme="majorHAnsi" w:hAnsiTheme="majorHAnsi" w:cstheme="majorHAnsi"/>
        </w:rPr>
        <w:t xml:space="preserve"> </w:t>
      </w:r>
      <w:r w:rsidRPr="0012521E">
        <w:rPr>
          <w:rFonts w:asciiTheme="majorHAnsi" w:hAnsiTheme="majorHAnsi" w:cstheme="majorHAnsi"/>
        </w:rPr>
        <w:fldChar w:fldCharType="begin"/>
      </w:r>
      <w:r w:rsidRPr="0012521E">
        <w:rPr>
          <w:rFonts w:asciiTheme="majorHAnsi" w:hAnsiTheme="majorHAnsi" w:cstheme="majorHAnsi"/>
        </w:rPr>
        <w:instrText>SEQ Figure \* ARABIC</w:instrText>
      </w:r>
      <w:r w:rsidRPr="0012521E">
        <w:rPr>
          <w:rFonts w:asciiTheme="majorHAnsi" w:hAnsiTheme="majorHAnsi" w:cstheme="majorHAnsi"/>
        </w:rPr>
        <w:fldChar w:fldCharType="separate"/>
      </w:r>
      <w:r w:rsidR="00EB70DF">
        <w:rPr>
          <w:rFonts w:asciiTheme="majorHAnsi" w:hAnsiTheme="majorHAnsi" w:cstheme="majorHAnsi"/>
          <w:noProof/>
        </w:rPr>
        <w:t>1</w:t>
      </w:r>
      <w:r w:rsidRPr="0012521E">
        <w:rPr>
          <w:rFonts w:asciiTheme="majorHAnsi" w:hAnsiTheme="majorHAnsi" w:cstheme="majorHAnsi"/>
        </w:rPr>
        <w:fldChar w:fldCharType="end"/>
      </w:r>
      <w:bookmarkEnd w:id="97"/>
      <w:r w:rsidRPr="0012521E">
        <w:rPr>
          <w:rFonts w:asciiTheme="majorHAnsi" w:hAnsiTheme="majorHAnsi" w:cstheme="majorHAnsi"/>
        </w:rPr>
        <w:t xml:space="preserve">: SV’s organisational structure as </w:t>
      </w:r>
      <w:proofErr w:type="gramStart"/>
      <w:r w:rsidRPr="0012521E">
        <w:rPr>
          <w:rFonts w:asciiTheme="majorHAnsi" w:hAnsiTheme="majorHAnsi" w:cstheme="majorHAnsi"/>
        </w:rPr>
        <w:t>at</w:t>
      </w:r>
      <w:proofErr w:type="gramEnd"/>
      <w:r w:rsidRPr="0012521E">
        <w:rPr>
          <w:rFonts w:asciiTheme="majorHAnsi" w:hAnsiTheme="majorHAnsi" w:cstheme="majorHAnsi"/>
        </w:rPr>
        <w:t xml:space="preserve"> 30 June 202</w:t>
      </w:r>
      <w:r w:rsidR="00DF2554" w:rsidRPr="0012521E">
        <w:rPr>
          <w:rFonts w:asciiTheme="majorHAnsi" w:hAnsiTheme="majorHAnsi" w:cstheme="majorHAnsi"/>
        </w:rPr>
        <w:t>4</w:t>
      </w:r>
    </w:p>
    <w:p w14:paraId="1D848255" w14:textId="77777777" w:rsidR="00860D3D" w:rsidRPr="0012521E" w:rsidRDefault="00860D3D" w:rsidP="00860D3D">
      <w:pPr>
        <w:rPr>
          <w:rFonts w:asciiTheme="majorHAnsi" w:hAnsiTheme="majorHAnsi" w:cstheme="majorHAnsi"/>
        </w:rPr>
      </w:pPr>
      <w:r w:rsidRPr="0012521E">
        <w:rPr>
          <w:rFonts w:asciiTheme="majorHAnsi" w:hAnsiTheme="majorHAnsi" w:cstheme="majorHAnsi"/>
          <w:noProof/>
        </w:rPr>
        <w:drawing>
          <wp:inline distT="0" distB="0" distL="0" distR="0" wp14:anchorId="0935D36F" wp14:editId="70FCF17C">
            <wp:extent cx="5731510" cy="4170045"/>
            <wp:effectExtent l="0" t="0" r="2540" b="1905"/>
            <wp:docPr id="177093715" name="Picture 177093715" descr="Diagram showing SV's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howing SV's organisational structure"/>
                    <pic:cNvPicPr/>
                  </pic:nvPicPr>
                  <pic:blipFill>
                    <a:blip r:embed="rId50" cstate="screen">
                      <a:extLst>
                        <a:ext uri="{28A0092B-C50C-407E-A947-70E740481C1C}">
                          <a14:useLocalDpi xmlns:a14="http://schemas.microsoft.com/office/drawing/2010/main"/>
                        </a:ext>
                      </a:extLst>
                    </a:blip>
                    <a:stretch>
                      <a:fillRect/>
                    </a:stretch>
                  </pic:blipFill>
                  <pic:spPr>
                    <a:xfrm>
                      <a:off x="0" y="0"/>
                      <a:ext cx="5731510" cy="4170045"/>
                    </a:xfrm>
                    <a:prstGeom prst="rect">
                      <a:avLst/>
                    </a:prstGeom>
                  </pic:spPr>
                </pic:pic>
              </a:graphicData>
            </a:graphic>
          </wp:inline>
        </w:drawing>
      </w:r>
    </w:p>
    <w:p w14:paraId="7F88CB9F" w14:textId="77777777" w:rsidR="00860D3D" w:rsidRPr="0012521E" w:rsidRDefault="00860D3D" w:rsidP="00860D3D">
      <w:pPr>
        <w:pStyle w:val="Heading2"/>
      </w:pPr>
      <w:bookmarkStart w:id="98" w:name="_Toc144884438"/>
      <w:bookmarkStart w:id="99" w:name="_Toc166585712"/>
      <w:r w:rsidRPr="0012521E">
        <w:t>Our Board</w:t>
      </w:r>
      <w:bookmarkEnd w:id="98"/>
      <w:bookmarkEnd w:id="99"/>
    </w:p>
    <w:p w14:paraId="6E0FAEAE" w14:textId="06F8074E" w:rsidR="00B525F9" w:rsidRPr="00F155C9" w:rsidRDefault="00B525F9" w:rsidP="00B525F9">
      <w:pPr>
        <w:rPr>
          <w:rFonts w:asciiTheme="majorHAnsi" w:hAnsiTheme="majorHAnsi" w:cstheme="majorBidi"/>
        </w:rPr>
      </w:pPr>
      <w:bookmarkStart w:id="100" w:name="_Toc144884439"/>
      <w:r w:rsidRPr="2740B9D4">
        <w:rPr>
          <w:rFonts w:asciiTheme="majorHAnsi" w:hAnsiTheme="majorHAnsi" w:cstheme="majorBidi"/>
        </w:rPr>
        <w:t xml:space="preserve">As set out in the </w:t>
      </w:r>
      <w:r w:rsidR="39B7689F" w:rsidRPr="00C75D63">
        <w:rPr>
          <w:rFonts w:asciiTheme="majorHAnsi" w:hAnsiTheme="majorHAnsi" w:cstheme="majorBidi"/>
        </w:rPr>
        <w:t>SV Act</w:t>
      </w:r>
      <w:r w:rsidRPr="2740B9D4">
        <w:rPr>
          <w:rFonts w:asciiTheme="majorHAnsi" w:hAnsiTheme="majorHAnsi" w:cstheme="majorBidi"/>
        </w:rPr>
        <w:t>, SV is governed by a Board whose members are appointed by the Minister for Environment.</w:t>
      </w:r>
    </w:p>
    <w:p w14:paraId="6AAD32B5" w14:textId="34AA91D1" w:rsidR="00B525F9" w:rsidRPr="00F155C9" w:rsidRDefault="00B525F9" w:rsidP="00B525F9">
      <w:pPr>
        <w:rPr>
          <w:rFonts w:asciiTheme="majorHAnsi" w:hAnsiTheme="majorHAnsi" w:cstheme="majorBidi"/>
        </w:rPr>
      </w:pPr>
      <w:r w:rsidRPr="2740B9D4">
        <w:rPr>
          <w:rFonts w:asciiTheme="majorHAnsi" w:hAnsiTheme="majorHAnsi" w:cstheme="majorBidi"/>
        </w:rPr>
        <w:t>The Board:</w:t>
      </w:r>
    </w:p>
    <w:p w14:paraId="117F405E" w14:textId="77777777" w:rsidR="00B525F9" w:rsidRPr="00BD3484" w:rsidRDefault="00B525F9" w:rsidP="00C356CE">
      <w:pPr>
        <w:pStyle w:val="ListParagraph"/>
        <w:numPr>
          <w:ilvl w:val="0"/>
          <w:numId w:val="28"/>
        </w:numPr>
        <w:rPr>
          <w:rFonts w:asciiTheme="majorHAnsi" w:hAnsiTheme="majorHAnsi" w:cstheme="majorHAnsi"/>
          <w:szCs w:val="20"/>
        </w:rPr>
      </w:pPr>
      <w:r w:rsidRPr="00BD3484">
        <w:rPr>
          <w:rFonts w:asciiTheme="majorHAnsi" w:hAnsiTheme="majorHAnsi" w:cstheme="majorHAnsi"/>
          <w:szCs w:val="20"/>
        </w:rPr>
        <w:t>sets SV’s strategic direction, objectives and performance targets</w:t>
      </w:r>
    </w:p>
    <w:p w14:paraId="59D51E3A" w14:textId="4C58E2B8" w:rsidR="00B525F9" w:rsidRPr="00BD3484" w:rsidRDefault="00B525F9" w:rsidP="00C356CE">
      <w:pPr>
        <w:pStyle w:val="ListParagraph"/>
        <w:numPr>
          <w:ilvl w:val="0"/>
          <w:numId w:val="28"/>
        </w:numPr>
        <w:rPr>
          <w:rFonts w:asciiTheme="majorHAnsi" w:hAnsiTheme="majorHAnsi" w:cstheme="majorBidi"/>
        </w:rPr>
      </w:pPr>
      <w:r w:rsidRPr="2740B9D4">
        <w:rPr>
          <w:rFonts w:asciiTheme="majorHAnsi" w:hAnsiTheme="majorHAnsi" w:cstheme="majorBidi"/>
        </w:rPr>
        <w:t>appoints the CEO</w:t>
      </w:r>
    </w:p>
    <w:p w14:paraId="5FF58D3B" w14:textId="77777777" w:rsidR="00B525F9" w:rsidRPr="00BD3484" w:rsidRDefault="00B525F9" w:rsidP="00C356CE">
      <w:pPr>
        <w:pStyle w:val="ListParagraph"/>
        <w:numPr>
          <w:ilvl w:val="0"/>
          <w:numId w:val="28"/>
        </w:numPr>
        <w:rPr>
          <w:rFonts w:asciiTheme="majorHAnsi" w:hAnsiTheme="majorHAnsi" w:cstheme="majorHAnsi"/>
          <w:szCs w:val="20"/>
        </w:rPr>
      </w:pPr>
      <w:r w:rsidRPr="00BD3484">
        <w:rPr>
          <w:rFonts w:asciiTheme="majorHAnsi" w:hAnsiTheme="majorHAnsi" w:cstheme="majorHAnsi"/>
          <w:szCs w:val="20"/>
        </w:rPr>
        <w:t>monitors operational and financial performance</w:t>
      </w:r>
    </w:p>
    <w:p w14:paraId="6A37FB6E" w14:textId="77777777" w:rsidR="00B525F9" w:rsidRPr="00BD3484" w:rsidRDefault="00B525F9" w:rsidP="00C356CE">
      <w:pPr>
        <w:pStyle w:val="ListParagraph"/>
        <w:numPr>
          <w:ilvl w:val="0"/>
          <w:numId w:val="28"/>
        </w:numPr>
        <w:rPr>
          <w:rFonts w:asciiTheme="majorHAnsi" w:hAnsiTheme="majorHAnsi" w:cstheme="majorHAnsi"/>
          <w:szCs w:val="20"/>
        </w:rPr>
      </w:pPr>
      <w:r w:rsidRPr="00BD3484">
        <w:rPr>
          <w:rFonts w:asciiTheme="majorHAnsi" w:hAnsiTheme="majorHAnsi" w:cstheme="majorHAnsi"/>
          <w:szCs w:val="20"/>
        </w:rPr>
        <w:t>oversees compliance with laws, regulations and other obligations</w:t>
      </w:r>
    </w:p>
    <w:p w14:paraId="00B5937D" w14:textId="77777777" w:rsidR="00B525F9" w:rsidRPr="00BD3484" w:rsidRDefault="00B525F9" w:rsidP="00C356CE">
      <w:pPr>
        <w:pStyle w:val="ListParagraph"/>
        <w:numPr>
          <w:ilvl w:val="0"/>
          <w:numId w:val="28"/>
        </w:numPr>
        <w:rPr>
          <w:rFonts w:asciiTheme="majorHAnsi" w:hAnsiTheme="majorHAnsi" w:cstheme="majorHAnsi"/>
          <w:szCs w:val="20"/>
        </w:rPr>
      </w:pPr>
      <w:r w:rsidRPr="00BD3484">
        <w:rPr>
          <w:rFonts w:asciiTheme="majorHAnsi" w:hAnsiTheme="majorHAnsi" w:cstheme="majorHAnsi"/>
          <w:szCs w:val="20"/>
        </w:rPr>
        <w:t>sets and monitors internal controls to manage risks</w:t>
      </w:r>
    </w:p>
    <w:p w14:paraId="50E7E4CC" w14:textId="77777777" w:rsidR="00B525F9" w:rsidRPr="00BD3484" w:rsidRDefault="00B525F9" w:rsidP="00C356CE">
      <w:pPr>
        <w:pStyle w:val="ListParagraph"/>
        <w:numPr>
          <w:ilvl w:val="0"/>
          <w:numId w:val="28"/>
        </w:numPr>
        <w:rPr>
          <w:rFonts w:asciiTheme="majorHAnsi" w:hAnsiTheme="majorHAnsi" w:cstheme="majorHAnsi"/>
          <w:szCs w:val="20"/>
        </w:rPr>
      </w:pPr>
      <w:r w:rsidRPr="00BD3484">
        <w:rPr>
          <w:rFonts w:asciiTheme="majorHAnsi" w:hAnsiTheme="majorHAnsi" w:cstheme="majorHAnsi"/>
          <w:szCs w:val="20"/>
        </w:rPr>
        <w:t>ensures organisational good conduct and stakeholder relationships</w:t>
      </w:r>
    </w:p>
    <w:p w14:paraId="1C2037FC" w14:textId="6C09BB07" w:rsidR="00860D3D" w:rsidRPr="00B525F9" w:rsidRDefault="00B525F9" w:rsidP="00C356CE">
      <w:pPr>
        <w:pStyle w:val="ListParagraph"/>
        <w:numPr>
          <w:ilvl w:val="0"/>
          <w:numId w:val="28"/>
        </w:numPr>
        <w:rPr>
          <w:rFonts w:asciiTheme="majorHAnsi" w:hAnsiTheme="majorHAnsi" w:cstheme="majorHAnsi"/>
          <w:szCs w:val="20"/>
        </w:rPr>
      </w:pPr>
      <w:r w:rsidRPr="00BD3484">
        <w:rPr>
          <w:rFonts w:asciiTheme="majorHAnsi" w:hAnsiTheme="majorHAnsi" w:cstheme="majorHAnsi"/>
          <w:szCs w:val="20"/>
        </w:rPr>
        <w:t>manages and monitors board and committee conduct and performance</w:t>
      </w:r>
      <w:r>
        <w:rPr>
          <w:rFonts w:asciiTheme="majorHAnsi" w:hAnsiTheme="majorHAnsi" w:cstheme="majorHAnsi"/>
          <w:szCs w:val="20"/>
        </w:rPr>
        <w:t>.</w:t>
      </w:r>
      <w:r w:rsidR="00860D3D" w:rsidRPr="00B525F9">
        <w:rPr>
          <w:rFonts w:asciiTheme="majorHAnsi" w:hAnsiTheme="majorHAnsi" w:cstheme="majorHAnsi"/>
        </w:rPr>
        <w:br w:type="page"/>
      </w:r>
    </w:p>
    <w:p w14:paraId="1B107D44" w14:textId="77777777" w:rsidR="00860D3D" w:rsidRPr="0012521E" w:rsidRDefault="00860D3D" w:rsidP="00126908">
      <w:pPr>
        <w:pStyle w:val="Heading3"/>
      </w:pPr>
      <w:bookmarkStart w:id="101" w:name="_Toc166585713"/>
      <w:r w:rsidRPr="0012521E">
        <w:lastRenderedPageBreak/>
        <w:t>Board attendance</w:t>
      </w:r>
      <w:bookmarkEnd w:id="100"/>
      <w:bookmarkEnd w:id="101"/>
    </w:p>
    <w:p w14:paraId="62A24E73" w14:textId="242B8AFD" w:rsidR="00860D3D" w:rsidRPr="0012521E" w:rsidRDefault="00860D3D" w:rsidP="00105389">
      <w:pPr>
        <w:pStyle w:val="Body"/>
        <w:rPr>
          <w:b/>
          <w:sz w:val="18"/>
          <w:szCs w:val="18"/>
        </w:rPr>
      </w:pPr>
      <w:bookmarkStart w:id="102" w:name="_Ref143093442"/>
      <w:r w:rsidRPr="0012521E">
        <w:t xml:space="preserve">The Board met </w:t>
      </w:r>
      <w:r w:rsidR="00DA46C6">
        <w:t>six</w:t>
      </w:r>
      <w:r w:rsidR="00DA46C6" w:rsidRPr="0012521E">
        <w:t xml:space="preserve"> </w:t>
      </w:r>
      <w:r w:rsidRPr="0012521E">
        <w:t>times during 202</w:t>
      </w:r>
      <w:r w:rsidR="00FA3A6B" w:rsidRPr="0012521E">
        <w:t>3</w:t>
      </w:r>
      <w:r w:rsidRPr="0012521E">
        <w:t>–2</w:t>
      </w:r>
      <w:r w:rsidR="00FA3A6B" w:rsidRPr="0012521E">
        <w:t>4</w:t>
      </w:r>
      <w:r w:rsidRPr="0012521E">
        <w:t xml:space="preserve">. The attendance of individual members is set out in </w:t>
      </w:r>
      <w:r w:rsidRPr="0012521E">
        <w:fldChar w:fldCharType="begin"/>
      </w:r>
      <w:r w:rsidRPr="0012521E">
        <w:rPr>
          <w:highlight w:val="yellow"/>
        </w:rPr>
        <w:instrText xml:space="preserve"> REF _Ref57272266 \h  \* MERGEFORMAT </w:instrText>
      </w:r>
      <w:r w:rsidRPr="0012521E">
        <w:fldChar w:fldCharType="separate"/>
      </w:r>
      <w:r w:rsidR="00EB70DF" w:rsidRPr="00EB70DF">
        <w:t>Table 7</w:t>
      </w:r>
      <w:r w:rsidRPr="0012521E">
        <w:fldChar w:fldCharType="end"/>
      </w:r>
      <w:r w:rsidRPr="0012521E">
        <w:t>.</w:t>
      </w:r>
    </w:p>
    <w:p w14:paraId="46888C45" w14:textId="64CE07D7" w:rsidR="006A1571" w:rsidRPr="000E290B" w:rsidRDefault="00860D3D" w:rsidP="000E290B">
      <w:pPr>
        <w:pStyle w:val="Caption"/>
        <w:rPr>
          <w:rFonts w:asciiTheme="majorHAnsi" w:hAnsiTheme="majorHAnsi" w:cstheme="majorHAnsi"/>
        </w:rPr>
      </w:pPr>
      <w:bookmarkStart w:id="103" w:name="_Ref57272266"/>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7</w:t>
      </w:r>
      <w:r w:rsidRPr="0012521E">
        <w:rPr>
          <w:rFonts w:asciiTheme="majorHAnsi" w:hAnsiTheme="majorHAnsi" w:cstheme="majorHAnsi"/>
        </w:rPr>
        <w:fldChar w:fldCharType="end"/>
      </w:r>
      <w:bookmarkEnd w:id="102"/>
      <w:bookmarkEnd w:id="103"/>
      <w:r w:rsidRPr="0012521E">
        <w:rPr>
          <w:rFonts w:asciiTheme="majorHAnsi" w:hAnsiTheme="majorHAnsi" w:cstheme="majorHAnsi"/>
        </w:rPr>
        <w:t>: Board attendance in 202</w:t>
      </w:r>
      <w:r w:rsidR="00FA3A6B" w:rsidRPr="0012521E">
        <w:rPr>
          <w:rFonts w:asciiTheme="majorHAnsi" w:hAnsiTheme="majorHAnsi" w:cstheme="majorHAnsi"/>
        </w:rPr>
        <w:t>3</w:t>
      </w:r>
      <w:r w:rsidRPr="0012521E">
        <w:rPr>
          <w:rFonts w:asciiTheme="majorHAnsi" w:hAnsiTheme="majorHAnsi" w:cstheme="majorHAnsi"/>
        </w:rPr>
        <w:t>–2</w:t>
      </w:r>
      <w:r w:rsidR="00FA3A6B" w:rsidRPr="0012521E">
        <w:rPr>
          <w:rFonts w:asciiTheme="majorHAnsi" w:hAnsiTheme="majorHAnsi" w:cstheme="majorHAnsi"/>
        </w:rPr>
        <w:t>4</w:t>
      </w:r>
    </w:p>
    <w:tbl>
      <w:tblPr>
        <w:tblStyle w:val="TableGrid"/>
        <w:tblW w:w="8699" w:type="dxa"/>
        <w:tblLook w:val="04A0" w:firstRow="1" w:lastRow="0" w:firstColumn="1" w:lastColumn="0" w:noHBand="0" w:noVBand="1"/>
      </w:tblPr>
      <w:tblGrid>
        <w:gridCol w:w="4106"/>
        <w:gridCol w:w="2183"/>
        <w:gridCol w:w="2410"/>
      </w:tblGrid>
      <w:tr w:rsidR="00860D3D" w:rsidRPr="0012521E" w14:paraId="5059A200" w14:textId="77777777" w:rsidTr="21E5D5BB">
        <w:trPr>
          <w:trHeight w:val="339"/>
        </w:trPr>
        <w:tc>
          <w:tcPr>
            <w:tcW w:w="4106" w:type="dxa"/>
            <w:shd w:val="clear" w:color="auto" w:fill="D4DFA0" w:themeFill="accent3"/>
            <w:noWrap/>
            <w:hideMark/>
          </w:tcPr>
          <w:p w14:paraId="683D2421" w14:textId="77777777" w:rsidR="00860D3D" w:rsidRPr="00E159ED" w:rsidRDefault="00860D3D" w:rsidP="00EC78E4">
            <w:pPr>
              <w:pStyle w:val="TableHeading"/>
              <w:rPr>
                <w:rFonts w:cstheme="majorHAnsi"/>
                <w:color w:val="auto"/>
              </w:rPr>
            </w:pPr>
            <w:r w:rsidRPr="00E159ED">
              <w:rPr>
                <w:rFonts w:cstheme="majorHAnsi"/>
                <w:color w:val="auto"/>
              </w:rPr>
              <w:t>Member</w:t>
            </w:r>
          </w:p>
        </w:tc>
        <w:tc>
          <w:tcPr>
            <w:tcW w:w="2183" w:type="dxa"/>
            <w:shd w:val="clear" w:color="auto" w:fill="D4DFA0" w:themeFill="accent3"/>
            <w:hideMark/>
          </w:tcPr>
          <w:p w14:paraId="0CA000F3" w14:textId="77777777" w:rsidR="00860D3D" w:rsidRPr="00E159ED" w:rsidRDefault="00860D3D" w:rsidP="00EC78E4">
            <w:pPr>
              <w:pStyle w:val="TableHeading"/>
              <w:rPr>
                <w:rFonts w:cstheme="majorHAnsi"/>
                <w:color w:val="auto"/>
              </w:rPr>
            </w:pPr>
            <w:r w:rsidRPr="00E159ED">
              <w:rPr>
                <w:rFonts w:cstheme="majorHAnsi"/>
                <w:color w:val="auto"/>
              </w:rPr>
              <w:t>Meetings attended</w:t>
            </w:r>
          </w:p>
        </w:tc>
        <w:tc>
          <w:tcPr>
            <w:tcW w:w="2410" w:type="dxa"/>
            <w:shd w:val="clear" w:color="auto" w:fill="D4DFA0" w:themeFill="accent3"/>
          </w:tcPr>
          <w:p w14:paraId="71512086" w14:textId="77777777" w:rsidR="00860D3D" w:rsidRPr="00E159ED" w:rsidRDefault="00860D3D" w:rsidP="00EC78E4">
            <w:pPr>
              <w:pStyle w:val="TableHeading"/>
              <w:rPr>
                <w:rFonts w:cstheme="majorHAnsi"/>
                <w:color w:val="auto"/>
              </w:rPr>
            </w:pPr>
            <w:r w:rsidRPr="00E159ED">
              <w:rPr>
                <w:rFonts w:cstheme="majorHAnsi"/>
                <w:color w:val="auto"/>
              </w:rPr>
              <w:t>Number eligible to attend</w:t>
            </w:r>
          </w:p>
        </w:tc>
      </w:tr>
      <w:tr w:rsidR="00860D3D" w:rsidRPr="0012521E" w14:paraId="0B903880" w14:textId="77777777" w:rsidTr="00EC78E4">
        <w:trPr>
          <w:trHeight w:val="339"/>
        </w:trPr>
        <w:tc>
          <w:tcPr>
            <w:tcW w:w="4106" w:type="dxa"/>
            <w:noWrap/>
            <w:hideMark/>
          </w:tcPr>
          <w:p w14:paraId="19A8B471"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Johan Scheffer (Chairperson)</w:t>
            </w:r>
          </w:p>
        </w:tc>
        <w:tc>
          <w:tcPr>
            <w:tcW w:w="2183" w:type="dxa"/>
          </w:tcPr>
          <w:p w14:paraId="781F0FBD" w14:textId="0E363228" w:rsidR="00860D3D" w:rsidRPr="0012521E" w:rsidRDefault="003A203D" w:rsidP="00EC78E4">
            <w:pPr>
              <w:pStyle w:val="Tablerightlarge"/>
              <w:rPr>
                <w:rFonts w:asciiTheme="majorHAnsi" w:hAnsiTheme="majorHAnsi" w:cstheme="majorHAnsi"/>
              </w:rPr>
            </w:pPr>
            <w:r>
              <w:rPr>
                <w:rFonts w:asciiTheme="majorHAnsi" w:hAnsiTheme="majorHAnsi" w:cstheme="majorHAnsi"/>
              </w:rPr>
              <w:t>6</w:t>
            </w:r>
          </w:p>
        </w:tc>
        <w:tc>
          <w:tcPr>
            <w:tcW w:w="2410" w:type="dxa"/>
          </w:tcPr>
          <w:p w14:paraId="5AABCACE" w14:textId="549F479B" w:rsidR="00860D3D" w:rsidRPr="0012521E" w:rsidRDefault="003B7D96" w:rsidP="00EC78E4">
            <w:pPr>
              <w:pStyle w:val="Tablerightlarge"/>
              <w:rPr>
                <w:rFonts w:asciiTheme="majorHAnsi" w:hAnsiTheme="majorHAnsi" w:cstheme="majorHAnsi"/>
              </w:rPr>
            </w:pPr>
            <w:r>
              <w:rPr>
                <w:rFonts w:asciiTheme="majorHAnsi" w:hAnsiTheme="majorHAnsi" w:cstheme="majorHAnsi"/>
              </w:rPr>
              <w:t>6</w:t>
            </w:r>
          </w:p>
        </w:tc>
      </w:tr>
      <w:tr w:rsidR="00860D3D" w:rsidRPr="0012521E" w14:paraId="3DE485CC" w14:textId="77777777" w:rsidTr="00EC78E4">
        <w:trPr>
          <w:trHeight w:val="339"/>
        </w:trPr>
        <w:tc>
          <w:tcPr>
            <w:tcW w:w="4106" w:type="dxa"/>
            <w:noWrap/>
            <w:hideMark/>
          </w:tcPr>
          <w:p w14:paraId="36D43D0C"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Judith Landsberg (Deputy Chairperson)</w:t>
            </w:r>
          </w:p>
        </w:tc>
        <w:tc>
          <w:tcPr>
            <w:tcW w:w="2183" w:type="dxa"/>
          </w:tcPr>
          <w:p w14:paraId="0736D832" w14:textId="42B29BE5" w:rsidR="00860D3D" w:rsidRPr="0012521E" w:rsidRDefault="00C83351" w:rsidP="00EC78E4">
            <w:pPr>
              <w:pStyle w:val="Tablerightlarge"/>
              <w:rPr>
                <w:rFonts w:asciiTheme="majorHAnsi" w:hAnsiTheme="majorHAnsi" w:cstheme="majorHAnsi"/>
              </w:rPr>
            </w:pPr>
            <w:r>
              <w:rPr>
                <w:rFonts w:asciiTheme="majorHAnsi" w:hAnsiTheme="majorHAnsi" w:cstheme="majorHAnsi"/>
              </w:rPr>
              <w:t>4</w:t>
            </w:r>
          </w:p>
        </w:tc>
        <w:tc>
          <w:tcPr>
            <w:tcW w:w="2410" w:type="dxa"/>
          </w:tcPr>
          <w:p w14:paraId="5E1099AE" w14:textId="25A7BD7E" w:rsidR="00860D3D" w:rsidRPr="0012521E" w:rsidRDefault="003B7D96" w:rsidP="00EC78E4">
            <w:pPr>
              <w:pStyle w:val="Tablerightlarge"/>
              <w:rPr>
                <w:rFonts w:asciiTheme="majorHAnsi" w:hAnsiTheme="majorHAnsi" w:cstheme="majorHAnsi"/>
              </w:rPr>
            </w:pPr>
            <w:r>
              <w:rPr>
                <w:rFonts w:asciiTheme="majorHAnsi" w:hAnsiTheme="majorHAnsi" w:cstheme="majorHAnsi"/>
              </w:rPr>
              <w:t>6</w:t>
            </w:r>
          </w:p>
        </w:tc>
      </w:tr>
      <w:tr w:rsidR="00860D3D" w:rsidRPr="0012521E" w14:paraId="63BFDDD6" w14:textId="77777777" w:rsidTr="00EC78E4">
        <w:trPr>
          <w:trHeight w:val="339"/>
        </w:trPr>
        <w:tc>
          <w:tcPr>
            <w:tcW w:w="4106" w:type="dxa"/>
            <w:noWrap/>
            <w:hideMark/>
          </w:tcPr>
          <w:p w14:paraId="02EDB7EF"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Judi Harris</w:t>
            </w:r>
          </w:p>
        </w:tc>
        <w:tc>
          <w:tcPr>
            <w:tcW w:w="2183" w:type="dxa"/>
          </w:tcPr>
          <w:p w14:paraId="74B5F09C" w14:textId="013BB640" w:rsidR="00860D3D" w:rsidRPr="0012521E" w:rsidRDefault="009A4252" w:rsidP="00EC78E4">
            <w:pPr>
              <w:pStyle w:val="Tablerightlarge"/>
              <w:rPr>
                <w:rFonts w:asciiTheme="majorHAnsi" w:hAnsiTheme="majorHAnsi" w:cstheme="majorHAnsi"/>
              </w:rPr>
            </w:pPr>
            <w:r>
              <w:rPr>
                <w:rFonts w:asciiTheme="majorHAnsi" w:hAnsiTheme="majorHAnsi" w:cstheme="majorHAnsi"/>
              </w:rPr>
              <w:t>6</w:t>
            </w:r>
          </w:p>
        </w:tc>
        <w:tc>
          <w:tcPr>
            <w:tcW w:w="2410" w:type="dxa"/>
          </w:tcPr>
          <w:p w14:paraId="02DC9800" w14:textId="15277B0F" w:rsidR="00860D3D" w:rsidRPr="0012521E" w:rsidRDefault="003B7D96" w:rsidP="00EC78E4">
            <w:pPr>
              <w:pStyle w:val="Tablerightlarge"/>
              <w:rPr>
                <w:rFonts w:asciiTheme="majorHAnsi" w:hAnsiTheme="majorHAnsi" w:cstheme="majorHAnsi"/>
              </w:rPr>
            </w:pPr>
            <w:r>
              <w:rPr>
                <w:rFonts w:asciiTheme="majorHAnsi" w:hAnsiTheme="majorHAnsi" w:cstheme="majorHAnsi"/>
              </w:rPr>
              <w:t>6</w:t>
            </w:r>
          </w:p>
        </w:tc>
      </w:tr>
      <w:tr w:rsidR="00860D3D" w:rsidRPr="0012521E" w14:paraId="6C198293" w14:textId="77777777" w:rsidTr="00EC78E4">
        <w:trPr>
          <w:trHeight w:val="339"/>
        </w:trPr>
        <w:tc>
          <w:tcPr>
            <w:tcW w:w="4106" w:type="dxa"/>
            <w:noWrap/>
            <w:hideMark/>
          </w:tcPr>
          <w:p w14:paraId="52AE5088"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Kerry Osborne</w:t>
            </w:r>
          </w:p>
        </w:tc>
        <w:tc>
          <w:tcPr>
            <w:tcW w:w="2183" w:type="dxa"/>
          </w:tcPr>
          <w:p w14:paraId="04545092" w14:textId="298299BD" w:rsidR="00860D3D" w:rsidRPr="0012521E" w:rsidRDefault="008E1995" w:rsidP="00EC78E4">
            <w:pPr>
              <w:pStyle w:val="Tablerightlarge"/>
              <w:rPr>
                <w:rFonts w:asciiTheme="majorHAnsi" w:hAnsiTheme="majorHAnsi" w:cstheme="majorHAnsi"/>
              </w:rPr>
            </w:pPr>
            <w:r>
              <w:rPr>
                <w:rFonts w:asciiTheme="majorHAnsi" w:hAnsiTheme="majorHAnsi" w:cstheme="majorHAnsi"/>
              </w:rPr>
              <w:t>4</w:t>
            </w:r>
          </w:p>
        </w:tc>
        <w:tc>
          <w:tcPr>
            <w:tcW w:w="2410" w:type="dxa"/>
          </w:tcPr>
          <w:p w14:paraId="31A39861" w14:textId="109A87D3" w:rsidR="00860D3D" w:rsidRPr="0012521E" w:rsidRDefault="003B7D96" w:rsidP="00EC78E4">
            <w:pPr>
              <w:pStyle w:val="Tablerightlarge"/>
              <w:rPr>
                <w:rFonts w:asciiTheme="majorHAnsi" w:hAnsiTheme="majorHAnsi" w:cstheme="majorHAnsi"/>
              </w:rPr>
            </w:pPr>
            <w:r>
              <w:rPr>
                <w:rFonts w:asciiTheme="majorHAnsi" w:hAnsiTheme="majorHAnsi" w:cstheme="majorHAnsi"/>
              </w:rPr>
              <w:t>6</w:t>
            </w:r>
          </w:p>
        </w:tc>
      </w:tr>
      <w:tr w:rsidR="00860D3D" w:rsidRPr="0012521E" w14:paraId="71F44641" w14:textId="77777777" w:rsidTr="00EC78E4">
        <w:trPr>
          <w:trHeight w:val="339"/>
        </w:trPr>
        <w:tc>
          <w:tcPr>
            <w:tcW w:w="4106" w:type="dxa"/>
            <w:noWrap/>
            <w:hideMark/>
          </w:tcPr>
          <w:p w14:paraId="29B32A3B"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Neil Pharaoh</w:t>
            </w:r>
          </w:p>
        </w:tc>
        <w:tc>
          <w:tcPr>
            <w:tcW w:w="2183" w:type="dxa"/>
          </w:tcPr>
          <w:p w14:paraId="5967D167" w14:textId="6C9719D9" w:rsidR="00860D3D" w:rsidRPr="0012521E" w:rsidDel="00FD196C" w:rsidRDefault="3D10F481" w:rsidP="00EC78E4">
            <w:pPr>
              <w:pStyle w:val="Tablerightlarge"/>
            </w:pPr>
            <w:r w:rsidRPr="21E5D5BB">
              <w:rPr>
                <w:rFonts w:asciiTheme="majorHAnsi" w:hAnsiTheme="majorHAnsi" w:cstheme="majorBidi"/>
              </w:rPr>
              <w:t>4</w:t>
            </w:r>
          </w:p>
        </w:tc>
        <w:tc>
          <w:tcPr>
            <w:tcW w:w="2410" w:type="dxa"/>
          </w:tcPr>
          <w:p w14:paraId="7ED9508E" w14:textId="69604F8F" w:rsidR="00860D3D" w:rsidRPr="0012521E" w:rsidRDefault="003B7D96" w:rsidP="00EC78E4">
            <w:pPr>
              <w:pStyle w:val="Tablerightlarge"/>
              <w:rPr>
                <w:rFonts w:asciiTheme="majorHAnsi" w:hAnsiTheme="majorHAnsi" w:cstheme="majorHAnsi"/>
              </w:rPr>
            </w:pPr>
            <w:r>
              <w:rPr>
                <w:rFonts w:asciiTheme="majorHAnsi" w:hAnsiTheme="majorHAnsi" w:cstheme="majorHAnsi"/>
              </w:rPr>
              <w:t>6</w:t>
            </w:r>
          </w:p>
        </w:tc>
      </w:tr>
      <w:tr w:rsidR="00860D3D" w:rsidRPr="0012521E" w14:paraId="28F01E5D" w14:textId="77777777" w:rsidTr="00EC78E4">
        <w:trPr>
          <w:trHeight w:val="339"/>
        </w:trPr>
        <w:tc>
          <w:tcPr>
            <w:tcW w:w="4106" w:type="dxa"/>
            <w:noWrap/>
            <w:hideMark/>
          </w:tcPr>
          <w:p w14:paraId="43381064"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Mark Wakeham</w:t>
            </w:r>
          </w:p>
        </w:tc>
        <w:tc>
          <w:tcPr>
            <w:tcW w:w="2183" w:type="dxa"/>
          </w:tcPr>
          <w:p w14:paraId="58D9B201" w14:textId="4DB94186" w:rsidR="00860D3D" w:rsidRPr="0012521E" w:rsidRDefault="00C31CCB" w:rsidP="00EC78E4">
            <w:pPr>
              <w:pStyle w:val="Tablerightlarge"/>
              <w:rPr>
                <w:rFonts w:asciiTheme="majorHAnsi" w:hAnsiTheme="majorHAnsi" w:cstheme="majorHAnsi"/>
              </w:rPr>
            </w:pPr>
            <w:r>
              <w:rPr>
                <w:rFonts w:asciiTheme="majorHAnsi" w:hAnsiTheme="majorHAnsi" w:cstheme="majorHAnsi"/>
              </w:rPr>
              <w:t>5</w:t>
            </w:r>
          </w:p>
        </w:tc>
        <w:tc>
          <w:tcPr>
            <w:tcW w:w="2410" w:type="dxa"/>
          </w:tcPr>
          <w:p w14:paraId="328EBCDC" w14:textId="7063D3FB" w:rsidR="00860D3D" w:rsidRPr="0012521E" w:rsidRDefault="00574FC5" w:rsidP="00EC78E4">
            <w:pPr>
              <w:pStyle w:val="Tablerightlarge"/>
              <w:rPr>
                <w:rFonts w:asciiTheme="majorHAnsi" w:hAnsiTheme="majorHAnsi" w:cstheme="majorHAnsi"/>
              </w:rPr>
            </w:pPr>
            <w:r>
              <w:rPr>
                <w:rFonts w:asciiTheme="majorHAnsi" w:hAnsiTheme="majorHAnsi" w:cstheme="majorHAnsi"/>
              </w:rPr>
              <w:t>6</w:t>
            </w:r>
          </w:p>
        </w:tc>
      </w:tr>
      <w:tr w:rsidR="00860D3D" w:rsidRPr="0012521E" w14:paraId="3F3CCAD9" w14:textId="77777777" w:rsidTr="00EC78E4">
        <w:trPr>
          <w:trHeight w:val="339"/>
        </w:trPr>
        <w:tc>
          <w:tcPr>
            <w:tcW w:w="4106" w:type="dxa"/>
            <w:noWrap/>
            <w:hideMark/>
          </w:tcPr>
          <w:p w14:paraId="1EC9927B"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Meredith Banks</w:t>
            </w:r>
          </w:p>
        </w:tc>
        <w:tc>
          <w:tcPr>
            <w:tcW w:w="2183" w:type="dxa"/>
          </w:tcPr>
          <w:p w14:paraId="3605311B" w14:textId="3FAC658B" w:rsidR="00860D3D" w:rsidRPr="0012521E" w:rsidRDefault="00E71BC6" w:rsidP="00EC78E4">
            <w:pPr>
              <w:pStyle w:val="Tablerightlarge"/>
              <w:rPr>
                <w:rFonts w:asciiTheme="majorHAnsi" w:hAnsiTheme="majorHAnsi" w:cstheme="majorHAnsi"/>
              </w:rPr>
            </w:pPr>
            <w:r>
              <w:rPr>
                <w:rFonts w:asciiTheme="majorHAnsi" w:hAnsiTheme="majorHAnsi" w:cstheme="majorHAnsi"/>
              </w:rPr>
              <w:t>3</w:t>
            </w:r>
          </w:p>
        </w:tc>
        <w:tc>
          <w:tcPr>
            <w:tcW w:w="2410" w:type="dxa"/>
          </w:tcPr>
          <w:p w14:paraId="0039AA09" w14:textId="16DD099F" w:rsidR="00860D3D" w:rsidRPr="0012521E" w:rsidRDefault="003B7D96" w:rsidP="00EC78E4">
            <w:pPr>
              <w:pStyle w:val="Tablerightlarge"/>
              <w:rPr>
                <w:rFonts w:asciiTheme="majorHAnsi" w:hAnsiTheme="majorHAnsi" w:cstheme="majorHAnsi"/>
              </w:rPr>
            </w:pPr>
            <w:r>
              <w:rPr>
                <w:rFonts w:asciiTheme="majorHAnsi" w:hAnsiTheme="majorHAnsi" w:cstheme="majorHAnsi"/>
              </w:rPr>
              <w:t>5</w:t>
            </w:r>
          </w:p>
        </w:tc>
      </w:tr>
      <w:tr w:rsidR="00860D3D" w:rsidRPr="0012521E" w14:paraId="33AB9D74" w14:textId="77777777" w:rsidTr="00EC78E4">
        <w:trPr>
          <w:trHeight w:val="339"/>
        </w:trPr>
        <w:tc>
          <w:tcPr>
            <w:tcW w:w="4106" w:type="dxa"/>
            <w:noWrap/>
            <w:hideMark/>
          </w:tcPr>
          <w:p w14:paraId="1A3ECDCA"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Sarah McDowell</w:t>
            </w:r>
          </w:p>
        </w:tc>
        <w:tc>
          <w:tcPr>
            <w:tcW w:w="2183" w:type="dxa"/>
          </w:tcPr>
          <w:p w14:paraId="76696FE8" w14:textId="1508CFBD" w:rsidR="00860D3D" w:rsidRPr="0012521E" w:rsidRDefault="0065679F" w:rsidP="00EC78E4">
            <w:pPr>
              <w:pStyle w:val="Tablerightlarge"/>
              <w:rPr>
                <w:rFonts w:asciiTheme="majorHAnsi" w:hAnsiTheme="majorHAnsi" w:cstheme="majorHAnsi"/>
              </w:rPr>
            </w:pPr>
            <w:r>
              <w:rPr>
                <w:rFonts w:asciiTheme="majorHAnsi" w:hAnsiTheme="majorHAnsi" w:cstheme="majorHAnsi"/>
              </w:rPr>
              <w:t>6</w:t>
            </w:r>
          </w:p>
        </w:tc>
        <w:tc>
          <w:tcPr>
            <w:tcW w:w="2410" w:type="dxa"/>
          </w:tcPr>
          <w:p w14:paraId="45F719F5" w14:textId="12F238B1" w:rsidR="00860D3D" w:rsidRPr="0012521E" w:rsidRDefault="00574FC5" w:rsidP="00EC78E4">
            <w:pPr>
              <w:pStyle w:val="Tablerightlarge"/>
              <w:rPr>
                <w:rFonts w:asciiTheme="majorHAnsi" w:hAnsiTheme="majorHAnsi" w:cstheme="majorHAnsi"/>
              </w:rPr>
            </w:pPr>
            <w:r>
              <w:rPr>
                <w:rFonts w:asciiTheme="majorHAnsi" w:hAnsiTheme="majorHAnsi" w:cstheme="majorHAnsi"/>
              </w:rPr>
              <w:t>6</w:t>
            </w:r>
          </w:p>
        </w:tc>
      </w:tr>
    </w:tbl>
    <w:p w14:paraId="59C42FA0" w14:textId="77777777" w:rsidR="00860D3D" w:rsidRPr="0012521E" w:rsidRDefault="00860D3D" w:rsidP="00126908">
      <w:pPr>
        <w:pStyle w:val="Heading3"/>
      </w:pPr>
      <w:bookmarkStart w:id="104" w:name="_Toc144884440"/>
      <w:bookmarkStart w:id="105" w:name="_Toc166585714"/>
      <w:r w:rsidRPr="0012521E">
        <w:t>Board members</w:t>
      </w:r>
      <w:bookmarkEnd w:id="104"/>
      <w:bookmarkEnd w:id="105"/>
    </w:p>
    <w:p w14:paraId="5663E7B6" w14:textId="743CE2F8" w:rsidR="00860D3D" w:rsidRPr="0012521E" w:rsidRDefault="00860D3D" w:rsidP="00105389">
      <w:pPr>
        <w:pStyle w:val="Body"/>
      </w:pPr>
      <w:r w:rsidRPr="0012521E">
        <w:fldChar w:fldCharType="begin"/>
      </w:r>
      <w:r w:rsidRPr="0012521E">
        <w:instrText xml:space="preserve"> REF _Ref143093480 \h </w:instrText>
      </w:r>
      <w:r w:rsidR="0012521E">
        <w:instrText xml:space="preserve"> \* MERGEFORMAT </w:instrText>
      </w:r>
      <w:r w:rsidRPr="0012521E">
        <w:fldChar w:fldCharType="separate"/>
      </w:r>
      <w:r w:rsidR="00EB70DF" w:rsidRPr="00EB70DF">
        <w:t>Table 8</w:t>
      </w:r>
      <w:r w:rsidRPr="0012521E">
        <w:fldChar w:fldCharType="end"/>
      </w:r>
      <w:r w:rsidRPr="0012521E">
        <w:t xml:space="preserve"> lists the</w:t>
      </w:r>
      <w:r w:rsidR="00315EBB">
        <w:t xml:space="preserve"> terms of appointment for Board members</w:t>
      </w:r>
      <w:r w:rsidR="27419314">
        <w:t>.</w:t>
      </w:r>
    </w:p>
    <w:p w14:paraId="51BD221C" w14:textId="5EDC47AB" w:rsidR="00860D3D" w:rsidRPr="0012521E" w:rsidRDefault="00860D3D" w:rsidP="00860D3D">
      <w:pPr>
        <w:pStyle w:val="Caption"/>
        <w:rPr>
          <w:rFonts w:asciiTheme="majorHAnsi" w:hAnsiTheme="majorHAnsi" w:cstheme="majorHAnsi"/>
        </w:rPr>
      </w:pPr>
      <w:bookmarkStart w:id="106" w:name="_Ref143093480"/>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8</w:t>
      </w:r>
      <w:r w:rsidRPr="0012521E">
        <w:rPr>
          <w:rFonts w:asciiTheme="majorHAnsi" w:hAnsiTheme="majorHAnsi" w:cstheme="majorHAnsi"/>
        </w:rPr>
        <w:fldChar w:fldCharType="end"/>
      </w:r>
      <w:bookmarkEnd w:id="106"/>
      <w:r w:rsidRPr="0012521E">
        <w:rPr>
          <w:rFonts w:asciiTheme="majorHAnsi" w:hAnsiTheme="majorHAnsi" w:cstheme="majorHAnsi"/>
        </w:rPr>
        <w:t xml:space="preserve">: </w:t>
      </w:r>
      <w:r w:rsidR="004F4AE7">
        <w:rPr>
          <w:rFonts w:asciiTheme="majorHAnsi" w:hAnsiTheme="majorHAnsi" w:cstheme="majorHAnsi"/>
        </w:rPr>
        <w:t>Terms of appointment for Board members</w:t>
      </w:r>
    </w:p>
    <w:tbl>
      <w:tblPr>
        <w:tblStyle w:val="TableGrid"/>
        <w:tblW w:w="8725" w:type="dxa"/>
        <w:tblLook w:val="04A0" w:firstRow="1" w:lastRow="0" w:firstColumn="1" w:lastColumn="0" w:noHBand="0" w:noVBand="1"/>
      </w:tblPr>
      <w:tblGrid>
        <w:gridCol w:w="3964"/>
        <w:gridCol w:w="2268"/>
        <w:gridCol w:w="2493"/>
      </w:tblGrid>
      <w:tr w:rsidR="00860D3D" w:rsidRPr="0012521E" w14:paraId="3C56C8BD" w14:textId="77777777" w:rsidTr="00C75D63">
        <w:trPr>
          <w:trHeight w:val="339"/>
        </w:trPr>
        <w:tc>
          <w:tcPr>
            <w:tcW w:w="3964" w:type="dxa"/>
            <w:shd w:val="clear" w:color="auto" w:fill="D4DFA0" w:themeFill="accent3"/>
            <w:noWrap/>
            <w:hideMark/>
          </w:tcPr>
          <w:p w14:paraId="5FD262B6" w14:textId="77777777" w:rsidR="00860D3D" w:rsidRPr="00E159ED" w:rsidRDefault="00860D3D" w:rsidP="00EC78E4">
            <w:pPr>
              <w:pStyle w:val="TableHeading"/>
              <w:rPr>
                <w:rFonts w:cstheme="majorHAnsi"/>
                <w:color w:val="auto"/>
              </w:rPr>
            </w:pPr>
            <w:r w:rsidRPr="00E159ED">
              <w:rPr>
                <w:rFonts w:cstheme="majorHAnsi"/>
                <w:color w:val="auto"/>
              </w:rPr>
              <w:t>Member</w:t>
            </w:r>
          </w:p>
        </w:tc>
        <w:tc>
          <w:tcPr>
            <w:tcW w:w="2268" w:type="dxa"/>
            <w:shd w:val="clear" w:color="auto" w:fill="D4DFA0" w:themeFill="accent3"/>
            <w:hideMark/>
          </w:tcPr>
          <w:p w14:paraId="2521D874" w14:textId="77777777" w:rsidR="00860D3D" w:rsidRPr="00E159ED" w:rsidRDefault="00860D3D" w:rsidP="00EC78E4">
            <w:pPr>
              <w:pStyle w:val="TableHeading"/>
              <w:rPr>
                <w:rFonts w:cstheme="majorHAnsi"/>
                <w:color w:val="auto"/>
              </w:rPr>
            </w:pPr>
            <w:r w:rsidRPr="00E159ED">
              <w:rPr>
                <w:rStyle w:val="Hyperlink"/>
                <w:rFonts w:cstheme="majorHAnsi"/>
                <w:color w:val="auto"/>
              </w:rPr>
              <w:t>Appointed</w:t>
            </w:r>
          </w:p>
        </w:tc>
        <w:tc>
          <w:tcPr>
            <w:tcW w:w="2493" w:type="dxa"/>
            <w:shd w:val="clear" w:color="auto" w:fill="D4DFA0" w:themeFill="accent3"/>
          </w:tcPr>
          <w:p w14:paraId="1E79A90B" w14:textId="43B64376" w:rsidR="00860D3D" w:rsidRPr="00E159ED" w:rsidRDefault="004F4AE7" w:rsidP="00EC78E4">
            <w:pPr>
              <w:pStyle w:val="TableHeading"/>
              <w:rPr>
                <w:rFonts w:cstheme="majorHAnsi"/>
                <w:color w:val="auto"/>
              </w:rPr>
            </w:pPr>
            <w:r>
              <w:rPr>
                <w:rStyle w:val="Hyperlink"/>
                <w:rFonts w:cstheme="majorHAnsi"/>
                <w:color w:val="auto"/>
              </w:rPr>
              <w:t xml:space="preserve">End of appointment </w:t>
            </w:r>
          </w:p>
        </w:tc>
      </w:tr>
      <w:tr w:rsidR="00860D3D" w:rsidRPr="0012521E" w14:paraId="397BC009" w14:textId="77777777" w:rsidTr="00C75D63">
        <w:trPr>
          <w:trHeight w:val="339"/>
        </w:trPr>
        <w:tc>
          <w:tcPr>
            <w:tcW w:w="3964" w:type="dxa"/>
            <w:noWrap/>
            <w:hideMark/>
          </w:tcPr>
          <w:p w14:paraId="685FC7E9"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Judi Harris</w:t>
            </w:r>
          </w:p>
        </w:tc>
        <w:tc>
          <w:tcPr>
            <w:tcW w:w="2268" w:type="dxa"/>
          </w:tcPr>
          <w:p w14:paraId="3D8519E6" w14:textId="189E2CE3" w:rsidR="00860D3D" w:rsidRPr="0012521E" w:rsidRDefault="00046580" w:rsidP="0CEC3F57">
            <w:pPr>
              <w:pStyle w:val="TableText"/>
              <w:rPr>
                <w:rFonts w:asciiTheme="majorHAnsi" w:hAnsiTheme="majorHAnsi" w:cstheme="majorBidi"/>
              </w:rPr>
            </w:pPr>
            <w:r>
              <w:rPr>
                <w:rFonts w:asciiTheme="majorHAnsi" w:hAnsiTheme="majorHAnsi" w:cstheme="majorBidi"/>
              </w:rPr>
              <w:t xml:space="preserve">1 </w:t>
            </w:r>
            <w:r w:rsidR="00860D3D" w:rsidRPr="0CEC3F57">
              <w:rPr>
                <w:rFonts w:asciiTheme="majorHAnsi" w:hAnsiTheme="majorHAnsi" w:cstheme="majorBidi"/>
              </w:rPr>
              <w:t xml:space="preserve">July 2017 </w:t>
            </w:r>
          </w:p>
        </w:tc>
        <w:tc>
          <w:tcPr>
            <w:tcW w:w="2493" w:type="dxa"/>
          </w:tcPr>
          <w:p w14:paraId="363F67BE" w14:textId="12F70B42" w:rsidR="00860D3D" w:rsidRPr="00957A51" w:rsidRDefault="00046580" w:rsidP="00EC78E4">
            <w:pPr>
              <w:pStyle w:val="TableText"/>
              <w:rPr>
                <w:rFonts w:asciiTheme="majorHAnsi" w:hAnsiTheme="majorHAnsi" w:cstheme="majorHAnsi"/>
              </w:rPr>
            </w:pPr>
            <w:r>
              <w:rPr>
                <w:rFonts w:asciiTheme="majorHAnsi" w:hAnsiTheme="majorHAnsi" w:cstheme="majorHAnsi"/>
              </w:rPr>
              <w:t xml:space="preserve">30 </w:t>
            </w:r>
            <w:r w:rsidR="006E5520">
              <w:rPr>
                <w:rFonts w:asciiTheme="majorHAnsi" w:hAnsiTheme="majorHAnsi" w:cstheme="majorHAnsi"/>
              </w:rPr>
              <w:t>September</w:t>
            </w:r>
            <w:r w:rsidR="00860D3D" w:rsidRPr="00957A51">
              <w:rPr>
                <w:rFonts w:asciiTheme="majorHAnsi" w:hAnsiTheme="majorHAnsi" w:cstheme="majorHAnsi"/>
              </w:rPr>
              <w:t xml:space="preserve"> 2024</w:t>
            </w:r>
            <w:r w:rsidR="00967272" w:rsidRPr="00957A51">
              <w:rPr>
                <w:rFonts w:asciiTheme="majorHAnsi" w:hAnsiTheme="majorHAnsi" w:cstheme="majorHAnsi"/>
              </w:rPr>
              <w:t xml:space="preserve"> </w:t>
            </w:r>
          </w:p>
        </w:tc>
      </w:tr>
      <w:tr w:rsidR="00860D3D" w:rsidRPr="0012521E" w14:paraId="7A16A0D2" w14:textId="77777777" w:rsidTr="00C75D63">
        <w:trPr>
          <w:trHeight w:val="339"/>
        </w:trPr>
        <w:tc>
          <w:tcPr>
            <w:tcW w:w="3964" w:type="dxa"/>
            <w:noWrap/>
            <w:hideMark/>
          </w:tcPr>
          <w:p w14:paraId="5B82F535"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Kerry Osborne</w:t>
            </w:r>
          </w:p>
        </w:tc>
        <w:tc>
          <w:tcPr>
            <w:tcW w:w="2268" w:type="dxa"/>
          </w:tcPr>
          <w:p w14:paraId="4A05C739" w14:textId="3A17E8FB" w:rsidR="00860D3D" w:rsidRPr="0012521E" w:rsidRDefault="00046580" w:rsidP="0CEC3F57">
            <w:pPr>
              <w:pStyle w:val="TableText"/>
              <w:rPr>
                <w:rFonts w:asciiTheme="majorHAnsi" w:hAnsiTheme="majorHAnsi" w:cstheme="majorBidi"/>
              </w:rPr>
            </w:pPr>
            <w:r>
              <w:rPr>
                <w:rFonts w:asciiTheme="majorHAnsi" w:hAnsiTheme="majorHAnsi" w:cstheme="majorBidi"/>
              </w:rPr>
              <w:t xml:space="preserve">1 </w:t>
            </w:r>
            <w:r w:rsidR="00860D3D" w:rsidRPr="0CEC3F57">
              <w:rPr>
                <w:rFonts w:asciiTheme="majorHAnsi" w:hAnsiTheme="majorHAnsi" w:cstheme="majorBidi"/>
              </w:rPr>
              <w:t xml:space="preserve">July 2017 </w:t>
            </w:r>
          </w:p>
        </w:tc>
        <w:tc>
          <w:tcPr>
            <w:tcW w:w="2493" w:type="dxa"/>
          </w:tcPr>
          <w:p w14:paraId="5AB8AECC" w14:textId="2F20FE0F" w:rsidR="00860D3D" w:rsidRPr="00957A51" w:rsidRDefault="00046580" w:rsidP="00EC78E4">
            <w:pPr>
              <w:pStyle w:val="TableText"/>
              <w:rPr>
                <w:rFonts w:asciiTheme="majorHAnsi" w:hAnsiTheme="majorHAnsi" w:cstheme="majorHAnsi"/>
              </w:rPr>
            </w:pPr>
            <w:r>
              <w:rPr>
                <w:rFonts w:asciiTheme="majorHAnsi" w:hAnsiTheme="majorHAnsi" w:cstheme="majorHAnsi"/>
              </w:rPr>
              <w:t xml:space="preserve">30 </w:t>
            </w:r>
            <w:r w:rsidR="006E5520">
              <w:rPr>
                <w:rFonts w:asciiTheme="majorHAnsi" w:hAnsiTheme="majorHAnsi" w:cstheme="majorHAnsi"/>
              </w:rPr>
              <w:t>September</w:t>
            </w:r>
            <w:r w:rsidR="00860D3D" w:rsidRPr="00957A51">
              <w:rPr>
                <w:rFonts w:asciiTheme="majorHAnsi" w:hAnsiTheme="majorHAnsi" w:cstheme="majorHAnsi"/>
              </w:rPr>
              <w:t xml:space="preserve"> 2024</w:t>
            </w:r>
            <w:r w:rsidR="00967272" w:rsidRPr="00957A51">
              <w:rPr>
                <w:rFonts w:asciiTheme="majorHAnsi" w:hAnsiTheme="majorHAnsi" w:cstheme="majorHAnsi"/>
              </w:rPr>
              <w:t xml:space="preserve"> </w:t>
            </w:r>
          </w:p>
        </w:tc>
      </w:tr>
      <w:tr w:rsidR="00860D3D" w:rsidRPr="0012521E" w14:paraId="72B11670" w14:textId="77777777" w:rsidTr="00C75D63">
        <w:trPr>
          <w:trHeight w:val="339"/>
        </w:trPr>
        <w:tc>
          <w:tcPr>
            <w:tcW w:w="3964" w:type="dxa"/>
            <w:noWrap/>
            <w:hideMark/>
          </w:tcPr>
          <w:p w14:paraId="51249AE3"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Neil Pharaoh</w:t>
            </w:r>
          </w:p>
        </w:tc>
        <w:tc>
          <w:tcPr>
            <w:tcW w:w="2268" w:type="dxa"/>
          </w:tcPr>
          <w:p w14:paraId="0456E763" w14:textId="56FF933A" w:rsidR="00860D3D" w:rsidRPr="0012521E" w:rsidDel="00FD196C" w:rsidRDefault="00756DA1" w:rsidP="00EC78E4">
            <w:pPr>
              <w:pStyle w:val="TableText"/>
              <w:rPr>
                <w:rFonts w:asciiTheme="majorHAnsi" w:hAnsiTheme="majorHAnsi" w:cstheme="majorHAnsi"/>
              </w:rPr>
            </w:pPr>
            <w:r>
              <w:rPr>
                <w:rFonts w:asciiTheme="majorHAnsi" w:hAnsiTheme="majorHAnsi" w:cstheme="majorHAnsi"/>
              </w:rPr>
              <w:t xml:space="preserve">1 </w:t>
            </w:r>
            <w:r w:rsidR="00860D3D" w:rsidRPr="0012521E">
              <w:rPr>
                <w:rFonts w:asciiTheme="majorHAnsi" w:hAnsiTheme="majorHAnsi" w:cstheme="majorHAnsi"/>
              </w:rPr>
              <w:t>July 2019</w:t>
            </w:r>
          </w:p>
        </w:tc>
        <w:tc>
          <w:tcPr>
            <w:tcW w:w="2493" w:type="dxa"/>
          </w:tcPr>
          <w:p w14:paraId="14F76A2E" w14:textId="3467AEE5" w:rsidR="00860D3D" w:rsidRPr="00957A51" w:rsidRDefault="00756DA1" w:rsidP="00EC78E4">
            <w:pPr>
              <w:pStyle w:val="TableText"/>
              <w:rPr>
                <w:rFonts w:asciiTheme="majorHAnsi" w:hAnsiTheme="majorHAnsi" w:cstheme="majorHAnsi"/>
              </w:rPr>
            </w:pPr>
            <w:r>
              <w:rPr>
                <w:rFonts w:asciiTheme="majorHAnsi" w:hAnsiTheme="majorHAnsi" w:cstheme="majorHAnsi"/>
              </w:rPr>
              <w:t xml:space="preserve">30 </w:t>
            </w:r>
            <w:r w:rsidR="003C2361">
              <w:rPr>
                <w:rFonts w:asciiTheme="majorHAnsi" w:hAnsiTheme="majorHAnsi" w:cstheme="majorHAnsi"/>
              </w:rPr>
              <w:t>September</w:t>
            </w:r>
            <w:r w:rsidR="00860D3D" w:rsidRPr="00957A51">
              <w:rPr>
                <w:rFonts w:asciiTheme="majorHAnsi" w:hAnsiTheme="majorHAnsi" w:cstheme="majorHAnsi"/>
              </w:rPr>
              <w:t xml:space="preserve"> 2024</w:t>
            </w:r>
            <w:r w:rsidR="00967272" w:rsidRPr="00957A51">
              <w:rPr>
                <w:rFonts w:asciiTheme="majorHAnsi" w:hAnsiTheme="majorHAnsi" w:cstheme="majorHAnsi"/>
              </w:rPr>
              <w:t xml:space="preserve"> </w:t>
            </w:r>
          </w:p>
        </w:tc>
      </w:tr>
      <w:tr w:rsidR="00860D3D" w:rsidRPr="0012521E" w14:paraId="1709EF70" w14:textId="77777777" w:rsidTr="00C75D63">
        <w:trPr>
          <w:trHeight w:val="339"/>
        </w:trPr>
        <w:tc>
          <w:tcPr>
            <w:tcW w:w="3964" w:type="dxa"/>
            <w:noWrap/>
            <w:hideMark/>
          </w:tcPr>
          <w:p w14:paraId="0EB6BB94"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Johan Scheffer (Chairperson)</w:t>
            </w:r>
          </w:p>
        </w:tc>
        <w:tc>
          <w:tcPr>
            <w:tcW w:w="2268" w:type="dxa"/>
          </w:tcPr>
          <w:p w14:paraId="1346DE08" w14:textId="03E99721" w:rsidR="00860D3D" w:rsidRPr="0012521E" w:rsidRDefault="00DB5920" w:rsidP="00EC78E4">
            <w:pPr>
              <w:pStyle w:val="TableText"/>
              <w:rPr>
                <w:rFonts w:asciiTheme="majorHAnsi" w:hAnsiTheme="majorHAnsi" w:cstheme="majorHAnsi"/>
              </w:rPr>
            </w:pPr>
            <w:r>
              <w:rPr>
                <w:rFonts w:asciiTheme="majorHAnsi" w:hAnsiTheme="majorHAnsi" w:cstheme="majorHAnsi"/>
              </w:rPr>
              <w:t xml:space="preserve">1 </w:t>
            </w:r>
            <w:r w:rsidR="00860D3D" w:rsidRPr="0012521E">
              <w:rPr>
                <w:rFonts w:asciiTheme="majorHAnsi" w:hAnsiTheme="majorHAnsi" w:cstheme="majorHAnsi"/>
              </w:rPr>
              <w:t>June 2021</w:t>
            </w:r>
          </w:p>
        </w:tc>
        <w:tc>
          <w:tcPr>
            <w:tcW w:w="2493" w:type="dxa"/>
          </w:tcPr>
          <w:p w14:paraId="20C09467" w14:textId="7FAE1F94" w:rsidR="00860D3D" w:rsidRPr="004D0652" w:rsidRDefault="00DB5920" w:rsidP="00EC78E4">
            <w:pPr>
              <w:pStyle w:val="TableText"/>
              <w:rPr>
                <w:rFonts w:asciiTheme="majorHAnsi" w:hAnsiTheme="majorHAnsi" w:cstheme="majorHAnsi"/>
              </w:rPr>
            </w:pPr>
            <w:r>
              <w:rPr>
                <w:rFonts w:asciiTheme="majorHAnsi" w:hAnsiTheme="majorHAnsi" w:cstheme="majorHAnsi"/>
              </w:rPr>
              <w:t xml:space="preserve">31 </w:t>
            </w:r>
            <w:r w:rsidR="00860D3D" w:rsidRPr="004D0652">
              <w:rPr>
                <w:rFonts w:asciiTheme="majorHAnsi" w:hAnsiTheme="majorHAnsi" w:cstheme="majorHAnsi"/>
              </w:rPr>
              <w:t>May 2026</w:t>
            </w:r>
          </w:p>
        </w:tc>
      </w:tr>
      <w:tr w:rsidR="00860D3D" w:rsidRPr="0012521E" w14:paraId="2612BA98" w14:textId="77777777" w:rsidTr="00C75D63">
        <w:trPr>
          <w:trHeight w:val="339"/>
        </w:trPr>
        <w:tc>
          <w:tcPr>
            <w:tcW w:w="3964" w:type="dxa"/>
            <w:noWrap/>
            <w:hideMark/>
          </w:tcPr>
          <w:p w14:paraId="7333621E"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Judith Landsberg (Deputy Chairperson)</w:t>
            </w:r>
          </w:p>
        </w:tc>
        <w:tc>
          <w:tcPr>
            <w:tcW w:w="2268" w:type="dxa"/>
          </w:tcPr>
          <w:p w14:paraId="15480F37" w14:textId="7322E796" w:rsidR="00860D3D" w:rsidRPr="0012521E" w:rsidRDefault="00BC3E58" w:rsidP="00EC78E4">
            <w:pPr>
              <w:pStyle w:val="TableText"/>
              <w:rPr>
                <w:rFonts w:asciiTheme="majorHAnsi" w:hAnsiTheme="majorHAnsi" w:cstheme="majorHAnsi"/>
              </w:rPr>
            </w:pPr>
            <w:r>
              <w:rPr>
                <w:rFonts w:asciiTheme="majorHAnsi" w:hAnsiTheme="majorHAnsi" w:cstheme="majorHAnsi"/>
              </w:rPr>
              <w:t xml:space="preserve">15 </w:t>
            </w:r>
            <w:r w:rsidR="00860D3D" w:rsidRPr="0012521E">
              <w:rPr>
                <w:rFonts w:asciiTheme="majorHAnsi" w:hAnsiTheme="majorHAnsi" w:cstheme="majorHAnsi"/>
              </w:rPr>
              <w:t>June 2021</w:t>
            </w:r>
          </w:p>
        </w:tc>
        <w:tc>
          <w:tcPr>
            <w:tcW w:w="2493" w:type="dxa"/>
          </w:tcPr>
          <w:p w14:paraId="087C5D44" w14:textId="110A8579" w:rsidR="00860D3D" w:rsidRPr="004D0652" w:rsidRDefault="00BC3E58" w:rsidP="00EC78E4">
            <w:pPr>
              <w:pStyle w:val="TableText"/>
              <w:rPr>
                <w:rFonts w:asciiTheme="majorHAnsi" w:hAnsiTheme="majorHAnsi" w:cstheme="majorHAnsi"/>
              </w:rPr>
            </w:pPr>
            <w:r>
              <w:rPr>
                <w:rFonts w:asciiTheme="majorHAnsi" w:hAnsiTheme="majorHAnsi" w:cstheme="majorHAnsi"/>
              </w:rPr>
              <w:t xml:space="preserve">30 </w:t>
            </w:r>
            <w:r w:rsidR="00860D3D" w:rsidRPr="004D0652">
              <w:rPr>
                <w:rFonts w:asciiTheme="majorHAnsi" w:hAnsiTheme="majorHAnsi" w:cstheme="majorHAnsi"/>
              </w:rPr>
              <w:t>June 2025</w:t>
            </w:r>
          </w:p>
        </w:tc>
      </w:tr>
      <w:tr w:rsidR="00860D3D" w:rsidRPr="0012521E" w14:paraId="71DB2C2A" w14:textId="77777777" w:rsidTr="00C75D63">
        <w:trPr>
          <w:trHeight w:val="339"/>
        </w:trPr>
        <w:tc>
          <w:tcPr>
            <w:tcW w:w="3964" w:type="dxa"/>
            <w:noWrap/>
            <w:hideMark/>
          </w:tcPr>
          <w:p w14:paraId="5698D8D8"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Sarah McDowell</w:t>
            </w:r>
          </w:p>
        </w:tc>
        <w:tc>
          <w:tcPr>
            <w:tcW w:w="2268" w:type="dxa"/>
          </w:tcPr>
          <w:p w14:paraId="40C3AD63" w14:textId="12E4D245" w:rsidR="00860D3D" w:rsidRPr="0012521E" w:rsidRDefault="00BC3E58" w:rsidP="00EC78E4">
            <w:pPr>
              <w:pStyle w:val="TableText"/>
              <w:rPr>
                <w:rFonts w:asciiTheme="majorHAnsi" w:hAnsiTheme="majorHAnsi" w:cstheme="majorHAnsi"/>
              </w:rPr>
            </w:pPr>
            <w:r>
              <w:rPr>
                <w:rFonts w:asciiTheme="majorHAnsi" w:hAnsiTheme="majorHAnsi" w:cstheme="majorHAnsi"/>
              </w:rPr>
              <w:t xml:space="preserve">15 </w:t>
            </w:r>
            <w:r w:rsidR="00860D3D" w:rsidRPr="0012521E">
              <w:rPr>
                <w:rFonts w:asciiTheme="majorHAnsi" w:hAnsiTheme="majorHAnsi" w:cstheme="majorHAnsi"/>
              </w:rPr>
              <w:t>June 2021</w:t>
            </w:r>
          </w:p>
        </w:tc>
        <w:tc>
          <w:tcPr>
            <w:tcW w:w="2493" w:type="dxa"/>
          </w:tcPr>
          <w:p w14:paraId="2DDF7D6B" w14:textId="79925733" w:rsidR="00860D3D" w:rsidRPr="004D0652" w:rsidRDefault="00BC3E58" w:rsidP="00EC78E4">
            <w:pPr>
              <w:pStyle w:val="TableText"/>
              <w:rPr>
                <w:rFonts w:asciiTheme="majorHAnsi" w:hAnsiTheme="majorHAnsi" w:cstheme="majorHAnsi"/>
              </w:rPr>
            </w:pPr>
            <w:r>
              <w:rPr>
                <w:rFonts w:asciiTheme="majorHAnsi" w:hAnsiTheme="majorHAnsi" w:cstheme="majorHAnsi"/>
              </w:rPr>
              <w:t xml:space="preserve">30 </w:t>
            </w:r>
            <w:r w:rsidR="00860D3D" w:rsidRPr="004D0652">
              <w:rPr>
                <w:rFonts w:asciiTheme="majorHAnsi" w:hAnsiTheme="majorHAnsi" w:cstheme="majorHAnsi"/>
              </w:rPr>
              <w:t>June 2025</w:t>
            </w:r>
          </w:p>
        </w:tc>
      </w:tr>
      <w:tr w:rsidR="00860D3D" w:rsidRPr="0012521E" w14:paraId="3957A237" w14:textId="77777777" w:rsidTr="00C75D63">
        <w:trPr>
          <w:trHeight w:val="339"/>
        </w:trPr>
        <w:tc>
          <w:tcPr>
            <w:tcW w:w="3964" w:type="dxa"/>
            <w:noWrap/>
            <w:hideMark/>
          </w:tcPr>
          <w:p w14:paraId="003A2D3D" w14:textId="77777777" w:rsidR="00860D3D" w:rsidRPr="0012521E" w:rsidRDefault="00860D3D" w:rsidP="00EC78E4">
            <w:pPr>
              <w:pStyle w:val="TableText"/>
              <w:rPr>
                <w:rFonts w:asciiTheme="majorHAnsi" w:hAnsiTheme="majorHAnsi" w:cstheme="majorHAnsi"/>
              </w:rPr>
            </w:pPr>
            <w:r w:rsidRPr="0012521E">
              <w:rPr>
                <w:rFonts w:asciiTheme="majorHAnsi" w:hAnsiTheme="majorHAnsi" w:cstheme="majorHAnsi"/>
              </w:rPr>
              <w:t>Mark Wakeham</w:t>
            </w:r>
          </w:p>
        </w:tc>
        <w:tc>
          <w:tcPr>
            <w:tcW w:w="2268" w:type="dxa"/>
          </w:tcPr>
          <w:p w14:paraId="52E638E1" w14:textId="0B123CC1" w:rsidR="00860D3D" w:rsidRPr="0012521E" w:rsidRDefault="00BC3E58" w:rsidP="00EC78E4">
            <w:pPr>
              <w:pStyle w:val="TableText"/>
              <w:rPr>
                <w:rFonts w:asciiTheme="majorHAnsi" w:hAnsiTheme="majorHAnsi" w:cstheme="majorHAnsi"/>
              </w:rPr>
            </w:pPr>
            <w:r>
              <w:rPr>
                <w:rFonts w:asciiTheme="majorHAnsi" w:hAnsiTheme="majorHAnsi" w:cstheme="majorHAnsi"/>
              </w:rPr>
              <w:t xml:space="preserve">15 </w:t>
            </w:r>
            <w:r w:rsidR="00860D3D" w:rsidRPr="0012521E">
              <w:rPr>
                <w:rFonts w:asciiTheme="majorHAnsi" w:hAnsiTheme="majorHAnsi" w:cstheme="majorHAnsi"/>
              </w:rPr>
              <w:t>June 2021</w:t>
            </w:r>
          </w:p>
        </w:tc>
        <w:tc>
          <w:tcPr>
            <w:tcW w:w="2493" w:type="dxa"/>
          </w:tcPr>
          <w:p w14:paraId="6520E0A9" w14:textId="4FDA042A" w:rsidR="00860D3D" w:rsidRPr="004D0652" w:rsidRDefault="00BC3E58" w:rsidP="00EC78E4">
            <w:pPr>
              <w:pStyle w:val="TableText"/>
              <w:rPr>
                <w:rFonts w:asciiTheme="majorHAnsi" w:hAnsiTheme="majorHAnsi" w:cstheme="majorHAnsi"/>
              </w:rPr>
            </w:pPr>
            <w:r>
              <w:rPr>
                <w:rFonts w:asciiTheme="majorHAnsi" w:hAnsiTheme="majorHAnsi" w:cstheme="majorHAnsi"/>
              </w:rPr>
              <w:t xml:space="preserve">30 </w:t>
            </w:r>
            <w:r w:rsidR="00860D3D" w:rsidRPr="004D0652">
              <w:rPr>
                <w:rFonts w:asciiTheme="majorHAnsi" w:hAnsiTheme="majorHAnsi" w:cstheme="majorHAnsi"/>
              </w:rPr>
              <w:t>June 2025</w:t>
            </w:r>
          </w:p>
        </w:tc>
      </w:tr>
      <w:tr w:rsidR="00204475" w:rsidRPr="0012521E" w14:paraId="02285B30" w14:textId="77777777" w:rsidTr="00204475">
        <w:trPr>
          <w:trHeight w:val="339"/>
        </w:trPr>
        <w:tc>
          <w:tcPr>
            <w:tcW w:w="3964" w:type="dxa"/>
            <w:noWrap/>
          </w:tcPr>
          <w:p w14:paraId="2D913DD4" w14:textId="6DFCF717" w:rsidR="00204475" w:rsidRPr="0012521E" w:rsidRDefault="00204475" w:rsidP="00204475">
            <w:pPr>
              <w:pStyle w:val="TableText"/>
              <w:rPr>
                <w:rFonts w:asciiTheme="majorHAnsi" w:hAnsiTheme="majorHAnsi" w:cstheme="majorHAnsi"/>
              </w:rPr>
            </w:pPr>
            <w:r w:rsidRPr="0012521E">
              <w:rPr>
                <w:rFonts w:asciiTheme="majorHAnsi" w:hAnsiTheme="majorHAnsi" w:cstheme="majorHAnsi"/>
              </w:rPr>
              <w:t>Meredith Banks</w:t>
            </w:r>
          </w:p>
        </w:tc>
        <w:tc>
          <w:tcPr>
            <w:tcW w:w="2268" w:type="dxa"/>
          </w:tcPr>
          <w:p w14:paraId="37FDC8FB" w14:textId="34410D3E" w:rsidR="00204475" w:rsidRPr="0012521E" w:rsidRDefault="00DB5920" w:rsidP="00204475">
            <w:pPr>
              <w:pStyle w:val="TableText"/>
              <w:rPr>
                <w:rFonts w:asciiTheme="majorHAnsi" w:hAnsiTheme="majorHAnsi" w:cstheme="majorHAnsi"/>
              </w:rPr>
            </w:pPr>
            <w:r>
              <w:rPr>
                <w:rFonts w:asciiTheme="majorHAnsi" w:hAnsiTheme="majorHAnsi" w:cstheme="majorHAnsi"/>
              </w:rPr>
              <w:t xml:space="preserve">15 </w:t>
            </w:r>
            <w:r w:rsidR="00204475" w:rsidRPr="0012521E">
              <w:rPr>
                <w:rFonts w:asciiTheme="majorHAnsi" w:hAnsiTheme="majorHAnsi" w:cstheme="majorHAnsi"/>
              </w:rPr>
              <w:t>June 2021</w:t>
            </w:r>
          </w:p>
        </w:tc>
        <w:tc>
          <w:tcPr>
            <w:tcW w:w="2493" w:type="dxa"/>
          </w:tcPr>
          <w:p w14:paraId="1E140C4B" w14:textId="4351EEB3" w:rsidR="00204475" w:rsidRPr="004D0652" w:rsidRDefault="00204475" w:rsidP="00204475">
            <w:pPr>
              <w:pStyle w:val="TableText"/>
              <w:rPr>
                <w:rFonts w:asciiTheme="majorHAnsi" w:hAnsiTheme="majorHAnsi" w:cstheme="majorHAnsi"/>
              </w:rPr>
            </w:pPr>
            <w:r w:rsidRPr="004D0652">
              <w:rPr>
                <w:rFonts w:asciiTheme="majorHAnsi" w:hAnsiTheme="majorHAnsi" w:cstheme="majorHAnsi"/>
              </w:rPr>
              <w:t>Resigned 4 May 2024</w:t>
            </w:r>
          </w:p>
        </w:tc>
      </w:tr>
    </w:tbl>
    <w:p w14:paraId="71F6E441" w14:textId="77777777" w:rsidR="00860D3D" w:rsidRPr="0012521E" w:rsidRDefault="00860D3D" w:rsidP="00105389">
      <w:pPr>
        <w:pStyle w:val="Body"/>
      </w:pPr>
    </w:p>
    <w:p w14:paraId="279F8E5F" w14:textId="77777777" w:rsidR="00860D3D" w:rsidRPr="0012521E" w:rsidRDefault="00860D3D" w:rsidP="00860D3D">
      <w:pPr>
        <w:spacing w:line="264" w:lineRule="auto"/>
        <w:rPr>
          <w:rFonts w:asciiTheme="majorHAnsi" w:eastAsiaTheme="majorEastAsia" w:hAnsiTheme="majorHAnsi" w:cstheme="majorHAnsi"/>
          <w:color w:val="000000"/>
          <w:sz w:val="24"/>
          <w:szCs w:val="24"/>
          <w14:textFill>
            <w14:solidFill>
              <w14:srgbClr w14:val="000000">
                <w14:lumMod w14:val="65000"/>
                <w14:lumOff w14:val="35000"/>
              </w14:srgbClr>
            </w14:solidFill>
          </w14:textFill>
        </w:rPr>
      </w:pPr>
      <w:r w:rsidRPr="0012521E">
        <w:rPr>
          <w:rFonts w:asciiTheme="majorHAnsi" w:hAnsiTheme="majorHAnsi" w:cstheme="majorHAnsi"/>
        </w:rPr>
        <w:br w:type="page"/>
      </w:r>
    </w:p>
    <w:p w14:paraId="2F25969F" w14:textId="77777777" w:rsidR="00860D3D" w:rsidRPr="0012521E" w:rsidRDefault="00860D3D" w:rsidP="0074499F">
      <w:pPr>
        <w:pStyle w:val="Heading4"/>
      </w:pPr>
      <w:bookmarkStart w:id="107" w:name="_Toc166585715"/>
      <w:r w:rsidRPr="0012521E">
        <w:lastRenderedPageBreak/>
        <w:t>Johan Scheffer, Chairperson</w:t>
      </w:r>
      <w:bookmarkEnd w:id="107"/>
    </w:p>
    <w:p w14:paraId="18095D40" w14:textId="77777777" w:rsidR="00860D3D" w:rsidRPr="0012521E" w:rsidRDefault="00860D3D" w:rsidP="00105389">
      <w:pPr>
        <w:pStyle w:val="Body"/>
      </w:pPr>
      <w:r w:rsidRPr="0012521E">
        <w:t>Johan Scheffer has a long and distinguished career in education, children’s services, policy development, private consultancy and as a Member of the Parliament of Victoria.</w:t>
      </w:r>
    </w:p>
    <w:p w14:paraId="3A4B0E8E" w14:textId="49D7B9E4" w:rsidR="00860D3D" w:rsidRPr="0012521E" w:rsidRDefault="00860D3D" w:rsidP="00105389">
      <w:pPr>
        <w:pStyle w:val="Body"/>
      </w:pPr>
      <w:r w:rsidRPr="0012521E">
        <w:t>Johan brings considerable knowledge and experience in government policy, program management and public administration. Throughout his career</w:t>
      </w:r>
      <w:r w:rsidR="19E7E83B">
        <w:t>,</w:t>
      </w:r>
      <w:r w:rsidRPr="0012521E">
        <w:t xml:space="preserve"> he has made it a priority to engage directly with the communities and organisations affected by government decision-making and has actively engaged in local campaigns.</w:t>
      </w:r>
    </w:p>
    <w:p w14:paraId="6C7A412A" w14:textId="1ED6A12F" w:rsidR="00860D3D" w:rsidRPr="0012521E" w:rsidRDefault="00860D3D" w:rsidP="00105389">
      <w:pPr>
        <w:pStyle w:val="Body"/>
      </w:pPr>
      <w:r w:rsidRPr="0012521E">
        <w:t>Johan’s work as an MP involved legislation, advocacy and, as chair of Joint Investigatory Committees, directing research and consultation with communities and experts across Australia and internationally.</w:t>
      </w:r>
    </w:p>
    <w:p w14:paraId="2922D175" w14:textId="77777777" w:rsidR="00860D3D" w:rsidRPr="0012521E" w:rsidRDefault="00860D3D" w:rsidP="00105389">
      <w:pPr>
        <w:pStyle w:val="Body"/>
      </w:pPr>
      <w:r w:rsidRPr="0012521E">
        <w:t>Johan has a longstanding engagement in environment policy, and during his time as the Member for Eastern Victoria worked with communities and organisations on a broad range of environment issues, including forestry, farming, water, coasts and the uncertain future of the coal industry in the Latrobe Valley and the impact this would have on the local community and on Victoria as a whole.</w:t>
      </w:r>
    </w:p>
    <w:p w14:paraId="37CA503E" w14:textId="2AF23D20" w:rsidR="00860D3D" w:rsidRPr="0012521E" w:rsidRDefault="00860D3D" w:rsidP="00105389">
      <w:pPr>
        <w:pStyle w:val="Body"/>
      </w:pPr>
      <w:r w:rsidRPr="0012521E">
        <w:t xml:space="preserve">Johan is an ex-officio member of the </w:t>
      </w:r>
      <w:r w:rsidR="22C6DF52">
        <w:t>Board</w:t>
      </w:r>
      <w:r w:rsidR="103E4A94">
        <w:t>’</w:t>
      </w:r>
      <w:r w:rsidR="22C6DF52">
        <w:t>s</w:t>
      </w:r>
      <w:r w:rsidRPr="0012521E">
        <w:t xml:space="preserve"> Audit, Risk and Finance Committee and P</w:t>
      </w:r>
      <w:r w:rsidR="00CF61B3">
        <w:t>erformance</w:t>
      </w:r>
      <w:r w:rsidRPr="0012521E">
        <w:t xml:space="preserve"> and Culture Committee.</w:t>
      </w:r>
    </w:p>
    <w:p w14:paraId="67753316" w14:textId="3481F6F6" w:rsidR="00860D3D" w:rsidRPr="0012521E" w:rsidRDefault="00860D3D" w:rsidP="0074499F">
      <w:pPr>
        <w:pStyle w:val="Heading4"/>
      </w:pPr>
      <w:bookmarkStart w:id="108" w:name="_Toc166585716"/>
      <w:r w:rsidRPr="0012521E">
        <w:t>Judith Landsberg, Deputy Chairperson</w:t>
      </w:r>
      <w:bookmarkEnd w:id="108"/>
    </w:p>
    <w:p w14:paraId="7D6BB976" w14:textId="6C119559" w:rsidR="6F104F0C" w:rsidRDefault="6F104F0C" w:rsidP="00105389">
      <w:pPr>
        <w:pStyle w:val="Body"/>
      </w:pPr>
      <w:r>
        <w:t>Judith Landsberg has founded and led environmental educational and sustainability initiatives, delivered complex climate and energy projects to industry and government, and she has an ongoing interest in innovation to mitigate and adapt to climate change</w:t>
      </w:r>
    </w:p>
    <w:p w14:paraId="221B8DB4" w14:textId="556202AC" w:rsidR="6F104F0C" w:rsidRDefault="6F104F0C" w:rsidP="00105389">
      <w:pPr>
        <w:pStyle w:val="Body"/>
      </w:pPr>
      <w:r>
        <w:t xml:space="preserve"> Judith is currently leading the development of the evidence base for Australia’s first National Climate Risk Assessment for the Australian Climate Service.  Her experience includes providing tailored climate information to the electricity sector for the Bureau of Meteorology and leading the City of Melbourne team to deliver the Melbourne Renewable Energy Project.</w:t>
      </w:r>
    </w:p>
    <w:p w14:paraId="04AC41B2" w14:textId="6E0293F0" w:rsidR="6F104F0C" w:rsidRDefault="6F104F0C" w:rsidP="00105389">
      <w:pPr>
        <w:pStyle w:val="Body"/>
      </w:pPr>
      <w:r>
        <w:t xml:space="preserve"> Judith ran </w:t>
      </w:r>
      <w:proofErr w:type="spellStart"/>
      <w:r>
        <w:t>Greenrock</w:t>
      </w:r>
      <w:proofErr w:type="spellEnd"/>
      <w:r>
        <w:t>, a leading sustainability non-profit in Bermuda that provided environmental education and sustainability advocacy, bringing an award-winning, UN-endorsed, environmental education program to Bermuda's schools. She also has experience in education, having taught science in high school, and was manager of scholarships for the General Sir John Monash Foundation.</w:t>
      </w:r>
    </w:p>
    <w:p w14:paraId="3AB703F7" w14:textId="0092D8BD" w:rsidR="6F104F0C" w:rsidRDefault="6F104F0C" w:rsidP="00105389">
      <w:pPr>
        <w:pStyle w:val="Body"/>
      </w:pPr>
      <w:r>
        <w:t xml:space="preserve"> Judith is an experienced non-profit director. She has a Bachelor of Science in Physics from ANU, a PhD in Physics from Oxford University, and a Master of Environmental Leadership from Duke University. She is a fellow of the Institute of Community Directors Australia and is a member of the SV Board Performance and Culture Committee.</w:t>
      </w:r>
    </w:p>
    <w:p w14:paraId="24C0F2B4" w14:textId="77777777" w:rsidR="00860D3D" w:rsidRPr="0012521E" w:rsidRDefault="00860D3D" w:rsidP="0074499F">
      <w:pPr>
        <w:pStyle w:val="Heading4"/>
      </w:pPr>
      <w:bookmarkStart w:id="109" w:name="_Toc166585717"/>
      <w:r w:rsidRPr="0012521E">
        <w:t>Judi Harris</w:t>
      </w:r>
      <w:bookmarkEnd w:id="109"/>
    </w:p>
    <w:p w14:paraId="3C18E85A" w14:textId="61E8219C" w:rsidR="00860D3D" w:rsidRPr="0012521E" w:rsidRDefault="00860D3D" w:rsidP="00C75D63">
      <w:pPr>
        <w:spacing w:line="257" w:lineRule="auto"/>
      </w:pPr>
      <w:r w:rsidRPr="0012521E">
        <w:t>Judi Harris brings expertise in education and local government with a strong focus on community engagement. She is a former Mildura Rural City councillor (2008</w:t>
      </w:r>
      <w:r w:rsidR="68A88100" w:rsidRPr="65EFC765">
        <w:rPr>
          <w:rFonts w:ascii="Aptos" w:eastAsia="Aptos" w:hAnsi="Aptos" w:cs="Aptos"/>
          <w:sz w:val="22"/>
          <w:lang w:val="en-GB"/>
        </w:rPr>
        <w:t>–</w:t>
      </w:r>
      <w:r w:rsidRPr="0012521E">
        <w:t>2016) and held the council’s environmental sustainability portfolio from 2012 to 2016.</w:t>
      </w:r>
    </w:p>
    <w:p w14:paraId="22968A02" w14:textId="6C44B8CF" w:rsidR="00860D3D" w:rsidRPr="0012521E" w:rsidRDefault="00860D3D" w:rsidP="00105389">
      <w:pPr>
        <w:pStyle w:val="Body"/>
      </w:pPr>
      <w:r w:rsidRPr="0012521E">
        <w:t>Judi has held numerous board and committee memberships in arts, education and sustainability, including five years as deputy chair of the former Mildura Regional Waste Management Group. Her career in education included secondary, adult and tertiary education. Judi tutored for Monash, Deakin and La Trobe Universities mostly in communication studies and professional writing. She then took up educational consulting in the United States of America for four years. Judi holds a Bachelor of Arts and a Secondary Teachers Certificate.</w:t>
      </w:r>
    </w:p>
    <w:p w14:paraId="043922E1" w14:textId="52AFA2C7" w:rsidR="00860D3D" w:rsidRPr="0012521E" w:rsidRDefault="00860D3D" w:rsidP="00105389">
      <w:pPr>
        <w:pStyle w:val="Body"/>
      </w:pPr>
      <w:r w:rsidRPr="0012521E">
        <w:t xml:space="preserve">Judi is the Chair of the </w:t>
      </w:r>
      <w:r w:rsidR="5E4E9A89">
        <w:t xml:space="preserve">Board’s </w:t>
      </w:r>
      <w:r w:rsidRPr="0012521E">
        <w:t>Performance and Culture Committee.</w:t>
      </w:r>
    </w:p>
    <w:p w14:paraId="1EFBD567" w14:textId="10379993" w:rsidR="00860D3D" w:rsidRPr="0012521E" w:rsidRDefault="00804E43" w:rsidP="0074499F">
      <w:pPr>
        <w:pStyle w:val="Heading4"/>
      </w:pPr>
      <w:bookmarkStart w:id="110" w:name="_Toc166585718"/>
      <w:proofErr w:type="gramStart"/>
      <w:r>
        <w:lastRenderedPageBreak/>
        <w:t>.</w:t>
      </w:r>
      <w:r w:rsidR="00860D3D" w:rsidRPr="0012521E">
        <w:t>Kerry</w:t>
      </w:r>
      <w:proofErr w:type="gramEnd"/>
      <w:r w:rsidR="00860D3D" w:rsidRPr="0012521E">
        <w:t xml:space="preserve"> Osborne</w:t>
      </w:r>
      <w:bookmarkEnd w:id="110"/>
    </w:p>
    <w:p w14:paraId="4C8E5871" w14:textId="3A921F93" w:rsidR="00860D3D" w:rsidRPr="0012521E" w:rsidRDefault="00860D3D" w:rsidP="00105389">
      <w:pPr>
        <w:pStyle w:val="Body"/>
      </w:pPr>
      <w:r w:rsidRPr="0012521E">
        <w:t xml:space="preserve">Kerry’s strengths lie in strategic leadership, financial sustainability and positive organisational change. Kerry is the managing partner of the mentoring consultancy, The Leader’s Mentor. Kerry also holds other </w:t>
      </w:r>
      <w:r w:rsidR="3C856040">
        <w:t>b</w:t>
      </w:r>
      <w:r w:rsidRPr="0012521E">
        <w:t xml:space="preserve">oard positions (two as </w:t>
      </w:r>
      <w:r w:rsidR="48244B1B">
        <w:t>c</w:t>
      </w:r>
      <w:r w:rsidRPr="0012521E">
        <w:t>hair), some of which are across environmentally sustainable industries. He has had significant leadership roles across both government and corporate sectors.</w:t>
      </w:r>
    </w:p>
    <w:p w14:paraId="0BE3B97A" w14:textId="23F8C25C" w:rsidR="00860D3D" w:rsidRPr="0012521E" w:rsidRDefault="00860D3D" w:rsidP="00105389">
      <w:pPr>
        <w:pStyle w:val="Body"/>
      </w:pPr>
      <w:r w:rsidRPr="0012521E">
        <w:t xml:space="preserve">Prior roles include chief executive of the Courts of Victoria and managing director of </w:t>
      </w:r>
      <w:proofErr w:type="spellStart"/>
      <w:r w:rsidRPr="0012521E">
        <w:t>CityWide</w:t>
      </w:r>
      <w:proofErr w:type="spellEnd"/>
      <w:r w:rsidRPr="0012521E">
        <w:t xml:space="preserve"> Services, an environmental, engineering and recycling business, owned by the City of Melbourne. </w:t>
      </w:r>
      <w:r w:rsidR="41D2E8A6">
        <w:t xml:space="preserve">Before that, </w:t>
      </w:r>
      <w:r w:rsidRPr="0012521E">
        <w:t>he was the founding CEO of Excell Corporation delivering environmental, facilities management and engineering services to local government across eastern Australia.</w:t>
      </w:r>
    </w:p>
    <w:p w14:paraId="3A4F294E" w14:textId="194509DB" w:rsidR="00860D3D" w:rsidRPr="0012521E" w:rsidRDefault="00860D3D" w:rsidP="00105389">
      <w:pPr>
        <w:pStyle w:val="Body"/>
      </w:pPr>
      <w:r w:rsidRPr="0012521E">
        <w:t xml:space="preserve">Kerry holds a Master of Business Administration (Chicago Booth Business School), is a civil engineer and a Fellow of the Australian Institute of Company Directors. Kerry is the Chair of </w:t>
      </w:r>
      <w:r w:rsidR="62C95A55">
        <w:t>the Board’s</w:t>
      </w:r>
      <w:r w:rsidR="22C6DF52">
        <w:t xml:space="preserve"> </w:t>
      </w:r>
      <w:r w:rsidRPr="0012521E">
        <w:t>Audit, Risk and Finance Committee.</w:t>
      </w:r>
    </w:p>
    <w:p w14:paraId="09F060B8" w14:textId="77777777" w:rsidR="00860D3D" w:rsidRPr="0012521E" w:rsidRDefault="00860D3D" w:rsidP="0074499F">
      <w:pPr>
        <w:pStyle w:val="Heading4"/>
      </w:pPr>
      <w:bookmarkStart w:id="111" w:name="_Toc166585719"/>
      <w:r w:rsidRPr="0012521E">
        <w:t>Mark Wakeham</w:t>
      </w:r>
      <w:bookmarkEnd w:id="111"/>
    </w:p>
    <w:p w14:paraId="62150F0E" w14:textId="77777777" w:rsidR="00860D3D" w:rsidRPr="005533BB" w:rsidRDefault="00860D3D" w:rsidP="00105389">
      <w:pPr>
        <w:pStyle w:val="Body"/>
      </w:pPr>
      <w:r w:rsidRPr="005533BB">
        <w:t>Mark Wakeham has over two decades experience working on climate and sustainability policy, campaigns and communications. He is an experienced board director, CEO and changemaker.</w:t>
      </w:r>
    </w:p>
    <w:p w14:paraId="66F528F7" w14:textId="549C7C56" w:rsidR="005533BB" w:rsidRPr="005533BB" w:rsidRDefault="005533BB" w:rsidP="00105389">
      <w:pPr>
        <w:pStyle w:val="Body"/>
      </w:pPr>
      <w:r w:rsidRPr="005533BB">
        <w:t xml:space="preserve">Mark has held leadership roles in the Australian environment and union movements including as CEO of Environment Victoria, Australian </w:t>
      </w:r>
      <w:r w:rsidR="24E777E9">
        <w:t>p</w:t>
      </w:r>
      <w:r w:rsidR="6BA1EBBA">
        <w:t xml:space="preserve">rogram </w:t>
      </w:r>
      <w:r w:rsidR="07720DCB">
        <w:t>d</w:t>
      </w:r>
      <w:r w:rsidRPr="005533BB">
        <w:t xml:space="preserve">irector with The Sunrise Project and as </w:t>
      </w:r>
      <w:r w:rsidR="7A84B2AE">
        <w:t>s</w:t>
      </w:r>
      <w:r w:rsidR="6BA1EBBA">
        <w:t xml:space="preserve">enior </w:t>
      </w:r>
      <w:r w:rsidR="1BFE8485">
        <w:t>p</w:t>
      </w:r>
      <w:r w:rsidR="6BA1EBBA">
        <w:t xml:space="preserve">olicy </w:t>
      </w:r>
      <w:r w:rsidR="224A3D19">
        <w:t>a</w:t>
      </w:r>
      <w:r w:rsidRPr="005533BB">
        <w:t>dvis</w:t>
      </w:r>
      <w:r w:rsidR="00B24D51">
        <w:t>er</w:t>
      </w:r>
      <w:r w:rsidRPr="005533BB">
        <w:t xml:space="preserve"> on </w:t>
      </w:r>
      <w:r w:rsidR="0F827B50">
        <w:t>c</w:t>
      </w:r>
      <w:r w:rsidRPr="005533BB">
        <w:t xml:space="preserve">limate and </w:t>
      </w:r>
      <w:r w:rsidR="37F9CD1B">
        <w:t>e</w:t>
      </w:r>
      <w:r w:rsidRPr="005533BB">
        <w:t>nergy for the Australian Council of Trade Unions. Mark has deep expertise on climate, energy and sustainability issues, systems and solutions. He currently works as a management consultant for purpose-focused organisations. As well as being on the Board of S</w:t>
      </w:r>
      <w:r w:rsidR="00E43647">
        <w:t>V</w:t>
      </w:r>
      <w:r w:rsidRPr="005533BB">
        <w:t xml:space="preserve">, Mark is a </w:t>
      </w:r>
      <w:r w:rsidR="5A277FA2">
        <w:t>b</w:t>
      </w:r>
      <w:r w:rsidR="6BA1EBBA">
        <w:t xml:space="preserve">oard </w:t>
      </w:r>
      <w:r w:rsidR="7DDE1A26">
        <w:t>d</w:t>
      </w:r>
      <w:r w:rsidR="6BA1EBBA">
        <w:t xml:space="preserve">irector </w:t>
      </w:r>
      <w:r w:rsidR="472DF76C">
        <w:t>for</w:t>
      </w:r>
      <w:r w:rsidRPr="005533BB">
        <w:t xml:space="preserve"> the Energy and Water Ombudsman Victoria.</w:t>
      </w:r>
    </w:p>
    <w:p w14:paraId="13697408" w14:textId="4C09869A" w:rsidR="00860D3D" w:rsidRDefault="00860D3D" w:rsidP="00105389">
      <w:pPr>
        <w:pStyle w:val="Body"/>
      </w:pPr>
      <w:r w:rsidRPr="005533BB">
        <w:t>Mark holds a Bachelor of Arts (History) and Commerce (Economics) and a Graduate Diploma in Adult Education. He is a graduate of the Australian Institute of Company Directors and was awarded a Churchill Fellowship in 2020 to study successful energy transitions.</w:t>
      </w:r>
      <w:r w:rsidR="509C9D0B">
        <w:t xml:space="preserve"> Mark is a member of the Board’s Performance and Culture Committee.</w:t>
      </w:r>
    </w:p>
    <w:p w14:paraId="268DFD6C" w14:textId="79F274CF" w:rsidR="00860D3D" w:rsidRPr="0012521E" w:rsidRDefault="00860D3D" w:rsidP="0074499F">
      <w:pPr>
        <w:pStyle w:val="Heading4"/>
      </w:pPr>
      <w:bookmarkStart w:id="112" w:name="_Toc166585721"/>
      <w:r w:rsidRPr="0012521E">
        <w:t>Neil Pharaoh</w:t>
      </w:r>
      <w:bookmarkEnd w:id="112"/>
    </w:p>
    <w:p w14:paraId="6BCA6130" w14:textId="04217E2B" w:rsidR="007C62C7" w:rsidRPr="002E35B3" w:rsidRDefault="007C62C7" w:rsidP="00105389">
      <w:pPr>
        <w:pStyle w:val="Body"/>
      </w:pPr>
      <w:r w:rsidRPr="002E35B3">
        <w:t>Neil Pharaoh has more than 20 years of experience in campaigning, advocacy and stakeholder engagement. He is an experienced senior consulting executive, advising and consulting to improve strategy, impact, outcomes and engagement across both not</w:t>
      </w:r>
      <w:r w:rsidR="6DCF3B37">
        <w:t>-</w:t>
      </w:r>
      <w:r w:rsidRPr="002E35B3">
        <w:t>for</w:t>
      </w:r>
      <w:r w:rsidR="052E867C">
        <w:t>-</w:t>
      </w:r>
      <w:r w:rsidRPr="002E35B3">
        <w:t xml:space="preserve">profit and for-purpose sectors. Neil also leads the </w:t>
      </w:r>
      <w:r w:rsidR="79B2BF5C">
        <w:t>c</w:t>
      </w:r>
      <w:r w:rsidR="6CAB9503">
        <w:t xml:space="preserve">orporate </w:t>
      </w:r>
      <w:r w:rsidR="46052172">
        <w:t>a</w:t>
      </w:r>
      <w:r w:rsidRPr="002E35B3">
        <w:t>ffairs function for one of Australia’s largest for-purpose disability organisations.</w:t>
      </w:r>
    </w:p>
    <w:p w14:paraId="5B9A9772" w14:textId="77777777" w:rsidR="007C62C7" w:rsidRPr="002E35B3" w:rsidRDefault="007C62C7" w:rsidP="00105389">
      <w:pPr>
        <w:pStyle w:val="Body"/>
      </w:pPr>
      <w:r w:rsidRPr="002E35B3">
        <w:t>Prior to his current role, Neil worked in various senior fundraising, marketing, communications, campaigns and stakeholder management roles including in education and child welfare and, internationally, in geopolitical risk and international aid and development organisations.</w:t>
      </w:r>
    </w:p>
    <w:p w14:paraId="2F79DA51" w14:textId="6F382C35" w:rsidR="007C62C7" w:rsidRDefault="007C62C7" w:rsidP="00105389">
      <w:pPr>
        <w:pStyle w:val="Body"/>
      </w:pPr>
      <w:r w:rsidRPr="002E35B3">
        <w:t xml:space="preserve">Neil currently serves as a </w:t>
      </w:r>
      <w:r w:rsidR="2AB110DD">
        <w:t>n</w:t>
      </w:r>
      <w:r w:rsidR="6CAB9503">
        <w:t>on-</w:t>
      </w:r>
      <w:r w:rsidR="041AA4A0">
        <w:t>e</w:t>
      </w:r>
      <w:r w:rsidR="6CAB9503">
        <w:t xml:space="preserve">xecutive </w:t>
      </w:r>
      <w:r w:rsidR="3B206448">
        <w:t>d</w:t>
      </w:r>
      <w:r w:rsidRPr="002E35B3">
        <w:t xml:space="preserve">irector for the Victorian Qualifications and Registration Authority, </w:t>
      </w:r>
      <w:proofErr w:type="spellStart"/>
      <w:r w:rsidRPr="002E35B3">
        <w:t>Tactiv</w:t>
      </w:r>
      <w:proofErr w:type="spellEnd"/>
      <w:r w:rsidRPr="002E35B3">
        <w:t xml:space="preserve"> Systems and </w:t>
      </w:r>
      <w:proofErr w:type="spellStart"/>
      <w:r w:rsidRPr="002E35B3">
        <w:t>ThorneHarbour</w:t>
      </w:r>
      <w:proofErr w:type="spellEnd"/>
      <w:r w:rsidRPr="002E35B3">
        <w:t xml:space="preserve"> Health, and he was a co-founder of both </w:t>
      </w:r>
      <w:proofErr w:type="spellStart"/>
      <w:r w:rsidRPr="002E35B3">
        <w:t>GiveOut</w:t>
      </w:r>
      <w:proofErr w:type="spellEnd"/>
      <w:r w:rsidRPr="002E35B3">
        <w:t xml:space="preserve"> </w:t>
      </w:r>
      <w:r w:rsidR="23EABA64">
        <w:t>and</w:t>
      </w:r>
      <w:r w:rsidRPr="002E35B3">
        <w:t xml:space="preserve"> Nexus Australia. Neil has a Bachelor of Commerce (Accounting and Marketing) and Bachelor of Laws from the Australian National University and is a graduate of the Australian Institute of Company Directors. Neil is a member of </w:t>
      </w:r>
      <w:r w:rsidR="09ED5ACA">
        <w:t>the Board’s</w:t>
      </w:r>
      <w:r w:rsidRPr="002E35B3">
        <w:t xml:space="preserve"> Audit, Risk and Finance Committee.</w:t>
      </w:r>
    </w:p>
    <w:p w14:paraId="5029D0CD" w14:textId="47A2112E" w:rsidR="00860D3D" w:rsidRPr="0012521E" w:rsidRDefault="00860D3D" w:rsidP="0074499F">
      <w:pPr>
        <w:pStyle w:val="Heading4"/>
        <w:rPr>
          <w:highlight w:val="yellow"/>
        </w:rPr>
      </w:pPr>
      <w:bookmarkStart w:id="113" w:name="_Toc166585722"/>
      <w:r w:rsidRPr="0012521E">
        <w:t>Sarah McDowell</w:t>
      </w:r>
      <w:bookmarkEnd w:id="113"/>
    </w:p>
    <w:p w14:paraId="70242275" w14:textId="5904D481" w:rsidR="00860D3D" w:rsidRPr="0012521E" w:rsidRDefault="00860D3D" w:rsidP="00105389">
      <w:pPr>
        <w:pStyle w:val="Body"/>
      </w:pPr>
      <w:r w:rsidRPr="0012521E">
        <w:t xml:space="preserve">Sarah McDowell has 15 years of experience in energy policy and regulation in Australia. Currently serving as a </w:t>
      </w:r>
      <w:r w:rsidR="3FC499AB">
        <w:t>c</w:t>
      </w:r>
      <w:r w:rsidRPr="0012521E">
        <w:t>ommissioner at Energy Safe Victoria and as a consultant, Sarah has extensive experience in developing and implementing policies and programs focused on enabling renewable energy in our grid and driving energy-efficient outcomes in our industries and communities.</w:t>
      </w:r>
    </w:p>
    <w:p w14:paraId="354AE302" w14:textId="5FBB60E3" w:rsidR="00860D3D" w:rsidRPr="0012521E" w:rsidRDefault="6EF267F8" w:rsidP="00105389">
      <w:pPr>
        <w:pStyle w:val="Body"/>
      </w:pPr>
      <w:r>
        <w:lastRenderedPageBreak/>
        <w:t>Before</w:t>
      </w:r>
      <w:r w:rsidR="00860D3D" w:rsidRPr="0012521E">
        <w:t xml:space="preserve"> her </w:t>
      </w:r>
      <w:r w:rsidR="463447A6">
        <w:t>c</w:t>
      </w:r>
      <w:r w:rsidR="00860D3D" w:rsidRPr="0012521E">
        <w:t xml:space="preserve">ommission appointment, Sarah led the energy division at Victoria's utility regulator, the Essential Services Commission. During this time, Sarah oversaw both a record growth in licences issued to renewable energy generators and the reform of </w:t>
      </w:r>
      <w:r w:rsidR="19421D90">
        <w:t xml:space="preserve">Victoria’s </w:t>
      </w:r>
      <w:r w:rsidR="00860D3D" w:rsidRPr="0012521E">
        <w:t>electricity network rules to enable more distributed energy resources across Victoria's grid.</w:t>
      </w:r>
    </w:p>
    <w:p w14:paraId="14F38AFC" w14:textId="1164B8C0" w:rsidR="00860D3D" w:rsidRDefault="00860D3D" w:rsidP="00105389">
      <w:pPr>
        <w:pStyle w:val="Body"/>
      </w:pPr>
      <w:r w:rsidRPr="0012521E">
        <w:t xml:space="preserve">Sarah’s previous other roles include advising government on energy efficiency policies, including the Victorian Energy Upgrades program. She has also worked at the Australian Energy Regulator, advising its </w:t>
      </w:r>
      <w:r w:rsidR="6E5953C0">
        <w:t>b</w:t>
      </w:r>
      <w:r w:rsidRPr="0012521E">
        <w:t xml:space="preserve">oard for six years on regulatory matters. Sarah holds qualifications in economics, politics and law and is a member of </w:t>
      </w:r>
      <w:r w:rsidR="2A5A4E97">
        <w:t xml:space="preserve">SV’s </w:t>
      </w:r>
      <w:r w:rsidRPr="0012521E">
        <w:t>Audit, Risk and Finance Committee</w:t>
      </w:r>
      <w:r w:rsidRPr="0012521E" w:rsidDel="0015286B">
        <w:t>.</w:t>
      </w:r>
    </w:p>
    <w:p w14:paraId="2AEF8A13" w14:textId="77777777" w:rsidR="001B354C" w:rsidRPr="0012521E" w:rsidRDefault="001B354C" w:rsidP="001B354C">
      <w:pPr>
        <w:pStyle w:val="Heading4"/>
      </w:pPr>
      <w:r w:rsidRPr="0012521E">
        <w:t>Meredith Banks</w:t>
      </w:r>
    </w:p>
    <w:p w14:paraId="44F44019" w14:textId="76E453EA" w:rsidR="001B354C" w:rsidRPr="0012521E" w:rsidRDefault="001B354C" w:rsidP="00105389">
      <w:pPr>
        <w:pStyle w:val="Body"/>
      </w:pPr>
      <w:r w:rsidRPr="0012521E">
        <w:t>Meredith brings diverse experience to the Board after more than 20 years working with public and private sector organisations to champion sustainability and environment.</w:t>
      </w:r>
    </w:p>
    <w:p w14:paraId="694BD9D1" w14:textId="771E7008" w:rsidR="001B354C" w:rsidRPr="0012521E" w:rsidRDefault="001B354C" w:rsidP="00105389">
      <w:pPr>
        <w:pStyle w:val="Body"/>
      </w:pPr>
      <w:r w:rsidRPr="0012521E">
        <w:t xml:space="preserve">Meredith’s expertise leading holistic </w:t>
      </w:r>
      <w:r w:rsidR="017F0D2E">
        <w:t>s</w:t>
      </w:r>
      <w:r w:rsidRPr="0012521E">
        <w:t xml:space="preserve">ustainability strategies, seamlessly integrated into corporate business strategy, provides her a unique perspective on delivering value through </w:t>
      </w:r>
      <w:r w:rsidR="06317D99">
        <w:t>s</w:t>
      </w:r>
      <w:r w:rsidRPr="0012521E">
        <w:t>ustainability.</w:t>
      </w:r>
    </w:p>
    <w:p w14:paraId="1DF025DB" w14:textId="691783D4" w:rsidR="001B354C" w:rsidRPr="0012521E" w:rsidRDefault="001B354C" w:rsidP="00105389">
      <w:pPr>
        <w:pStyle w:val="Body"/>
      </w:pPr>
      <w:r w:rsidRPr="0012521E">
        <w:t xml:space="preserve">Currently the </w:t>
      </w:r>
      <w:r w:rsidR="345C3857">
        <w:t>h</w:t>
      </w:r>
      <w:r w:rsidRPr="0012521E">
        <w:t xml:space="preserve">ead of </w:t>
      </w:r>
      <w:r w:rsidR="5E7419A5">
        <w:t>s</w:t>
      </w:r>
      <w:r w:rsidRPr="0012521E">
        <w:t xml:space="preserve">ustainability for Vicinity Centres, Meredith is working to embed </w:t>
      </w:r>
      <w:r w:rsidR="490FB2DF">
        <w:t>s</w:t>
      </w:r>
      <w:r w:rsidRPr="0012521E">
        <w:t>ustainability into every facet of one of Australia’s leading property portfolios. Meredith’s delivery of business, social and environmental sustainability programs has positioned Vicinity as one of the world’s most sustainable retail Real Estate Investment Trusts.</w:t>
      </w:r>
    </w:p>
    <w:p w14:paraId="20E910DC" w14:textId="0E220925" w:rsidR="001B354C" w:rsidRPr="0012521E" w:rsidRDefault="52C2EE17" w:rsidP="00105389">
      <w:pPr>
        <w:pStyle w:val="Body"/>
      </w:pPr>
      <w:r>
        <w:t>Before</w:t>
      </w:r>
      <w:r w:rsidR="001B354C" w:rsidRPr="0012521E">
        <w:t xml:space="preserve"> her time at Vicinity, Meredith was the </w:t>
      </w:r>
      <w:r w:rsidR="3A542E23">
        <w:t>d</w:t>
      </w:r>
      <w:r w:rsidR="27B80D59">
        <w:t>irector</w:t>
      </w:r>
      <w:r w:rsidR="001B354C" w:rsidRPr="0012521E">
        <w:t xml:space="preserve"> of </w:t>
      </w:r>
      <w:r w:rsidR="00940CF0">
        <w:t>environment</w:t>
      </w:r>
      <w:r w:rsidR="27B80D59">
        <w:t xml:space="preserve">, </w:t>
      </w:r>
      <w:r w:rsidR="15408CF6">
        <w:t>s</w:t>
      </w:r>
      <w:r w:rsidR="001B354C" w:rsidRPr="0012521E">
        <w:t xml:space="preserve">ocial and </w:t>
      </w:r>
      <w:r w:rsidR="118142BF">
        <w:t>g</w:t>
      </w:r>
      <w:r w:rsidR="001B354C" w:rsidRPr="0012521E">
        <w:t>overnance for Treasury Wine Estates, where she led the development and direction of Treasury Wine’s global corporate responsibility program. She has also held sustainability and environmental roles with Metcash, Lion Group and Visy.</w:t>
      </w:r>
    </w:p>
    <w:p w14:paraId="28389AA5" w14:textId="39A8FEAD" w:rsidR="001B354C" w:rsidRDefault="001B354C" w:rsidP="00105389">
      <w:pPr>
        <w:pStyle w:val="Body"/>
      </w:pPr>
      <w:r w:rsidRPr="0012521E">
        <w:t xml:space="preserve">After working for industry body and public sector organisations, Australian Food &amp; Grocery Council – Packaging Stewardship Forum and </w:t>
      </w:r>
      <w:proofErr w:type="spellStart"/>
      <w:r w:rsidRPr="0012521E">
        <w:t>EcoRecycle</w:t>
      </w:r>
      <w:proofErr w:type="spellEnd"/>
      <w:r w:rsidRPr="0012521E">
        <w:t xml:space="preserve"> Victoria, Meredith has an acute understanding of public practice and advocacy</w:t>
      </w:r>
      <w:r>
        <w:t>.</w:t>
      </w:r>
    </w:p>
    <w:p w14:paraId="1E9173CD" w14:textId="64B7FFDD" w:rsidR="001B354C" w:rsidRPr="0012521E" w:rsidRDefault="001B354C" w:rsidP="00105389">
      <w:pPr>
        <w:pStyle w:val="Body"/>
      </w:pPr>
      <w:r>
        <w:t>Meredith resigned from the Board in May 2024</w:t>
      </w:r>
      <w:r w:rsidRPr="0012521E">
        <w:t xml:space="preserve"> and </w:t>
      </w:r>
      <w:r>
        <w:t>was</w:t>
      </w:r>
      <w:r w:rsidRPr="0012521E">
        <w:t xml:space="preserve"> a member of the Board’s Audit, Risk and Finance Committee.</w:t>
      </w:r>
    </w:p>
    <w:p w14:paraId="7827F3DA" w14:textId="77777777" w:rsidR="001B354C" w:rsidRPr="0012521E" w:rsidRDefault="001B354C" w:rsidP="00105389">
      <w:pPr>
        <w:pStyle w:val="Body"/>
      </w:pPr>
    </w:p>
    <w:p w14:paraId="3467BBD7" w14:textId="77777777" w:rsidR="00860D3D" w:rsidRPr="0012521E" w:rsidRDefault="00860D3D" w:rsidP="00860D3D">
      <w:pPr>
        <w:pStyle w:val="Heading2"/>
      </w:pPr>
      <w:bookmarkStart w:id="114" w:name="_Toc144884441"/>
      <w:bookmarkStart w:id="115" w:name="_Toc166585723"/>
      <w:r w:rsidRPr="0012521E">
        <w:t>Board committees</w:t>
      </w:r>
      <w:bookmarkEnd w:id="114"/>
      <w:bookmarkEnd w:id="115"/>
    </w:p>
    <w:p w14:paraId="0A9DE526" w14:textId="4460B2E9" w:rsidR="00860D3D" w:rsidRPr="0012521E" w:rsidRDefault="00860D3D" w:rsidP="00105389">
      <w:pPr>
        <w:pStyle w:val="Body"/>
      </w:pPr>
      <w:r w:rsidRPr="0012521E">
        <w:t>The Board has two committees – the Audit, Risk and Finance Committee and the Performance and Culture Committee.</w:t>
      </w:r>
    </w:p>
    <w:p w14:paraId="666CA590" w14:textId="77777777" w:rsidR="00860D3D" w:rsidRPr="0012521E" w:rsidRDefault="00860D3D" w:rsidP="00126908">
      <w:pPr>
        <w:pStyle w:val="Heading3"/>
      </w:pPr>
      <w:bookmarkStart w:id="116" w:name="_Toc144884442"/>
      <w:bookmarkStart w:id="117" w:name="_Toc166585724"/>
      <w:r w:rsidRPr="0012521E">
        <w:t>Audit, Risk and Finance Committee</w:t>
      </w:r>
      <w:bookmarkEnd w:id="116"/>
      <w:bookmarkEnd w:id="117"/>
    </w:p>
    <w:p w14:paraId="71187F71" w14:textId="77777777" w:rsidR="00860D3D" w:rsidRPr="0012521E" w:rsidRDefault="00860D3D" w:rsidP="00105389">
      <w:pPr>
        <w:pStyle w:val="Body"/>
        <w:rPr>
          <w:rStyle w:val="ListParagraphChar"/>
          <w:rFonts w:asciiTheme="majorHAnsi" w:eastAsiaTheme="majorEastAsia" w:hAnsiTheme="majorHAnsi" w:cstheme="majorHAnsi"/>
          <w:b/>
          <w:szCs w:val="24"/>
          <w:lang w:eastAsia="en-US"/>
        </w:rPr>
      </w:pPr>
      <w:r w:rsidRPr="0012521E">
        <w:t xml:space="preserve">The Audit, Risk and Finance Committee is established in accordance with the requirements of Standing Direction 2018 under the </w:t>
      </w:r>
      <w:r w:rsidRPr="0012521E">
        <w:rPr>
          <w:i/>
        </w:rPr>
        <w:t>Financial Management Act 1994</w:t>
      </w:r>
      <w:r w:rsidRPr="0012521E">
        <w:t xml:space="preserve"> (Section: 3.2.1: Audit Committee). All members of the committee are independent within the definition of the guidance on the Standing Direction and are not involved in the day-to-day management of SV.</w:t>
      </w:r>
    </w:p>
    <w:p w14:paraId="53DE1519" w14:textId="4CBC7D8B" w:rsidR="00860D3D" w:rsidRPr="0012521E" w:rsidRDefault="00860D3D" w:rsidP="00105389">
      <w:pPr>
        <w:pStyle w:val="Body"/>
      </w:pPr>
      <w:r w:rsidRPr="0012521E">
        <w:t xml:space="preserve">The committee has adopted terms of reference that set out its roles and responsibilities under Standing Direction 3.2.1.1. </w:t>
      </w:r>
      <w:r w:rsidR="36D6B6A5">
        <w:t xml:space="preserve">Its </w:t>
      </w:r>
      <w:r w:rsidR="4FC0228E">
        <w:t>k</w:t>
      </w:r>
      <w:r w:rsidR="22C6DF52">
        <w:t>ey</w:t>
      </w:r>
      <w:r w:rsidRPr="0012521E">
        <w:t xml:space="preserve"> responsibilities are to:</w:t>
      </w:r>
    </w:p>
    <w:p w14:paraId="09DC5473" w14:textId="77777777" w:rsidR="00860D3D" w:rsidRPr="0012521E" w:rsidRDefault="00860D3D" w:rsidP="00C356CE">
      <w:pPr>
        <w:pStyle w:val="Body"/>
        <w:numPr>
          <w:ilvl w:val="0"/>
          <w:numId w:val="23"/>
        </w:numPr>
      </w:pPr>
      <w:r w:rsidRPr="0012521E">
        <w:t>review and report independently to the Board on the annual report and all other financial information published by SV</w:t>
      </w:r>
    </w:p>
    <w:p w14:paraId="35D9169A" w14:textId="77777777" w:rsidR="00860D3D" w:rsidRDefault="00860D3D" w:rsidP="00C356CE">
      <w:pPr>
        <w:pStyle w:val="Body"/>
        <w:numPr>
          <w:ilvl w:val="0"/>
          <w:numId w:val="23"/>
        </w:numPr>
      </w:pPr>
      <w:r w:rsidRPr="0012521E">
        <w:t>assist the Board in reviewing the effectiveness of SV’s internal control environment covering:</w:t>
      </w:r>
    </w:p>
    <w:p w14:paraId="497A52FE" w14:textId="77777777" w:rsidR="00860D3D" w:rsidRDefault="00860D3D" w:rsidP="00C356CE">
      <w:pPr>
        <w:pStyle w:val="Body"/>
        <w:numPr>
          <w:ilvl w:val="1"/>
          <w:numId w:val="23"/>
        </w:numPr>
      </w:pPr>
      <w:r w:rsidRPr="0012521E">
        <w:t>effectiveness and efficiency of operations</w:t>
      </w:r>
    </w:p>
    <w:p w14:paraId="30364A93" w14:textId="77777777" w:rsidR="00860D3D" w:rsidRDefault="00860D3D" w:rsidP="00C356CE">
      <w:pPr>
        <w:pStyle w:val="Body"/>
        <w:numPr>
          <w:ilvl w:val="1"/>
          <w:numId w:val="23"/>
        </w:numPr>
      </w:pPr>
      <w:r w:rsidRPr="0012521E">
        <w:t>reliability of financial reporting</w:t>
      </w:r>
    </w:p>
    <w:p w14:paraId="42CE4528" w14:textId="77777777" w:rsidR="00860D3D" w:rsidRDefault="00860D3D" w:rsidP="00C356CE">
      <w:pPr>
        <w:pStyle w:val="Body"/>
        <w:numPr>
          <w:ilvl w:val="1"/>
          <w:numId w:val="23"/>
        </w:numPr>
      </w:pPr>
      <w:r w:rsidRPr="0012521E">
        <w:t>compliance with applicable laws and regulations</w:t>
      </w:r>
    </w:p>
    <w:p w14:paraId="119B77FA" w14:textId="77777777" w:rsidR="00860D3D" w:rsidRDefault="00860D3D" w:rsidP="00C356CE">
      <w:pPr>
        <w:pStyle w:val="Body"/>
        <w:numPr>
          <w:ilvl w:val="0"/>
          <w:numId w:val="23"/>
        </w:numPr>
      </w:pPr>
      <w:r w:rsidRPr="0012521E">
        <w:lastRenderedPageBreak/>
        <w:t>determine the scope of the internal audit function and ensure its resources are adequate and used effectively, including coordination with the external auditors</w:t>
      </w:r>
    </w:p>
    <w:p w14:paraId="4841DA9F" w14:textId="0FD5A158" w:rsidR="00860D3D" w:rsidRPr="0012521E" w:rsidRDefault="00860D3D" w:rsidP="00C356CE">
      <w:pPr>
        <w:pStyle w:val="Body"/>
        <w:numPr>
          <w:ilvl w:val="1"/>
          <w:numId w:val="23"/>
        </w:numPr>
      </w:pPr>
      <w:r w:rsidRPr="0012521E">
        <w:t>oversee the effective operation of the risk management framework.</w:t>
      </w:r>
    </w:p>
    <w:p w14:paraId="688CDA63" w14:textId="1210A9C8" w:rsidR="00860D3D" w:rsidRPr="0012521E" w:rsidRDefault="006B56AF" w:rsidP="00105389">
      <w:pPr>
        <w:pStyle w:val="Body"/>
      </w:pPr>
      <w:r w:rsidRPr="006B56AF">
        <w:t xml:space="preserve">Appointments to the Committee </w:t>
      </w:r>
      <w:r>
        <w:t>are</w:t>
      </w:r>
      <w:r w:rsidRPr="006B56AF">
        <w:t xml:space="preserve"> made by resolution of the Board, for an initial period of three </w:t>
      </w:r>
      <w:proofErr w:type="spellStart"/>
      <w:proofErr w:type="gramStart"/>
      <w:r w:rsidRPr="006B56AF">
        <w:t>years.</w:t>
      </w:r>
      <w:r w:rsidR="00860D3D" w:rsidRPr="00305F61">
        <w:t>The</w:t>
      </w:r>
      <w:proofErr w:type="spellEnd"/>
      <w:proofErr w:type="gramEnd"/>
      <w:r w:rsidR="00860D3D" w:rsidRPr="00305F61">
        <w:t xml:space="preserve"> committee met </w:t>
      </w:r>
      <w:r w:rsidR="00305F61" w:rsidRPr="00305F61">
        <w:t>four</w:t>
      </w:r>
      <w:r w:rsidR="00860D3D" w:rsidRPr="00305F61">
        <w:t xml:space="preserve"> times in 202</w:t>
      </w:r>
      <w:r w:rsidR="00DF2554" w:rsidRPr="00305F61">
        <w:t>3</w:t>
      </w:r>
      <w:r w:rsidR="00860D3D" w:rsidRPr="00305F61">
        <w:t>–2</w:t>
      </w:r>
      <w:r w:rsidR="00DF2554" w:rsidRPr="00305F61">
        <w:t>4</w:t>
      </w:r>
      <w:r w:rsidR="00860D3D" w:rsidRPr="0012521E">
        <w:t xml:space="preserve">. Attendance is listed in </w:t>
      </w:r>
      <w:r w:rsidR="00860D3D" w:rsidRPr="0012521E">
        <w:fldChar w:fldCharType="begin"/>
      </w:r>
      <w:r w:rsidR="00860D3D" w:rsidRPr="0012521E">
        <w:rPr>
          <w:highlight w:val="yellow"/>
        </w:rPr>
        <w:instrText xml:space="preserve"> REF _Ref57272694 \h  \* MERGEFORMAT </w:instrText>
      </w:r>
      <w:r w:rsidR="00860D3D" w:rsidRPr="0012521E">
        <w:fldChar w:fldCharType="separate"/>
      </w:r>
      <w:r w:rsidR="00EB70DF" w:rsidRPr="00EB70DF">
        <w:t>Table 9</w:t>
      </w:r>
      <w:r w:rsidR="00860D3D" w:rsidRPr="0012521E">
        <w:fldChar w:fldCharType="end"/>
      </w:r>
      <w:r w:rsidR="00860D3D" w:rsidRPr="0012521E">
        <w:t>.</w:t>
      </w:r>
    </w:p>
    <w:p w14:paraId="7EA2E805" w14:textId="3EC127BA" w:rsidR="00860D3D" w:rsidRDefault="00860D3D" w:rsidP="00860D3D">
      <w:pPr>
        <w:pStyle w:val="Caption"/>
        <w:rPr>
          <w:rFonts w:asciiTheme="majorHAnsi" w:hAnsiTheme="majorHAnsi" w:cstheme="majorHAnsi"/>
        </w:rPr>
      </w:pPr>
      <w:bookmarkStart w:id="118" w:name="_Ref57272694"/>
      <w:bookmarkStart w:id="119" w:name="_Ref74430670"/>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9</w:t>
      </w:r>
      <w:r w:rsidRPr="0012521E">
        <w:rPr>
          <w:rFonts w:asciiTheme="majorHAnsi" w:hAnsiTheme="majorHAnsi" w:cstheme="majorHAnsi"/>
        </w:rPr>
        <w:fldChar w:fldCharType="end"/>
      </w:r>
      <w:bookmarkEnd w:id="118"/>
      <w:r w:rsidRPr="0012521E">
        <w:rPr>
          <w:rFonts w:asciiTheme="majorHAnsi" w:hAnsiTheme="majorHAnsi" w:cstheme="majorHAnsi"/>
        </w:rPr>
        <w:t xml:space="preserve">: Audit, Risk and Finance Committee membership and attendance in </w:t>
      </w:r>
      <w:bookmarkEnd w:id="119"/>
      <w:r w:rsidRPr="0012521E">
        <w:rPr>
          <w:rFonts w:asciiTheme="majorHAnsi" w:hAnsiTheme="majorHAnsi" w:cstheme="majorHAnsi"/>
        </w:rPr>
        <w:t>202</w:t>
      </w:r>
      <w:r w:rsidR="00AF4C95" w:rsidRPr="0012521E">
        <w:rPr>
          <w:rFonts w:asciiTheme="majorHAnsi" w:hAnsiTheme="majorHAnsi" w:cstheme="majorHAnsi"/>
        </w:rPr>
        <w:t>3</w:t>
      </w:r>
      <w:r w:rsidRPr="0012521E">
        <w:rPr>
          <w:rFonts w:asciiTheme="majorHAnsi" w:hAnsiTheme="majorHAnsi" w:cstheme="majorHAnsi"/>
        </w:rPr>
        <w:t>–2</w:t>
      </w:r>
      <w:r w:rsidR="00AF4C95" w:rsidRPr="0012521E">
        <w:rPr>
          <w:rFonts w:asciiTheme="majorHAnsi" w:hAnsiTheme="majorHAnsi" w:cstheme="majorHAnsi"/>
        </w:rPr>
        <w:t>4</w:t>
      </w:r>
    </w:p>
    <w:tbl>
      <w:tblPr>
        <w:tblStyle w:val="TableGrid"/>
        <w:tblW w:w="8642" w:type="dxa"/>
        <w:tblLook w:val="04A0" w:firstRow="1" w:lastRow="0" w:firstColumn="1" w:lastColumn="0" w:noHBand="0" w:noVBand="1"/>
      </w:tblPr>
      <w:tblGrid>
        <w:gridCol w:w="4106"/>
        <w:gridCol w:w="1559"/>
        <w:gridCol w:w="2977"/>
      </w:tblGrid>
      <w:tr w:rsidR="00860D3D" w:rsidRPr="0012521E" w14:paraId="1154C766" w14:textId="77777777" w:rsidTr="00C75D63">
        <w:trPr>
          <w:trHeight w:val="213"/>
        </w:trPr>
        <w:tc>
          <w:tcPr>
            <w:tcW w:w="4106" w:type="dxa"/>
            <w:shd w:val="clear" w:color="auto" w:fill="D4DFA0" w:themeFill="background2"/>
            <w:noWrap/>
          </w:tcPr>
          <w:p w14:paraId="4AAC02C6" w14:textId="77777777" w:rsidR="00860D3D" w:rsidRPr="00E159ED" w:rsidRDefault="00860D3D" w:rsidP="00EC78E4">
            <w:pPr>
              <w:pStyle w:val="TableHeading"/>
              <w:rPr>
                <w:rFonts w:cstheme="majorHAnsi"/>
                <w:color w:val="auto"/>
              </w:rPr>
            </w:pPr>
            <w:r w:rsidRPr="00E159ED">
              <w:rPr>
                <w:rFonts w:cstheme="majorHAnsi"/>
                <w:color w:val="auto"/>
              </w:rPr>
              <w:t xml:space="preserve">Member </w:t>
            </w:r>
          </w:p>
        </w:tc>
        <w:tc>
          <w:tcPr>
            <w:tcW w:w="1559" w:type="dxa"/>
            <w:shd w:val="clear" w:color="auto" w:fill="D4DFA0" w:themeFill="background2"/>
            <w:noWrap/>
            <w:hideMark/>
          </w:tcPr>
          <w:p w14:paraId="43F3429E" w14:textId="77777777" w:rsidR="00860D3D" w:rsidRPr="00E159ED" w:rsidRDefault="00860D3D" w:rsidP="00EC78E4">
            <w:pPr>
              <w:pStyle w:val="TableHeading"/>
              <w:rPr>
                <w:rFonts w:cstheme="majorHAnsi"/>
                <w:color w:val="auto"/>
              </w:rPr>
            </w:pPr>
            <w:r w:rsidRPr="00E159ED">
              <w:rPr>
                <w:rFonts w:cstheme="majorHAnsi"/>
                <w:color w:val="auto"/>
              </w:rPr>
              <w:t>Meetings attended</w:t>
            </w:r>
          </w:p>
        </w:tc>
        <w:tc>
          <w:tcPr>
            <w:tcW w:w="2977" w:type="dxa"/>
            <w:shd w:val="clear" w:color="auto" w:fill="D4DFA0" w:themeFill="background2"/>
          </w:tcPr>
          <w:p w14:paraId="664F7552" w14:textId="77777777" w:rsidR="00860D3D" w:rsidRPr="00E159ED" w:rsidRDefault="00860D3D" w:rsidP="00EC78E4">
            <w:pPr>
              <w:pStyle w:val="TableHeading"/>
              <w:rPr>
                <w:rFonts w:cstheme="majorHAnsi"/>
                <w:color w:val="auto"/>
              </w:rPr>
            </w:pPr>
            <w:r w:rsidRPr="00E159ED">
              <w:rPr>
                <w:rFonts w:cstheme="majorHAnsi"/>
                <w:color w:val="auto"/>
              </w:rPr>
              <w:t>Eligible to attend</w:t>
            </w:r>
          </w:p>
        </w:tc>
      </w:tr>
      <w:tr w:rsidR="00475D8A" w:rsidRPr="00475D8A" w14:paraId="54D4B839" w14:textId="77777777" w:rsidTr="00C75D63">
        <w:trPr>
          <w:trHeight w:val="213"/>
        </w:trPr>
        <w:tc>
          <w:tcPr>
            <w:tcW w:w="4106" w:type="dxa"/>
            <w:noWrap/>
          </w:tcPr>
          <w:p w14:paraId="7C724A26" w14:textId="77777777" w:rsidR="00860D3D" w:rsidRPr="00475D8A" w:rsidRDefault="00860D3D" w:rsidP="00EC78E4">
            <w:pPr>
              <w:pStyle w:val="Tabletext0"/>
              <w:rPr>
                <w:rFonts w:asciiTheme="majorHAnsi" w:hAnsiTheme="majorHAnsi" w:cstheme="majorHAnsi"/>
                <w:color w:val="auto"/>
              </w:rPr>
            </w:pPr>
            <w:r w:rsidRPr="00475D8A">
              <w:rPr>
                <w:rFonts w:asciiTheme="majorHAnsi" w:hAnsiTheme="majorHAnsi" w:cstheme="majorHAnsi"/>
                <w:color w:val="auto"/>
              </w:rPr>
              <w:t>Kerry Osborne (Chair)</w:t>
            </w:r>
          </w:p>
        </w:tc>
        <w:tc>
          <w:tcPr>
            <w:tcW w:w="1559" w:type="dxa"/>
            <w:noWrap/>
          </w:tcPr>
          <w:p w14:paraId="4793998D" w14:textId="7356E71C" w:rsidR="00860D3D" w:rsidRPr="00613F6F" w:rsidRDefault="00E2650D" w:rsidP="00EC78E4">
            <w:pPr>
              <w:pStyle w:val="Tablerightlarge"/>
              <w:rPr>
                <w:rFonts w:asciiTheme="majorHAnsi" w:hAnsiTheme="majorHAnsi" w:cstheme="majorHAnsi"/>
              </w:rPr>
            </w:pPr>
            <w:r w:rsidRPr="00613F6F">
              <w:rPr>
                <w:rFonts w:asciiTheme="majorHAnsi" w:hAnsiTheme="majorHAnsi" w:cstheme="majorHAnsi"/>
              </w:rPr>
              <w:t>4</w:t>
            </w:r>
          </w:p>
        </w:tc>
        <w:tc>
          <w:tcPr>
            <w:tcW w:w="2977" w:type="dxa"/>
          </w:tcPr>
          <w:p w14:paraId="047698E8" w14:textId="7027663D" w:rsidR="00860D3D" w:rsidRPr="00475D8A" w:rsidRDefault="00305F61" w:rsidP="00EC78E4">
            <w:pPr>
              <w:pStyle w:val="Tablerightlarge"/>
              <w:rPr>
                <w:rFonts w:asciiTheme="majorHAnsi" w:hAnsiTheme="majorHAnsi" w:cstheme="majorHAnsi"/>
              </w:rPr>
            </w:pPr>
            <w:r w:rsidRPr="00475D8A">
              <w:rPr>
                <w:rFonts w:asciiTheme="majorHAnsi" w:hAnsiTheme="majorHAnsi" w:cstheme="majorHAnsi"/>
              </w:rPr>
              <w:t>4</w:t>
            </w:r>
          </w:p>
        </w:tc>
      </w:tr>
      <w:tr w:rsidR="00475D8A" w:rsidRPr="00475D8A" w14:paraId="6AF3AA84" w14:textId="77777777" w:rsidTr="00C75D63">
        <w:trPr>
          <w:trHeight w:val="213"/>
        </w:trPr>
        <w:tc>
          <w:tcPr>
            <w:tcW w:w="4106" w:type="dxa"/>
            <w:noWrap/>
            <w:hideMark/>
          </w:tcPr>
          <w:p w14:paraId="7FAC4888" w14:textId="011AB69E" w:rsidR="00860D3D" w:rsidRPr="00475D8A" w:rsidRDefault="009F1702" w:rsidP="00EC78E4">
            <w:pPr>
              <w:pStyle w:val="Tabletext0"/>
              <w:rPr>
                <w:rFonts w:asciiTheme="majorHAnsi" w:hAnsiTheme="majorHAnsi" w:cstheme="majorHAnsi"/>
                <w:color w:val="auto"/>
              </w:rPr>
            </w:pPr>
            <w:r w:rsidRPr="00475D8A">
              <w:rPr>
                <w:rFonts w:asciiTheme="majorHAnsi" w:hAnsiTheme="majorHAnsi" w:cstheme="majorHAnsi"/>
                <w:color w:val="auto"/>
              </w:rPr>
              <w:t>David Colliver</w:t>
            </w:r>
            <w:r w:rsidR="00860D3D" w:rsidRPr="00475D8A">
              <w:rPr>
                <w:rFonts w:asciiTheme="majorHAnsi" w:hAnsiTheme="majorHAnsi" w:cstheme="majorHAnsi"/>
                <w:color w:val="auto"/>
              </w:rPr>
              <w:t xml:space="preserve"> (Independent member)</w:t>
            </w:r>
          </w:p>
        </w:tc>
        <w:tc>
          <w:tcPr>
            <w:tcW w:w="1559" w:type="dxa"/>
            <w:noWrap/>
          </w:tcPr>
          <w:p w14:paraId="0F6783D8" w14:textId="6EF65393" w:rsidR="00860D3D" w:rsidRPr="00613F6F" w:rsidRDefault="00E7787D" w:rsidP="00EC78E4">
            <w:pPr>
              <w:pStyle w:val="Tablerightlarge"/>
              <w:rPr>
                <w:rFonts w:asciiTheme="majorHAnsi" w:hAnsiTheme="majorHAnsi" w:cstheme="majorHAnsi"/>
              </w:rPr>
            </w:pPr>
            <w:r>
              <w:rPr>
                <w:rFonts w:asciiTheme="majorHAnsi" w:hAnsiTheme="majorHAnsi" w:cstheme="majorHAnsi"/>
              </w:rPr>
              <w:t>4</w:t>
            </w:r>
          </w:p>
        </w:tc>
        <w:tc>
          <w:tcPr>
            <w:tcW w:w="2977" w:type="dxa"/>
          </w:tcPr>
          <w:p w14:paraId="1139A174" w14:textId="0F82F401" w:rsidR="00860D3D" w:rsidRPr="00475D8A" w:rsidRDefault="00E952BB" w:rsidP="00EC78E4">
            <w:pPr>
              <w:pStyle w:val="Tablerightlarge"/>
              <w:rPr>
                <w:rFonts w:asciiTheme="majorHAnsi" w:hAnsiTheme="majorHAnsi" w:cstheme="majorHAnsi"/>
              </w:rPr>
            </w:pPr>
            <w:r w:rsidRPr="00475D8A">
              <w:rPr>
                <w:rFonts w:asciiTheme="majorHAnsi" w:hAnsiTheme="majorHAnsi" w:cstheme="majorHAnsi"/>
              </w:rPr>
              <w:t>4</w:t>
            </w:r>
          </w:p>
        </w:tc>
      </w:tr>
      <w:tr w:rsidR="00475D8A" w:rsidRPr="00475D8A" w14:paraId="149F5C4B" w14:textId="77777777" w:rsidTr="00C75D63">
        <w:trPr>
          <w:trHeight w:val="213"/>
        </w:trPr>
        <w:tc>
          <w:tcPr>
            <w:tcW w:w="4106" w:type="dxa"/>
            <w:noWrap/>
          </w:tcPr>
          <w:p w14:paraId="20E17FD1" w14:textId="77777777" w:rsidR="00860D3D" w:rsidRPr="00475D8A" w:rsidRDefault="00860D3D" w:rsidP="00EC78E4">
            <w:pPr>
              <w:pStyle w:val="Tabletext0"/>
              <w:rPr>
                <w:rFonts w:asciiTheme="majorHAnsi" w:hAnsiTheme="majorHAnsi" w:cstheme="majorHAnsi"/>
                <w:color w:val="auto"/>
              </w:rPr>
            </w:pPr>
            <w:r w:rsidRPr="00475D8A">
              <w:rPr>
                <w:rFonts w:asciiTheme="majorHAnsi" w:hAnsiTheme="majorHAnsi" w:cstheme="majorHAnsi"/>
                <w:color w:val="auto"/>
              </w:rPr>
              <w:t>Neil Pharaoh</w:t>
            </w:r>
          </w:p>
        </w:tc>
        <w:tc>
          <w:tcPr>
            <w:tcW w:w="1559" w:type="dxa"/>
            <w:noWrap/>
          </w:tcPr>
          <w:p w14:paraId="05F14421" w14:textId="755E4561" w:rsidR="00860D3D" w:rsidRPr="00613F6F" w:rsidRDefault="00FF30EB" w:rsidP="00EC78E4">
            <w:pPr>
              <w:pStyle w:val="Tablerightlarge"/>
              <w:rPr>
                <w:rFonts w:asciiTheme="majorHAnsi" w:hAnsiTheme="majorHAnsi" w:cstheme="majorHAnsi"/>
              </w:rPr>
            </w:pPr>
            <w:r w:rsidRPr="00613F6F">
              <w:rPr>
                <w:rFonts w:asciiTheme="majorHAnsi" w:hAnsiTheme="majorHAnsi" w:cstheme="majorHAnsi"/>
              </w:rPr>
              <w:t>4</w:t>
            </w:r>
          </w:p>
        </w:tc>
        <w:tc>
          <w:tcPr>
            <w:tcW w:w="2977" w:type="dxa"/>
          </w:tcPr>
          <w:p w14:paraId="13CF593E" w14:textId="2DD78961" w:rsidR="00860D3D" w:rsidRPr="00475D8A" w:rsidRDefault="00E952BB" w:rsidP="00EC78E4">
            <w:pPr>
              <w:pStyle w:val="Tablerightlarge"/>
              <w:rPr>
                <w:rFonts w:asciiTheme="majorHAnsi" w:hAnsiTheme="majorHAnsi" w:cstheme="majorHAnsi"/>
              </w:rPr>
            </w:pPr>
            <w:r w:rsidRPr="00475D8A">
              <w:rPr>
                <w:rFonts w:asciiTheme="majorHAnsi" w:hAnsiTheme="majorHAnsi" w:cstheme="majorHAnsi"/>
              </w:rPr>
              <w:t>4</w:t>
            </w:r>
          </w:p>
        </w:tc>
      </w:tr>
      <w:tr w:rsidR="00475D8A" w:rsidRPr="00475D8A" w14:paraId="7C482639" w14:textId="77777777" w:rsidTr="00C75D63">
        <w:trPr>
          <w:trHeight w:val="213"/>
        </w:trPr>
        <w:tc>
          <w:tcPr>
            <w:tcW w:w="4106" w:type="dxa"/>
            <w:noWrap/>
          </w:tcPr>
          <w:p w14:paraId="71583467" w14:textId="77777777" w:rsidR="00860D3D" w:rsidRPr="00475D8A" w:rsidRDefault="00860D3D" w:rsidP="00EC78E4">
            <w:pPr>
              <w:pStyle w:val="Tabletext0"/>
              <w:rPr>
                <w:rFonts w:asciiTheme="majorHAnsi" w:hAnsiTheme="majorHAnsi" w:cstheme="majorHAnsi"/>
                <w:color w:val="auto"/>
              </w:rPr>
            </w:pPr>
            <w:r w:rsidRPr="00475D8A">
              <w:rPr>
                <w:rFonts w:asciiTheme="majorHAnsi" w:hAnsiTheme="majorHAnsi" w:cstheme="majorHAnsi"/>
                <w:color w:val="auto"/>
              </w:rPr>
              <w:t>Sarah McDowell</w:t>
            </w:r>
          </w:p>
        </w:tc>
        <w:tc>
          <w:tcPr>
            <w:tcW w:w="1559" w:type="dxa"/>
            <w:noWrap/>
          </w:tcPr>
          <w:p w14:paraId="5FDF3666" w14:textId="3C9896D8" w:rsidR="00860D3D" w:rsidRPr="00613F6F" w:rsidRDefault="00FF30EB" w:rsidP="00EC78E4">
            <w:pPr>
              <w:pStyle w:val="Tablerightlarge"/>
              <w:rPr>
                <w:rFonts w:asciiTheme="majorHAnsi" w:hAnsiTheme="majorHAnsi" w:cstheme="majorHAnsi"/>
              </w:rPr>
            </w:pPr>
            <w:r w:rsidRPr="00613F6F">
              <w:rPr>
                <w:rFonts w:asciiTheme="majorHAnsi" w:hAnsiTheme="majorHAnsi" w:cstheme="majorHAnsi"/>
              </w:rPr>
              <w:t>3</w:t>
            </w:r>
          </w:p>
        </w:tc>
        <w:tc>
          <w:tcPr>
            <w:tcW w:w="2977" w:type="dxa"/>
          </w:tcPr>
          <w:p w14:paraId="1136BEF3" w14:textId="136B480A" w:rsidR="00860D3D" w:rsidRPr="00475D8A" w:rsidRDefault="00E952BB" w:rsidP="00EC78E4">
            <w:pPr>
              <w:pStyle w:val="Tablerightlarge"/>
              <w:rPr>
                <w:rFonts w:asciiTheme="majorHAnsi" w:hAnsiTheme="majorHAnsi" w:cstheme="majorHAnsi"/>
              </w:rPr>
            </w:pPr>
            <w:r w:rsidRPr="00475D8A">
              <w:rPr>
                <w:rFonts w:asciiTheme="majorHAnsi" w:hAnsiTheme="majorHAnsi" w:cstheme="majorHAnsi"/>
              </w:rPr>
              <w:t>4</w:t>
            </w:r>
          </w:p>
        </w:tc>
      </w:tr>
      <w:tr w:rsidR="00271B52" w:rsidRPr="00475D8A" w14:paraId="652600C3" w14:textId="77777777" w:rsidTr="00271B52">
        <w:trPr>
          <w:trHeight w:val="213"/>
        </w:trPr>
        <w:tc>
          <w:tcPr>
            <w:tcW w:w="4106" w:type="dxa"/>
            <w:noWrap/>
          </w:tcPr>
          <w:p w14:paraId="20861BC5" w14:textId="77777777" w:rsidR="001B354C" w:rsidRPr="00475D8A" w:rsidRDefault="001B354C">
            <w:pPr>
              <w:pStyle w:val="Tabletext0"/>
              <w:rPr>
                <w:rFonts w:asciiTheme="majorHAnsi" w:hAnsiTheme="majorHAnsi" w:cstheme="majorHAnsi"/>
                <w:color w:val="auto"/>
              </w:rPr>
            </w:pPr>
            <w:r w:rsidRPr="00475D8A">
              <w:rPr>
                <w:rFonts w:asciiTheme="majorHAnsi" w:hAnsiTheme="majorHAnsi" w:cstheme="majorHAnsi"/>
                <w:color w:val="auto"/>
              </w:rPr>
              <w:t>Meredith Banks</w:t>
            </w:r>
          </w:p>
        </w:tc>
        <w:tc>
          <w:tcPr>
            <w:tcW w:w="1559" w:type="dxa"/>
            <w:noWrap/>
          </w:tcPr>
          <w:p w14:paraId="53E4151E" w14:textId="77777777" w:rsidR="001B354C" w:rsidRPr="00613F6F" w:rsidRDefault="001B354C">
            <w:pPr>
              <w:pStyle w:val="Tablerightlarge"/>
              <w:rPr>
                <w:rFonts w:asciiTheme="majorHAnsi" w:hAnsiTheme="majorHAnsi" w:cstheme="majorHAnsi"/>
              </w:rPr>
            </w:pPr>
            <w:r w:rsidRPr="00613F6F">
              <w:rPr>
                <w:rFonts w:asciiTheme="majorHAnsi" w:hAnsiTheme="majorHAnsi" w:cstheme="majorHAnsi"/>
              </w:rPr>
              <w:t>2</w:t>
            </w:r>
          </w:p>
        </w:tc>
        <w:tc>
          <w:tcPr>
            <w:tcW w:w="2977" w:type="dxa"/>
          </w:tcPr>
          <w:p w14:paraId="700AF919" w14:textId="4E7D97A6" w:rsidR="001B354C" w:rsidRPr="00475D8A" w:rsidRDefault="001B354C">
            <w:pPr>
              <w:pStyle w:val="Tablerightlarge"/>
              <w:rPr>
                <w:rFonts w:asciiTheme="majorHAnsi" w:hAnsiTheme="majorHAnsi" w:cstheme="majorHAnsi"/>
              </w:rPr>
            </w:pPr>
            <w:r w:rsidRPr="00475D8A">
              <w:rPr>
                <w:rFonts w:asciiTheme="majorHAnsi" w:hAnsiTheme="majorHAnsi" w:cstheme="majorHAnsi"/>
              </w:rPr>
              <w:t>3 (Resigned on 4 May 2024</w:t>
            </w:r>
            <w:r w:rsidR="00B96DA1">
              <w:rPr>
                <w:rFonts w:asciiTheme="majorHAnsi" w:hAnsiTheme="majorHAnsi" w:cstheme="majorHAnsi"/>
              </w:rPr>
              <w:t>)</w:t>
            </w:r>
          </w:p>
        </w:tc>
      </w:tr>
    </w:tbl>
    <w:p w14:paraId="76EF5084" w14:textId="77777777" w:rsidR="00860D3D" w:rsidRPr="0012521E" w:rsidRDefault="00860D3D" w:rsidP="00126908">
      <w:pPr>
        <w:pStyle w:val="Heading3"/>
      </w:pPr>
      <w:bookmarkStart w:id="120" w:name="_Toc144884443"/>
      <w:bookmarkStart w:id="121" w:name="_Toc166585725"/>
      <w:r w:rsidRPr="0078093B">
        <w:t>Performance and</w:t>
      </w:r>
      <w:r w:rsidRPr="0012521E">
        <w:t xml:space="preserve"> Culture Committee</w:t>
      </w:r>
      <w:bookmarkEnd w:id="120"/>
      <w:bookmarkEnd w:id="121"/>
    </w:p>
    <w:p w14:paraId="55F0C2E0" w14:textId="40367B57" w:rsidR="00860D3D" w:rsidRPr="0012521E" w:rsidRDefault="00860D3D" w:rsidP="00860D3D">
      <w:pPr>
        <w:rPr>
          <w:rFonts w:asciiTheme="majorHAnsi" w:hAnsiTheme="majorHAnsi" w:cstheme="majorBidi"/>
        </w:rPr>
      </w:pPr>
      <w:r w:rsidRPr="65EFC765">
        <w:rPr>
          <w:rFonts w:asciiTheme="majorHAnsi" w:hAnsiTheme="majorHAnsi" w:cstheme="majorBidi"/>
        </w:rPr>
        <w:t xml:space="preserve">The primary responsibility of the Performance and Culture Committee is to </w:t>
      </w:r>
      <w:r w:rsidR="00271B52" w:rsidRPr="65EFC765">
        <w:rPr>
          <w:rFonts w:asciiTheme="majorHAnsi" w:hAnsiTheme="majorHAnsi" w:cstheme="majorBidi"/>
        </w:rPr>
        <w:t>assist</w:t>
      </w:r>
      <w:r w:rsidRPr="65EFC765">
        <w:rPr>
          <w:rFonts w:asciiTheme="majorHAnsi" w:hAnsiTheme="majorHAnsi" w:cstheme="majorBidi"/>
        </w:rPr>
        <w:t xml:space="preserve"> the Board </w:t>
      </w:r>
      <w:r w:rsidR="46248FA2" w:rsidRPr="65EFC765">
        <w:rPr>
          <w:rFonts w:asciiTheme="majorHAnsi" w:hAnsiTheme="majorHAnsi" w:cstheme="majorBidi"/>
        </w:rPr>
        <w:t>to</w:t>
      </w:r>
      <w:r w:rsidR="22C6DF52" w:rsidRPr="65EFC765">
        <w:rPr>
          <w:rFonts w:asciiTheme="majorHAnsi" w:hAnsiTheme="majorHAnsi" w:cstheme="majorBidi"/>
        </w:rPr>
        <w:t xml:space="preserve"> </w:t>
      </w:r>
      <w:r w:rsidRPr="65EFC765">
        <w:rPr>
          <w:rFonts w:asciiTheme="majorHAnsi" w:hAnsiTheme="majorHAnsi" w:cstheme="majorBidi"/>
        </w:rPr>
        <w:t>fulfil its corporate governance responsibilities by:</w:t>
      </w:r>
    </w:p>
    <w:p w14:paraId="1070ED03" w14:textId="77777777" w:rsidR="00860D3D" w:rsidRPr="0012521E" w:rsidRDefault="00860D3D"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monitoring organisational performance</w:t>
      </w:r>
    </w:p>
    <w:p w14:paraId="57413334" w14:textId="77777777" w:rsidR="00860D3D" w:rsidRPr="0012521E" w:rsidRDefault="00860D3D"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overseeing and guiding CEO performance and remuneration including setting, monitoring and evaluating the CEO Annual Performance Plan</w:t>
      </w:r>
    </w:p>
    <w:p w14:paraId="7B5624AF" w14:textId="77777777" w:rsidR="00860D3D" w:rsidRPr="0012521E" w:rsidRDefault="00860D3D"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succession planning and annual program of professional development for the Board and the CEO</w:t>
      </w:r>
    </w:p>
    <w:p w14:paraId="32CA42C3" w14:textId="77777777" w:rsidR="00860D3D" w:rsidRPr="0012521E" w:rsidRDefault="00860D3D"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other priority matters related to organisational performance as nominated by the Board or CEO.</w:t>
      </w:r>
    </w:p>
    <w:p w14:paraId="14700FFB" w14:textId="5B959915" w:rsidR="00860D3D" w:rsidRPr="0012521E" w:rsidRDefault="00860D3D" w:rsidP="00860D3D">
      <w:pPr>
        <w:rPr>
          <w:rFonts w:asciiTheme="majorHAnsi" w:hAnsiTheme="majorHAnsi" w:cstheme="majorHAnsi"/>
        </w:rPr>
      </w:pPr>
      <w:r w:rsidRPr="003F6EFC">
        <w:rPr>
          <w:rFonts w:asciiTheme="majorHAnsi" w:hAnsiTheme="majorHAnsi" w:cstheme="majorHAnsi"/>
        </w:rPr>
        <w:t>The committee met four times in 202</w:t>
      </w:r>
      <w:r w:rsidR="00DF2554" w:rsidRPr="003F6EFC">
        <w:rPr>
          <w:rFonts w:asciiTheme="majorHAnsi" w:hAnsiTheme="majorHAnsi" w:cstheme="majorHAnsi"/>
        </w:rPr>
        <w:t>3</w:t>
      </w:r>
      <w:r w:rsidRPr="003F6EFC">
        <w:rPr>
          <w:rFonts w:asciiTheme="majorHAnsi" w:hAnsiTheme="majorHAnsi" w:cstheme="majorHAnsi"/>
        </w:rPr>
        <w:t>–2</w:t>
      </w:r>
      <w:r w:rsidR="00DF2554" w:rsidRPr="003F6EFC">
        <w:rPr>
          <w:rFonts w:asciiTheme="majorHAnsi" w:hAnsiTheme="majorHAnsi" w:cstheme="majorHAnsi"/>
        </w:rPr>
        <w:t>4</w:t>
      </w:r>
      <w:r w:rsidRPr="003F6EFC">
        <w:rPr>
          <w:rFonts w:asciiTheme="majorHAnsi" w:hAnsiTheme="majorHAnsi" w:cstheme="majorHAnsi"/>
        </w:rPr>
        <w:t>.</w:t>
      </w:r>
      <w:r w:rsidRPr="0012521E">
        <w:rPr>
          <w:rFonts w:asciiTheme="majorHAnsi" w:hAnsiTheme="majorHAnsi" w:cstheme="majorHAnsi"/>
        </w:rPr>
        <w:t xml:space="preserve"> Membership and attendance are listed in </w:t>
      </w:r>
      <w:r w:rsidRPr="0012521E">
        <w:rPr>
          <w:rFonts w:asciiTheme="majorHAnsi" w:hAnsiTheme="majorHAnsi" w:cstheme="majorHAnsi"/>
        </w:rPr>
        <w:fldChar w:fldCharType="begin"/>
      </w:r>
      <w:r w:rsidRPr="0012521E">
        <w:rPr>
          <w:rFonts w:asciiTheme="majorHAnsi" w:hAnsiTheme="majorHAnsi" w:cstheme="majorHAnsi"/>
          <w:highlight w:val="yellow"/>
        </w:rPr>
        <w:instrText xml:space="preserve"> REF _Ref57476479 \h  \* MERGEFORMAT </w:instrText>
      </w:r>
      <w:r w:rsidRPr="0012521E">
        <w:rPr>
          <w:rFonts w:asciiTheme="majorHAnsi" w:hAnsiTheme="majorHAnsi" w:cstheme="majorHAnsi"/>
        </w:rPr>
      </w:r>
      <w:r w:rsidRPr="0012521E">
        <w:rPr>
          <w:rFonts w:asciiTheme="majorHAnsi" w:hAnsiTheme="majorHAnsi" w:cstheme="majorHAnsi"/>
        </w:rPr>
        <w:fldChar w:fldCharType="separate"/>
      </w:r>
      <w:r w:rsidR="00EB70DF" w:rsidRPr="00EB70DF">
        <w:rPr>
          <w:rFonts w:asciiTheme="majorHAnsi" w:hAnsiTheme="majorHAnsi" w:cstheme="majorHAnsi"/>
        </w:rPr>
        <w:t>Table 10</w:t>
      </w:r>
      <w:r w:rsidRPr="0012521E">
        <w:rPr>
          <w:rFonts w:asciiTheme="majorHAnsi" w:hAnsiTheme="majorHAnsi" w:cstheme="majorHAnsi"/>
        </w:rPr>
        <w:fldChar w:fldCharType="end"/>
      </w:r>
      <w:r w:rsidRPr="0012521E">
        <w:rPr>
          <w:rFonts w:asciiTheme="majorHAnsi" w:hAnsiTheme="majorHAnsi" w:cstheme="majorHAnsi"/>
        </w:rPr>
        <w:t>.</w:t>
      </w:r>
    </w:p>
    <w:p w14:paraId="2A21BB32" w14:textId="7552FC63" w:rsidR="00860D3D" w:rsidRPr="0012521E" w:rsidRDefault="00860D3D" w:rsidP="00860D3D">
      <w:pPr>
        <w:pStyle w:val="Caption"/>
        <w:rPr>
          <w:rFonts w:asciiTheme="majorHAnsi" w:hAnsiTheme="majorHAnsi" w:cstheme="majorBidi"/>
        </w:rPr>
      </w:pPr>
      <w:bookmarkStart w:id="122" w:name="_Ref57476479"/>
      <w:r w:rsidRPr="65EFC765">
        <w:rPr>
          <w:rFonts w:asciiTheme="majorHAnsi" w:hAnsiTheme="majorHAnsi" w:cstheme="majorBidi"/>
        </w:rPr>
        <w:t xml:space="preserve">Table </w:t>
      </w:r>
      <w:r w:rsidRPr="65EFC765">
        <w:rPr>
          <w:rFonts w:asciiTheme="majorHAnsi" w:hAnsiTheme="majorHAnsi" w:cstheme="majorBidi"/>
        </w:rPr>
        <w:fldChar w:fldCharType="begin"/>
      </w:r>
      <w:r w:rsidRPr="65EFC765">
        <w:rPr>
          <w:rFonts w:asciiTheme="majorHAnsi" w:hAnsiTheme="majorHAnsi" w:cstheme="majorBidi"/>
        </w:rPr>
        <w:instrText>SEQ Table \* ARABIC</w:instrText>
      </w:r>
      <w:r w:rsidRPr="65EFC765">
        <w:rPr>
          <w:rFonts w:asciiTheme="majorHAnsi" w:hAnsiTheme="majorHAnsi" w:cstheme="majorBidi"/>
        </w:rPr>
        <w:fldChar w:fldCharType="separate"/>
      </w:r>
      <w:r w:rsidR="00EB70DF">
        <w:rPr>
          <w:rFonts w:asciiTheme="majorHAnsi" w:hAnsiTheme="majorHAnsi" w:cstheme="majorBidi"/>
          <w:noProof/>
        </w:rPr>
        <w:t>10</w:t>
      </w:r>
      <w:r w:rsidRPr="65EFC765">
        <w:rPr>
          <w:rFonts w:asciiTheme="majorHAnsi" w:hAnsiTheme="majorHAnsi" w:cstheme="majorBidi"/>
        </w:rPr>
        <w:fldChar w:fldCharType="end"/>
      </w:r>
      <w:bookmarkEnd w:id="122"/>
      <w:r w:rsidRPr="65EFC765">
        <w:rPr>
          <w:rFonts w:asciiTheme="majorHAnsi" w:hAnsiTheme="majorHAnsi" w:cstheme="majorBidi"/>
        </w:rPr>
        <w:t xml:space="preserve">: Performance and Culture Committee membership and attendance in </w:t>
      </w:r>
      <w:r w:rsidRPr="65EFC765" w:rsidDel="007B4783">
        <w:rPr>
          <w:rFonts w:asciiTheme="majorHAnsi" w:hAnsiTheme="majorHAnsi" w:cstheme="majorBidi"/>
        </w:rPr>
        <w:t>20</w:t>
      </w:r>
      <w:r w:rsidR="00DF2554" w:rsidRPr="65EFC765" w:rsidDel="007B4783">
        <w:rPr>
          <w:rFonts w:asciiTheme="majorHAnsi" w:hAnsiTheme="majorHAnsi" w:cstheme="majorBidi"/>
        </w:rPr>
        <w:t>23</w:t>
      </w:r>
      <w:r w:rsidR="007B4783" w:rsidRPr="65EFC765">
        <w:rPr>
          <w:rFonts w:asciiTheme="majorHAnsi" w:hAnsiTheme="majorHAnsi" w:cstheme="majorBidi"/>
        </w:rPr>
        <w:t>–24</w:t>
      </w:r>
    </w:p>
    <w:tbl>
      <w:tblPr>
        <w:tblStyle w:val="TableGrid"/>
        <w:tblW w:w="9044" w:type="dxa"/>
        <w:tblLook w:val="04A0" w:firstRow="1" w:lastRow="0" w:firstColumn="1" w:lastColumn="0" w:noHBand="0" w:noVBand="1"/>
      </w:tblPr>
      <w:tblGrid>
        <w:gridCol w:w="2972"/>
        <w:gridCol w:w="3881"/>
        <w:gridCol w:w="2191"/>
      </w:tblGrid>
      <w:tr w:rsidR="00860D3D" w:rsidRPr="0012521E" w14:paraId="503EFA0C" w14:textId="77777777" w:rsidTr="00E159ED">
        <w:trPr>
          <w:trHeight w:val="245"/>
        </w:trPr>
        <w:tc>
          <w:tcPr>
            <w:tcW w:w="2972" w:type="dxa"/>
            <w:shd w:val="clear" w:color="auto" w:fill="D4DFA0" w:themeFill="background2"/>
            <w:noWrap/>
          </w:tcPr>
          <w:p w14:paraId="6B172AAE" w14:textId="77777777" w:rsidR="00860D3D" w:rsidRPr="00E159ED" w:rsidRDefault="00860D3D" w:rsidP="00EC78E4">
            <w:pPr>
              <w:pStyle w:val="TableHeading"/>
              <w:rPr>
                <w:rFonts w:cstheme="majorHAnsi"/>
                <w:color w:val="auto"/>
              </w:rPr>
            </w:pPr>
            <w:r w:rsidRPr="00E159ED">
              <w:rPr>
                <w:rFonts w:cstheme="majorHAnsi"/>
                <w:color w:val="auto"/>
              </w:rPr>
              <w:t xml:space="preserve">Member </w:t>
            </w:r>
          </w:p>
        </w:tc>
        <w:tc>
          <w:tcPr>
            <w:tcW w:w="3881" w:type="dxa"/>
            <w:shd w:val="clear" w:color="auto" w:fill="D4DFA0" w:themeFill="background2"/>
          </w:tcPr>
          <w:p w14:paraId="72CD33EB" w14:textId="77777777" w:rsidR="00860D3D" w:rsidRPr="00E159ED" w:rsidRDefault="00860D3D" w:rsidP="00EC78E4">
            <w:pPr>
              <w:pStyle w:val="TableHeading"/>
              <w:rPr>
                <w:rFonts w:cstheme="majorHAnsi"/>
                <w:color w:val="auto"/>
              </w:rPr>
            </w:pPr>
            <w:r w:rsidRPr="00E159ED">
              <w:rPr>
                <w:rFonts w:cstheme="majorHAnsi"/>
                <w:color w:val="auto"/>
              </w:rPr>
              <w:t>Meetings attended</w:t>
            </w:r>
          </w:p>
        </w:tc>
        <w:tc>
          <w:tcPr>
            <w:tcW w:w="2191" w:type="dxa"/>
            <w:shd w:val="clear" w:color="auto" w:fill="D4DFA0" w:themeFill="background2"/>
          </w:tcPr>
          <w:p w14:paraId="454DAEFD" w14:textId="77777777" w:rsidR="00860D3D" w:rsidRPr="00E159ED" w:rsidRDefault="00860D3D" w:rsidP="00EC78E4">
            <w:pPr>
              <w:pStyle w:val="TableHeading"/>
              <w:rPr>
                <w:rFonts w:cstheme="majorHAnsi"/>
                <w:color w:val="auto"/>
              </w:rPr>
            </w:pPr>
            <w:r w:rsidRPr="00E159ED">
              <w:rPr>
                <w:rFonts w:cstheme="majorHAnsi"/>
                <w:color w:val="auto"/>
              </w:rPr>
              <w:t>Eligible to attend</w:t>
            </w:r>
          </w:p>
        </w:tc>
      </w:tr>
      <w:tr w:rsidR="00860D3D" w:rsidRPr="0012521E" w14:paraId="2CBDD1ED" w14:textId="77777777" w:rsidTr="00E159ED">
        <w:trPr>
          <w:trHeight w:val="245"/>
        </w:trPr>
        <w:tc>
          <w:tcPr>
            <w:tcW w:w="2972" w:type="dxa"/>
            <w:noWrap/>
          </w:tcPr>
          <w:p w14:paraId="1B0B8BE8" w14:textId="77777777" w:rsidR="00860D3D" w:rsidRPr="00475D8A" w:rsidRDefault="00860D3D" w:rsidP="00EC78E4">
            <w:pPr>
              <w:pStyle w:val="TableHeading"/>
              <w:rPr>
                <w:rFonts w:cstheme="majorHAnsi"/>
                <w:b w:val="0"/>
                <w:bCs w:val="0"/>
                <w:color w:val="auto"/>
              </w:rPr>
            </w:pPr>
            <w:r w:rsidRPr="00475D8A">
              <w:rPr>
                <w:rFonts w:cstheme="majorHAnsi"/>
                <w:b w:val="0"/>
                <w:bCs w:val="0"/>
                <w:color w:val="auto"/>
              </w:rPr>
              <w:t>Judi Harris (Chair)</w:t>
            </w:r>
          </w:p>
        </w:tc>
        <w:tc>
          <w:tcPr>
            <w:tcW w:w="3881" w:type="dxa"/>
          </w:tcPr>
          <w:p w14:paraId="25030C30" w14:textId="0642D40E" w:rsidR="00860D3D" w:rsidRPr="0012521E" w:rsidRDefault="005D0741" w:rsidP="00EC78E4">
            <w:pPr>
              <w:pStyle w:val="Tablerightlarge"/>
              <w:rPr>
                <w:rFonts w:asciiTheme="majorHAnsi" w:hAnsiTheme="majorHAnsi" w:cstheme="majorHAnsi"/>
              </w:rPr>
            </w:pPr>
            <w:r>
              <w:rPr>
                <w:rFonts w:asciiTheme="majorHAnsi" w:hAnsiTheme="majorHAnsi" w:cstheme="majorHAnsi"/>
              </w:rPr>
              <w:t>4</w:t>
            </w:r>
          </w:p>
        </w:tc>
        <w:tc>
          <w:tcPr>
            <w:tcW w:w="2191" w:type="dxa"/>
          </w:tcPr>
          <w:p w14:paraId="00F75D2A" w14:textId="098774D1" w:rsidR="00860D3D" w:rsidRPr="0012521E" w:rsidRDefault="003F6EFC" w:rsidP="00EC78E4">
            <w:pPr>
              <w:pStyle w:val="Tablerightlarge"/>
              <w:rPr>
                <w:rFonts w:asciiTheme="majorHAnsi" w:hAnsiTheme="majorHAnsi" w:cstheme="majorHAnsi"/>
              </w:rPr>
            </w:pPr>
            <w:r>
              <w:rPr>
                <w:rFonts w:asciiTheme="majorHAnsi" w:hAnsiTheme="majorHAnsi" w:cstheme="majorHAnsi"/>
              </w:rPr>
              <w:t>4</w:t>
            </w:r>
          </w:p>
        </w:tc>
      </w:tr>
      <w:tr w:rsidR="00860D3D" w:rsidRPr="0012521E" w14:paraId="1CCBEB8C" w14:textId="77777777" w:rsidTr="00E159ED">
        <w:trPr>
          <w:trHeight w:val="245"/>
        </w:trPr>
        <w:tc>
          <w:tcPr>
            <w:tcW w:w="2972" w:type="dxa"/>
            <w:noWrap/>
          </w:tcPr>
          <w:p w14:paraId="092B3763" w14:textId="77777777" w:rsidR="00860D3D" w:rsidRPr="00475D8A" w:rsidRDefault="00860D3D" w:rsidP="00EC78E4">
            <w:pPr>
              <w:pStyle w:val="TableHeading"/>
              <w:rPr>
                <w:rFonts w:cstheme="majorHAnsi"/>
                <w:b w:val="0"/>
                <w:bCs w:val="0"/>
                <w:color w:val="auto"/>
              </w:rPr>
            </w:pPr>
            <w:r w:rsidRPr="00475D8A">
              <w:rPr>
                <w:rFonts w:cstheme="majorHAnsi"/>
                <w:b w:val="0"/>
                <w:bCs w:val="0"/>
                <w:color w:val="auto"/>
              </w:rPr>
              <w:t>Judith Landsberg</w:t>
            </w:r>
          </w:p>
        </w:tc>
        <w:tc>
          <w:tcPr>
            <w:tcW w:w="3881" w:type="dxa"/>
          </w:tcPr>
          <w:p w14:paraId="59F8781D" w14:textId="40F3464A" w:rsidR="00860D3D" w:rsidRPr="0012521E" w:rsidRDefault="00280D4C" w:rsidP="00EC78E4">
            <w:pPr>
              <w:pStyle w:val="Tablerightlarge"/>
              <w:rPr>
                <w:rFonts w:asciiTheme="majorHAnsi" w:hAnsiTheme="majorHAnsi" w:cstheme="majorHAnsi"/>
              </w:rPr>
            </w:pPr>
            <w:r>
              <w:rPr>
                <w:rFonts w:asciiTheme="majorHAnsi" w:hAnsiTheme="majorHAnsi" w:cstheme="majorHAnsi"/>
              </w:rPr>
              <w:t>3</w:t>
            </w:r>
          </w:p>
        </w:tc>
        <w:tc>
          <w:tcPr>
            <w:tcW w:w="2191" w:type="dxa"/>
          </w:tcPr>
          <w:p w14:paraId="2C24DA00" w14:textId="2C9936E4" w:rsidR="00860D3D" w:rsidRPr="0012521E" w:rsidRDefault="003F6EFC" w:rsidP="00EC78E4">
            <w:pPr>
              <w:pStyle w:val="Tablerightlarge"/>
              <w:rPr>
                <w:rFonts w:asciiTheme="majorHAnsi" w:hAnsiTheme="majorHAnsi" w:cstheme="majorHAnsi"/>
              </w:rPr>
            </w:pPr>
            <w:r>
              <w:rPr>
                <w:rFonts w:asciiTheme="majorHAnsi" w:hAnsiTheme="majorHAnsi" w:cstheme="majorHAnsi"/>
              </w:rPr>
              <w:t>4</w:t>
            </w:r>
          </w:p>
        </w:tc>
      </w:tr>
      <w:tr w:rsidR="00860D3D" w:rsidRPr="0012521E" w14:paraId="2142E244" w14:textId="77777777" w:rsidTr="00E159ED">
        <w:trPr>
          <w:trHeight w:val="245"/>
        </w:trPr>
        <w:tc>
          <w:tcPr>
            <w:tcW w:w="2972" w:type="dxa"/>
            <w:noWrap/>
          </w:tcPr>
          <w:p w14:paraId="56182084" w14:textId="77777777" w:rsidR="00860D3D" w:rsidRPr="00475D8A" w:rsidRDefault="00860D3D" w:rsidP="00EC78E4">
            <w:pPr>
              <w:pStyle w:val="TableHeading"/>
              <w:rPr>
                <w:rFonts w:cstheme="majorHAnsi"/>
                <w:b w:val="0"/>
                <w:bCs w:val="0"/>
                <w:color w:val="auto"/>
              </w:rPr>
            </w:pPr>
            <w:r w:rsidRPr="00475D8A">
              <w:rPr>
                <w:rFonts w:cstheme="majorHAnsi"/>
                <w:b w:val="0"/>
                <w:bCs w:val="0"/>
                <w:color w:val="auto"/>
              </w:rPr>
              <w:t>Mark Wakeham</w:t>
            </w:r>
          </w:p>
        </w:tc>
        <w:tc>
          <w:tcPr>
            <w:tcW w:w="3881" w:type="dxa"/>
          </w:tcPr>
          <w:p w14:paraId="76A44CCE" w14:textId="109B5AF8" w:rsidR="00860D3D" w:rsidRPr="0012521E" w:rsidRDefault="005F7473" w:rsidP="00EC78E4">
            <w:pPr>
              <w:pStyle w:val="Tablerightlarge"/>
              <w:rPr>
                <w:rFonts w:asciiTheme="majorHAnsi" w:hAnsiTheme="majorHAnsi" w:cstheme="majorHAnsi"/>
              </w:rPr>
            </w:pPr>
            <w:r>
              <w:rPr>
                <w:rFonts w:asciiTheme="majorHAnsi" w:hAnsiTheme="majorHAnsi" w:cstheme="majorHAnsi"/>
              </w:rPr>
              <w:t>3</w:t>
            </w:r>
          </w:p>
        </w:tc>
        <w:tc>
          <w:tcPr>
            <w:tcW w:w="2191" w:type="dxa"/>
          </w:tcPr>
          <w:p w14:paraId="18236769" w14:textId="0CDB8ED1" w:rsidR="00860D3D" w:rsidRPr="0012521E" w:rsidRDefault="003F6EFC" w:rsidP="00EC78E4">
            <w:pPr>
              <w:pStyle w:val="Tablerightlarge"/>
              <w:rPr>
                <w:rFonts w:asciiTheme="majorHAnsi" w:hAnsiTheme="majorHAnsi" w:cstheme="majorHAnsi"/>
              </w:rPr>
            </w:pPr>
            <w:r>
              <w:rPr>
                <w:rFonts w:asciiTheme="majorHAnsi" w:hAnsiTheme="majorHAnsi" w:cstheme="majorHAnsi"/>
              </w:rPr>
              <w:t>4</w:t>
            </w:r>
          </w:p>
        </w:tc>
      </w:tr>
    </w:tbl>
    <w:p w14:paraId="1DEF0A3F" w14:textId="77777777" w:rsidR="00860D3D" w:rsidRPr="0012521E" w:rsidRDefault="00860D3D" w:rsidP="00860D3D">
      <w:pPr>
        <w:pStyle w:val="Heading2"/>
      </w:pPr>
      <w:bookmarkStart w:id="123" w:name="_Toc144884444"/>
      <w:bookmarkStart w:id="124" w:name="_Toc166585726"/>
      <w:bookmarkStart w:id="125" w:name="_Toc56627337"/>
      <w:bookmarkStart w:id="126" w:name="_Toc57039872"/>
      <w:bookmarkEnd w:id="94"/>
      <w:bookmarkEnd w:id="95"/>
      <w:r w:rsidRPr="0012521E">
        <w:t>Risk maturity</w:t>
      </w:r>
      <w:bookmarkEnd w:id="123"/>
      <w:bookmarkEnd w:id="124"/>
    </w:p>
    <w:p w14:paraId="7668C78F" w14:textId="31714C3F" w:rsidR="00860D3D" w:rsidRPr="0012521E" w:rsidRDefault="00860D3D" w:rsidP="00860D3D">
      <w:pPr>
        <w:rPr>
          <w:rFonts w:asciiTheme="majorHAnsi" w:hAnsiTheme="majorHAnsi" w:cstheme="majorBidi"/>
        </w:rPr>
      </w:pPr>
      <w:r w:rsidRPr="65EFC765">
        <w:rPr>
          <w:rFonts w:asciiTheme="majorHAnsi" w:hAnsiTheme="majorHAnsi" w:cstheme="majorBidi"/>
        </w:rPr>
        <w:t xml:space="preserve">SV measures risk maturity yearly using the Victorian Managed Insurance Authority </w:t>
      </w:r>
      <w:hyperlink r:id="rId51">
        <w:r w:rsidRPr="65EFC765">
          <w:rPr>
            <w:rStyle w:val="Hyperlink"/>
            <w:rFonts w:asciiTheme="majorHAnsi" w:hAnsiTheme="majorHAnsi" w:cstheme="majorBidi"/>
          </w:rPr>
          <w:t>Risk Maturity Benchmark</w:t>
        </w:r>
      </w:hyperlink>
      <w:r w:rsidRPr="65EFC765">
        <w:rPr>
          <w:rFonts w:asciiTheme="majorHAnsi" w:hAnsiTheme="majorHAnsi" w:cstheme="majorBidi"/>
        </w:rPr>
        <w:t xml:space="preserve">. As </w:t>
      </w:r>
      <w:r w:rsidR="005C1F0F" w:rsidRPr="65EFC765">
        <w:rPr>
          <w:rFonts w:asciiTheme="majorHAnsi" w:hAnsiTheme="majorHAnsi" w:cstheme="majorBidi"/>
        </w:rPr>
        <w:t>of</w:t>
      </w:r>
      <w:r w:rsidRPr="65EFC765">
        <w:rPr>
          <w:rFonts w:asciiTheme="majorHAnsi" w:hAnsiTheme="majorHAnsi" w:cstheme="majorBidi"/>
        </w:rPr>
        <w:t xml:space="preserve"> </w:t>
      </w:r>
      <w:r w:rsidR="00C0402F" w:rsidRPr="65EFC765">
        <w:rPr>
          <w:rFonts w:asciiTheme="majorHAnsi" w:hAnsiTheme="majorHAnsi" w:cstheme="majorBidi"/>
        </w:rPr>
        <w:t>June</w:t>
      </w:r>
      <w:r w:rsidRPr="65EFC765">
        <w:rPr>
          <w:rFonts w:asciiTheme="majorHAnsi" w:hAnsiTheme="majorHAnsi" w:cstheme="majorBidi"/>
        </w:rPr>
        <w:t xml:space="preserve"> 202</w:t>
      </w:r>
      <w:r w:rsidR="00DF2554" w:rsidRPr="65EFC765">
        <w:rPr>
          <w:rFonts w:asciiTheme="majorHAnsi" w:hAnsiTheme="majorHAnsi" w:cstheme="majorBidi"/>
        </w:rPr>
        <w:t>4</w:t>
      </w:r>
      <w:r w:rsidRPr="65EFC765">
        <w:rPr>
          <w:rFonts w:asciiTheme="majorHAnsi" w:hAnsiTheme="majorHAnsi" w:cstheme="majorBidi"/>
        </w:rPr>
        <w:t xml:space="preserve">, SV’s risk maturity rating was </w:t>
      </w:r>
      <w:r w:rsidR="00F90A33" w:rsidRPr="65EFC765">
        <w:rPr>
          <w:rFonts w:asciiTheme="majorHAnsi" w:hAnsiTheme="majorHAnsi" w:cstheme="majorBidi"/>
        </w:rPr>
        <w:t>81.</w:t>
      </w:r>
      <w:r w:rsidR="1B8B8D69" w:rsidRPr="11420F3B">
        <w:rPr>
          <w:rFonts w:asciiTheme="majorHAnsi" w:hAnsiTheme="majorHAnsi" w:cstheme="majorBidi"/>
        </w:rPr>
        <w:t>6</w:t>
      </w:r>
      <w:r w:rsidRPr="65EFC765">
        <w:rPr>
          <w:rFonts w:asciiTheme="majorHAnsi" w:hAnsiTheme="majorHAnsi" w:cstheme="majorBidi"/>
        </w:rPr>
        <w:t>% placing SV in the ‘embedding’ category which represents integrating risk management into agency business structures and processes. This means that SV is using risk management to make informed decisions that will drive good strategic outcomes.</w:t>
      </w:r>
    </w:p>
    <w:p w14:paraId="2CBCAD64" w14:textId="69B35D3E" w:rsidR="00860D3D" w:rsidRPr="0012521E" w:rsidRDefault="00860D3D" w:rsidP="00860D3D">
      <w:pPr>
        <w:rPr>
          <w:rFonts w:asciiTheme="majorHAnsi" w:eastAsiaTheme="majorEastAsia" w:hAnsiTheme="majorHAnsi" w:cstheme="majorBidi"/>
          <w:color w:val="174F37"/>
          <w:sz w:val="52"/>
          <w:szCs w:val="52"/>
        </w:rPr>
      </w:pPr>
      <w:r w:rsidRPr="65EFC765">
        <w:rPr>
          <w:rFonts w:asciiTheme="majorHAnsi" w:hAnsiTheme="majorHAnsi" w:cstheme="majorBidi"/>
        </w:rPr>
        <w:t xml:space="preserve">SV’s risk maturity rating continues to track in a positive </w:t>
      </w:r>
      <w:r w:rsidR="00AF7F52" w:rsidRPr="65EFC765">
        <w:rPr>
          <w:rFonts w:asciiTheme="majorHAnsi" w:hAnsiTheme="majorHAnsi" w:cstheme="majorBidi"/>
        </w:rPr>
        <w:t xml:space="preserve">range </w:t>
      </w:r>
      <w:r w:rsidRPr="65EFC765">
        <w:rPr>
          <w:rFonts w:asciiTheme="majorHAnsi" w:hAnsiTheme="majorHAnsi" w:cstheme="majorBidi"/>
        </w:rPr>
        <w:t>direction, increasing from 54% in 2018–19, 67% in 2019–20, 71% in 2020–21 and 77% in 2021–22</w:t>
      </w:r>
      <w:r w:rsidR="0048319C" w:rsidRPr="65EFC765">
        <w:rPr>
          <w:rFonts w:asciiTheme="majorHAnsi" w:hAnsiTheme="majorHAnsi" w:cstheme="majorBidi"/>
        </w:rPr>
        <w:t xml:space="preserve"> and</w:t>
      </w:r>
      <w:r w:rsidR="00AF7F52" w:rsidRPr="65EFC765">
        <w:rPr>
          <w:rFonts w:asciiTheme="majorHAnsi" w:hAnsiTheme="majorHAnsi" w:cstheme="majorBidi"/>
        </w:rPr>
        <w:t xml:space="preserve"> </w:t>
      </w:r>
      <w:r w:rsidR="00C45CF3" w:rsidRPr="65EFC765">
        <w:rPr>
          <w:rFonts w:asciiTheme="majorHAnsi" w:hAnsiTheme="majorHAnsi" w:cstheme="majorBidi"/>
        </w:rPr>
        <w:t>remaining steady from</w:t>
      </w:r>
      <w:r w:rsidR="0048319C" w:rsidRPr="65EFC765">
        <w:rPr>
          <w:rFonts w:asciiTheme="majorHAnsi" w:hAnsiTheme="majorHAnsi" w:cstheme="majorBidi"/>
        </w:rPr>
        <w:t xml:space="preserve"> 82</w:t>
      </w:r>
      <w:r w:rsidR="00C0402F" w:rsidRPr="65EFC765">
        <w:rPr>
          <w:rFonts w:asciiTheme="majorHAnsi" w:hAnsiTheme="majorHAnsi" w:cstheme="majorBidi"/>
        </w:rPr>
        <w:t xml:space="preserve">% in </w:t>
      </w:r>
      <w:r w:rsidR="3BB5E7D3" w:rsidRPr="11420F3B">
        <w:rPr>
          <w:rFonts w:asciiTheme="majorHAnsi" w:hAnsiTheme="majorHAnsi" w:cstheme="majorBidi"/>
        </w:rPr>
        <w:t>202</w:t>
      </w:r>
      <w:r w:rsidR="2399ADA1" w:rsidRPr="11420F3B">
        <w:rPr>
          <w:rFonts w:asciiTheme="majorHAnsi" w:hAnsiTheme="majorHAnsi" w:cstheme="majorBidi"/>
        </w:rPr>
        <w:t>2</w:t>
      </w:r>
      <w:r w:rsidR="3BB5E7D3" w:rsidRPr="11420F3B">
        <w:rPr>
          <w:rFonts w:asciiTheme="majorHAnsi" w:hAnsiTheme="majorHAnsi" w:cstheme="majorBidi"/>
        </w:rPr>
        <w:t>–2</w:t>
      </w:r>
      <w:r w:rsidR="5DF4175D" w:rsidRPr="11420F3B">
        <w:rPr>
          <w:rFonts w:asciiTheme="majorHAnsi" w:hAnsiTheme="majorHAnsi" w:cstheme="majorBidi"/>
        </w:rPr>
        <w:t>3</w:t>
      </w:r>
      <w:r w:rsidR="22C6DF52" w:rsidRPr="11420F3B">
        <w:rPr>
          <w:rFonts w:asciiTheme="majorHAnsi" w:hAnsiTheme="majorHAnsi" w:cstheme="majorBidi"/>
        </w:rPr>
        <w:t>.</w:t>
      </w:r>
      <w:r w:rsidRPr="65EFC765">
        <w:rPr>
          <w:rFonts w:asciiTheme="majorHAnsi" w:hAnsiTheme="majorHAnsi" w:cstheme="majorBidi"/>
        </w:rPr>
        <w:t xml:space="preserve"> </w:t>
      </w:r>
      <w:r w:rsidRPr="65EFC765">
        <w:rPr>
          <w:rFonts w:asciiTheme="majorHAnsi" w:hAnsiTheme="majorHAnsi" w:cstheme="majorBidi"/>
        </w:rPr>
        <w:br w:type="page"/>
      </w:r>
    </w:p>
    <w:p w14:paraId="5D54934B" w14:textId="77777777" w:rsidR="00860D3D" w:rsidRPr="0012521E" w:rsidRDefault="00860D3D" w:rsidP="00860D3D">
      <w:pPr>
        <w:pStyle w:val="Heading1"/>
        <w:rPr>
          <w:rFonts w:asciiTheme="majorHAnsi" w:hAnsiTheme="majorHAnsi" w:cstheme="majorHAnsi"/>
        </w:rPr>
      </w:pPr>
      <w:bookmarkStart w:id="127" w:name="_Ref139545459"/>
      <w:bookmarkStart w:id="128" w:name="_Toc144883455"/>
      <w:bookmarkStart w:id="129" w:name="_Toc144884445"/>
      <w:bookmarkStart w:id="130" w:name="_Toc147395359"/>
      <w:bookmarkStart w:id="131" w:name="_Toc166585727"/>
      <w:bookmarkStart w:id="132" w:name="_Toc179469481"/>
      <w:r w:rsidRPr="0012521E">
        <w:rPr>
          <w:rFonts w:asciiTheme="majorHAnsi" w:hAnsiTheme="majorHAnsi" w:cstheme="majorHAnsi"/>
        </w:rPr>
        <w:lastRenderedPageBreak/>
        <w:t>Workforce data</w:t>
      </w:r>
      <w:bookmarkEnd w:id="125"/>
      <w:bookmarkEnd w:id="126"/>
      <w:bookmarkEnd w:id="127"/>
      <w:bookmarkEnd w:id="128"/>
      <w:bookmarkEnd w:id="129"/>
      <w:bookmarkEnd w:id="130"/>
      <w:bookmarkEnd w:id="131"/>
      <w:bookmarkEnd w:id="132"/>
    </w:p>
    <w:p w14:paraId="10A38668" w14:textId="77777777" w:rsidR="00860D3D" w:rsidRPr="0012521E" w:rsidRDefault="00860D3D" w:rsidP="00860D3D">
      <w:pPr>
        <w:pStyle w:val="Heading2"/>
        <w:rPr>
          <w:rFonts w:eastAsiaTheme="minorHAnsi"/>
          <w:highlight w:val="cyan"/>
        </w:rPr>
      </w:pPr>
      <w:bookmarkStart w:id="133" w:name="_Toc56627338"/>
      <w:bookmarkStart w:id="134" w:name="_Toc57039873"/>
      <w:bookmarkStart w:id="135" w:name="_Ref85022932"/>
      <w:bookmarkStart w:id="136" w:name="_Ref141114426"/>
      <w:bookmarkStart w:id="137" w:name="_Toc144884446"/>
      <w:bookmarkStart w:id="138" w:name="_Toc166585728"/>
      <w:r w:rsidRPr="0012521E">
        <w:t>Public sector values and employment principles</w:t>
      </w:r>
      <w:bookmarkEnd w:id="133"/>
      <w:bookmarkEnd w:id="134"/>
      <w:bookmarkEnd w:id="135"/>
      <w:bookmarkEnd w:id="136"/>
      <w:bookmarkEnd w:id="137"/>
      <w:bookmarkEnd w:id="138"/>
    </w:p>
    <w:p w14:paraId="6C67F54E" w14:textId="77777777" w:rsidR="00860D3D" w:rsidRPr="0012521E" w:rsidRDefault="00860D3D" w:rsidP="00105389">
      <w:pPr>
        <w:pStyle w:val="Body"/>
      </w:pPr>
      <w:r w:rsidRPr="0012521E">
        <w:t xml:space="preserve">SV is committed to applying merit and equity principles when appointing employees. SV’s selection processes ensure that applicants are assessed and evaluated fairly and equitably </w:t>
      </w:r>
      <w:proofErr w:type="gramStart"/>
      <w:r w:rsidRPr="0012521E">
        <w:t>on the basis of</w:t>
      </w:r>
      <w:proofErr w:type="gramEnd"/>
      <w:r w:rsidRPr="0012521E" w:rsidDel="0061025D">
        <w:t xml:space="preserve"> </w:t>
      </w:r>
      <w:r w:rsidRPr="0012521E">
        <w:t>key selection criteria and other accountabilities, without discrimination. Employees have been correctly classified in workforce data collections.</w:t>
      </w:r>
    </w:p>
    <w:p w14:paraId="6B3AB402" w14:textId="77777777" w:rsidR="00860D3D" w:rsidRPr="0012521E" w:rsidRDefault="00860D3D" w:rsidP="00105389">
      <w:pPr>
        <w:pStyle w:val="Body"/>
      </w:pPr>
      <w:r w:rsidRPr="0012521E">
        <w:t xml:space="preserve">The </w:t>
      </w:r>
      <w:r w:rsidRPr="0012521E">
        <w:rPr>
          <w:i/>
        </w:rPr>
        <w:t>Public Administration Act 2004</w:t>
      </w:r>
      <w:r w:rsidRPr="0012521E">
        <w:t xml:space="preserve"> established the Victorian Public Sector Commission (VPSC). The VPSC’s role is to strengthen public sector efficiency, effectiveness and capability and advocate for public sector professionalism and integrity.</w:t>
      </w:r>
    </w:p>
    <w:p w14:paraId="4618A889" w14:textId="77777777" w:rsidR="00860D3D" w:rsidRPr="0012521E" w:rsidRDefault="00860D3D" w:rsidP="00105389">
      <w:pPr>
        <w:pStyle w:val="Body"/>
      </w:pPr>
      <w:r w:rsidRPr="0012521E">
        <w:t>SV has introduced policies and practices that are consistent with the VPSC’s employment standards and provide for fair treatment, career opportunities and the early resolution of workplace issues. SV has advised its employees on how to avoid conflicts of interest, how to respond to offers of gifts and benefits and how it deals with misconduct.</w:t>
      </w:r>
    </w:p>
    <w:p w14:paraId="3B067AB1" w14:textId="77777777" w:rsidR="00860D3D" w:rsidRPr="0012521E" w:rsidRDefault="00860D3D" w:rsidP="00105389">
      <w:pPr>
        <w:pStyle w:val="Body"/>
      </w:pPr>
      <w:r w:rsidRPr="0012521E">
        <w:t>The public sector values are responsiveness, integrity, impartiality, accountability, respect, leadership and human rights.</w:t>
      </w:r>
    </w:p>
    <w:p w14:paraId="029DB9DD" w14:textId="77777777" w:rsidR="00860D3D" w:rsidRPr="0012521E" w:rsidRDefault="00860D3D" w:rsidP="00105389">
      <w:pPr>
        <w:pStyle w:val="Body"/>
      </w:pPr>
      <w:r w:rsidRPr="0012521E">
        <w:t>Public entities are required to have in place employment processes to ensure that:</w:t>
      </w:r>
    </w:p>
    <w:p w14:paraId="77EFF36D" w14:textId="77777777" w:rsidR="00860D3D" w:rsidRPr="0012521E" w:rsidRDefault="00860D3D" w:rsidP="00C356CE">
      <w:pPr>
        <w:pStyle w:val="Body"/>
        <w:numPr>
          <w:ilvl w:val="0"/>
          <w:numId w:val="24"/>
        </w:numPr>
      </w:pPr>
      <w:r w:rsidRPr="0012521E">
        <w:t>employment decisions are based on merit</w:t>
      </w:r>
    </w:p>
    <w:p w14:paraId="4B5A99E1" w14:textId="77777777" w:rsidR="00860D3D" w:rsidRPr="0012521E" w:rsidRDefault="00860D3D" w:rsidP="00C356CE">
      <w:pPr>
        <w:pStyle w:val="Body"/>
        <w:numPr>
          <w:ilvl w:val="0"/>
          <w:numId w:val="24"/>
        </w:numPr>
      </w:pPr>
      <w:r w:rsidRPr="0012521E">
        <w:t>public sector employees are treated fairly and reasonably</w:t>
      </w:r>
    </w:p>
    <w:p w14:paraId="6DCE3243" w14:textId="77777777" w:rsidR="00860D3D" w:rsidRPr="0012521E" w:rsidRDefault="00860D3D" w:rsidP="00C356CE">
      <w:pPr>
        <w:pStyle w:val="Body"/>
        <w:numPr>
          <w:ilvl w:val="0"/>
          <w:numId w:val="24"/>
        </w:numPr>
      </w:pPr>
      <w:r w:rsidRPr="0012521E">
        <w:t>equal employment opportunity is provided</w:t>
      </w:r>
    </w:p>
    <w:p w14:paraId="1A6B3944" w14:textId="77777777" w:rsidR="00860D3D" w:rsidRPr="0012521E" w:rsidRDefault="00860D3D" w:rsidP="00C356CE">
      <w:pPr>
        <w:pStyle w:val="Body"/>
        <w:numPr>
          <w:ilvl w:val="0"/>
          <w:numId w:val="24"/>
        </w:numPr>
      </w:pPr>
      <w:r w:rsidRPr="0012521E">
        <w:t>human rights as set out in the Charter of Human Rights and Responsibilities are upheld</w:t>
      </w:r>
    </w:p>
    <w:p w14:paraId="1E80A22C" w14:textId="77777777" w:rsidR="00860D3D" w:rsidRPr="0012521E" w:rsidRDefault="00860D3D" w:rsidP="00C356CE">
      <w:pPr>
        <w:pStyle w:val="Body"/>
        <w:numPr>
          <w:ilvl w:val="0"/>
          <w:numId w:val="24"/>
        </w:numPr>
      </w:pPr>
      <w:r w:rsidRPr="0012521E">
        <w:t>public sector employees have a reasonable avenue of redress against unfair or unreasonable treatment.</w:t>
      </w:r>
    </w:p>
    <w:p w14:paraId="47DA3BDD" w14:textId="77777777" w:rsidR="00860D3D" w:rsidRPr="0012521E" w:rsidRDefault="00860D3D" w:rsidP="00105389">
      <w:pPr>
        <w:pStyle w:val="Body"/>
      </w:pPr>
      <w:r w:rsidRPr="0012521E">
        <w:t>Codes of conduct and standards issued by the VPSC include:</w:t>
      </w:r>
    </w:p>
    <w:p w14:paraId="1A376AE0" w14:textId="77777777" w:rsidR="00860D3D" w:rsidRPr="0012521E" w:rsidRDefault="00860D3D" w:rsidP="00C356CE">
      <w:pPr>
        <w:pStyle w:val="Body"/>
        <w:numPr>
          <w:ilvl w:val="0"/>
          <w:numId w:val="25"/>
        </w:numPr>
      </w:pPr>
      <w:r w:rsidRPr="0012521E">
        <w:t>the Code of Conduct for Victorian Public Sector (VPS) employees</w:t>
      </w:r>
    </w:p>
    <w:p w14:paraId="5B0BC1D4" w14:textId="77777777" w:rsidR="00860D3D" w:rsidRPr="0012521E" w:rsidRDefault="00860D3D" w:rsidP="00C356CE">
      <w:pPr>
        <w:pStyle w:val="Body"/>
        <w:numPr>
          <w:ilvl w:val="0"/>
          <w:numId w:val="25"/>
        </w:numPr>
      </w:pPr>
      <w:r w:rsidRPr="0012521E">
        <w:t xml:space="preserve">the </w:t>
      </w:r>
      <w:proofErr w:type="gramStart"/>
      <w:r w:rsidRPr="0012521E">
        <w:t>Conflict of Interest</w:t>
      </w:r>
      <w:proofErr w:type="gramEnd"/>
      <w:r w:rsidRPr="0012521E">
        <w:t xml:space="preserve"> policy framework and the Gifts Benefits and Hospitality policy framework.</w:t>
      </w:r>
    </w:p>
    <w:p w14:paraId="6D17D388" w14:textId="77777777" w:rsidR="00860D3D" w:rsidRPr="0012521E" w:rsidRDefault="00860D3D" w:rsidP="00860D3D">
      <w:pPr>
        <w:pStyle w:val="Heading2"/>
      </w:pPr>
      <w:bookmarkStart w:id="139" w:name="_Toc144884447"/>
      <w:bookmarkStart w:id="140" w:name="_Toc166585729"/>
      <w:r>
        <w:t>Workforce inclusion policy</w:t>
      </w:r>
      <w:bookmarkEnd w:id="139"/>
      <w:bookmarkEnd w:id="140"/>
    </w:p>
    <w:p w14:paraId="461AE95D" w14:textId="77777777" w:rsidR="00860D3D" w:rsidRPr="0012521E" w:rsidRDefault="00860D3D" w:rsidP="00105389">
      <w:pPr>
        <w:pStyle w:val="Body"/>
      </w:pPr>
      <w:r w:rsidRPr="0012521E">
        <w:t>Tracking and analysing SV’s workforce profile provides important insights into the characteristics of our workforce in a diversity and inclusion context.</w:t>
      </w:r>
    </w:p>
    <w:p w14:paraId="1177706D" w14:textId="460FF3D5" w:rsidR="00860D3D" w:rsidRPr="0012521E" w:rsidRDefault="00860D3D" w:rsidP="00105389">
      <w:pPr>
        <w:pStyle w:val="Body"/>
      </w:pPr>
      <w:r w:rsidRPr="0012521E">
        <w:t>Our workforce profile is reviewed on a regular basis, both as a stand</w:t>
      </w:r>
      <w:r w:rsidR="00D81E7C">
        <w:t>-alone</w:t>
      </w:r>
      <w:r w:rsidRPr="0012521E">
        <w:t xml:space="preserve"> profile and by using relative comparisons such as the VPS, the Victorian labour market and the general Victorian population. SV can then identify and address any systemic issues or barriers to diversity and inclusion.</w:t>
      </w:r>
    </w:p>
    <w:p w14:paraId="502949B4" w14:textId="1ED21983" w:rsidR="00860D3D" w:rsidRDefault="00860D3D" w:rsidP="7BCE4523">
      <w:pPr>
        <w:pStyle w:val="Body"/>
      </w:pPr>
      <w:r>
        <w:t xml:space="preserve">Given our relatively small workforce, SV does not set targets for </w:t>
      </w:r>
      <w:r w:rsidR="22C6DF52">
        <w:t>employ</w:t>
      </w:r>
      <w:r w:rsidR="64751AAB">
        <w:t xml:space="preserve">ing </w:t>
      </w:r>
      <w:r>
        <w:t>people from specific demographic groups. However, it is our philosophy that our workforce should generally reflect the composition of the Victorian labour market and working age population. If SV identifies variances, they will be addressed as part of our Diversity and Inclusion Plan as well as our Gender Equality Action Plan.</w:t>
      </w:r>
      <w:r w:rsidR="0C3780DD">
        <w:t xml:space="preserve">  </w:t>
      </w:r>
    </w:p>
    <w:p w14:paraId="6E893FB9" w14:textId="13631DAB" w:rsidR="0004B464" w:rsidRDefault="0004B464" w:rsidP="7BCE4523">
      <w:pPr>
        <w:pStyle w:val="Body"/>
      </w:pPr>
      <w:r>
        <w:t xml:space="preserve">Over the last 12 months SV has progressed </w:t>
      </w:r>
      <w:proofErr w:type="gramStart"/>
      <w:r>
        <w:t>a number of</w:t>
      </w:r>
      <w:proofErr w:type="gramEnd"/>
      <w:r>
        <w:t xml:space="preserve"> different initiatives to enhance its inclusive culture.  </w:t>
      </w:r>
      <w:r w:rsidR="0C3780DD">
        <w:t xml:space="preserve">The introduction of a new Human Resources Information System </w:t>
      </w:r>
      <w:r w:rsidR="6E3ED5F4">
        <w:t xml:space="preserve">in 2023 now </w:t>
      </w:r>
      <w:r w:rsidR="0C3780DD">
        <w:t xml:space="preserve">provides the opportunity for employees to update their </w:t>
      </w:r>
      <w:r w:rsidR="5A5F0E7F">
        <w:t xml:space="preserve">personal </w:t>
      </w:r>
      <w:r w:rsidR="0C3780DD">
        <w:t>diversity data</w:t>
      </w:r>
      <w:r w:rsidR="0CA0C2F8">
        <w:t>, if they choose to</w:t>
      </w:r>
      <w:r w:rsidR="58C07EC0">
        <w:t xml:space="preserve"> which </w:t>
      </w:r>
      <w:r w:rsidR="34360011">
        <w:t>assist</w:t>
      </w:r>
      <w:r w:rsidR="0811088B">
        <w:t>s</w:t>
      </w:r>
      <w:r w:rsidR="34360011">
        <w:t xml:space="preserve"> in gaining a better understanding of the intersectional diversity within the organisation and better identify other areas of opportunity a</w:t>
      </w:r>
      <w:r w:rsidR="7BEB7606">
        <w:t xml:space="preserve">nd focus for future strategies and measures. The continuation of the ‘Find </w:t>
      </w:r>
      <w:r w:rsidR="7BEB7606">
        <w:lastRenderedPageBreak/>
        <w:t>Your Flex’ policy, Wellbeing days, Me</w:t>
      </w:r>
      <w:r w:rsidR="41DC2213">
        <w:t>nstruation and Menopause Leave, Summer Hours, Family Violence policy and Ways of Working practices</w:t>
      </w:r>
      <w:r w:rsidR="2EE32A1C">
        <w:t xml:space="preserve"> have provided employees with the support and framework to work in an environment that is best suited to their work while balancing individual </w:t>
      </w:r>
      <w:r w:rsidR="06770DDD">
        <w:t>caring and family needs. SV’s recruitment practices have been refreshed to ensure that hiring managers are provided with coaching on unconscious bias</w:t>
      </w:r>
      <w:r w:rsidR="7DF5BA60">
        <w:t>, the need to disclose any conflicts of interest and strictly follow VPS guidelines.</w:t>
      </w:r>
    </w:p>
    <w:p w14:paraId="0316C18D" w14:textId="33994864" w:rsidR="6C850A45" w:rsidRDefault="6C850A45" w:rsidP="7BCE4523">
      <w:pPr>
        <w:pStyle w:val="Body"/>
      </w:pPr>
      <w:r>
        <w:t xml:space="preserve">SV has continued to focus on building its inclusive culture through numerous workshops to increase awareness of the lived experience of people from diverse backgrounds. This has included anti-racism training, LGBTQIA+ allyship workshops and an understanding of neurodivergence.   </w:t>
      </w:r>
    </w:p>
    <w:p w14:paraId="771F1857" w14:textId="0F7E61F1" w:rsidR="00860D3D" w:rsidRPr="0012521E" w:rsidRDefault="6C850A45" w:rsidP="00105389">
      <w:pPr>
        <w:pStyle w:val="Body"/>
      </w:pPr>
      <w:r>
        <w:t>Pleasingly,</w:t>
      </w:r>
      <w:r w:rsidR="52988AD7">
        <w:t xml:space="preserve"> in addition to the</w:t>
      </w:r>
      <w:r w:rsidR="388801EA">
        <w:t>se ini</w:t>
      </w:r>
      <w:r w:rsidR="52988AD7">
        <w:t xml:space="preserve">tiatives, </w:t>
      </w:r>
      <w:r w:rsidR="25DF57C0">
        <w:t>SV</w:t>
      </w:r>
      <w:r w:rsidR="47C5C3B1">
        <w:t>’s</w:t>
      </w:r>
      <w:r w:rsidR="25DF57C0">
        <w:t xml:space="preserve"> </w:t>
      </w:r>
      <w:r w:rsidR="3107436F">
        <w:t>2024 People Matter Survey</w:t>
      </w:r>
      <w:r w:rsidR="70E41D14">
        <w:t xml:space="preserve"> results </w:t>
      </w:r>
      <w:r w:rsidR="1EAECFAC">
        <w:t>relating to workforce</w:t>
      </w:r>
      <w:r w:rsidR="4AC8B6EA">
        <w:t xml:space="preserve"> perceptions on</w:t>
      </w:r>
      <w:r w:rsidR="1EAECFAC">
        <w:t xml:space="preserve"> inclusion</w:t>
      </w:r>
      <w:r w:rsidR="02ED1982">
        <w:t xml:space="preserve"> has demonstrated SV’s results are higher than the average of comparator groups in the Victorian Public sector. </w:t>
      </w:r>
      <w:r w:rsidR="4CB2A370">
        <w:t xml:space="preserve">This has been evidenced through the following results </w:t>
      </w:r>
      <w:r w:rsidR="07238F03">
        <w:t xml:space="preserve">I feel </w:t>
      </w:r>
      <w:r w:rsidR="326A89E1">
        <w:t>cultu</w:t>
      </w:r>
      <w:r w:rsidR="3C434C7B">
        <w:t>r</w:t>
      </w:r>
      <w:r w:rsidR="326A89E1">
        <w:t>ally sa</w:t>
      </w:r>
      <w:r w:rsidR="5A2CB308">
        <w:t>f</w:t>
      </w:r>
      <w:r w:rsidR="326A89E1">
        <w:t>e (94%)</w:t>
      </w:r>
      <w:r w:rsidR="3ADBA3BC">
        <w:t>;</w:t>
      </w:r>
      <w:r w:rsidR="326A89E1">
        <w:t xml:space="preserve"> I can be myself at work (89%)</w:t>
      </w:r>
      <w:r w:rsidR="42BAD96A">
        <w:t>;</w:t>
      </w:r>
      <w:r w:rsidR="326A89E1">
        <w:t xml:space="preserve"> and I feel as </w:t>
      </w:r>
      <w:r w:rsidR="46F4EC49">
        <w:t>i</w:t>
      </w:r>
      <w:r w:rsidR="326A89E1">
        <w:t>f I belong at this organisation (82%)</w:t>
      </w:r>
      <w:r w:rsidR="7F6389A1">
        <w:t>.</w:t>
      </w:r>
    </w:p>
    <w:p w14:paraId="2E20BEB2" w14:textId="13A476D3" w:rsidR="00860D3D" w:rsidRPr="0012521E" w:rsidRDefault="00860D3D" w:rsidP="00105389">
      <w:pPr>
        <w:pStyle w:val="Body"/>
      </w:pPr>
    </w:p>
    <w:p w14:paraId="394075E0" w14:textId="77777777" w:rsidR="00860D3D" w:rsidRPr="0012521E" w:rsidRDefault="00860D3D" w:rsidP="00860D3D">
      <w:pPr>
        <w:pStyle w:val="Heading2"/>
      </w:pPr>
      <w:bookmarkStart w:id="141" w:name="_Ref141114450"/>
      <w:bookmarkStart w:id="142" w:name="_Toc144884448"/>
      <w:bookmarkStart w:id="143" w:name="_Toc166585730"/>
      <w:r w:rsidRPr="0012521E">
        <w:t>Workplace wellbeing, health and safety</w:t>
      </w:r>
      <w:bookmarkEnd w:id="141"/>
      <w:bookmarkEnd w:id="142"/>
      <w:bookmarkEnd w:id="143"/>
    </w:p>
    <w:p w14:paraId="772B1D7C" w14:textId="2E2AB14E" w:rsidR="00860D3D" w:rsidRPr="0012521E" w:rsidRDefault="00860D3D" w:rsidP="00105389">
      <w:pPr>
        <w:pStyle w:val="Body"/>
      </w:pPr>
      <w:r w:rsidRPr="00783C31">
        <w:t xml:space="preserve">Our people are fundamental to our success. </w:t>
      </w:r>
      <w:r w:rsidR="1CE8F51D">
        <w:t xml:space="preserve">Workplace wellbeing, health and safety </w:t>
      </w:r>
      <w:r w:rsidR="3CB93BAD">
        <w:t xml:space="preserve">(WHS) </w:t>
      </w:r>
      <w:r w:rsidR="1CE8F51D">
        <w:t xml:space="preserve">at SV goes beyond compliance requirements and empowers all of SV to embed physical and </w:t>
      </w:r>
      <w:r w:rsidR="0DA0E77D">
        <w:t>psychological</w:t>
      </w:r>
      <w:r w:rsidR="1CE8F51D">
        <w:t xml:space="preserve"> wellbeing in the workp</w:t>
      </w:r>
      <w:r w:rsidR="1F67FDB4">
        <w:t>lace.</w:t>
      </w:r>
      <w:r w:rsidR="6BE1AD8F">
        <w:t xml:space="preserve"> </w:t>
      </w:r>
      <w:r w:rsidR="290D9535">
        <w:t>SV</w:t>
      </w:r>
      <w:r w:rsidR="6416DCA0">
        <w:t>’</w:t>
      </w:r>
      <w:r w:rsidR="290D9535">
        <w:t>s</w:t>
      </w:r>
      <w:r w:rsidR="19C65D2F">
        <w:t xml:space="preserve"> Safety Management System provides the framework for systematically managing hazards and risk that may arise in </w:t>
      </w:r>
      <w:r w:rsidR="00E67109">
        <w:t>the</w:t>
      </w:r>
      <w:r w:rsidR="19C65D2F">
        <w:t xml:space="preserve"> workplace.</w:t>
      </w:r>
    </w:p>
    <w:p w14:paraId="336C302E" w14:textId="00FB9887" w:rsidR="00860D3D" w:rsidRPr="0012521E" w:rsidRDefault="00860D3D" w:rsidP="00105389">
      <w:pPr>
        <w:pStyle w:val="Body"/>
      </w:pPr>
      <w:r w:rsidRPr="0022689C">
        <w:t xml:space="preserve">SV’s Board, </w:t>
      </w:r>
      <w:bookmarkStart w:id="144" w:name="_Int_DL854Vis"/>
      <w:r w:rsidRPr="0022689C">
        <w:t>CEO</w:t>
      </w:r>
      <w:bookmarkEnd w:id="144"/>
      <w:r w:rsidRPr="0022689C">
        <w:t xml:space="preserve">, </w:t>
      </w:r>
      <w:bookmarkStart w:id="145" w:name="_Int_YdIkENLk"/>
      <w:r w:rsidRPr="0022689C">
        <w:t>directors</w:t>
      </w:r>
      <w:bookmarkEnd w:id="145"/>
      <w:r w:rsidRPr="0022689C">
        <w:t xml:space="preserve"> and leaders are committed to modelling and promoting </w:t>
      </w:r>
      <w:r w:rsidR="3C7F517D" w:rsidRPr="0022689C">
        <w:t xml:space="preserve">workplace </w:t>
      </w:r>
      <w:r w:rsidR="016A79C5">
        <w:t>WHS</w:t>
      </w:r>
      <w:r w:rsidR="3C7F517D" w:rsidRPr="0022689C">
        <w:t>.</w:t>
      </w:r>
      <w:r w:rsidRPr="0022689C">
        <w:t xml:space="preserve"> A WHS Strategic Plan was put in place </w:t>
      </w:r>
      <w:r w:rsidR="7C9D3190">
        <w:t xml:space="preserve">in </w:t>
      </w:r>
      <w:r w:rsidR="28B2971D" w:rsidRPr="0022689C" w:rsidDel="007B4783">
        <w:t>202</w:t>
      </w:r>
      <w:r w:rsidR="000F7EF2" w:rsidRPr="0022689C" w:rsidDel="007B4783">
        <w:t>3</w:t>
      </w:r>
      <w:r w:rsidR="007B4783">
        <w:t>–24</w:t>
      </w:r>
      <w:r w:rsidRPr="0022689C">
        <w:t xml:space="preserve"> to understand SV’s safety risks, increase the WHS capability of the leadership group and ensure they have </w:t>
      </w:r>
      <w:r w:rsidR="40A6965B">
        <w:t xml:space="preserve">the </w:t>
      </w:r>
      <w:r w:rsidRPr="0022689C">
        <w:t>tools</w:t>
      </w:r>
      <w:r w:rsidR="22C6DF52">
        <w:t xml:space="preserve"> </w:t>
      </w:r>
      <w:r w:rsidR="1F61A029">
        <w:t>and</w:t>
      </w:r>
      <w:r w:rsidRPr="0022689C">
        <w:t xml:space="preserve"> </w:t>
      </w:r>
      <w:r w:rsidR="1A88117A" w:rsidRPr="0022689C">
        <w:t xml:space="preserve">systems to </w:t>
      </w:r>
      <w:r w:rsidRPr="0022689C">
        <w:t xml:space="preserve">support </w:t>
      </w:r>
      <w:r w:rsidR="1A88117A" w:rsidRPr="0022689C">
        <w:t>the wellbeing of</w:t>
      </w:r>
      <w:r w:rsidRPr="0022689C">
        <w:t xml:space="preserve"> SV employees.</w:t>
      </w:r>
    </w:p>
    <w:p w14:paraId="588124F5" w14:textId="4F172612" w:rsidR="00860D3D" w:rsidRPr="0012521E" w:rsidRDefault="00860D3D" w:rsidP="00105389">
      <w:pPr>
        <w:pStyle w:val="Body"/>
      </w:pPr>
      <w:r>
        <w:t xml:space="preserve">In </w:t>
      </w:r>
      <w:r w:rsidR="6226234B">
        <w:t>202</w:t>
      </w:r>
      <w:r w:rsidR="4E0FFF96">
        <w:t>2</w:t>
      </w:r>
      <w:r w:rsidR="6226234B">
        <w:t>–2</w:t>
      </w:r>
      <w:r w:rsidR="6FE468E8">
        <w:t>3</w:t>
      </w:r>
      <w:r w:rsidR="6226234B">
        <w:t xml:space="preserve">, </w:t>
      </w:r>
      <w:r>
        <w:t xml:space="preserve">SV enhanced its WHS reporting to include WHS lag and lead indicators. </w:t>
      </w:r>
      <w:r w:rsidR="12DF1AAA">
        <w:t>This data provides</w:t>
      </w:r>
      <w:r>
        <w:t xml:space="preserve"> a clearer picture of SV’s safety </w:t>
      </w:r>
      <w:r w:rsidR="47000942">
        <w:t>metrics</w:t>
      </w:r>
      <w:r>
        <w:t xml:space="preserve">, SV is focusing on </w:t>
      </w:r>
      <w:r w:rsidR="2ADDDAFE">
        <w:t xml:space="preserve">removing or </w:t>
      </w:r>
      <w:r>
        <w:t>mi</w:t>
      </w:r>
      <w:r w:rsidR="69136E1A">
        <w:t>tigating</w:t>
      </w:r>
      <w:r>
        <w:t xml:space="preserve"> risks</w:t>
      </w:r>
      <w:r w:rsidR="3596309E">
        <w:t xml:space="preserve"> primarily </w:t>
      </w:r>
      <w:r w:rsidR="5E3A159D">
        <w:t xml:space="preserve">being </w:t>
      </w:r>
      <w:r w:rsidR="3596309E">
        <w:t>identified through proactive</w:t>
      </w:r>
      <w:r w:rsidR="4C42FF05">
        <w:t xml:space="preserve"> measures</w:t>
      </w:r>
      <w:r w:rsidR="7FF78D28">
        <w:t>.</w:t>
      </w:r>
    </w:p>
    <w:p w14:paraId="6D73B972" w14:textId="35A9E847" w:rsidR="00860D3D" w:rsidRPr="0012521E" w:rsidRDefault="00860D3D" w:rsidP="00105389">
      <w:pPr>
        <w:pStyle w:val="Body"/>
      </w:pPr>
      <w:r w:rsidRPr="677294A1">
        <w:t>In 202</w:t>
      </w:r>
      <w:r w:rsidR="7D9373DA" w:rsidRPr="677294A1">
        <w:t>3</w:t>
      </w:r>
      <w:r w:rsidRPr="677294A1">
        <w:t>–2</w:t>
      </w:r>
      <w:r w:rsidR="001B3790" w:rsidRPr="677294A1">
        <w:t>4</w:t>
      </w:r>
      <w:r w:rsidRPr="677294A1">
        <w:t>, SV recorded:</w:t>
      </w:r>
    </w:p>
    <w:p w14:paraId="0B9E4094" w14:textId="461C4EC4" w:rsidR="00860D3D" w:rsidRPr="0012521E" w:rsidRDefault="4228F8A3" w:rsidP="00C356CE">
      <w:pPr>
        <w:pStyle w:val="Body"/>
        <w:numPr>
          <w:ilvl w:val="0"/>
          <w:numId w:val="26"/>
        </w:numPr>
      </w:pPr>
      <w:r>
        <w:t>zero</w:t>
      </w:r>
      <w:r w:rsidR="00860D3D" w:rsidRPr="677294A1">
        <w:t xml:space="preserve"> worker’s injury claim</w:t>
      </w:r>
    </w:p>
    <w:p w14:paraId="51203279" w14:textId="47068C6B" w:rsidR="00860D3D" w:rsidRPr="0012521E" w:rsidRDefault="4CD92EC2" w:rsidP="00C356CE">
      <w:pPr>
        <w:pStyle w:val="Body"/>
        <w:numPr>
          <w:ilvl w:val="0"/>
          <w:numId w:val="26"/>
        </w:numPr>
      </w:pPr>
      <w:r>
        <w:t>zero</w:t>
      </w:r>
      <w:r w:rsidR="00860D3D" w:rsidRPr="677294A1">
        <w:t xml:space="preserve"> formal equal opportunity, bullying or harassment complaint</w:t>
      </w:r>
    </w:p>
    <w:p w14:paraId="5B3D3B73" w14:textId="6145CF31" w:rsidR="00860D3D" w:rsidRPr="0012521E" w:rsidRDefault="3B168845" w:rsidP="00C356CE">
      <w:pPr>
        <w:pStyle w:val="Body"/>
        <w:numPr>
          <w:ilvl w:val="0"/>
          <w:numId w:val="26"/>
        </w:numPr>
      </w:pPr>
      <w:r w:rsidRPr="11420F3B">
        <w:t>zero</w:t>
      </w:r>
      <w:r w:rsidR="00860D3D" w:rsidRPr="00C75D63">
        <w:t xml:space="preserve"> days of lost time due to injuries sustained at work</w:t>
      </w:r>
      <w:r w:rsidR="00860D3D" w:rsidRPr="00274CEF">
        <w:t>.</w:t>
      </w:r>
    </w:p>
    <w:p w14:paraId="571E8F68" w14:textId="67392DD3" w:rsidR="00860D3D" w:rsidRPr="0012521E" w:rsidRDefault="00860D3D" w:rsidP="00105389">
      <w:pPr>
        <w:pStyle w:val="Body"/>
      </w:pPr>
      <w:r w:rsidRPr="677294A1">
        <w:fldChar w:fldCharType="begin"/>
      </w:r>
      <w:r w:rsidRPr="677294A1">
        <w:instrText xml:space="preserve"> REF _Ref107085082 \h </w:instrText>
      </w:r>
      <w:r w:rsidR="0012521E" w:rsidRPr="677294A1">
        <w:instrText xml:space="preserve"> \* MERGEFORMAT </w:instrText>
      </w:r>
      <w:r w:rsidRPr="677294A1">
        <w:fldChar w:fldCharType="separate"/>
      </w:r>
      <w:r w:rsidR="00EB70DF" w:rsidRPr="00EB70DF">
        <w:t>Table 11</w:t>
      </w:r>
      <w:r w:rsidRPr="677294A1">
        <w:fldChar w:fldCharType="end"/>
      </w:r>
      <w:r w:rsidRPr="677294A1">
        <w:t xml:space="preserve"> lists performance against WHS management measures, including new lag and lead indicators.</w:t>
      </w:r>
    </w:p>
    <w:p w14:paraId="4A706072" w14:textId="5F8D349C" w:rsidR="00860D3D" w:rsidRPr="0012521E" w:rsidRDefault="00860D3D" w:rsidP="00860D3D">
      <w:pPr>
        <w:pStyle w:val="Caption"/>
        <w:rPr>
          <w:rFonts w:asciiTheme="majorHAnsi" w:hAnsiTheme="majorHAnsi" w:cstheme="majorHAnsi"/>
        </w:rPr>
      </w:pPr>
      <w:bookmarkStart w:id="146" w:name="_Ref107085082"/>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11</w:t>
      </w:r>
      <w:r w:rsidRPr="0012521E">
        <w:rPr>
          <w:rFonts w:asciiTheme="majorHAnsi" w:hAnsiTheme="majorHAnsi" w:cstheme="majorHAnsi"/>
        </w:rPr>
        <w:fldChar w:fldCharType="end"/>
      </w:r>
      <w:bookmarkEnd w:id="146"/>
      <w:r w:rsidRPr="0012521E">
        <w:rPr>
          <w:rFonts w:asciiTheme="majorHAnsi" w:hAnsiTheme="majorHAnsi" w:cstheme="majorHAnsi"/>
        </w:rPr>
        <w:t>: Performance against WHS management measures from 201</w:t>
      </w:r>
      <w:r w:rsidR="001B3790" w:rsidRPr="0012521E">
        <w:rPr>
          <w:rFonts w:asciiTheme="majorHAnsi" w:hAnsiTheme="majorHAnsi" w:cstheme="majorHAnsi"/>
        </w:rPr>
        <w:t>9</w:t>
      </w:r>
      <w:r w:rsidRPr="0012521E">
        <w:rPr>
          <w:rFonts w:asciiTheme="majorHAnsi" w:hAnsiTheme="majorHAnsi" w:cstheme="majorHAnsi"/>
        </w:rPr>
        <w:t>–</w:t>
      </w:r>
      <w:r w:rsidR="001B3790" w:rsidRPr="0012521E">
        <w:rPr>
          <w:rFonts w:asciiTheme="majorHAnsi" w:hAnsiTheme="majorHAnsi" w:cstheme="majorHAnsi"/>
        </w:rPr>
        <w:t>20</w:t>
      </w:r>
      <w:r w:rsidRPr="0012521E">
        <w:rPr>
          <w:rFonts w:asciiTheme="majorHAnsi" w:hAnsiTheme="majorHAnsi" w:cstheme="majorHAnsi"/>
        </w:rPr>
        <w:t xml:space="preserve"> to 202</w:t>
      </w:r>
      <w:r w:rsidR="001B3790" w:rsidRPr="0012521E">
        <w:rPr>
          <w:rFonts w:asciiTheme="majorHAnsi" w:hAnsiTheme="majorHAnsi" w:cstheme="majorHAnsi"/>
        </w:rPr>
        <w:t>3</w:t>
      </w:r>
      <w:r w:rsidRPr="0012521E">
        <w:rPr>
          <w:rFonts w:asciiTheme="majorHAnsi" w:hAnsiTheme="majorHAnsi" w:cstheme="majorHAnsi"/>
        </w:rPr>
        <w:t>–2</w:t>
      </w:r>
      <w:r w:rsidR="001B3790" w:rsidRPr="0012521E">
        <w:rPr>
          <w:rFonts w:asciiTheme="majorHAnsi" w:hAnsiTheme="majorHAnsi" w:cstheme="majorHAnsi"/>
        </w:rPr>
        <w:t>4</w:t>
      </w:r>
    </w:p>
    <w:tbl>
      <w:tblPr>
        <w:tblStyle w:val="TableGrid10"/>
        <w:tblW w:w="9351" w:type="dxa"/>
        <w:tblLayout w:type="fixed"/>
        <w:tblLook w:val="04A0" w:firstRow="1" w:lastRow="0" w:firstColumn="1" w:lastColumn="0" w:noHBand="0" w:noVBand="1"/>
      </w:tblPr>
      <w:tblGrid>
        <w:gridCol w:w="1590"/>
        <w:gridCol w:w="1425"/>
        <w:gridCol w:w="1232"/>
        <w:gridCol w:w="1275"/>
        <w:gridCol w:w="1275"/>
        <w:gridCol w:w="1350"/>
        <w:gridCol w:w="1204"/>
      </w:tblGrid>
      <w:tr w:rsidR="00860D3D" w:rsidRPr="00C45712" w14:paraId="639D28DB" w14:textId="77777777" w:rsidTr="2499661A">
        <w:trPr>
          <w:trHeight w:val="379"/>
          <w:tblHeader/>
        </w:trPr>
        <w:tc>
          <w:tcPr>
            <w:tcW w:w="1590" w:type="dxa"/>
            <w:shd w:val="clear" w:color="auto" w:fill="D4DFA0" w:themeFill="accent3"/>
            <w:hideMark/>
          </w:tcPr>
          <w:p w14:paraId="5430E32F" w14:textId="77777777" w:rsidR="00860D3D" w:rsidRPr="00C45712" w:rsidRDefault="00860D3D" w:rsidP="00EC78E4">
            <w:pPr>
              <w:pStyle w:val="Tablehead10"/>
              <w:rPr>
                <w:rFonts w:cstheme="majorHAnsi"/>
                <w:color w:val="auto"/>
                <w:sz w:val="20"/>
                <w:szCs w:val="20"/>
              </w:rPr>
            </w:pPr>
            <w:r w:rsidRPr="00C45712">
              <w:rPr>
                <w:rFonts w:cstheme="majorHAnsi"/>
                <w:color w:val="auto"/>
                <w:sz w:val="20"/>
                <w:szCs w:val="20"/>
              </w:rPr>
              <w:t>Measure</w:t>
            </w:r>
          </w:p>
        </w:tc>
        <w:tc>
          <w:tcPr>
            <w:tcW w:w="1425" w:type="dxa"/>
            <w:shd w:val="clear" w:color="auto" w:fill="D4DFA0" w:themeFill="accent3"/>
            <w:hideMark/>
          </w:tcPr>
          <w:p w14:paraId="72885FE2" w14:textId="77777777" w:rsidR="00860D3D" w:rsidRPr="00C45712" w:rsidRDefault="00860D3D" w:rsidP="00EC78E4">
            <w:pPr>
              <w:pStyle w:val="Tablehead10"/>
              <w:rPr>
                <w:rFonts w:cstheme="majorHAnsi"/>
                <w:color w:val="auto"/>
                <w:sz w:val="20"/>
                <w:szCs w:val="20"/>
              </w:rPr>
            </w:pPr>
            <w:r w:rsidRPr="00C45712">
              <w:rPr>
                <w:rFonts w:cstheme="majorHAnsi"/>
                <w:color w:val="auto"/>
                <w:sz w:val="20"/>
                <w:szCs w:val="20"/>
              </w:rPr>
              <w:t>KPI</w:t>
            </w:r>
          </w:p>
        </w:tc>
        <w:tc>
          <w:tcPr>
            <w:tcW w:w="1232" w:type="dxa"/>
            <w:shd w:val="clear" w:color="auto" w:fill="D4DFA0" w:themeFill="accent3"/>
          </w:tcPr>
          <w:p w14:paraId="74D34AD3" w14:textId="752A44D8" w:rsidR="00860D3D" w:rsidRPr="00C45712" w:rsidRDefault="00860D3D" w:rsidP="00EC78E4">
            <w:pPr>
              <w:pStyle w:val="Tablehead10"/>
              <w:rPr>
                <w:rFonts w:cstheme="majorHAnsi"/>
                <w:color w:val="auto"/>
                <w:sz w:val="20"/>
                <w:szCs w:val="20"/>
              </w:rPr>
            </w:pPr>
            <w:r w:rsidRPr="00C45712">
              <w:rPr>
                <w:rFonts w:cstheme="majorHAnsi"/>
                <w:color w:val="auto"/>
                <w:sz w:val="20"/>
                <w:szCs w:val="20"/>
              </w:rPr>
              <w:t>202</w:t>
            </w:r>
            <w:r w:rsidR="001B3790" w:rsidRPr="00C45712">
              <w:rPr>
                <w:rFonts w:cstheme="majorHAnsi"/>
                <w:color w:val="auto"/>
                <w:sz w:val="20"/>
                <w:szCs w:val="20"/>
              </w:rPr>
              <w:t>3</w:t>
            </w:r>
            <w:r w:rsidRPr="00C45712">
              <w:rPr>
                <w:rFonts w:cstheme="majorHAnsi"/>
                <w:color w:val="auto"/>
                <w:sz w:val="20"/>
                <w:szCs w:val="20"/>
              </w:rPr>
              <w:t>–2</w:t>
            </w:r>
            <w:r w:rsidR="001B3790" w:rsidRPr="00C45712">
              <w:rPr>
                <w:rFonts w:cstheme="majorHAnsi"/>
                <w:color w:val="auto"/>
                <w:sz w:val="20"/>
                <w:szCs w:val="20"/>
              </w:rPr>
              <w:t>4</w:t>
            </w:r>
          </w:p>
        </w:tc>
        <w:tc>
          <w:tcPr>
            <w:tcW w:w="1275" w:type="dxa"/>
            <w:shd w:val="clear" w:color="auto" w:fill="D4DFA0" w:themeFill="accent3"/>
          </w:tcPr>
          <w:p w14:paraId="68EA65E1" w14:textId="114F7B76" w:rsidR="00860D3D" w:rsidRPr="00C45712" w:rsidRDefault="00860D3D" w:rsidP="00EC78E4">
            <w:pPr>
              <w:pStyle w:val="Tablehead10"/>
              <w:rPr>
                <w:rFonts w:cstheme="majorHAnsi"/>
                <w:color w:val="auto"/>
                <w:sz w:val="20"/>
                <w:szCs w:val="20"/>
              </w:rPr>
            </w:pPr>
            <w:r w:rsidRPr="00C45712">
              <w:rPr>
                <w:rFonts w:cstheme="majorHAnsi"/>
                <w:color w:val="auto"/>
                <w:sz w:val="20"/>
                <w:szCs w:val="20"/>
              </w:rPr>
              <w:t>202</w:t>
            </w:r>
            <w:r w:rsidR="001B3790" w:rsidRPr="00C45712">
              <w:rPr>
                <w:rFonts w:cstheme="majorHAnsi"/>
                <w:color w:val="auto"/>
                <w:sz w:val="20"/>
                <w:szCs w:val="20"/>
              </w:rPr>
              <w:t>2</w:t>
            </w:r>
            <w:r w:rsidRPr="00C45712">
              <w:rPr>
                <w:rFonts w:cstheme="majorHAnsi"/>
                <w:color w:val="auto"/>
                <w:sz w:val="20"/>
                <w:szCs w:val="20"/>
              </w:rPr>
              <w:t>–2</w:t>
            </w:r>
            <w:r w:rsidR="001B3790" w:rsidRPr="00C45712">
              <w:rPr>
                <w:rFonts w:cstheme="majorHAnsi"/>
                <w:color w:val="auto"/>
                <w:sz w:val="20"/>
                <w:szCs w:val="20"/>
              </w:rPr>
              <w:t>3</w:t>
            </w:r>
          </w:p>
        </w:tc>
        <w:tc>
          <w:tcPr>
            <w:tcW w:w="1275" w:type="dxa"/>
            <w:shd w:val="clear" w:color="auto" w:fill="D4DFA0" w:themeFill="accent3"/>
          </w:tcPr>
          <w:p w14:paraId="035351DE" w14:textId="4A5A5A4A" w:rsidR="00860D3D" w:rsidRPr="00C45712" w:rsidRDefault="00860D3D" w:rsidP="00EC78E4">
            <w:pPr>
              <w:pStyle w:val="Tablehead10"/>
              <w:rPr>
                <w:rFonts w:cstheme="majorHAnsi"/>
                <w:color w:val="auto"/>
                <w:sz w:val="20"/>
                <w:szCs w:val="20"/>
              </w:rPr>
            </w:pPr>
            <w:r w:rsidRPr="00C45712">
              <w:rPr>
                <w:rFonts w:cstheme="majorHAnsi"/>
                <w:color w:val="auto"/>
                <w:sz w:val="20"/>
                <w:szCs w:val="20"/>
              </w:rPr>
              <w:t>202</w:t>
            </w:r>
            <w:r w:rsidR="001B3790" w:rsidRPr="00C45712">
              <w:rPr>
                <w:rFonts w:cstheme="majorHAnsi"/>
                <w:color w:val="auto"/>
                <w:sz w:val="20"/>
                <w:szCs w:val="20"/>
              </w:rPr>
              <w:t>2</w:t>
            </w:r>
            <w:r w:rsidRPr="00C45712">
              <w:rPr>
                <w:rFonts w:cstheme="majorHAnsi"/>
                <w:color w:val="auto"/>
                <w:sz w:val="20"/>
                <w:szCs w:val="20"/>
              </w:rPr>
              <w:t>–2</w:t>
            </w:r>
            <w:r w:rsidR="001B3790" w:rsidRPr="00C45712">
              <w:rPr>
                <w:rFonts w:cstheme="majorHAnsi"/>
                <w:color w:val="auto"/>
                <w:sz w:val="20"/>
                <w:szCs w:val="20"/>
              </w:rPr>
              <w:t>1</w:t>
            </w:r>
          </w:p>
        </w:tc>
        <w:tc>
          <w:tcPr>
            <w:tcW w:w="1350" w:type="dxa"/>
            <w:shd w:val="clear" w:color="auto" w:fill="D4DFA0" w:themeFill="accent3"/>
            <w:noWrap/>
            <w:hideMark/>
          </w:tcPr>
          <w:p w14:paraId="2E785F0E" w14:textId="1132A1EF" w:rsidR="00860D3D" w:rsidRPr="00C45712" w:rsidRDefault="00860D3D" w:rsidP="00EC78E4">
            <w:pPr>
              <w:pStyle w:val="Tablehead10"/>
              <w:rPr>
                <w:rFonts w:cstheme="majorHAnsi"/>
                <w:color w:val="auto"/>
                <w:sz w:val="20"/>
                <w:szCs w:val="20"/>
              </w:rPr>
            </w:pPr>
            <w:r w:rsidRPr="00C45712">
              <w:rPr>
                <w:rFonts w:cstheme="majorHAnsi"/>
                <w:color w:val="auto"/>
                <w:sz w:val="20"/>
                <w:szCs w:val="20"/>
              </w:rPr>
              <w:t>20</w:t>
            </w:r>
            <w:r w:rsidR="001B3790" w:rsidRPr="00C45712">
              <w:rPr>
                <w:rFonts w:cstheme="majorHAnsi"/>
                <w:color w:val="auto"/>
                <w:sz w:val="20"/>
                <w:szCs w:val="20"/>
              </w:rPr>
              <w:t>20</w:t>
            </w:r>
            <w:r w:rsidRPr="00C45712">
              <w:rPr>
                <w:rFonts w:cstheme="majorHAnsi"/>
                <w:color w:val="auto"/>
                <w:sz w:val="20"/>
                <w:szCs w:val="20"/>
              </w:rPr>
              <w:t>–2</w:t>
            </w:r>
            <w:r w:rsidR="001B3790" w:rsidRPr="00C45712">
              <w:rPr>
                <w:rFonts w:cstheme="majorHAnsi"/>
                <w:color w:val="auto"/>
                <w:sz w:val="20"/>
                <w:szCs w:val="20"/>
              </w:rPr>
              <w:t>1</w:t>
            </w:r>
          </w:p>
        </w:tc>
        <w:tc>
          <w:tcPr>
            <w:tcW w:w="1204" w:type="dxa"/>
            <w:shd w:val="clear" w:color="auto" w:fill="D4DFA0" w:themeFill="accent3"/>
            <w:noWrap/>
            <w:hideMark/>
          </w:tcPr>
          <w:p w14:paraId="5AE378C6" w14:textId="278528BC" w:rsidR="00860D3D" w:rsidRPr="00C45712" w:rsidRDefault="00860D3D" w:rsidP="00EC78E4">
            <w:pPr>
              <w:pStyle w:val="Tablehead10"/>
              <w:rPr>
                <w:rFonts w:cstheme="majorHAnsi"/>
                <w:color w:val="auto"/>
                <w:sz w:val="20"/>
                <w:szCs w:val="20"/>
              </w:rPr>
            </w:pPr>
            <w:r w:rsidRPr="00C45712">
              <w:rPr>
                <w:rFonts w:cstheme="majorHAnsi"/>
                <w:color w:val="auto"/>
                <w:sz w:val="20"/>
                <w:szCs w:val="20"/>
              </w:rPr>
              <w:t>20</w:t>
            </w:r>
            <w:r w:rsidR="001B3790" w:rsidRPr="00C45712">
              <w:rPr>
                <w:rFonts w:cstheme="majorHAnsi"/>
                <w:color w:val="auto"/>
                <w:sz w:val="20"/>
                <w:szCs w:val="20"/>
              </w:rPr>
              <w:t>19</w:t>
            </w:r>
            <w:r w:rsidRPr="00C45712">
              <w:rPr>
                <w:rFonts w:cstheme="majorHAnsi"/>
                <w:color w:val="auto"/>
                <w:sz w:val="20"/>
                <w:szCs w:val="20"/>
              </w:rPr>
              <w:t>–</w:t>
            </w:r>
            <w:r w:rsidR="001B3790" w:rsidRPr="00C45712">
              <w:rPr>
                <w:rFonts w:cstheme="majorHAnsi"/>
                <w:color w:val="auto"/>
                <w:sz w:val="20"/>
                <w:szCs w:val="20"/>
              </w:rPr>
              <w:t>20</w:t>
            </w:r>
          </w:p>
        </w:tc>
      </w:tr>
      <w:tr w:rsidR="001B52A5" w:rsidRPr="00C45712" w14:paraId="6F2A8F65" w14:textId="77777777" w:rsidTr="2499661A">
        <w:trPr>
          <w:trHeight w:val="331"/>
        </w:trPr>
        <w:tc>
          <w:tcPr>
            <w:tcW w:w="1590" w:type="dxa"/>
            <w:hideMark/>
          </w:tcPr>
          <w:p w14:paraId="1F354D1A"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t>Incidents</w:t>
            </w:r>
          </w:p>
        </w:tc>
        <w:tc>
          <w:tcPr>
            <w:tcW w:w="1425" w:type="dxa"/>
            <w:hideMark/>
          </w:tcPr>
          <w:p w14:paraId="5ADB955E"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No. of incidents</w:t>
            </w:r>
          </w:p>
        </w:tc>
        <w:tc>
          <w:tcPr>
            <w:tcW w:w="1232" w:type="dxa"/>
          </w:tcPr>
          <w:p w14:paraId="34FE1675" w14:textId="2AEB2D60" w:rsidR="001B52A5" w:rsidRPr="00C45712" w:rsidRDefault="6169B57C" w:rsidP="001B52A5">
            <w:pPr>
              <w:pStyle w:val="Tablerightlarge"/>
              <w:rPr>
                <w:rFonts w:asciiTheme="majorHAnsi" w:hAnsiTheme="majorHAnsi" w:cstheme="majorBidi"/>
                <w:sz w:val="20"/>
                <w:szCs w:val="20"/>
              </w:rPr>
            </w:pPr>
            <w:r w:rsidRPr="51D5D3FE">
              <w:rPr>
                <w:rFonts w:asciiTheme="majorHAnsi" w:hAnsiTheme="majorHAnsi" w:cstheme="majorBidi"/>
                <w:sz w:val="20"/>
                <w:szCs w:val="20"/>
              </w:rPr>
              <w:t>4</w:t>
            </w:r>
          </w:p>
        </w:tc>
        <w:tc>
          <w:tcPr>
            <w:tcW w:w="1275" w:type="dxa"/>
          </w:tcPr>
          <w:p w14:paraId="12B06225" w14:textId="55697723" w:rsidR="001B52A5" w:rsidRPr="00C45712" w:rsidRDefault="001B52A5" w:rsidP="001B52A5">
            <w:pPr>
              <w:pStyle w:val="Tablerightlarge"/>
              <w:rPr>
                <w:rFonts w:asciiTheme="majorHAnsi" w:hAnsiTheme="majorHAnsi" w:cstheme="majorHAnsi"/>
                <w:sz w:val="20"/>
                <w:szCs w:val="20"/>
              </w:rPr>
            </w:pPr>
            <w:r w:rsidRPr="00C45712">
              <w:rPr>
                <w:sz w:val="20"/>
                <w:szCs w:val="20"/>
              </w:rPr>
              <w:t>11</w:t>
            </w:r>
          </w:p>
        </w:tc>
        <w:tc>
          <w:tcPr>
            <w:tcW w:w="1275" w:type="dxa"/>
          </w:tcPr>
          <w:p w14:paraId="13B1DE8A" w14:textId="4A0C6397"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350" w:type="dxa"/>
            <w:noWrap/>
          </w:tcPr>
          <w:p w14:paraId="29B31758" w14:textId="58556495"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204" w:type="dxa"/>
            <w:noWrap/>
          </w:tcPr>
          <w:p w14:paraId="5693622F" w14:textId="5F0081F7" w:rsidR="001B52A5" w:rsidRPr="00C45712" w:rsidRDefault="001B52A5" w:rsidP="001B52A5">
            <w:pPr>
              <w:pStyle w:val="Tablerightlarge"/>
              <w:rPr>
                <w:rFonts w:asciiTheme="majorHAnsi" w:hAnsiTheme="majorHAnsi" w:cstheme="majorHAnsi"/>
                <w:sz w:val="20"/>
                <w:szCs w:val="20"/>
              </w:rPr>
            </w:pPr>
            <w:r w:rsidRPr="00C45712">
              <w:rPr>
                <w:sz w:val="20"/>
                <w:szCs w:val="20"/>
              </w:rPr>
              <w:t>5</w:t>
            </w:r>
          </w:p>
        </w:tc>
      </w:tr>
      <w:tr w:rsidR="001B52A5" w:rsidRPr="00C45712" w14:paraId="0E33016C" w14:textId="77777777" w:rsidTr="2499661A">
        <w:trPr>
          <w:trHeight w:val="245"/>
        </w:trPr>
        <w:tc>
          <w:tcPr>
            <w:tcW w:w="1590" w:type="dxa"/>
            <w:hideMark/>
          </w:tcPr>
          <w:p w14:paraId="4ECC0C3A"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t>Incidents</w:t>
            </w:r>
          </w:p>
        </w:tc>
        <w:tc>
          <w:tcPr>
            <w:tcW w:w="1425" w:type="dxa"/>
            <w:hideMark/>
          </w:tcPr>
          <w:p w14:paraId="04FDF4B3"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Rate per 100 FTE</w:t>
            </w:r>
          </w:p>
        </w:tc>
        <w:tc>
          <w:tcPr>
            <w:tcW w:w="1232" w:type="dxa"/>
          </w:tcPr>
          <w:p w14:paraId="1DA13286" w14:textId="32D0BC3D" w:rsidR="001B52A5" w:rsidRPr="00C45712" w:rsidRDefault="45C2AF82" w:rsidP="001B52A5">
            <w:pPr>
              <w:pStyle w:val="Tablerightlarge"/>
              <w:rPr>
                <w:rFonts w:asciiTheme="majorHAnsi" w:hAnsiTheme="majorHAnsi" w:cstheme="majorBidi"/>
                <w:sz w:val="20"/>
                <w:szCs w:val="20"/>
              </w:rPr>
            </w:pPr>
            <w:r w:rsidRPr="51D5D3FE">
              <w:rPr>
                <w:rFonts w:asciiTheme="majorHAnsi" w:hAnsiTheme="majorHAnsi" w:cstheme="majorBidi"/>
                <w:sz w:val="20"/>
                <w:szCs w:val="20"/>
              </w:rPr>
              <w:t>2.4</w:t>
            </w:r>
          </w:p>
        </w:tc>
        <w:tc>
          <w:tcPr>
            <w:tcW w:w="1275" w:type="dxa"/>
          </w:tcPr>
          <w:p w14:paraId="4C1BFAB2" w14:textId="3186D8C4" w:rsidR="001B52A5" w:rsidRPr="00C45712" w:rsidRDefault="001B52A5" w:rsidP="001B52A5">
            <w:pPr>
              <w:pStyle w:val="Tablerightlarge"/>
              <w:rPr>
                <w:rFonts w:asciiTheme="majorHAnsi" w:hAnsiTheme="majorHAnsi" w:cstheme="majorHAnsi"/>
                <w:sz w:val="20"/>
                <w:szCs w:val="20"/>
              </w:rPr>
            </w:pPr>
            <w:r w:rsidRPr="00C45712">
              <w:rPr>
                <w:sz w:val="20"/>
                <w:szCs w:val="20"/>
              </w:rPr>
              <w:t>5.5</w:t>
            </w:r>
          </w:p>
        </w:tc>
        <w:tc>
          <w:tcPr>
            <w:tcW w:w="1275" w:type="dxa"/>
          </w:tcPr>
          <w:p w14:paraId="686D6B75" w14:textId="1D36B098"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350" w:type="dxa"/>
            <w:noWrap/>
          </w:tcPr>
          <w:p w14:paraId="48C05DD1" w14:textId="56218571"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204" w:type="dxa"/>
            <w:noWrap/>
          </w:tcPr>
          <w:p w14:paraId="16DBED80" w14:textId="5F09322A" w:rsidR="001B52A5" w:rsidRPr="00C45712" w:rsidRDefault="001B52A5" w:rsidP="001B52A5">
            <w:pPr>
              <w:pStyle w:val="Tablerightlarge"/>
              <w:rPr>
                <w:rFonts w:asciiTheme="majorHAnsi" w:hAnsiTheme="majorHAnsi" w:cstheme="majorHAnsi"/>
                <w:sz w:val="20"/>
                <w:szCs w:val="20"/>
              </w:rPr>
            </w:pPr>
            <w:r w:rsidRPr="00C45712">
              <w:rPr>
                <w:sz w:val="20"/>
                <w:szCs w:val="20"/>
              </w:rPr>
              <w:t>4.6</w:t>
            </w:r>
          </w:p>
        </w:tc>
      </w:tr>
      <w:tr w:rsidR="001B52A5" w:rsidRPr="00C45712" w14:paraId="15FCBE6B" w14:textId="77777777" w:rsidTr="2499661A">
        <w:trPr>
          <w:trHeight w:val="757"/>
        </w:trPr>
        <w:tc>
          <w:tcPr>
            <w:tcW w:w="1590" w:type="dxa"/>
            <w:hideMark/>
          </w:tcPr>
          <w:p w14:paraId="55CA4F5E"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t>Incidents</w:t>
            </w:r>
          </w:p>
        </w:tc>
        <w:tc>
          <w:tcPr>
            <w:tcW w:w="1425" w:type="dxa"/>
            <w:hideMark/>
          </w:tcPr>
          <w:p w14:paraId="4D53BFC2"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Average time lost per occurrence (in days)</w:t>
            </w:r>
          </w:p>
        </w:tc>
        <w:tc>
          <w:tcPr>
            <w:tcW w:w="1232" w:type="dxa"/>
          </w:tcPr>
          <w:p w14:paraId="20F063EC" w14:textId="56EA42B7" w:rsidR="001B52A5" w:rsidRPr="00C45712" w:rsidRDefault="1ABF843B"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0</w:t>
            </w:r>
          </w:p>
        </w:tc>
        <w:tc>
          <w:tcPr>
            <w:tcW w:w="1275" w:type="dxa"/>
          </w:tcPr>
          <w:p w14:paraId="41362489" w14:textId="317E2D89" w:rsidR="001B52A5" w:rsidRPr="00E321F0" w:rsidRDefault="001B52A5" w:rsidP="001B52A5">
            <w:pPr>
              <w:pStyle w:val="Tablerightlarge"/>
              <w:rPr>
                <w:rFonts w:asciiTheme="majorHAnsi" w:hAnsiTheme="majorHAnsi" w:cstheme="majorBidi"/>
                <w:sz w:val="20"/>
                <w:szCs w:val="20"/>
              </w:rPr>
            </w:pPr>
            <w:r w:rsidRPr="00C45712">
              <w:rPr>
                <w:sz w:val="20"/>
                <w:szCs w:val="20"/>
              </w:rPr>
              <w:t>2.</w:t>
            </w:r>
            <w:r w:rsidR="00E321F0">
              <w:rPr>
                <w:sz w:val="20"/>
                <w:szCs w:val="20"/>
              </w:rPr>
              <w:t>4</w:t>
            </w:r>
          </w:p>
        </w:tc>
        <w:tc>
          <w:tcPr>
            <w:tcW w:w="1275" w:type="dxa"/>
          </w:tcPr>
          <w:p w14:paraId="55246067" w14:textId="02513978"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350" w:type="dxa"/>
            <w:noWrap/>
          </w:tcPr>
          <w:p w14:paraId="6F9337F1" w14:textId="01165ED4"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204" w:type="dxa"/>
            <w:noWrap/>
          </w:tcPr>
          <w:p w14:paraId="7DD6014C" w14:textId="5240A144"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r>
      <w:tr w:rsidR="001B52A5" w:rsidRPr="00C45712" w14:paraId="6AB8E485" w14:textId="77777777" w:rsidTr="2499661A">
        <w:trPr>
          <w:trHeight w:val="511"/>
        </w:trPr>
        <w:tc>
          <w:tcPr>
            <w:tcW w:w="1590" w:type="dxa"/>
            <w:hideMark/>
          </w:tcPr>
          <w:p w14:paraId="1C21C173"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t>Claims</w:t>
            </w:r>
          </w:p>
        </w:tc>
        <w:tc>
          <w:tcPr>
            <w:tcW w:w="1425" w:type="dxa"/>
            <w:hideMark/>
          </w:tcPr>
          <w:p w14:paraId="5607238E"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Number of standard claims</w:t>
            </w:r>
          </w:p>
        </w:tc>
        <w:tc>
          <w:tcPr>
            <w:tcW w:w="1232" w:type="dxa"/>
          </w:tcPr>
          <w:p w14:paraId="6AEBE310" w14:textId="713BC5FE" w:rsidR="001B52A5" w:rsidRPr="00C45712" w:rsidRDefault="68FD4FC3"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0</w:t>
            </w:r>
          </w:p>
        </w:tc>
        <w:tc>
          <w:tcPr>
            <w:tcW w:w="1275" w:type="dxa"/>
          </w:tcPr>
          <w:p w14:paraId="7672CCE7" w14:textId="14778BA9" w:rsidR="001B52A5" w:rsidRPr="00C45712" w:rsidRDefault="001B52A5" w:rsidP="001B52A5">
            <w:pPr>
              <w:pStyle w:val="Tablerightlarge"/>
              <w:rPr>
                <w:rFonts w:asciiTheme="majorHAnsi" w:hAnsiTheme="majorHAnsi" w:cstheme="majorHAnsi"/>
                <w:sz w:val="20"/>
                <w:szCs w:val="20"/>
              </w:rPr>
            </w:pPr>
            <w:r w:rsidRPr="00C45712">
              <w:rPr>
                <w:sz w:val="20"/>
                <w:szCs w:val="20"/>
              </w:rPr>
              <w:t>1</w:t>
            </w:r>
          </w:p>
        </w:tc>
        <w:tc>
          <w:tcPr>
            <w:tcW w:w="1275" w:type="dxa"/>
          </w:tcPr>
          <w:p w14:paraId="2D2BAFEE" w14:textId="49359096"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350" w:type="dxa"/>
            <w:noWrap/>
          </w:tcPr>
          <w:p w14:paraId="00091A9A" w14:textId="26F89B31"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204" w:type="dxa"/>
            <w:noWrap/>
          </w:tcPr>
          <w:p w14:paraId="784E30F3" w14:textId="2A667255"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r>
      <w:tr w:rsidR="001B52A5" w:rsidRPr="00C45712" w14:paraId="473BD9B1" w14:textId="77777777" w:rsidTr="2499661A">
        <w:trPr>
          <w:trHeight w:val="465"/>
        </w:trPr>
        <w:tc>
          <w:tcPr>
            <w:tcW w:w="1590" w:type="dxa"/>
            <w:hideMark/>
          </w:tcPr>
          <w:p w14:paraId="5223AEBD"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lastRenderedPageBreak/>
              <w:t>Claims</w:t>
            </w:r>
          </w:p>
        </w:tc>
        <w:tc>
          <w:tcPr>
            <w:tcW w:w="1425" w:type="dxa"/>
            <w:hideMark/>
          </w:tcPr>
          <w:p w14:paraId="3DF35C21"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Average cost per claim</w:t>
            </w:r>
          </w:p>
        </w:tc>
        <w:tc>
          <w:tcPr>
            <w:tcW w:w="1232" w:type="dxa"/>
          </w:tcPr>
          <w:p w14:paraId="3C22452A" w14:textId="4508C0F8" w:rsidR="001B52A5" w:rsidRPr="00C45712" w:rsidRDefault="48F805BE"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0</w:t>
            </w:r>
          </w:p>
        </w:tc>
        <w:tc>
          <w:tcPr>
            <w:tcW w:w="1275" w:type="dxa"/>
          </w:tcPr>
          <w:p w14:paraId="09C43AAC" w14:textId="373CDDF4" w:rsidR="001B52A5" w:rsidRPr="00C45712" w:rsidRDefault="001B52A5" w:rsidP="001B52A5">
            <w:pPr>
              <w:pStyle w:val="Tablerightlarge"/>
              <w:rPr>
                <w:rFonts w:asciiTheme="majorHAnsi" w:hAnsiTheme="majorHAnsi" w:cstheme="majorHAnsi"/>
                <w:sz w:val="20"/>
                <w:szCs w:val="20"/>
              </w:rPr>
            </w:pPr>
            <w:r w:rsidRPr="00C45712">
              <w:rPr>
                <w:sz w:val="20"/>
                <w:szCs w:val="20"/>
              </w:rPr>
              <w:t>6,591</w:t>
            </w:r>
          </w:p>
        </w:tc>
        <w:tc>
          <w:tcPr>
            <w:tcW w:w="1275" w:type="dxa"/>
          </w:tcPr>
          <w:p w14:paraId="480B86DD" w14:textId="351BA086"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350" w:type="dxa"/>
            <w:noWrap/>
          </w:tcPr>
          <w:p w14:paraId="7D41B6D4" w14:textId="7FEA0812"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c>
          <w:tcPr>
            <w:tcW w:w="1204" w:type="dxa"/>
            <w:noWrap/>
          </w:tcPr>
          <w:p w14:paraId="5D0FEE75" w14:textId="5044A11C" w:rsidR="001B52A5" w:rsidRPr="00C45712" w:rsidRDefault="001B52A5" w:rsidP="001B52A5">
            <w:pPr>
              <w:pStyle w:val="Tablerightlarge"/>
              <w:rPr>
                <w:rFonts w:asciiTheme="majorHAnsi" w:hAnsiTheme="majorHAnsi" w:cstheme="majorHAnsi"/>
                <w:sz w:val="20"/>
                <w:szCs w:val="20"/>
              </w:rPr>
            </w:pPr>
            <w:r w:rsidRPr="00C45712">
              <w:rPr>
                <w:sz w:val="20"/>
                <w:szCs w:val="20"/>
              </w:rPr>
              <w:t>0</w:t>
            </w:r>
          </w:p>
        </w:tc>
      </w:tr>
      <w:tr w:rsidR="001B52A5" w:rsidRPr="00C45712" w14:paraId="4E583C47" w14:textId="77777777" w:rsidTr="2499661A">
        <w:trPr>
          <w:trHeight w:val="706"/>
        </w:trPr>
        <w:tc>
          <w:tcPr>
            <w:tcW w:w="1590" w:type="dxa"/>
            <w:hideMark/>
          </w:tcPr>
          <w:p w14:paraId="5E1B3750"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t>Management commitment</w:t>
            </w:r>
          </w:p>
        </w:tc>
        <w:tc>
          <w:tcPr>
            <w:tcW w:w="1425" w:type="dxa"/>
            <w:hideMark/>
          </w:tcPr>
          <w:p w14:paraId="5525D400" w14:textId="1A4476CD" w:rsidR="001B52A5" w:rsidRPr="00C45712" w:rsidRDefault="1A8F388D" w:rsidP="035C219E">
            <w:pPr>
              <w:pStyle w:val="TableText"/>
              <w:rPr>
                <w:rFonts w:asciiTheme="majorHAnsi" w:hAnsiTheme="majorHAnsi" w:cstheme="majorHAnsi"/>
                <w:sz w:val="20"/>
                <w:szCs w:val="20"/>
              </w:rPr>
            </w:pPr>
            <w:r w:rsidRPr="00C45712">
              <w:rPr>
                <w:rFonts w:asciiTheme="majorHAnsi" w:hAnsiTheme="majorHAnsi" w:cstheme="majorHAnsi"/>
                <w:sz w:val="20"/>
                <w:szCs w:val="20"/>
              </w:rPr>
              <w:t xml:space="preserve">Evidence of </w:t>
            </w:r>
            <w:r w:rsidR="00E67109">
              <w:rPr>
                <w:rFonts w:asciiTheme="majorHAnsi" w:hAnsiTheme="majorHAnsi" w:cstheme="majorHAnsi"/>
                <w:sz w:val="20"/>
                <w:szCs w:val="20"/>
              </w:rPr>
              <w:t>W</w:t>
            </w:r>
            <w:r w:rsidRPr="00C45712">
              <w:rPr>
                <w:rFonts w:asciiTheme="majorHAnsi" w:hAnsiTheme="majorHAnsi" w:cstheme="majorHAnsi"/>
                <w:sz w:val="20"/>
                <w:szCs w:val="20"/>
              </w:rPr>
              <w:t>HS policy statement</w:t>
            </w:r>
          </w:p>
        </w:tc>
        <w:tc>
          <w:tcPr>
            <w:tcW w:w="1232" w:type="dxa"/>
          </w:tcPr>
          <w:p w14:paraId="2742D8F8" w14:textId="580E885E" w:rsidR="001B52A5" w:rsidRPr="00C45712" w:rsidRDefault="3394C9E6"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Complete</w:t>
            </w:r>
          </w:p>
        </w:tc>
        <w:tc>
          <w:tcPr>
            <w:tcW w:w="1275" w:type="dxa"/>
          </w:tcPr>
          <w:p w14:paraId="4A8A7B2F" w14:textId="73E591B3"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c>
          <w:tcPr>
            <w:tcW w:w="1275" w:type="dxa"/>
          </w:tcPr>
          <w:p w14:paraId="3DA492CA" w14:textId="49137AC2"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c>
          <w:tcPr>
            <w:tcW w:w="1350" w:type="dxa"/>
            <w:noWrap/>
          </w:tcPr>
          <w:p w14:paraId="6DA02B9E" w14:textId="0B5952B3"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c>
          <w:tcPr>
            <w:tcW w:w="1204" w:type="dxa"/>
            <w:noWrap/>
          </w:tcPr>
          <w:p w14:paraId="34B63D3E" w14:textId="7CC657EB"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r>
      <w:tr w:rsidR="001B52A5" w:rsidRPr="00C45712" w14:paraId="2A7519E1" w14:textId="77777777" w:rsidTr="2499661A">
        <w:trPr>
          <w:trHeight w:val="1429"/>
        </w:trPr>
        <w:tc>
          <w:tcPr>
            <w:tcW w:w="1590" w:type="dxa"/>
            <w:hideMark/>
          </w:tcPr>
          <w:p w14:paraId="2A0D57F2"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t>Management commitment</w:t>
            </w:r>
          </w:p>
        </w:tc>
        <w:tc>
          <w:tcPr>
            <w:tcW w:w="1425" w:type="dxa"/>
            <w:hideMark/>
          </w:tcPr>
          <w:p w14:paraId="5CF3A4D2"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OHS objectives, regular reporting to senior management of OHS and OHS plans</w:t>
            </w:r>
          </w:p>
        </w:tc>
        <w:tc>
          <w:tcPr>
            <w:tcW w:w="1232" w:type="dxa"/>
          </w:tcPr>
          <w:p w14:paraId="0A06F830" w14:textId="2E4A2024" w:rsidR="001B52A5" w:rsidRPr="00C45712" w:rsidRDefault="6B6DF558"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Complete</w:t>
            </w:r>
          </w:p>
        </w:tc>
        <w:tc>
          <w:tcPr>
            <w:tcW w:w="1275" w:type="dxa"/>
          </w:tcPr>
          <w:p w14:paraId="486C127E" w14:textId="6027C9BB"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c>
          <w:tcPr>
            <w:tcW w:w="1275" w:type="dxa"/>
          </w:tcPr>
          <w:p w14:paraId="750E496E" w14:textId="7172F268"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c>
          <w:tcPr>
            <w:tcW w:w="1350" w:type="dxa"/>
            <w:noWrap/>
          </w:tcPr>
          <w:p w14:paraId="4024031D" w14:textId="61CA7A10"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c>
          <w:tcPr>
            <w:tcW w:w="1204" w:type="dxa"/>
            <w:noWrap/>
          </w:tcPr>
          <w:p w14:paraId="409836A4" w14:textId="2FB9A270" w:rsidR="001B52A5" w:rsidRPr="00C45712" w:rsidRDefault="001B52A5" w:rsidP="001B52A5">
            <w:pPr>
              <w:pStyle w:val="Tablerightlarge"/>
              <w:rPr>
                <w:rFonts w:asciiTheme="majorHAnsi" w:hAnsiTheme="majorHAnsi" w:cstheme="majorHAnsi"/>
                <w:sz w:val="20"/>
                <w:szCs w:val="20"/>
              </w:rPr>
            </w:pPr>
            <w:r w:rsidRPr="00C45712">
              <w:rPr>
                <w:sz w:val="20"/>
                <w:szCs w:val="20"/>
              </w:rPr>
              <w:t>Complete</w:t>
            </w:r>
          </w:p>
        </w:tc>
      </w:tr>
      <w:tr w:rsidR="001B52A5" w:rsidRPr="00C45712" w14:paraId="2E8579B3" w14:textId="77777777" w:rsidTr="2499661A">
        <w:trPr>
          <w:trHeight w:val="702"/>
        </w:trPr>
        <w:tc>
          <w:tcPr>
            <w:tcW w:w="1590" w:type="dxa"/>
            <w:hideMark/>
          </w:tcPr>
          <w:p w14:paraId="696EA095" w14:textId="77777777" w:rsidR="001B52A5" w:rsidRPr="00C45712" w:rsidRDefault="001B52A5" w:rsidP="001B52A5">
            <w:pPr>
              <w:pStyle w:val="Tabletext0"/>
              <w:rPr>
                <w:rFonts w:asciiTheme="majorHAnsi" w:hAnsiTheme="majorHAnsi" w:cstheme="majorHAnsi"/>
                <w:color w:val="auto"/>
                <w:sz w:val="20"/>
                <w:szCs w:val="20"/>
              </w:rPr>
            </w:pPr>
            <w:r w:rsidRPr="00C45712">
              <w:rPr>
                <w:rFonts w:asciiTheme="majorHAnsi" w:hAnsiTheme="majorHAnsi" w:cstheme="majorHAnsi"/>
                <w:color w:val="auto"/>
                <w:sz w:val="20"/>
                <w:szCs w:val="20"/>
              </w:rPr>
              <w:t>Risk management</w:t>
            </w:r>
          </w:p>
        </w:tc>
        <w:tc>
          <w:tcPr>
            <w:tcW w:w="1425" w:type="dxa"/>
            <w:hideMark/>
          </w:tcPr>
          <w:p w14:paraId="541357C8"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Per cent of internal audits/inspections conducted as planned</w:t>
            </w:r>
          </w:p>
        </w:tc>
        <w:tc>
          <w:tcPr>
            <w:tcW w:w="1232" w:type="dxa"/>
          </w:tcPr>
          <w:p w14:paraId="051B83D4" w14:textId="36C62752" w:rsidR="001B52A5" w:rsidRPr="00C45712" w:rsidRDefault="33F5E457"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100%</w:t>
            </w:r>
          </w:p>
        </w:tc>
        <w:tc>
          <w:tcPr>
            <w:tcW w:w="1275" w:type="dxa"/>
          </w:tcPr>
          <w:p w14:paraId="0B9D0C46" w14:textId="7F99685E" w:rsidR="001B52A5" w:rsidRPr="00C45712" w:rsidRDefault="001B52A5" w:rsidP="001B52A5">
            <w:pPr>
              <w:pStyle w:val="Tablerightlarge"/>
              <w:rPr>
                <w:rFonts w:asciiTheme="majorHAnsi" w:hAnsiTheme="majorHAnsi" w:cstheme="majorHAnsi"/>
                <w:sz w:val="20"/>
                <w:szCs w:val="20"/>
              </w:rPr>
            </w:pPr>
            <w:r w:rsidRPr="00C45712">
              <w:rPr>
                <w:sz w:val="20"/>
                <w:szCs w:val="20"/>
              </w:rPr>
              <w:t>100%</w:t>
            </w:r>
          </w:p>
        </w:tc>
        <w:tc>
          <w:tcPr>
            <w:tcW w:w="1275" w:type="dxa"/>
          </w:tcPr>
          <w:p w14:paraId="22EC8C02" w14:textId="3B45DB81" w:rsidR="001B52A5" w:rsidRPr="00C45712" w:rsidRDefault="001B52A5" w:rsidP="001B52A5">
            <w:pPr>
              <w:pStyle w:val="Tablerightlarge"/>
              <w:rPr>
                <w:rFonts w:asciiTheme="majorHAnsi" w:hAnsiTheme="majorHAnsi" w:cstheme="majorHAnsi"/>
                <w:sz w:val="20"/>
                <w:szCs w:val="20"/>
              </w:rPr>
            </w:pPr>
            <w:r w:rsidRPr="00C45712">
              <w:rPr>
                <w:sz w:val="20"/>
                <w:szCs w:val="20"/>
              </w:rPr>
              <w:t>25%*</w:t>
            </w:r>
          </w:p>
        </w:tc>
        <w:tc>
          <w:tcPr>
            <w:tcW w:w="1350" w:type="dxa"/>
            <w:noWrap/>
          </w:tcPr>
          <w:p w14:paraId="67C3F381" w14:textId="0202B95C" w:rsidR="001B52A5" w:rsidRPr="00C45712" w:rsidRDefault="001B52A5" w:rsidP="001B52A5">
            <w:pPr>
              <w:pStyle w:val="Tablerightlarge"/>
              <w:rPr>
                <w:rFonts w:asciiTheme="majorHAnsi" w:hAnsiTheme="majorHAnsi" w:cstheme="majorHAnsi"/>
                <w:sz w:val="20"/>
                <w:szCs w:val="20"/>
              </w:rPr>
            </w:pPr>
            <w:r w:rsidRPr="00C45712">
              <w:rPr>
                <w:sz w:val="20"/>
                <w:szCs w:val="20"/>
              </w:rPr>
              <w:t>33%*</w:t>
            </w:r>
          </w:p>
        </w:tc>
        <w:tc>
          <w:tcPr>
            <w:tcW w:w="1204" w:type="dxa"/>
            <w:noWrap/>
          </w:tcPr>
          <w:p w14:paraId="63618057" w14:textId="3D8DBB90" w:rsidR="001B52A5" w:rsidRPr="00C45712" w:rsidRDefault="001B52A5" w:rsidP="001B52A5">
            <w:pPr>
              <w:pStyle w:val="Tablerightlarge"/>
              <w:rPr>
                <w:rFonts w:asciiTheme="majorHAnsi" w:hAnsiTheme="majorHAnsi" w:cstheme="majorHAnsi"/>
                <w:sz w:val="20"/>
                <w:szCs w:val="20"/>
              </w:rPr>
            </w:pPr>
            <w:r w:rsidRPr="00C45712">
              <w:rPr>
                <w:sz w:val="20"/>
                <w:szCs w:val="20"/>
              </w:rPr>
              <w:t>100%</w:t>
            </w:r>
          </w:p>
        </w:tc>
      </w:tr>
      <w:tr w:rsidR="001B52A5" w:rsidRPr="00C45712" w14:paraId="4C3EA051" w14:textId="77777777" w:rsidTr="2499661A">
        <w:trPr>
          <w:trHeight w:val="571"/>
        </w:trPr>
        <w:tc>
          <w:tcPr>
            <w:tcW w:w="1590" w:type="dxa"/>
          </w:tcPr>
          <w:p w14:paraId="519A97AD" w14:textId="372D0DE8" w:rsidR="001B52A5" w:rsidRPr="00C45712" w:rsidRDefault="001B52A5" w:rsidP="001B52A5">
            <w:pPr>
              <w:pStyle w:val="Tabletext0"/>
              <w:rPr>
                <w:rFonts w:asciiTheme="majorHAnsi" w:hAnsiTheme="majorHAnsi" w:cstheme="majorBidi"/>
                <w:b/>
                <w:color w:val="auto"/>
                <w:sz w:val="20"/>
                <w:szCs w:val="20"/>
              </w:rPr>
            </w:pPr>
            <w:r w:rsidRPr="00C45712">
              <w:rPr>
                <w:rFonts w:asciiTheme="majorHAnsi" w:hAnsiTheme="majorHAnsi" w:cstheme="majorBidi"/>
                <w:color w:val="auto"/>
                <w:sz w:val="20"/>
                <w:szCs w:val="20"/>
              </w:rPr>
              <w:t>Lead indicator</w:t>
            </w:r>
          </w:p>
          <w:p w14:paraId="32B9A4E9" w14:textId="77777777" w:rsidR="001B52A5" w:rsidRPr="00C45712" w:rsidRDefault="001B52A5" w:rsidP="001B52A5">
            <w:pPr>
              <w:pStyle w:val="Tabletext0"/>
              <w:rPr>
                <w:rFonts w:asciiTheme="majorHAnsi" w:hAnsiTheme="majorHAnsi" w:cstheme="majorHAnsi"/>
                <w:color w:val="auto"/>
                <w:sz w:val="20"/>
                <w:szCs w:val="20"/>
              </w:rPr>
            </w:pPr>
          </w:p>
        </w:tc>
        <w:tc>
          <w:tcPr>
            <w:tcW w:w="1425" w:type="dxa"/>
          </w:tcPr>
          <w:p w14:paraId="16F8490D"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No. of WHS inductions</w:t>
            </w:r>
          </w:p>
        </w:tc>
        <w:tc>
          <w:tcPr>
            <w:tcW w:w="1232" w:type="dxa"/>
          </w:tcPr>
          <w:p w14:paraId="4E17395C" w14:textId="35A0F5E0" w:rsidR="001B52A5" w:rsidRPr="00C45712" w:rsidRDefault="5C475076"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26</w:t>
            </w:r>
            <w:r w:rsidR="0B76F66D" w:rsidRPr="00C45712">
              <w:rPr>
                <w:rFonts w:asciiTheme="majorHAnsi" w:hAnsiTheme="majorHAnsi" w:cstheme="majorBidi"/>
                <w:sz w:val="20"/>
                <w:szCs w:val="20"/>
              </w:rPr>
              <w:t xml:space="preserve"> </w:t>
            </w:r>
          </w:p>
        </w:tc>
        <w:tc>
          <w:tcPr>
            <w:tcW w:w="1275" w:type="dxa"/>
          </w:tcPr>
          <w:p w14:paraId="6C005CC1" w14:textId="10817B5D" w:rsidR="001B52A5" w:rsidRPr="00C45712" w:rsidRDefault="001B52A5" w:rsidP="001B52A5">
            <w:pPr>
              <w:pStyle w:val="Tablerightlarge"/>
              <w:rPr>
                <w:rFonts w:asciiTheme="majorHAnsi" w:hAnsiTheme="majorHAnsi" w:cstheme="majorHAnsi"/>
                <w:sz w:val="20"/>
                <w:szCs w:val="20"/>
              </w:rPr>
            </w:pPr>
            <w:r w:rsidRPr="00C45712">
              <w:rPr>
                <w:sz w:val="20"/>
                <w:szCs w:val="20"/>
              </w:rPr>
              <w:t>27</w:t>
            </w:r>
          </w:p>
        </w:tc>
        <w:tc>
          <w:tcPr>
            <w:tcW w:w="1275" w:type="dxa"/>
          </w:tcPr>
          <w:p w14:paraId="64F34C40" w14:textId="38D3A402"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64C12211" w14:textId="1B435011"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6044D8D0" w14:textId="01013CA8"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060FD7FE" w14:textId="77777777" w:rsidTr="2499661A">
        <w:trPr>
          <w:trHeight w:val="250"/>
        </w:trPr>
        <w:tc>
          <w:tcPr>
            <w:tcW w:w="1590" w:type="dxa"/>
          </w:tcPr>
          <w:p w14:paraId="19992DD4" w14:textId="2D4AB5AD" w:rsidR="001B52A5" w:rsidRPr="00C45712" w:rsidRDefault="001B52A5" w:rsidP="001B52A5">
            <w:pPr>
              <w:pStyle w:val="Tabletext0"/>
              <w:rPr>
                <w:rFonts w:asciiTheme="majorHAnsi" w:hAnsiTheme="majorHAnsi" w:cstheme="majorBidi"/>
                <w:color w:val="auto"/>
                <w:sz w:val="20"/>
                <w:szCs w:val="20"/>
              </w:rPr>
            </w:pPr>
            <w:r w:rsidRPr="00C45712">
              <w:rPr>
                <w:rFonts w:asciiTheme="majorHAnsi" w:hAnsiTheme="majorHAnsi" w:cstheme="majorBidi"/>
                <w:color w:val="auto"/>
                <w:sz w:val="20"/>
                <w:szCs w:val="20"/>
              </w:rPr>
              <w:t xml:space="preserve">Lead indicator </w:t>
            </w:r>
          </w:p>
        </w:tc>
        <w:tc>
          <w:tcPr>
            <w:tcW w:w="1425" w:type="dxa"/>
          </w:tcPr>
          <w:p w14:paraId="247FCECC"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Hazards reported</w:t>
            </w:r>
          </w:p>
        </w:tc>
        <w:tc>
          <w:tcPr>
            <w:tcW w:w="1232" w:type="dxa"/>
          </w:tcPr>
          <w:p w14:paraId="562D251A" w14:textId="24CBBC35" w:rsidR="001B52A5" w:rsidRPr="00C45712" w:rsidRDefault="00B471A4" w:rsidP="001B52A5">
            <w:pPr>
              <w:pStyle w:val="Tablerightlarge"/>
              <w:rPr>
                <w:rFonts w:asciiTheme="majorHAnsi" w:hAnsiTheme="majorHAnsi" w:cstheme="majorBidi"/>
                <w:sz w:val="20"/>
                <w:szCs w:val="20"/>
              </w:rPr>
            </w:pPr>
            <w:r>
              <w:rPr>
                <w:rFonts w:asciiTheme="majorHAnsi" w:hAnsiTheme="majorHAnsi" w:cstheme="majorBidi"/>
                <w:sz w:val="20"/>
                <w:szCs w:val="20"/>
              </w:rPr>
              <w:t>16</w:t>
            </w:r>
          </w:p>
        </w:tc>
        <w:tc>
          <w:tcPr>
            <w:tcW w:w="1275" w:type="dxa"/>
          </w:tcPr>
          <w:p w14:paraId="1CF52ABE" w14:textId="0F9A6970" w:rsidR="001B52A5" w:rsidRPr="00C45712" w:rsidRDefault="001B52A5" w:rsidP="001B52A5">
            <w:pPr>
              <w:pStyle w:val="Tablerightlarge"/>
              <w:rPr>
                <w:rFonts w:asciiTheme="majorHAnsi" w:hAnsiTheme="majorHAnsi" w:cstheme="majorHAnsi"/>
                <w:sz w:val="20"/>
                <w:szCs w:val="20"/>
              </w:rPr>
            </w:pPr>
            <w:r w:rsidRPr="00C45712">
              <w:rPr>
                <w:sz w:val="20"/>
                <w:szCs w:val="20"/>
              </w:rPr>
              <w:t>5</w:t>
            </w:r>
          </w:p>
        </w:tc>
        <w:tc>
          <w:tcPr>
            <w:tcW w:w="1275" w:type="dxa"/>
          </w:tcPr>
          <w:p w14:paraId="04757BC4" w14:textId="6C5CF524"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2A19BF48" w14:textId="2CB5C913"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38CC0606" w14:textId="091B8036"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0EF0C529" w14:textId="77777777" w:rsidTr="2499661A">
        <w:trPr>
          <w:trHeight w:val="747"/>
        </w:trPr>
        <w:tc>
          <w:tcPr>
            <w:tcW w:w="1590" w:type="dxa"/>
          </w:tcPr>
          <w:p w14:paraId="28DDED83" w14:textId="0BF1E93C" w:rsidR="001B52A5" w:rsidRPr="00C45712" w:rsidRDefault="001B52A5" w:rsidP="001B52A5">
            <w:pPr>
              <w:pStyle w:val="Tabletext0"/>
              <w:rPr>
                <w:rFonts w:asciiTheme="majorHAnsi" w:hAnsiTheme="majorHAnsi" w:cstheme="majorBidi"/>
                <w:color w:val="auto"/>
                <w:sz w:val="20"/>
                <w:szCs w:val="20"/>
              </w:rPr>
            </w:pPr>
            <w:r w:rsidRPr="00C45712">
              <w:rPr>
                <w:rFonts w:asciiTheme="majorHAnsi" w:hAnsiTheme="majorHAnsi" w:cstheme="majorBidi"/>
                <w:color w:val="auto"/>
                <w:sz w:val="20"/>
                <w:szCs w:val="20"/>
              </w:rPr>
              <w:t xml:space="preserve">Lead indicator </w:t>
            </w:r>
          </w:p>
        </w:tc>
        <w:tc>
          <w:tcPr>
            <w:tcW w:w="1425" w:type="dxa"/>
          </w:tcPr>
          <w:p w14:paraId="64ED83F1"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Job Safety Analysis’ completed</w:t>
            </w:r>
          </w:p>
        </w:tc>
        <w:tc>
          <w:tcPr>
            <w:tcW w:w="1232" w:type="dxa"/>
          </w:tcPr>
          <w:p w14:paraId="06EBAE17" w14:textId="3DB6FAA4" w:rsidR="001B52A5" w:rsidRPr="00C45712" w:rsidRDefault="00392E10" w:rsidP="001B52A5">
            <w:pPr>
              <w:pStyle w:val="Tablerightlarge"/>
              <w:rPr>
                <w:rFonts w:asciiTheme="majorHAnsi" w:hAnsiTheme="majorHAnsi" w:cstheme="majorBidi"/>
                <w:sz w:val="20"/>
                <w:szCs w:val="20"/>
              </w:rPr>
            </w:pPr>
            <w:r>
              <w:rPr>
                <w:rFonts w:asciiTheme="majorHAnsi" w:hAnsiTheme="majorHAnsi" w:cstheme="majorBidi"/>
                <w:sz w:val="20"/>
                <w:szCs w:val="20"/>
              </w:rPr>
              <w:t>4</w:t>
            </w:r>
          </w:p>
        </w:tc>
        <w:tc>
          <w:tcPr>
            <w:tcW w:w="1275" w:type="dxa"/>
          </w:tcPr>
          <w:p w14:paraId="1A824D4C" w14:textId="7BE608BE" w:rsidR="001B52A5" w:rsidRPr="00C45712" w:rsidRDefault="001B52A5" w:rsidP="001B52A5">
            <w:pPr>
              <w:pStyle w:val="Tablerightlarge"/>
              <w:rPr>
                <w:rFonts w:asciiTheme="majorHAnsi" w:hAnsiTheme="majorHAnsi" w:cstheme="majorHAnsi"/>
                <w:sz w:val="20"/>
                <w:szCs w:val="20"/>
              </w:rPr>
            </w:pPr>
            <w:r w:rsidRPr="00C45712">
              <w:rPr>
                <w:sz w:val="20"/>
                <w:szCs w:val="20"/>
              </w:rPr>
              <w:t>7</w:t>
            </w:r>
          </w:p>
        </w:tc>
        <w:tc>
          <w:tcPr>
            <w:tcW w:w="1275" w:type="dxa"/>
          </w:tcPr>
          <w:p w14:paraId="13DC2525" w14:textId="317BE408"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7F89A952" w14:textId="6E5322D9"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5F31A76C" w14:textId="15F51937"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0900067C" w14:textId="77777777" w:rsidTr="2499661A">
        <w:trPr>
          <w:trHeight w:val="964"/>
        </w:trPr>
        <w:tc>
          <w:tcPr>
            <w:tcW w:w="1590" w:type="dxa"/>
          </w:tcPr>
          <w:p w14:paraId="45C87116" w14:textId="3C04F915" w:rsidR="001B52A5" w:rsidRPr="00C45712" w:rsidRDefault="001B52A5" w:rsidP="001B52A5">
            <w:pPr>
              <w:pStyle w:val="Tabletext0"/>
              <w:rPr>
                <w:rFonts w:asciiTheme="majorHAnsi" w:hAnsiTheme="majorHAnsi" w:cstheme="majorBidi"/>
                <w:color w:val="auto"/>
                <w:sz w:val="20"/>
                <w:szCs w:val="20"/>
              </w:rPr>
            </w:pPr>
            <w:r w:rsidRPr="00C45712">
              <w:rPr>
                <w:rFonts w:asciiTheme="majorHAnsi" w:hAnsiTheme="majorHAnsi" w:cstheme="majorBidi"/>
                <w:color w:val="auto"/>
                <w:sz w:val="20"/>
                <w:szCs w:val="20"/>
              </w:rPr>
              <w:t xml:space="preserve">Lead indicator </w:t>
            </w:r>
          </w:p>
        </w:tc>
        <w:tc>
          <w:tcPr>
            <w:tcW w:w="1425" w:type="dxa"/>
          </w:tcPr>
          <w:p w14:paraId="35A745DD"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Work from home workstation recommendations (Ergonomics)</w:t>
            </w:r>
          </w:p>
        </w:tc>
        <w:tc>
          <w:tcPr>
            <w:tcW w:w="1232" w:type="dxa"/>
          </w:tcPr>
          <w:p w14:paraId="6D300633" w14:textId="3625EE9D" w:rsidR="001B52A5" w:rsidRPr="00C45712" w:rsidRDefault="7B9CEED9"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46</w:t>
            </w:r>
          </w:p>
        </w:tc>
        <w:tc>
          <w:tcPr>
            <w:tcW w:w="1275" w:type="dxa"/>
          </w:tcPr>
          <w:p w14:paraId="666AC757" w14:textId="65AD64F1" w:rsidR="001B52A5" w:rsidRPr="00C45712" w:rsidRDefault="001B52A5" w:rsidP="001B52A5">
            <w:pPr>
              <w:pStyle w:val="Tablerightlarge"/>
              <w:rPr>
                <w:rFonts w:asciiTheme="majorHAnsi" w:hAnsiTheme="majorHAnsi" w:cstheme="majorHAnsi"/>
                <w:sz w:val="20"/>
                <w:szCs w:val="20"/>
              </w:rPr>
            </w:pPr>
            <w:r w:rsidRPr="00C45712">
              <w:rPr>
                <w:sz w:val="20"/>
                <w:szCs w:val="20"/>
              </w:rPr>
              <w:t>13</w:t>
            </w:r>
          </w:p>
        </w:tc>
        <w:tc>
          <w:tcPr>
            <w:tcW w:w="1275" w:type="dxa"/>
          </w:tcPr>
          <w:p w14:paraId="296E3557" w14:textId="364778D3"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04011131" w14:textId="7F1FB42E"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37FD3C53" w14:textId="6AD5F60F"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5DD71917" w14:textId="77777777" w:rsidTr="2499661A">
        <w:trPr>
          <w:trHeight w:val="946"/>
        </w:trPr>
        <w:tc>
          <w:tcPr>
            <w:tcW w:w="1590" w:type="dxa"/>
          </w:tcPr>
          <w:p w14:paraId="61057DB7" w14:textId="4F52C5CC" w:rsidR="001B52A5" w:rsidRPr="00C45712" w:rsidRDefault="001B52A5" w:rsidP="001B52A5">
            <w:pPr>
              <w:pStyle w:val="Tabletext0"/>
              <w:rPr>
                <w:rFonts w:asciiTheme="majorHAnsi" w:hAnsiTheme="majorHAnsi" w:cstheme="majorBidi"/>
                <w:color w:val="auto"/>
                <w:sz w:val="20"/>
                <w:szCs w:val="20"/>
              </w:rPr>
            </w:pPr>
            <w:r w:rsidRPr="00C45712">
              <w:rPr>
                <w:rFonts w:asciiTheme="majorHAnsi" w:hAnsiTheme="majorHAnsi" w:cstheme="majorBidi"/>
                <w:color w:val="auto"/>
                <w:sz w:val="20"/>
                <w:szCs w:val="20"/>
              </w:rPr>
              <w:t xml:space="preserve">Lead indicator </w:t>
            </w:r>
          </w:p>
        </w:tc>
        <w:tc>
          <w:tcPr>
            <w:tcW w:w="1425" w:type="dxa"/>
          </w:tcPr>
          <w:p w14:paraId="2AB4B7F0"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Work from home workstation assessments completed</w:t>
            </w:r>
          </w:p>
        </w:tc>
        <w:tc>
          <w:tcPr>
            <w:tcW w:w="1232" w:type="dxa"/>
          </w:tcPr>
          <w:p w14:paraId="72013F96" w14:textId="08F93393" w:rsidR="001B52A5" w:rsidRPr="00C45712" w:rsidRDefault="00E5543C" w:rsidP="001B52A5">
            <w:pPr>
              <w:pStyle w:val="Tablerightlarge"/>
              <w:rPr>
                <w:rFonts w:asciiTheme="majorHAnsi" w:hAnsiTheme="majorHAnsi" w:cstheme="majorBidi"/>
                <w:sz w:val="20"/>
                <w:szCs w:val="20"/>
              </w:rPr>
            </w:pPr>
            <w:r>
              <w:rPr>
                <w:rFonts w:asciiTheme="majorHAnsi" w:hAnsiTheme="majorHAnsi" w:cstheme="majorBidi"/>
                <w:sz w:val="20"/>
                <w:szCs w:val="20"/>
              </w:rPr>
              <w:t>86</w:t>
            </w:r>
          </w:p>
        </w:tc>
        <w:tc>
          <w:tcPr>
            <w:tcW w:w="1275" w:type="dxa"/>
          </w:tcPr>
          <w:p w14:paraId="34F14FAF" w14:textId="158EE274" w:rsidR="001B52A5" w:rsidRPr="00C45712" w:rsidRDefault="001B52A5" w:rsidP="001B52A5">
            <w:pPr>
              <w:pStyle w:val="Tablerightlarge"/>
              <w:rPr>
                <w:rFonts w:asciiTheme="majorHAnsi" w:hAnsiTheme="majorHAnsi" w:cstheme="majorHAnsi"/>
                <w:sz w:val="20"/>
                <w:szCs w:val="20"/>
              </w:rPr>
            </w:pPr>
            <w:r w:rsidRPr="00C45712">
              <w:rPr>
                <w:sz w:val="20"/>
                <w:szCs w:val="20"/>
              </w:rPr>
              <w:t>145</w:t>
            </w:r>
          </w:p>
        </w:tc>
        <w:tc>
          <w:tcPr>
            <w:tcW w:w="1275" w:type="dxa"/>
          </w:tcPr>
          <w:p w14:paraId="288ABF86" w14:textId="7464B021"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6DE22E13" w14:textId="1FEE4CBB"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190E8A29" w14:textId="3A0BFDE0"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738F1A04" w14:textId="77777777" w:rsidTr="2499661A">
        <w:trPr>
          <w:trHeight w:val="642"/>
        </w:trPr>
        <w:tc>
          <w:tcPr>
            <w:tcW w:w="1590" w:type="dxa"/>
          </w:tcPr>
          <w:p w14:paraId="1FEA6B2A" w14:textId="25D4692E" w:rsidR="001B52A5" w:rsidRPr="00C45712" w:rsidRDefault="001B52A5" w:rsidP="001B52A5">
            <w:pPr>
              <w:pStyle w:val="Tabletext0"/>
              <w:rPr>
                <w:rFonts w:asciiTheme="majorHAnsi" w:hAnsiTheme="majorHAnsi" w:cstheme="majorBidi"/>
                <w:color w:val="auto"/>
                <w:sz w:val="20"/>
                <w:szCs w:val="20"/>
              </w:rPr>
            </w:pPr>
            <w:r w:rsidRPr="00C45712">
              <w:rPr>
                <w:rFonts w:asciiTheme="majorHAnsi" w:hAnsiTheme="majorHAnsi" w:cstheme="majorBidi"/>
                <w:color w:val="auto"/>
                <w:sz w:val="20"/>
                <w:szCs w:val="20"/>
              </w:rPr>
              <w:t xml:space="preserve">Lead indicator </w:t>
            </w:r>
          </w:p>
        </w:tc>
        <w:tc>
          <w:tcPr>
            <w:tcW w:w="1425" w:type="dxa"/>
          </w:tcPr>
          <w:p w14:paraId="7F1DDBA2" w14:textId="77777777" w:rsidR="001B52A5" w:rsidRPr="00C45712" w:rsidRDefault="001B52A5" w:rsidP="001B52A5">
            <w:pPr>
              <w:pStyle w:val="TableText"/>
              <w:rPr>
                <w:rFonts w:asciiTheme="majorHAnsi" w:hAnsiTheme="majorHAnsi" w:cstheme="majorHAnsi"/>
                <w:sz w:val="20"/>
                <w:szCs w:val="20"/>
              </w:rPr>
            </w:pPr>
            <w:r w:rsidRPr="00C45712">
              <w:rPr>
                <w:rFonts w:asciiTheme="majorHAnsi" w:hAnsiTheme="majorHAnsi" w:cstheme="majorHAnsi"/>
                <w:sz w:val="20"/>
                <w:szCs w:val="20"/>
              </w:rPr>
              <w:t>Controls added to the WHS risk register</w:t>
            </w:r>
          </w:p>
        </w:tc>
        <w:tc>
          <w:tcPr>
            <w:tcW w:w="1232" w:type="dxa"/>
          </w:tcPr>
          <w:p w14:paraId="377FCA97" w14:textId="682CC029" w:rsidR="001B52A5" w:rsidRPr="00C45712" w:rsidRDefault="66B851A0" w:rsidP="001B52A5">
            <w:pPr>
              <w:pStyle w:val="Tablerightlarge"/>
              <w:rPr>
                <w:rFonts w:asciiTheme="majorHAnsi" w:hAnsiTheme="majorHAnsi" w:cstheme="majorBidi"/>
                <w:sz w:val="20"/>
                <w:szCs w:val="20"/>
              </w:rPr>
            </w:pPr>
            <w:r w:rsidRPr="00C45712">
              <w:rPr>
                <w:rFonts w:asciiTheme="majorHAnsi" w:hAnsiTheme="majorHAnsi" w:cstheme="majorBidi"/>
                <w:sz w:val="20"/>
                <w:szCs w:val="20"/>
              </w:rPr>
              <w:t>0</w:t>
            </w:r>
          </w:p>
        </w:tc>
        <w:tc>
          <w:tcPr>
            <w:tcW w:w="1275" w:type="dxa"/>
          </w:tcPr>
          <w:p w14:paraId="3C8BDCB2" w14:textId="0E8AF937" w:rsidR="001B52A5" w:rsidRPr="00C45712" w:rsidRDefault="001B52A5" w:rsidP="001B52A5">
            <w:pPr>
              <w:pStyle w:val="Tablerightlarge"/>
              <w:rPr>
                <w:rFonts w:asciiTheme="majorHAnsi" w:hAnsiTheme="majorHAnsi" w:cstheme="majorHAnsi"/>
                <w:sz w:val="20"/>
                <w:szCs w:val="20"/>
              </w:rPr>
            </w:pPr>
            <w:r w:rsidRPr="00C45712">
              <w:rPr>
                <w:sz w:val="20"/>
                <w:szCs w:val="20"/>
              </w:rPr>
              <w:t>12</w:t>
            </w:r>
          </w:p>
        </w:tc>
        <w:tc>
          <w:tcPr>
            <w:tcW w:w="1275" w:type="dxa"/>
          </w:tcPr>
          <w:p w14:paraId="5C9E6A56" w14:textId="5CF33FD3"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44623EA2" w14:textId="284E6326"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08099B15" w14:textId="131B4622"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2D406398" w14:textId="77777777" w:rsidTr="2499661A">
        <w:trPr>
          <w:trHeight w:val="537"/>
        </w:trPr>
        <w:tc>
          <w:tcPr>
            <w:tcW w:w="1590" w:type="dxa"/>
          </w:tcPr>
          <w:p w14:paraId="53E5FDCB" w14:textId="3CBE8A26" w:rsidR="001B52A5" w:rsidRPr="003C38F8" w:rsidRDefault="001B52A5" w:rsidP="001B52A5">
            <w:pPr>
              <w:pStyle w:val="Tabletext0"/>
              <w:rPr>
                <w:rFonts w:asciiTheme="majorHAnsi" w:hAnsiTheme="majorHAnsi" w:cstheme="majorBidi"/>
                <w:color w:val="auto"/>
                <w:sz w:val="20"/>
                <w:szCs w:val="20"/>
              </w:rPr>
            </w:pPr>
            <w:r w:rsidRPr="003C38F8">
              <w:rPr>
                <w:rFonts w:asciiTheme="majorHAnsi" w:hAnsiTheme="majorHAnsi" w:cstheme="majorBidi"/>
                <w:color w:val="auto"/>
                <w:sz w:val="20"/>
                <w:szCs w:val="20"/>
              </w:rPr>
              <w:t xml:space="preserve">Lead indicator </w:t>
            </w:r>
          </w:p>
        </w:tc>
        <w:tc>
          <w:tcPr>
            <w:tcW w:w="1425" w:type="dxa"/>
          </w:tcPr>
          <w:p w14:paraId="394635C7" w14:textId="77777777" w:rsidR="001B52A5" w:rsidRPr="003C38F8" w:rsidRDefault="001B52A5" w:rsidP="001B52A5">
            <w:pPr>
              <w:pStyle w:val="TableText"/>
              <w:rPr>
                <w:rFonts w:asciiTheme="majorHAnsi" w:hAnsiTheme="majorHAnsi" w:cstheme="majorHAnsi"/>
                <w:sz w:val="20"/>
                <w:szCs w:val="20"/>
              </w:rPr>
            </w:pPr>
            <w:r w:rsidRPr="003C38F8">
              <w:rPr>
                <w:rFonts w:asciiTheme="majorHAnsi" w:hAnsiTheme="majorHAnsi" w:cstheme="majorHAnsi"/>
                <w:sz w:val="20"/>
                <w:szCs w:val="20"/>
              </w:rPr>
              <w:t>Corrective actions completed</w:t>
            </w:r>
          </w:p>
        </w:tc>
        <w:tc>
          <w:tcPr>
            <w:tcW w:w="1232" w:type="dxa"/>
          </w:tcPr>
          <w:p w14:paraId="3F5B2F6D" w14:textId="41B67A3D" w:rsidR="00860D3D" w:rsidRPr="003C38F8" w:rsidRDefault="028F9B0B" w:rsidP="2E352612">
            <w:pPr>
              <w:pStyle w:val="Tablerightlarge"/>
              <w:rPr>
                <w:rFonts w:asciiTheme="majorHAnsi" w:hAnsiTheme="majorHAnsi" w:cstheme="majorBidi"/>
                <w:sz w:val="20"/>
                <w:szCs w:val="20"/>
              </w:rPr>
            </w:pPr>
            <w:r w:rsidRPr="003C38F8">
              <w:rPr>
                <w:rFonts w:asciiTheme="majorHAnsi" w:hAnsiTheme="majorHAnsi" w:cstheme="majorBidi"/>
                <w:sz w:val="20"/>
                <w:szCs w:val="20"/>
              </w:rPr>
              <w:t>51</w:t>
            </w:r>
          </w:p>
          <w:p w14:paraId="5589F5BF" w14:textId="1357D0A9" w:rsidR="001B52A5" w:rsidRPr="00C75D63" w:rsidRDefault="001B52A5" w:rsidP="001B52A5">
            <w:pPr>
              <w:pStyle w:val="Tablerightlarge"/>
              <w:rPr>
                <w:rFonts w:asciiTheme="majorHAnsi" w:hAnsiTheme="majorHAnsi" w:cstheme="majorBidi"/>
                <w:sz w:val="20"/>
                <w:szCs w:val="20"/>
                <w:highlight w:val="yellow"/>
              </w:rPr>
            </w:pPr>
          </w:p>
        </w:tc>
        <w:tc>
          <w:tcPr>
            <w:tcW w:w="1275" w:type="dxa"/>
          </w:tcPr>
          <w:p w14:paraId="28A59427" w14:textId="74447002" w:rsidR="001B52A5" w:rsidRPr="00C45712" w:rsidRDefault="001B52A5" w:rsidP="001B52A5">
            <w:pPr>
              <w:pStyle w:val="Tablerightlarge"/>
              <w:rPr>
                <w:rFonts w:asciiTheme="majorHAnsi" w:hAnsiTheme="majorHAnsi" w:cstheme="majorHAnsi"/>
                <w:sz w:val="20"/>
                <w:szCs w:val="20"/>
              </w:rPr>
            </w:pPr>
            <w:r w:rsidRPr="00C45712">
              <w:rPr>
                <w:sz w:val="20"/>
                <w:szCs w:val="20"/>
              </w:rPr>
              <w:t>74</w:t>
            </w:r>
          </w:p>
        </w:tc>
        <w:tc>
          <w:tcPr>
            <w:tcW w:w="1275" w:type="dxa"/>
          </w:tcPr>
          <w:p w14:paraId="733167FE" w14:textId="48B90835"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496F7495" w14:textId="34E9919B"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53D854F7" w14:textId="7959C5B8"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73BA99AB" w14:textId="77777777" w:rsidTr="2499661A">
        <w:trPr>
          <w:trHeight w:val="493"/>
        </w:trPr>
        <w:tc>
          <w:tcPr>
            <w:tcW w:w="1590" w:type="dxa"/>
          </w:tcPr>
          <w:p w14:paraId="297139CD" w14:textId="6F859228" w:rsidR="001B52A5" w:rsidRPr="003C38F8" w:rsidRDefault="001B52A5" w:rsidP="001B52A5">
            <w:pPr>
              <w:pStyle w:val="Tabletext0"/>
              <w:rPr>
                <w:rFonts w:asciiTheme="majorHAnsi" w:hAnsiTheme="majorHAnsi" w:cstheme="majorBidi"/>
                <w:color w:val="auto"/>
                <w:sz w:val="20"/>
                <w:szCs w:val="20"/>
              </w:rPr>
            </w:pPr>
            <w:r w:rsidRPr="003C38F8">
              <w:rPr>
                <w:rFonts w:asciiTheme="majorHAnsi" w:hAnsiTheme="majorHAnsi" w:cstheme="majorBidi"/>
                <w:color w:val="auto"/>
                <w:sz w:val="20"/>
                <w:szCs w:val="20"/>
              </w:rPr>
              <w:t xml:space="preserve">Lead indicator </w:t>
            </w:r>
          </w:p>
        </w:tc>
        <w:tc>
          <w:tcPr>
            <w:tcW w:w="1425" w:type="dxa"/>
          </w:tcPr>
          <w:p w14:paraId="77C348E2" w14:textId="77777777" w:rsidR="001B52A5" w:rsidRPr="003C38F8" w:rsidRDefault="001B52A5" w:rsidP="001B52A5">
            <w:pPr>
              <w:pStyle w:val="TableText"/>
              <w:rPr>
                <w:rFonts w:asciiTheme="majorHAnsi" w:hAnsiTheme="majorHAnsi" w:cstheme="majorHAnsi"/>
                <w:sz w:val="20"/>
                <w:szCs w:val="20"/>
              </w:rPr>
            </w:pPr>
            <w:r w:rsidRPr="003C38F8">
              <w:rPr>
                <w:rFonts w:asciiTheme="majorHAnsi" w:hAnsiTheme="majorHAnsi" w:cstheme="majorHAnsi"/>
                <w:sz w:val="20"/>
                <w:szCs w:val="20"/>
              </w:rPr>
              <w:t>SV safety alerts sent</w:t>
            </w:r>
          </w:p>
        </w:tc>
        <w:tc>
          <w:tcPr>
            <w:tcW w:w="1232" w:type="dxa"/>
          </w:tcPr>
          <w:p w14:paraId="19CFF705" w14:textId="19B867EC" w:rsidR="001B52A5" w:rsidRPr="003C38F8" w:rsidRDefault="4677EC5B" w:rsidP="001B52A5">
            <w:pPr>
              <w:pStyle w:val="Tablerightlarge"/>
              <w:rPr>
                <w:rFonts w:asciiTheme="majorHAnsi" w:hAnsiTheme="majorHAnsi" w:cstheme="majorBidi"/>
                <w:sz w:val="20"/>
                <w:szCs w:val="20"/>
              </w:rPr>
            </w:pPr>
            <w:r w:rsidRPr="003C38F8">
              <w:rPr>
                <w:rFonts w:asciiTheme="majorHAnsi" w:hAnsiTheme="majorHAnsi" w:cstheme="majorBidi"/>
                <w:sz w:val="20"/>
                <w:szCs w:val="20"/>
              </w:rPr>
              <w:t>15</w:t>
            </w:r>
          </w:p>
        </w:tc>
        <w:tc>
          <w:tcPr>
            <w:tcW w:w="1275" w:type="dxa"/>
          </w:tcPr>
          <w:p w14:paraId="5A444A77" w14:textId="186C7621" w:rsidR="001B52A5" w:rsidRPr="00C45712" w:rsidRDefault="001B52A5" w:rsidP="001B52A5">
            <w:pPr>
              <w:pStyle w:val="Tablerightlarge"/>
              <w:rPr>
                <w:rFonts w:asciiTheme="majorHAnsi" w:hAnsiTheme="majorHAnsi" w:cstheme="majorHAnsi"/>
                <w:sz w:val="20"/>
                <w:szCs w:val="20"/>
              </w:rPr>
            </w:pPr>
            <w:r w:rsidRPr="00C45712">
              <w:rPr>
                <w:sz w:val="20"/>
                <w:szCs w:val="20"/>
              </w:rPr>
              <w:t>15</w:t>
            </w:r>
          </w:p>
        </w:tc>
        <w:tc>
          <w:tcPr>
            <w:tcW w:w="1275" w:type="dxa"/>
          </w:tcPr>
          <w:p w14:paraId="08E9944C" w14:textId="58CDC397"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350" w:type="dxa"/>
            <w:noWrap/>
          </w:tcPr>
          <w:p w14:paraId="03EACBA7" w14:textId="5EC7FC00"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c>
          <w:tcPr>
            <w:tcW w:w="1204" w:type="dxa"/>
            <w:noWrap/>
          </w:tcPr>
          <w:p w14:paraId="6193874E" w14:textId="6EFB8E49" w:rsidR="001B52A5" w:rsidRPr="00C45712" w:rsidRDefault="001B52A5" w:rsidP="001B52A5">
            <w:pPr>
              <w:pStyle w:val="Tablerightlarge"/>
              <w:rPr>
                <w:rFonts w:asciiTheme="majorHAnsi" w:hAnsiTheme="majorHAnsi" w:cstheme="majorHAnsi"/>
                <w:sz w:val="20"/>
                <w:szCs w:val="20"/>
              </w:rPr>
            </w:pPr>
            <w:r w:rsidRPr="00C45712">
              <w:rPr>
                <w:sz w:val="20"/>
                <w:szCs w:val="20"/>
              </w:rPr>
              <w:t>..</w:t>
            </w:r>
          </w:p>
        </w:tc>
      </w:tr>
      <w:tr w:rsidR="001B52A5" w:rsidRPr="00C45712" w14:paraId="2D1698A5" w14:textId="77777777" w:rsidTr="2499661A">
        <w:trPr>
          <w:trHeight w:val="227"/>
        </w:trPr>
        <w:tc>
          <w:tcPr>
            <w:tcW w:w="1590" w:type="dxa"/>
          </w:tcPr>
          <w:p w14:paraId="58A62942" w14:textId="7FA6D9B5" w:rsidR="001B52A5" w:rsidRPr="003C38F8" w:rsidRDefault="001B52A5" w:rsidP="001B52A5">
            <w:pPr>
              <w:pStyle w:val="Tabletext0"/>
              <w:rPr>
                <w:rFonts w:asciiTheme="majorHAnsi" w:hAnsiTheme="majorHAnsi" w:cstheme="majorHAnsi"/>
                <w:color w:val="auto"/>
                <w:sz w:val="20"/>
                <w:szCs w:val="20"/>
              </w:rPr>
            </w:pPr>
            <w:r w:rsidRPr="003C38F8">
              <w:rPr>
                <w:rFonts w:asciiTheme="majorHAnsi" w:hAnsiTheme="majorHAnsi" w:cstheme="majorHAnsi"/>
                <w:color w:val="auto"/>
                <w:sz w:val="20"/>
                <w:szCs w:val="20"/>
              </w:rPr>
              <w:t xml:space="preserve">Lead indicator </w:t>
            </w:r>
          </w:p>
        </w:tc>
        <w:tc>
          <w:tcPr>
            <w:tcW w:w="1425" w:type="dxa"/>
          </w:tcPr>
          <w:p w14:paraId="7989B7CB" w14:textId="4E2A8156" w:rsidR="001B52A5" w:rsidRPr="003C38F8" w:rsidRDefault="29F9D166" w:rsidP="001B52A5">
            <w:pPr>
              <w:pStyle w:val="TableText"/>
              <w:rPr>
                <w:rFonts w:asciiTheme="majorHAnsi" w:hAnsiTheme="majorHAnsi" w:cstheme="majorBidi"/>
                <w:sz w:val="20"/>
                <w:szCs w:val="20"/>
              </w:rPr>
            </w:pPr>
            <w:r w:rsidRPr="11420F3B">
              <w:rPr>
                <w:rFonts w:asciiTheme="majorHAnsi" w:hAnsiTheme="majorHAnsi" w:cstheme="majorBidi"/>
                <w:sz w:val="20"/>
                <w:szCs w:val="20"/>
              </w:rPr>
              <w:t xml:space="preserve"> Employee Assistance Program</w:t>
            </w:r>
            <w:r w:rsidR="098CF683" w:rsidRPr="11420F3B">
              <w:rPr>
                <w:rFonts w:asciiTheme="majorHAnsi" w:hAnsiTheme="majorHAnsi" w:cstheme="majorBidi"/>
                <w:sz w:val="20"/>
                <w:szCs w:val="20"/>
              </w:rPr>
              <w:t xml:space="preserve"> </w:t>
            </w:r>
            <w:r w:rsidR="074E2A72" w:rsidRPr="059A360B">
              <w:rPr>
                <w:rFonts w:asciiTheme="majorHAnsi" w:hAnsiTheme="majorHAnsi" w:cstheme="majorBidi"/>
                <w:sz w:val="20"/>
                <w:szCs w:val="20"/>
              </w:rPr>
              <w:t>sessions</w:t>
            </w:r>
            <w:r w:rsidR="098CF683" w:rsidRPr="11420F3B">
              <w:rPr>
                <w:rFonts w:asciiTheme="majorHAnsi" w:hAnsiTheme="majorHAnsi" w:cstheme="majorBidi"/>
                <w:sz w:val="20"/>
                <w:szCs w:val="20"/>
              </w:rPr>
              <w:t xml:space="preserve"> used</w:t>
            </w:r>
          </w:p>
        </w:tc>
        <w:tc>
          <w:tcPr>
            <w:tcW w:w="1232" w:type="dxa"/>
          </w:tcPr>
          <w:p w14:paraId="335CD963" w14:textId="03222076" w:rsidR="001B52A5" w:rsidRPr="003C38F8" w:rsidRDefault="4434F53F" w:rsidP="001B52A5">
            <w:pPr>
              <w:pStyle w:val="tableright"/>
              <w:rPr>
                <w:rFonts w:asciiTheme="majorHAnsi" w:hAnsiTheme="majorHAnsi" w:cstheme="majorBidi"/>
                <w:sz w:val="20"/>
                <w:szCs w:val="20"/>
              </w:rPr>
            </w:pPr>
            <w:r w:rsidRPr="059A360B">
              <w:rPr>
                <w:rFonts w:asciiTheme="majorHAnsi" w:hAnsiTheme="majorHAnsi" w:cstheme="majorBidi"/>
                <w:sz w:val="20"/>
                <w:szCs w:val="20"/>
              </w:rPr>
              <w:t>95</w:t>
            </w:r>
          </w:p>
        </w:tc>
        <w:tc>
          <w:tcPr>
            <w:tcW w:w="1275" w:type="dxa"/>
          </w:tcPr>
          <w:p w14:paraId="0C0C8183" w14:textId="4E06F6A0" w:rsidR="001B52A5" w:rsidRPr="00C45712" w:rsidRDefault="001B52A5" w:rsidP="001B52A5">
            <w:pPr>
              <w:pStyle w:val="tableright"/>
              <w:rPr>
                <w:rFonts w:asciiTheme="majorHAnsi" w:hAnsiTheme="majorHAnsi" w:cstheme="majorHAnsi"/>
                <w:sz w:val="20"/>
                <w:szCs w:val="20"/>
              </w:rPr>
            </w:pPr>
            <w:r w:rsidRPr="00C45712">
              <w:rPr>
                <w:sz w:val="20"/>
                <w:szCs w:val="20"/>
              </w:rPr>
              <w:t>65</w:t>
            </w:r>
          </w:p>
        </w:tc>
        <w:tc>
          <w:tcPr>
            <w:tcW w:w="1275" w:type="dxa"/>
          </w:tcPr>
          <w:p w14:paraId="56D12A32" w14:textId="615572C1" w:rsidR="001B52A5" w:rsidRPr="00C45712" w:rsidRDefault="001B52A5" w:rsidP="001B52A5">
            <w:pPr>
              <w:pStyle w:val="tableright"/>
              <w:rPr>
                <w:rFonts w:asciiTheme="majorHAnsi" w:hAnsiTheme="majorHAnsi" w:cstheme="majorHAnsi"/>
                <w:sz w:val="20"/>
                <w:szCs w:val="20"/>
              </w:rPr>
            </w:pPr>
            <w:r w:rsidRPr="00C45712">
              <w:rPr>
                <w:sz w:val="20"/>
                <w:szCs w:val="20"/>
              </w:rPr>
              <w:t>..</w:t>
            </w:r>
          </w:p>
        </w:tc>
        <w:tc>
          <w:tcPr>
            <w:tcW w:w="1350" w:type="dxa"/>
            <w:noWrap/>
          </w:tcPr>
          <w:p w14:paraId="314CB56E" w14:textId="3BD0F5D5" w:rsidR="001B52A5" w:rsidRPr="00C45712" w:rsidRDefault="001B52A5" w:rsidP="001B52A5">
            <w:pPr>
              <w:pStyle w:val="tableright"/>
              <w:rPr>
                <w:rFonts w:asciiTheme="majorHAnsi" w:hAnsiTheme="majorHAnsi" w:cstheme="majorHAnsi"/>
                <w:sz w:val="20"/>
                <w:szCs w:val="20"/>
              </w:rPr>
            </w:pPr>
            <w:r w:rsidRPr="00C45712">
              <w:rPr>
                <w:sz w:val="20"/>
                <w:szCs w:val="20"/>
              </w:rPr>
              <w:t>..</w:t>
            </w:r>
          </w:p>
        </w:tc>
        <w:tc>
          <w:tcPr>
            <w:tcW w:w="1204" w:type="dxa"/>
            <w:noWrap/>
          </w:tcPr>
          <w:p w14:paraId="66D8FAB3" w14:textId="232F8A8F" w:rsidR="001B52A5" w:rsidRPr="00C45712" w:rsidRDefault="001B52A5" w:rsidP="001B52A5">
            <w:pPr>
              <w:pStyle w:val="tableright"/>
              <w:rPr>
                <w:rFonts w:asciiTheme="majorHAnsi" w:hAnsiTheme="majorHAnsi" w:cstheme="majorHAnsi"/>
                <w:sz w:val="20"/>
                <w:szCs w:val="20"/>
              </w:rPr>
            </w:pPr>
            <w:r w:rsidRPr="00C45712">
              <w:rPr>
                <w:sz w:val="20"/>
                <w:szCs w:val="20"/>
              </w:rPr>
              <w:t>..</w:t>
            </w:r>
          </w:p>
        </w:tc>
      </w:tr>
      <w:tr w:rsidR="001B52A5" w:rsidRPr="00C45712" w14:paraId="5ACB9347" w14:textId="77777777" w:rsidTr="2499661A">
        <w:trPr>
          <w:trHeight w:val="782"/>
        </w:trPr>
        <w:tc>
          <w:tcPr>
            <w:tcW w:w="1590" w:type="dxa"/>
          </w:tcPr>
          <w:p w14:paraId="393C3373" w14:textId="50FB9DC6" w:rsidR="00860D3D" w:rsidRPr="003C38F8" w:rsidRDefault="001B52A5" w:rsidP="38CD55D9">
            <w:pPr>
              <w:pStyle w:val="Tabletext0"/>
              <w:rPr>
                <w:rFonts w:asciiTheme="majorHAnsi" w:hAnsiTheme="majorHAnsi" w:cstheme="majorBidi"/>
                <w:color w:val="auto"/>
                <w:sz w:val="20"/>
                <w:szCs w:val="20"/>
              </w:rPr>
            </w:pPr>
            <w:r w:rsidRPr="38CD55D9">
              <w:rPr>
                <w:rFonts w:asciiTheme="majorHAnsi" w:hAnsiTheme="majorHAnsi" w:cstheme="majorBidi"/>
                <w:color w:val="auto"/>
                <w:sz w:val="20"/>
                <w:szCs w:val="20"/>
              </w:rPr>
              <w:t>Lead indicator</w:t>
            </w:r>
          </w:p>
          <w:p w14:paraId="56EAAFD5" w14:textId="40F6FC1A" w:rsidR="001B52A5" w:rsidRPr="003C38F8" w:rsidRDefault="1A170C69" w:rsidP="001B52A5">
            <w:pPr>
              <w:pStyle w:val="Tabletext0"/>
              <w:rPr>
                <w:rFonts w:asciiTheme="majorHAnsi" w:hAnsiTheme="majorHAnsi" w:cstheme="majorBidi"/>
                <w:color w:val="auto"/>
                <w:sz w:val="20"/>
                <w:szCs w:val="20"/>
              </w:rPr>
            </w:pPr>
            <w:r w:rsidRPr="003C38F8">
              <w:rPr>
                <w:rFonts w:asciiTheme="majorHAnsi" w:hAnsiTheme="majorHAnsi" w:cstheme="majorBidi"/>
                <w:color w:val="auto"/>
                <w:sz w:val="20"/>
                <w:szCs w:val="20"/>
              </w:rPr>
              <w:t>(new policies</w:t>
            </w:r>
            <w:r w:rsidR="001B52A5" w:rsidRPr="003C38F8">
              <w:rPr>
                <w:rFonts w:asciiTheme="majorHAnsi" w:hAnsiTheme="majorHAnsi" w:cstheme="majorBidi"/>
                <w:color w:val="auto"/>
                <w:sz w:val="20"/>
                <w:szCs w:val="20"/>
              </w:rPr>
              <w:t>)</w:t>
            </w:r>
          </w:p>
        </w:tc>
        <w:tc>
          <w:tcPr>
            <w:tcW w:w="1425" w:type="dxa"/>
          </w:tcPr>
          <w:p w14:paraId="04685992" w14:textId="7ECE15CE" w:rsidR="001B52A5" w:rsidRPr="003C38F8" w:rsidRDefault="207119E9" w:rsidP="2499661A">
            <w:pPr>
              <w:pStyle w:val="TableText"/>
              <w:rPr>
                <w:rFonts w:asciiTheme="majorHAnsi" w:hAnsiTheme="majorHAnsi" w:cstheme="majorBidi"/>
                <w:sz w:val="20"/>
                <w:szCs w:val="20"/>
              </w:rPr>
            </w:pPr>
            <w:r w:rsidRPr="2499661A">
              <w:rPr>
                <w:rFonts w:asciiTheme="majorHAnsi" w:hAnsiTheme="majorHAnsi" w:cstheme="majorBidi"/>
                <w:sz w:val="20"/>
                <w:szCs w:val="20"/>
              </w:rPr>
              <w:t>WHS policies and procedures</w:t>
            </w:r>
          </w:p>
        </w:tc>
        <w:tc>
          <w:tcPr>
            <w:tcW w:w="1232" w:type="dxa"/>
          </w:tcPr>
          <w:p w14:paraId="012588E0" w14:textId="5FE09E47" w:rsidR="00860D3D" w:rsidRPr="003C38F8" w:rsidRDefault="216C075F" w:rsidP="7EE5048D">
            <w:pPr>
              <w:pStyle w:val="tableright"/>
              <w:rPr>
                <w:rFonts w:asciiTheme="majorHAnsi" w:hAnsiTheme="majorHAnsi" w:cstheme="majorBidi"/>
                <w:sz w:val="20"/>
                <w:szCs w:val="20"/>
              </w:rPr>
            </w:pPr>
            <w:r w:rsidRPr="003C38F8">
              <w:rPr>
                <w:rFonts w:asciiTheme="majorHAnsi" w:hAnsiTheme="majorHAnsi" w:cstheme="majorBidi"/>
                <w:sz w:val="20"/>
                <w:szCs w:val="20"/>
              </w:rPr>
              <w:t>3</w:t>
            </w:r>
          </w:p>
          <w:p w14:paraId="3240EBB0" w14:textId="57196B0E" w:rsidR="001B52A5" w:rsidRPr="00C75D63" w:rsidRDefault="001B52A5" w:rsidP="001B52A5">
            <w:pPr>
              <w:pStyle w:val="tableright"/>
              <w:rPr>
                <w:rFonts w:asciiTheme="majorHAnsi" w:hAnsiTheme="majorHAnsi" w:cstheme="majorBidi"/>
                <w:sz w:val="20"/>
                <w:szCs w:val="20"/>
                <w:highlight w:val="yellow"/>
              </w:rPr>
            </w:pPr>
          </w:p>
        </w:tc>
        <w:tc>
          <w:tcPr>
            <w:tcW w:w="1275" w:type="dxa"/>
          </w:tcPr>
          <w:p w14:paraId="7F9E9ADF" w14:textId="369E7E45" w:rsidR="001B52A5" w:rsidRPr="00C45712" w:rsidRDefault="001B52A5" w:rsidP="38CD55D9">
            <w:pPr>
              <w:pStyle w:val="tableright"/>
              <w:rPr>
                <w:rFonts w:asciiTheme="majorHAnsi" w:hAnsiTheme="majorHAnsi" w:cstheme="majorBidi"/>
                <w:sz w:val="20"/>
                <w:szCs w:val="20"/>
              </w:rPr>
            </w:pPr>
            <w:r w:rsidRPr="38CD55D9">
              <w:rPr>
                <w:sz w:val="20"/>
                <w:szCs w:val="20"/>
              </w:rPr>
              <w:t>13</w:t>
            </w:r>
          </w:p>
        </w:tc>
        <w:tc>
          <w:tcPr>
            <w:tcW w:w="1275" w:type="dxa"/>
          </w:tcPr>
          <w:p w14:paraId="02A85859" w14:textId="4B277478" w:rsidR="001B52A5" w:rsidRPr="00C45712" w:rsidRDefault="001B52A5" w:rsidP="001B52A5">
            <w:pPr>
              <w:pStyle w:val="tableright"/>
              <w:rPr>
                <w:rFonts w:asciiTheme="majorHAnsi" w:hAnsiTheme="majorHAnsi" w:cstheme="majorHAnsi"/>
                <w:sz w:val="20"/>
                <w:szCs w:val="20"/>
              </w:rPr>
            </w:pPr>
            <w:r w:rsidRPr="00C45712">
              <w:rPr>
                <w:sz w:val="20"/>
                <w:szCs w:val="20"/>
              </w:rPr>
              <w:t>..</w:t>
            </w:r>
          </w:p>
        </w:tc>
        <w:tc>
          <w:tcPr>
            <w:tcW w:w="1350" w:type="dxa"/>
            <w:noWrap/>
          </w:tcPr>
          <w:p w14:paraId="0F520136" w14:textId="39F9CD10" w:rsidR="001B52A5" w:rsidRPr="00C45712" w:rsidRDefault="001B52A5" w:rsidP="001B52A5">
            <w:pPr>
              <w:pStyle w:val="tableright"/>
              <w:rPr>
                <w:rFonts w:asciiTheme="majorHAnsi" w:hAnsiTheme="majorHAnsi" w:cstheme="majorHAnsi"/>
                <w:sz w:val="20"/>
                <w:szCs w:val="20"/>
              </w:rPr>
            </w:pPr>
            <w:r w:rsidRPr="00C45712">
              <w:rPr>
                <w:sz w:val="20"/>
                <w:szCs w:val="20"/>
              </w:rPr>
              <w:t>..</w:t>
            </w:r>
          </w:p>
        </w:tc>
        <w:tc>
          <w:tcPr>
            <w:tcW w:w="1204" w:type="dxa"/>
            <w:noWrap/>
          </w:tcPr>
          <w:p w14:paraId="580534E8" w14:textId="16487E92" w:rsidR="001B52A5" w:rsidRPr="00C45712" w:rsidRDefault="001B52A5" w:rsidP="001B52A5">
            <w:pPr>
              <w:pStyle w:val="tableright"/>
              <w:rPr>
                <w:rFonts w:asciiTheme="majorHAnsi" w:hAnsiTheme="majorHAnsi" w:cstheme="majorHAnsi"/>
                <w:sz w:val="20"/>
                <w:szCs w:val="20"/>
              </w:rPr>
            </w:pPr>
            <w:r w:rsidRPr="00C45712">
              <w:rPr>
                <w:sz w:val="20"/>
                <w:szCs w:val="20"/>
              </w:rPr>
              <w:t>..</w:t>
            </w:r>
          </w:p>
        </w:tc>
      </w:tr>
    </w:tbl>
    <w:p w14:paraId="4EDDF351" w14:textId="42A4EE4F" w:rsidR="00860D3D" w:rsidRPr="0012521E" w:rsidRDefault="00860D3D" w:rsidP="00105389">
      <w:pPr>
        <w:pStyle w:val="Body"/>
      </w:pPr>
      <w:r w:rsidRPr="0012521E">
        <w:t>FTE = full-time equivalent</w:t>
      </w:r>
    </w:p>
    <w:p w14:paraId="4B14AA82" w14:textId="0DF95077" w:rsidR="00860D3D" w:rsidRPr="0012521E" w:rsidRDefault="00860D3D" w:rsidP="00860D3D">
      <w:pPr>
        <w:pStyle w:val="Heading2"/>
      </w:pPr>
      <w:bookmarkStart w:id="147" w:name="_Ref85023323"/>
      <w:bookmarkStart w:id="148" w:name="_Toc144884449"/>
      <w:r w:rsidRPr="11420F3B">
        <w:br w:type="page"/>
      </w:r>
      <w:bookmarkStart w:id="149" w:name="_Toc166585731"/>
      <w:r w:rsidRPr="53032722">
        <w:lastRenderedPageBreak/>
        <w:t>Workforce profile</w:t>
      </w:r>
      <w:bookmarkEnd w:id="147"/>
      <w:bookmarkEnd w:id="148"/>
      <w:bookmarkEnd w:id="149"/>
    </w:p>
    <w:p w14:paraId="72DE0947" w14:textId="2E6C2FE4" w:rsidR="00860D3D" w:rsidRPr="0012521E" w:rsidRDefault="00860D3D" w:rsidP="00105389">
      <w:pPr>
        <w:pStyle w:val="Body"/>
      </w:pPr>
      <w:r w:rsidRPr="69EC8EC6">
        <w:t xml:space="preserve">As </w:t>
      </w:r>
      <w:proofErr w:type="gramStart"/>
      <w:r w:rsidRPr="69EC8EC6">
        <w:t>at</w:t>
      </w:r>
      <w:proofErr w:type="gramEnd"/>
      <w:r w:rsidRPr="69EC8EC6">
        <w:t xml:space="preserve"> 30 June 202</w:t>
      </w:r>
      <w:r w:rsidR="001B3790" w:rsidRPr="69EC8EC6">
        <w:t>4</w:t>
      </w:r>
      <w:r w:rsidRPr="69EC8EC6">
        <w:t xml:space="preserve">, SV employed </w:t>
      </w:r>
      <w:r w:rsidR="4F17D13A" w:rsidRPr="69EC8EC6">
        <w:t>167</w:t>
      </w:r>
      <w:r w:rsidR="326D5758" w:rsidRPr="2EB288A1">
        <w:t xml:space="preserve"> </w:t>
      </w:r>
      <w:r w:rsidRPr="69EC8EC6">
        <w:t>staff (</w:t>
      </w:r>
      <w:r w:rsidR="616F8771" w:rsidRPr="69EC8EC6">
        <w:t>155.7</w:t>
      </w:r>
      <w:r w:rsidRPr="69EC8EC6">
        <w:t xml:space="preserve"> full-time equivalent or FTE) compared to </w:t>
      </w:r>
      <w:r w:rsidR="50DB4C39" w:rsidRPr="69EC8EC6">
        <w:t>181</w:t>
      </w:r>
      <w:r w:rsidRPr="2EB288A1">
        <w:t xml:space="preserve"> </w:t>
      </w:r>
      <w:r w:rsidRPr="69EC8EC6">
        <w:t>employees (</w:t>
      </w:r>
      <w:r w:rsidR="613B0177" w:rsidRPr="69EC8EC6">
        <w:t>177.1</w:t>
      </w:r>
      <w:r w:rsidRPr="69EC8EC6">
        <w:t xml:space="preserve"> FTE) at 30 June 202</w:t>
      </w:r>
      <w:r w:rsidR="001B3790" w:rsidRPr="69EC8EC6">
        <w:t>3</w:t>
      </w:r>
      <w:r w:rsidRPr="69EC8EC6">
        <w:t xml:space="preserve"> (</w:t>
      </w:r>
      <w:r w:rsidRPr="69EC8EC6">
        <w:fldChar w:fldCharType="begin"/>
      </w:r>
      <w:r w:rsidRPr="69EC8EC6">
        <w:instrText xml:space="preserve"> REF _Ref138610151 \h </w:instrText>
      </w:r>
      <w:r w:rsidR="0012521E" w:rsidRPr="69EC8EC6">
        <w:instrText xml:space="preserve"> \* MERGEFORMAT </w:instrText>
      </w:r>
      <w:r w:rsidRPr="69EC8EC6">
        <w:fldChar w:fldCharType="separate"/>
      </w:r>
      <w:r w:rsidR="00EB70DF" w:rsidRPr="00EB70DF">
        <w:t>Table 12</w:t>
      </w:r>
      <w:r w:rsidRPr="69EC8EC6">
        <w:fldChar w:fldCharType="end"/>
      </w:r>
      <w:r>
        <w:t>).</w:t>
      </w:r>
      <w:r w:rsidR="002E2F8F">
        <w:t xml:space="preserve"> </w:t>
      </w:r>
      <w:r w:rsidR="27A8D7EC">
        <w:t xml:space="preserve"> Over the course of the year, SV had </w:t>
      </w:r>
      <w:proofErr w:type="gramStart"/>
      <w:r w:rsidR="27A8D7EC">
        <w:t>a number of</w:t>
      </w:r>
      <w:proofErr w:type="gramEnd"/>
      <w:r w:rsidR="27A8D7EC">
        <w:t xml:space="preserve"> lapsing projects</w:t>
      </w:r>
      <w:r w:rsidR="64C0EF01">
        <w:t xml:space="preserve"> which has attributed to a reduction in overall FTE.  </w:t>
      </w:r>
    </w:p>
    <w:p w14:paraId="4B16D0A5" w14:textId="4724F278" w:rsidR="00860D3D" w:rsidRPr="0012521E" w:rsidRDefault="00860D3D" w:rsidP="00105389">
      <w:pPr>
        <w:pStyle w:val="Body"/>
      </w:pPr>
      <w:r w:rsidRPr="69EC8EC6">
        <w:t xml:space="preserve">The proportion of women was </w:t>
      </w:r>
      <w:r w:rsidR="7EA02E09" w:rsidRPr="69EC8EC6">
        <w:t>71.9</w:t>
      </w:r>
      <w:r w:rsidRPr="000A035C">
        <w:t>%, which is a</w:t>
      </w:r>
      <w:r w:rsidR="00AF4C95" w:rsidRPr="000A035C">
        <w:t>n increase</w:t>
      </w:r>
      <w:r w:rsidRPr="000A035C">
        <w:t xml:space="preserve"> of </w:t>
      </w:r>
      <w:r w:rsidR="74E14F25" w:rsidRPr="000A035C">
        <w:t>14.5</w:t>
      </w:r>
      <w:r w:rsidRPr="000A035C">
        <w:t>% compared to June 202</w:t>
      </w:r>
      <w:r w:rsidR="00AF4C95" w:rsidRPr="000A035C">
        <w:t>3</w:t>
      </w:r>
      <w:r w:rsidRPr="000A035C">
        <w:t>.</w:t>
      </w:r>
    </w:p>
    <w:p w14:paraId="454F1A7D" w14:textId="77777777" w:rsidR="00860D3D" w:rsidRPr="0012521E" w:rsidRDefault="00860D3D" w:rsidP="00105389">
      <w:pPr>
        <w:pStyle w:val="Body"/>
      </w:pPr>
      <w:r w:rsidRPr="0012521E">
        <w:t>The tables below show data on the workforce composition, average salaries by gender and VPS classification.</w:t>
      </w:r>
    </w:p>
    <w:p w14:paraId="06B8115E" w14:textId="255C61C3" w:rsidR="00860D3D" w:rsidRPr="0012521E" w:rsidRDefault="00860D3D" w:rsidP="00860D3D">
      <w:pPr>
        <w:pStyle w:val="Caption"/>
        <w:rPr>
          <w:rFonts w:asciiTheme="majorHAnsi" w:hAnsiTheme="majorHAnsi" w:cstheme="majorHAnsi"/>
        </w:rPr>
      </w:pPr>
      <w:bookmarkStart w:id="150" w:name="_Ref138610151"/>
      <w:bookmarkStart w:id="151" w:name="_Ref77518565"/>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12</w:t>
      </w:r>
      <w:r w:rsidRPr="0012521E">
        <w:rPr>
          <w:rFonts w:asciiTheme="majorHAnsi" w:hAnsiTheme="majorHAnsi" w:cstheme="majorHAnsi"/>
        </w:rPr>
        <w:fldChar w:fldCharType="end"/>
      </w:r>
      <w:bookmarkEnd w:id="150"/>
      <w:bookmarkEnd w:id="151"/>
      <w:r w:rsidRPr="0012521E">
        <w:rPr>
          <w:rFonts w:asciiTheme="majorHAnsi" w:hAnsiTheme="majorHAnsi" w:cstheme="majorHAnsi"/>
        </w:rPr>
        <w:t>: Number of full-time equivalent employees from 2015 to 202</w:t>
      </w:r>
      <w:r w:rsidR="00573C95" w:rsidRPr="0012521E">
        <w:rPr>
          <w:rFonts w:asciiTheme="majorHAnsi" w:hAnsiTheme="majorHAnsi" w:cstheme="majorHAnsi"/>
        </w:rPr>
        <w:t>4</w:t>
      </w:r>
    </w:p>
    <w:tbl>
      <w:tblPr>
        <w:tblStyle w:val="TableGrid"/>
        <w:tblW w:w="8136" w:type="dxa"/>
        <w:tblLayout w:type="fixed"/>
        <w:tblLook w:val="04A0" w:firstRow="1" w:lastRow="0" w:firstColumn="1" w:lastColumn="0" w:noHBand="0" w:noVBand="1"/>
      </w:tblPr>
      <w:tblGrid>
        <w:gridCol w:w="851"/>
        <w:gridCol w:w="851"/>
        <w:gridCol w:w="850"/>
        <w:gridCol w:w="803"/>
        <w:gridCol w:w="803"/>
        <w:gridCol w:w="803"/>
        <w:gridCol w:w="794"/>
        <w:gridCol w:w="794"/>
        <w:gridCol w:w="794"/>
        <w:gridCol w:w="793"/>
      </w:tblGrid>
      <w:tr w:rsidR="005035CF" w:rsidRPr="0012521E" w14:paraId="17E090BC" w14:textId="77777777" w:rsidTr="002C739A">
        <w:trPr>
          <w:trHeight w:val="390"/>
        </w:trPr>
        <w:tc>
          <w:tcPr>
            <w:tcW w:w="851" w:type="dxa"/>
            <w:shd w:val="clear" w:color="auto" w:fill="D4DFA0" w:themeFill="accent3"/>
          </w:tcPr>
          <w:p w14:paraId="686A9D51" w14:textId="143AC15F" w:rsidR="005035CF" w:rsidRPr="00E159ED" w:rsidRDefault="005035CF" w:rsidP="00EC78E4">
            <w:pPr>
              <w:pStyle w:val="tableheadright"/>
              <w:rPr>
                <w:rFonts w:cstheme="majorHAnsi"/>
                <w:color w:val="auto"/>
              </w:rPr>
            </w:pPr>
            <w:r w:rsidRPr="00E159ED">
              <w:rPr>
                <w:rFonts w:cstheme="majorHAnsi"/>
                <w:color w:val="auto"/>
              </w:rPr>
              <w:t>2024</w:t>
            </w:r>
          </w:p>
        </w:tc>
        <w:tc>
          <w:tcPr>
            <w:tcW w:w="851" w:type="dxa"/>
            <w:shd w:val="clear" w:color="auto" w:fill="D4DFA0" w:themeFill="accent3"/>
          </w:tcPr>
          <w:p w14:paraId="5E7F0276" w14:textId="4FD98FB3" w:rsidR="005035CF" w:rsidRPr="00E159ED" w:rsidRDefault="005035CF" w:rsidP="00EC78E4">
            <w:pPr>
              <w:pStyle w:val="tableheadright"/>
              <w:rPr>
                <w:rFonts w:cstheme="majorHAnsi"/>
                <w:color w:val="auto"/>
              </w:rPr>
            </w:pPr>
            <w:r w:rsidRPr="00E159ED">
              <w:rPr>
                <w:rFonts w:cstheme="majorHAnsi"/>
                <w:color w:val="auto"/>
              </w:rPr>
              <w:t>2023</w:t>
            </w:r>
          </w:p>
        </w:tc>
        <w:tc>
          <w:tcPr>
            <w:tcW w:w="850" w:type="dxa"/>
            <w:shd w:val="clear" w:color="auto" w:fill="D4DFA0" w:themeFill="accent3"/>
          </w:tcPr>
          <w:p w14:paraId="498E555D" w14:textId="77777777" w:rsidR="005035CF" w:rsidRPr="00E159ED" w:rsidRDefault="005035CF" w:rsidP="00EC78E4">
            <w:pPr>
              <w:pStyle w:val="tableheadright"/>
              <w:rPr>
                <w:rFonts w:cstheme="majorHAnsi"/>
                <w:color w:val="auto"/>
              </w:rPr>
            </w:pPr>
            <w:r w:rsidRPr="00E159ED">
              <w:rPr>
                <w:rFonts w:cstheme="majorHAnsi"/>
                <w:color w:val="auto"/>
              </w:rPr>
              <w:t>2022</w:t>
            </w:r>
          </w:p>
        </w:tc>
        <w:tc>
          <w:tcPr>
            <w:tcW w:w="803" w:type="dxa"/>
            <w:shd w:val="clear" w:color="auto" w:fill="D4DFA0" w:themeFill="accent3"/>
          </w:tcPr>
          <w:p w14:paraId="746DAB39" w14:textId="77777777" w:rsidR="005035CF" w:rsidRPr="00E159ED" w:rsidRDefault="005035CF" w:rsidP="00EC78E4">
            <w:pPr>
              <w:pStyle w:val="tableheadright"/>
              <w:rPr>
                <w:rFonts w:cstheme="majorHAnsi"/>
                <w:color w:val="auto"/>
              </w:rPr>
            </w:pPr>
            <w:r w:rsidRPr="00E159ED">
              <w:rPr>
                <w:rFonts w:cstheme="majorHAnsi"/>
                <w:color w:val="auto"/>
              </w:rPr>
              <w:t>2021</w:t>
            </w:r>
          </w:p>
        </w:tc>
        <w:tc>
          <w:tcPr>
            <w:tcW w:w="803" w:type="dxa"/>
            <w:shd w:val="clear" w:color="auto" w:fill="D4DFA0" w:themeFill="accent3"/>
          </w:tcPr>
          <w:p w14:paraId="2E4E8CC3" w14:textId="1C3960EC" w:rsidR="005035CF" w:rsidRPr="00E159ED" w:rsidRDefault="005035CF" w:rsidP="00EC78E4">
            <w:pPr>
              <w:pStyle w:val="tableheadright"/>
              <w:rPr>
                <w:rFonts w:cstheme="majorHAnsi"/>
                <w:color w:val="auto"/>
              </w:rPr>
            </w:pPr>
            <w:r w:rsidRPr="00E159ED">
              <w:rPr>
                <w:rFonts w:cstheme="majorHAnsi"/>
                <w:color w:val="auto"/>
              </w:rPr>
              <w:t>2020</w:t>
            </w:r>
          </w:p>
        </w:tc>
        <w:tc>
          <w:tcPr>
            <w:tcW w:w="803" w:type="dxa"/>
            <w:shd w:val="clear" w:color="auto" w:fill="D4DFA0" w:themeFill="accent3"/>
          </w:tcPr>
          <w:p w14:paraId="167AF3C7" w14:textId="77777777" w:rsidR="005035CF" w:rsidRPr="00E159ED" w:rsidRDefault="005035CF" w:rsidP="00EC78E4">
            <w:pPr>
              <w:pStyle w:val="tableheadright"/>
              <w:rPr>
                <w:rFonts w:cstheme="majorHAnsi"/>
                <w:color w:val="auto"/>
              </w:rPr>
            </w:pPr>
            <w:r w:rsidRPr="00E159ED">
              <w:rPr>
                <w:rFonts w:cstheme="majorHAnsi"/>
                <w:color w:val="auto"/>
              </w:rPr>
              <w:t>2019</w:t>
            </w:r>
          </w:p>
        </w:tc>
        <w:tc>
          <w:tcPr>
            <w:tcW w:w="794" w:type="dxa"/>
            <w:shd w:val="clear" w:color="auto" w:fill="D4DFA0" w:themeFill="accent3"/>
          </w:tcPr>
          <w:p w14:paraId="05E6D218" w14:textId="77777777" w:rsidR="005035CF" w:rsidRPr="00E159ED" w:rsidRDefault="005035CF" w:rsidP="00EC78E4">
            <w:pPr>
              <w:pStyle w:val="tableheadright"/>
              <w:rPr>
                <w:rFonts w:cstheme="majorHAnsi"/>
                <w:color w:val="auto"/>
              </w:rPr>
            </w:pPr>
            <w:r w:rsidRPr="00E159ED">
              <w:rPr>
                <w:rFonts w:cstheme="majorHAnsi"/>
                <w:color w:val="auto"/>
              </w:rPr>
              <w:t>2018</w:t>
            </w:r>
          </w:p>
        </w:tc>
        <w:tc>
          <w:tcPr>
            <w:tcW w:w="794" w:type="dxa"/>
            <w:shd w:val="clear" w:color="auto" w:fill="D4DFA0" w:themeFill="accent3"/>
          </w:tcPr>
          <w:p w14:paraId="03168A0F" w14:textId="77777777" w:rsidR="005035CF" w:rsidRPr="00E159ED" w:rsidRDefault="005035CF" w:rsidP="00EC78E4">
            <w:pPr>
              <w:pStyle w:val="tableheadright"/>
              <w:rPr>
                <w:rFonts w:cstheme="majorHAnsi"/>
                <w:color w:val="auto"/>
              </w:rPr>
            </w:pPr>
            <w:r w:rsidRPr="00E159ED">
              <w:rPr>
                <w:rFonts w:cstheme="majorHAnsi"/>
                <w:color w:val="auto"/>
              </w:rPr>
              <w:t>2017</w:t>
            </w:r>
          </w:p>
        </w:tc>
        <w:tc>
          <w:tcPr>
            <w:tcW w:w="794" w:type="dxa"/>
            <w:shd w:val="clear" w:color="auto" w:fill="D4DFA0" w:themeFill="accent3"/>
          </w:tcPr>
          <w:p w14:paraId="12BB22CA" w14:textId="77777777" w:rsidR="005035CF" w:rsidRPr="00E159ED" w:rsidRDefault="005035CF" w:rsidP="00EC78E4">
            <w:pPr>
              <w:pStyle w:val="tableheadright"/>
              <w:rPr>
                <w:rFonts w:cstheme="majorHAnsi"/>
                <w:color w:val="auto"/>
              </w:rPr>
            </w:pPr>
            <w:r w:rsidRPr="00E159ED">
              <w:rPr>
                <w:rFonts w:cstheme="majorHAnsi"/>
                <w:color w:val="auto"/>
              </w:rPr>
              <w:t>2016</w:t>
            </w:r>
          </w:p>
        </w:tc>
        <w:tc>
          <w:tcPr>
            <w:tcW w:w="793" w:type="dxa"/>
            <w:shd w:val="clear" w:color="auto" w:fill="D4DFA0" w:themeFill="accent3"/>
          </w:tcPr>
          <w:p w14:paraId="303261D9" w14:textId="77777777" w:rsidR="005035CF" w:rsidRPr="00E159ED" w:rsidRDefault="005035CF" w:rsidP="00EC78E4">
            <w:pPr>
              <w:pStyle w:val="tableheadright"/>
              <w:rPr>
                <w:rFonts w:cstheme="majorHAnsi"/>
                <w:color w:val="auto"/>
              </w:rPr>
            </w:pPr>
            <w:r w:rsidRPr="00E159ED">
              <w:rPr>
                <w:rFonts w:cstheme="majorHAnsi"/>
                <w:color w:val="auto"/>
              </w:rPr>
              <w:t>2015</w:t>
            </w:r>
          </w:p>
        </w:tc>
      </w:tr>
      <w:tr w:rsidR="005035CF" w:rsidRPr="0012521E" w14:paraId="625EA57C" w14:textId="77777777" w:rsidTr="002C739A">
        <w:trPr>
          <w:trHeight w:val="278"/>
        </w:trPr>
        <w:tc>
          <w:tcPr>
            <w:tcW w:w="851" w:type="dxa"/>
          </w:tcPr>
          <w:p w14:paraId="1F168A66" w14:textId="502107C9" w:rsidR="005035CF" w:rsidRPr="0012521E" w:rsidRDefault="005035CF" w:rsidP="00EC78E4">
            <w:pPr>
              <w:pStyle w:val="Tablerightlarge"/>
              <w:rPr>
                <w:rFonts w:asciiTheme="majorHAnsi" w:hAnsiTheme="majorHAnsi" w:cstheme="majorBidi"/>
                <w:highlight w:val="yellow"/>
              </w:rPr>
            </w:pPr>
            <w:r w:rsidRPr="000A035C">
              <w:rPr>
                <w:rFonts w:asciiTheme="majorHAnsi" w:hAnsiTheme="majorHAnsi" w:cstheme="majorHAnsi"/>
              </w:rPr>
              <w:t>155.</w:t>
            </w:r>
            <w:r>
              <w:rPr>
                <w:rFonts w:asciiTheme="majorHAnsi" w:hAnsiTheme="majorHAnsi" w:cstheme="majorHAnsi"/>
              </w:rPr>
              <w:t>1</w:t>
            </w:r>
          </w:p>
        </w:tc>
        <w:tc>
          <w:tcPr>
            <w:tcW w:w="851" w:type="dxa"/>
          </w:tcPr>
          <w:p w14:paraId="1D1D3A0A" w14:textId="68FF240A"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177.1</w:t>
            </w:r>
          </w:p>
        </w:tc>
        <w:tc>
          <w:tcPr>
            <w:tcW w:w="850" w:type="dxa"/>
          </w:tcPr>
          <w:p w14:paraId="05485EE3" w14:textId="77777777"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195.1</w:t>
            </w:r>
          </w:p>
        </w:tc>
        <w:tc>
          <w:tcPr>
            <w:tcW w:w="803" w:type="dxa"/>
          </w:tcPr>
          <w:p w14:paraId="446CE85B" w14:textId="77777777"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146.7</w:t>
            </w:r>
          </w:p>
        </w:tc>
        <w:tc>
          <w:tcPr>
            <w:tcW w:w="803" w:type="dxa"/>
          </w:tcPr>
          <w:p w14:paraId="211AC640" w14:textId="0734D4C6"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140.7</w:t>
            </w:r>
          </w:p>
        </w:tc>
        <w:tc>
          <w:tcPr>
            <w:tcW w:w="803" w:type="dxa"/>
          </w:tcPr>
          <w:p w14:paraId="1B343AE7" w14:textId="77777777"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172.6</w:t>
            </w:r>
          </w:p>
        </w:tc>
        <w:tc>
          <w:tcPr>
            <w:tcW w:w="794" w:type="dxa"/>
          </w:tcPr>
          <w:p w14:paraId="3DC4657E" w14:textId="77777777"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114.8</w:t>
            </w:r>
          </w:p>
        </w:tc>
        <w:tc>
          <w:tcPr>
            <w:tcW w:w="794" w:type="dxa"/>
          </w:tcPr>
          <w:p w14:paraId="327667BE" w14:textId="77777777"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108.8</w:t>
            </w:r>
          </w:p>
        </w:tc>
        <w:tc>
          <w:tcPr>
            <w:tcW w:w="794" w:type="dxa"/>
          </w:tcPr>
          <w:p w14:paraId="0376BD1E" w14:textId="77777777"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108.2</w:t>
            </w:r>
          </w:p>
        </w:tc>
        <w:tc>
          <w:tcPr>
            <w:tcW w:w="793" w:type="dxa"/>
          </w:tcPr>
          <w:p w14:paraId="7D41DA3F" w14:textId="77777777" w:rsidR="005035CF" w:rsidRPr="00E159ED" w:rsidRDefault="005035CF" w:rsidP="00EC78E4">
            <w:pPr>
              <w:pStyle w:val="Tablerightlarge"/>
              <w:rPr>
                <w:rFonts w:asciiTheme="majorHAnsi" w:hAnsiTheme="majorHAnsi" w:cstheme="majorHAnsi"/>
              </w:rPr>
            </w:pPr>
            <w:r w:rsidRPr="00E159ED">
              <w:rPr>
                <w:rFonts w:asciiTheme="majorHAnsi" w:hAnsiTheme="majorHAnsi" w:cstheme="majorHAnsi"/>
              </w:rPr>
              <w:t>112</w:t>
            </w:r>
          </w:p>
        </w:tc>
      </w:tr>
    </w:tbl>
    <w:p w14:paraId="2465AB28" w14:textId="6F76B5EA" w:rsidR="00404347" w:rsidRPr="0012521E" w:rsidRDefault="00404347" w:rsidP="00860D3D">
      <w:pPr>
        <w:rPr>
          <w:rFonts w:asciiTheme="majorHAnsi" w:hAnsiTheme="majorHAnsi" w:cstheme="majorHAnsi"/>
        </w:rPr>
      </w:pPr>
      <w:r w:rsidRPr="0012521E">
        <w:rPr>
          <w:rFonts w:asciiTheme="majorHAnsi" w:hAnsiTheme="majorHAnsi" w:cstheme="majorHAnsi"/>
        </w:rPr>
        <w:t>Note:</w:t>
      </w:r>
    </w:p>
    <w:p w14:paraId="5A83B14E" w14:textId="6EFA63EF" w:rsidR="00860D3D" w:rsidRPr="0012521E" w:rsidRDefault="00860D3D" w:rsidP="00105389">
      <w:pPr>
        <w:pStyle w:val="Body"/>
        <w:rPr>
          <w:highlight w:val="yellow"/>
        </w:rPr>
        <w:sectPr w:rsidR="00860D3D" w:rsidRPr="0012521E" w:rsidSect="006B5042">
          <w:type w:val="continuous"/>
          <w:pgSz w:w="11906" w:h="16838" w:code="9"/>
          <w:pgMar w:top="1702" w:right="1440" w:bottom="993" w:left="1440" w:header="851" w:footer="369" w:gutter="0"/>
          <w:cols w:space="708"/>
          <w:titlePg/>
          <w:docGrid w:linePitch="360"/>
        </w:sectPr>
      </w:pPr>
      <w:r w:rsidRPr="0012521E">
        <w:fldChar w:fldCharType="begin"/>
      </w:r>
      <w:r w:rsidRPr="0012521E">
        <w:instrText xml:space="preserve"> REF _Ref138610254 \h  \* MERGEFORMAT </w:instrText>
      </w:r>
      <w:r w:rsidRPr="0012521E">
        <w:fldChar w:fldCharType="separate"/>
      </w:r>
      <w:r w:rsidR="00EB70DF" w:rsidRPr="00EB70DF">
        <w:t>Table 13</w:t>
      </w:r>
      <w:r w:rsidRPr="0012521E">
        <w:fldChar w:fldCharType="end"/>
      </w:r>
      <w:r w:rsidRPr="0012521E">
        <w:t xml:space="preserve"> discloses the head count and FTE employees of all active public service employees at SV, employed in the last full pay period in June of the current reporting period (202</w:t>
      </w:r>
      <w:r w:rsidR="00AF4C95" w:rsidRPr="0012521E">
        <w:t>4</w:t>
      </w:r>
      <w:r w:rsidRPr="0012521E">
        <w:t>), and in the last full pay period in June of the previous reporting period (202</w:t>
      </w:r>
      <w:r w:rsidR="00AF4C95" w:rsidRPr="0012521E">
        <w:t>3</w:t>
      </w:r>
      <w:r w:rsidRPr="0012521E">
        <w:t>).</w:t>
      </w:r>
    </w:p>
    <w:p w14:paraId="15A5B401" w14:textId="06126268" w:rsidR="00486104" w:rsidRPr="0012521E" w:rsidRDefault="00486104" w:rsidP="00486104">
      <w:pPr>
        <w:pStyle w:val="Caption"/>
        <w:rPr>
          <w:rFonts w:asciiTheme="majorHAnsi" w:hAnsiTheme="majorHAnsi" w:cstheme="majorHAnsi"/>
        </w:rPr>
      </w:pPr>
      <w:bookmarkStart w:id="152" w:name="_Ref138610254"/>
      <w:r w:rsidRPr="0012521E">
        <w:rPr>
          <w:rFonts w:asciiTheme="majorHAnsi" w:hAnsiTheme="majorHAnsi" w:cstheme="majorHAnsi"/>
        </w:rPr>
        <w:lastRenderedPageBreak/>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13</w:t>
      </w:r>
      <w:r w:rsidRPr="0012521E">
        <w:rPr>
          <w:rFonts w:asciiTheme="majorHAnsi" w:hAnsiTheme="majorHAnsi" w:cstheme="majorHAnsi"/>
        </w:rPr>
        <w:fldChar w:fldCharType="end"/>
      </w:r>
      <w:bookmarkEnd w:id="152"/>
      <w:r w:rsidRPr="0012521E">
        <w:rPr>
          <w:rFonts w:asciiTheme="majorHAnsi" w:hAnsiTheme="majorHAnsi" w:cstheme="majorHAnsi"/>
        </w:rPr>
        <w:t>: Details of employment levels in June 202</w:t>
      </w:r>
      <w:r w:rsidR="00573C95" w:rsidRPr="0012521E">
        <w:rPr>
          <w:rFonts w:asciiTheme="majorHAnsi" w:hAnsiTheme="majorHAnsi" w:cstheme="majorHAnsi"/>
        </w:rPr>
        <w:t>4</w:t>
      </w:r>
      <w:r w:rsidRPr="0012521E">
        <w:rPr>
          <w:rFonts w:asciiTheme="majorHAnsi" w:hAnsiTheme="majorHAnsi" w:cstheme="majorHAnsi"/>
        </w:rPr>
        <w:t xml:space="preserve"> and June 202</w:t>
      </w:r>
      <w:r w:rsidR="00573C95" w:rsidRPr="0012521E">
        <w:rPr>
          <w:rFonts w:asciiTheme="majorHAnsi" w:hAnsiTheme="majorHAnsi" w:cstheme="majorHAnsi"/>
        </w:rPr>
        <w:t>3</w:t>
      </w:r>
    </w:p>
    <w:p w14:paraId="10F73D9E" w14:textId="3B0E0B05" w:rsidR="00486104" w:rsidRPr="0012521E" w:rsidRDefault="00486104" w:rsidP="0074499F">
      <w:pPr>
        <w:pStyle w:val="Heading4"/>
        <w:rPr>
          <w:rStyle w:val="Strong"/>
          <w:rFonts w:asciiTheme="majorHAnsi" w:hAnsiTheme="majorHAnsi" w:cstheme="majorHAnsi"/>
          <w:b w:val="0"/>
          <w:bCs w:val="0"/>
        </w:rPr>
      </w:pPr>
      <w:bookmarkStart w:id="153" w:name="_Toc166585732"/>
      <w:r w:rsidRPr="0012521E">
        <w:rPr>
          <w:rStyle w:val="Strong"/>
          <w:rFonts w:asciiTheme="majorHAnsi" w:hAnsiTheme="majorHAnsi" w:cstheme="majorHAnsi"/>
        </w:rPr>
        <w:t>Demographic data: Gender June 202</w:t>
      </w:r>
      <w:r w:rsidR="00573C95" w:rsidRPr="0012521E">
        <w:rPr>
          <w:rStyle w:val="Strong"/>
          <w:rFonts w:asciiTheme="majorHAnsi" w:hAnsiTheme="majorHAnsi" w:cstheme="majorHAnsi"/>
        </w:rPr>
        <w:t>4</w:t>
      </w:r>
      <w:bookmarkEnd w:id="153"/>
    </w:p>
    <w:tbl>
      <w:tblPr>
        <w:tblStyle w:val="TableGrid"/>
        <w:tblW w:w="14562" w:type="dxa"/>
        <w:tblLook w:val="0020" w:firstRow="1" w:lastRow="0" w:firstColumn="0" w:lastColumn="0" w:noHBand="0" w:noVBand="0"/>
      </w:tblPr>
      <w:tblGrid>
        <w:gridCol w:w="1464"/>
        <w:gridCol w:w="1949"/>
        <w:gridCol w:w="1582"/>
        <w:gridCol w:w="1857"/>
        <w:gridCol w:w="1864"/>
        <w:gridCol w:w="1919"/>
        <w:gridCol w:w="2107"/>
        <w:gridCol w:w="1820"/>
      </w:tblGrid>
      <w:tr w:rsidR="00486104" w:rsidRPr="0012521E" w14:paraId="36A2498A" w14:textId="77777777" w:rsidTr="00E159ED">
        <w:tc>
          <w:tcPr>
            <w:tcW w:w="0" w:type="auto"/>
            <w:shd w:val="clear" w:color="auto" w:fill="D4DFA0" w:themeFill="background2"/>
          </w:tcPr>
          <w:p w14:paraId="7803932A" w14:textId="77777777" w:rsidR="00486104" w:rsidRPr="00E159ED" w:rsidRDefault="00486104" w:rsidP="00EC78E4">
            <w:pPr>
              <w:pStyle w:val="tableheadright"/>
              <w:rPr>
                <w:rFonts w:cstheme="majorHAnsi"/>
                <w:color w:val="auto"/>
                <w:u w:color="000000"/>
              </w:rPr>
            </w:pPr>
          </w:p>
        </w:tc>
        <w:tc>
          <w:tcPr>
            <w:tcW w:w="0" w:type="auto"/>
            <w:shd w:val="clear" w:color="auto" w:fill="D4DFA0" w:themeFill="background2"/>
          </w:tcPr>
          <w:p w14:paraId="3C319803"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Number (headcount)</w:t>
            </w:r>
          </w:p>
        </w:tc>
        <w:tc>
          <w:tcPr>
            <w:tcW w:w="0" w:type="auto"/>
            <w:shd w:val="clear" w:color="auto" w:fill="D4DFA0" w:themeFill="background2"/>
          </w:tcPr>
          <w:p w14:paraId="55A17857"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FTE</w:t>
            </w:r>
          </w:p>
        </w:tc>
        <w:tc>
          <w:tcPr>
            <w:tcW w:w="0" w:type="auto"/>
            <w:shd w:val="clear" w:color="auto" w:fill="D4DFA0" w:themeFill="background2"/>
          </w:tcPr>
          <w:p w14:paraId="2E9285DC"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Full-time (headcount)</w:t>
            </w:r>
          </w:p>
        </w:tc>
        <w:tc>
          <w:tcPr>
            <w:tcW w:w="0" w:type="auto"/>
            <w:shd w:val="clear" w:color="auto" w:fill="D4DFA0" w:themeFill="background2"/>
          </w:tcPr>
          <w:p w14:paraId="4626241C"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Part-time (headcount)</w:t>
            </w:r>
          </w:p>
        </w:tc>
        <w:tc>
          <w:tcPr>
            <w:tcW w:w="1919" w:type="dxa"/>
            <w:shd w:val="clear" w:color="auto" w:fill="D4DFA0" w:themeFill="background2"/>
          </w:tcPr>
          <w:p w14:paraId="4044222F"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Ongoing: FTE</w:t>
            </w:r>
          </w:p>
        </w:tc>
        <w:tc>
          <w:tcPr>
            <w:tcW w:w="0" w:type="auto"/>
            <w:shd w:val="clear" w:color="auto" w:fill="D4DFA0" w:themeFill="background2"/>
          </w:tcPr>
          <w:p w14:paraId="10E04104"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Number (headcount)</w:t>
            </w:r>
          </w:p>
        </w:tc>
        <w:tc>
          <w:tcPr>
            <w:tcW w:w="1820" w:type="dxa"/>
            <w:shd w:val="clear" w:color="auto" w:fill="D4DFA0" w:themeFill="background2"/>
          </w:tcPr>
          <w:p w14:paraId="062AE510"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FTE</w:t>
            </w:r>
          </w:p>
        </w:tc>
      </w:tr>
      <w:tr w:rsidR="00486104" w:rsidRPr="0012521E" w14:paraId="33908E21" w14:textId="77777777" w:rsidTr="00B21AAF">
        <w:tc>
          <w:tcPr>
            <w:tcW w:w="0" w:type="auto"/>
          </w:tcPr>
          <w:p w14:paraId="0AEC0BDA" w14:textId="77777777" w:rsidR="00486104" w:rsidRPr="0012521E" w:rsidRDefault="00486104" w:rsidP="00EC78E4">
            <w:pPr>
              <w:pStyle w:val="TableText"/>
              <w:rPr>
                <w:rFonts w:asciiTheme="majorHAnsi" w:hAnsiTheme="majorHAnsi" w:cstheme="majorHAnsi"/>
                <w:u w:color="000000"/>
              </w:rPr>
            </w:pPr>
            <w:bookmarkStart w:id="154" w:name="Title161"/>
            <w:r w:rsidRPr="0012521E">
              <w:rPr>
                <w:rFonts w:asciiTheme="majorHAnsi" w:hAnsiTheme="majorHAnsi" w:cstheme="majorHAnsi"/>
                <w:u w:color="000000"/>
              </w:rPr>
              <w:t>Women</w:t>
            </w:r>
            <w:bookmarkEnd w:id="154"/>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C8F6012" w14:textId="5BB1139B" w:rsidR="00486104" w:rsidRPr="00E5766A" w:rsidRDefault="000874DE" w:rsidP="00EC78E4">
            <w:pPr>
              <w:pStyle w:val="Tablerightlarge"/>
              <w:rPr>
                <w:rFonts w:asciiTheme="majorHAnsi" w:hAnsiTheme="majorHAnsi" w:cstheme="majorHAnsi"/>
              </w:rPr>
            </w:pPr>
            <w:r w:rsidRPr="00E5766A">
              <w:t>120</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43655D05" w14:textId="5340F9A1" w:rsidR="00486104" w:rsidRPr="00E5766A" w:rsidRDefault="000874DE" w:rsidP="00EC78E4">
            <w:pPr>
              <w:pStyle w:val="Tablerightlarge"/>
              <w:rPr>
                <w:rFonts w:asciiTheme="majorHAnsi" w:hAnsiTheme="majorHAnsi" w:cstheme="majorHAnsi"/>
              </w:rPr>
            </w:pPr>
            <w:r w:rsidRPr="00E5766A">
              <w:t>1</w:t>
            </w:r>
            <w:r w:rsidR="00414626" w:rsidRPr="00E5766A">
              <w:t>09</w:t>
            </w:r>
            <w:r w:rsidRPr="00E5766A">
              <w:t>.1</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22AE516D" w14:textId="3C4B0367" w:rsidR="00486104" w:rsidRPr="00E5766A" w:rsidRDefault="000874DE" w:rsidP="00EC78E4">
            <w:pPr>
              <w:pStyle w:val="Tablerightlarge"/>
              <w:rPr>
                <w:rFonts w:asciiTheme="majorHAnsi" w:hAnsiTheme="majorHAnsi" w:cstheme="majorHAnsi"/>
              </w:rPr>
            </w:pPr>
            <w:r w:rsidRPr="00E5766A">
              <w:t>25</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14767673" w14:textId="24CE5BEA" w:rsidR="00486104" w:rsidRPr="00E5766A" w:rsidRDefault="000874DE" w:rsidP="00EC78E4">
            <w:pPr>
              <w:pStyle w:val="Tablerightlarge"/>
              <w:rPr>
                <w:rFonts w:asciiTheme="majorHAnsi" w:hAnsiTheme="majorHAnsi" w:cstheme="majorHAnsi"/>
              </w:rPr>
            </w:pPr>
            <w:r w:rsidRPr="00E5766A">
              <w:t>9</w:t>
            </w:r>
          </w:p>
        </w:tc>
        <w:tc>
          <w:tcPr>
            <w:tcW w:w="1919" w:type="dxa"/>
            <w:tcBorders>
              <w:top w:val="single" w:sz="8" w:space="0" w:color="000000"/>
              <w:left w:val="nil"/>
              <w:bottom w:val="single" w:sz="8" w:space="0" w:color="000000"/>
              <w:right w:val="single" w:sz="8" w:space="0" w:color="000000"/>
            </w:tcBorders>
            <w:shd w:val="clear" w:color="auto" w:fill="auto"/>
            <w:vAlign w:val="center"/>
          </w:tcPr>
          <w:p w14:paraId="1FAAE7EE" w14:textId="1BA8DD27" w:rsidR="00486104" w:rsidRPr="00E5766A" w:rsidRDefault="000874DE" w:rsidP="00EC78E4">
            <w:pPr>
              <w:pStyle w:val="Tablerightlarge"/>
              <w:rPr>
                <w:rFonts w:asciiTheme="majorHAnsi" w:hAnsiTheme="majorHAnsi" w:cstheme="majorHAnsi"/>
              </w:rPr>
            </w:pPr>
            <w:r w:rsidRPr="00E5766A">
              <w:t>31.7</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7A905A3E" w14:textId="3838DD09" w:rsidR="00486104" w:rsidRPr="00E5766A" w:rsidRDefault="000874DE" w:rsidP="00EC78E4">
            <w:pPr>
              <w:pStyle w:val="Tablerightlarge"/>
              <w:rPr>
                <w:rFonts w:asciiTheme="majorHAnsi" w:hAnsiTheme="majorHAnsi" w:cstheme="majorHAnsi"/>
              </w:rPr>
            </w:pPr>
            <w:r w:rsidRPr="00E5766A">
              <w:t>86</w:t>
            </w:r>
          </w:p>
        </w:tc>
        <w:tc>
          <w:tcPr>
            <w:tcW w:w="1820" w:type="dxa"/>
            <w:tcBorders>
              <w:top w:val="single" w:sz="8" w:space="0" w:color="000000"/>
              <w:left w:val="nil"/>
              <w:bottom w:val="single" w:sz="8" w:space="0" w:color="000000"/>
              <w:right w:val="single" w:sz="4" w:space="0" w:color="000000"/>
            </w:tcBorders>
            <w:shd w:val="clear" w:color="auto" w:fill="auto"/>
            <w:vAlign w:val="center"/>
          </w:tcPr>
          <w:p w14:paraId="0EE2F2FD" w14:textId="78848120" w:rsidR="00486104" w:rsidRPr="00E5766A" w:rsidRDefault="000874DE" w:rsidP="00EC78E4">
            <w:pPr>
              <w:pStyle w:val="Tablerightlarge"/>
              <w:rPr>
                <w:rFonts w:asciiTheme="majorHAnsi" w:hAnsiTheme="majorHAnsi" w:cstheme="majorHAnsi"/>
              </w:rPr>
            </w:pPr>
            <w:r w:rsidRPr="00E5766A">
              <w:t>78</w:t>
            </w:r>
          </w:p>
        </w:tc>
      </w:tr>
      <w:tr w:rsidR="00486104" w:rsidRPr="0012521E" w14:paraId="2DDA1ACE" w14:textId="77777777" w:rsidTr="00B21AAF">
        <w:tc>
          <w:tcPr>
            <w:tcW w:w="0" w:type="auto"/>
          </w:tcPr>
          <w:p w14:paraId="4BA966FF" w14:textId="77777777" w:rsidR="00486104" w:rsidRPr="0012521E" w:rsidRDefault="00486104" w:rsidP="00EC78E4">
            <w:pPr>
              <w:pStyle w:val="TableText"/>
              <w:rPr>
                <w:rFonts w:asciiTheme="majorHAnsi" w:hAnsiTheme="majorHAnsi" w:cstheme="majorHAnsi"/>
                <w:u w:color="000000"/>
              </w:rPr>
            </w:pPr>
            <w:r w:rsidRPr="0012521E">
              <w:rPr>
                <w:rFonts w:asciiTheme="majorHAnsi" w:hAnsiTheme="majorHAnsi" w:cstheme="majorHAnsi"/>
                <w:u w:color="000000"/>
              </w:rPr>
              <w:t>Men</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3CE12AC4" w14:textId="0E5AA72F" w:rsidR="00486104" w:rsidRPr="00E5766A" w:rsidRDefault="000874DE" w:rsidP="00EC78E4">
            <w:pPr>
              <w:pStyle w:val="Tablerightlarge"/>
              <w:rPr>
                <w:rFonts w:asciiTheme="majorHAnsi" w:hAnsiTheme="majorHAnsi" w:cstheme="majorHAnsi"/>
              </w:rPr>
            </w:pPr>
            <w:r w:rsidRPr="00E5766A">
              <w:t>47</w:t>
            </w:r>
          </w:p>
        </w:tc>
        <w:tc>
          <w:tcPr>
            <w:tcW w:w="0" w:type="auto"/>
            <w:tcBorders>
              <w:top w:val="nil"/>
              <w:left w:val="nil"/>
              <w:bottom w:val="single" w:sz="8" w:space="0" w:color="000000"/>
              <w:right w:val="single" w:sz="8" w:space="0" w:color="000000"/>
            </w:tcBorders>
            <w:shd w:val="clear" w:color="auto" w:fill="auto"/>
            <w:vAlign w:val="center"/>
          </w:tcPr>
          <w:p w14:paraId="25326AC9" w14:textId="31104BD0" w:rsidR="00486104" w:rsidRPr="00E5766A" w:rsidRDefault="000874DE" w:rsidP="00EC78E4">
            <w:pPr>
              <w:pStyle w:val="Tablerightlarge"/>
              <w:rPr>
                <w:rFonts w:asciiTheme="majorHAnsi" w:hAnsiTheme="majorHAnsi" w:cstheme="majorHAnsi"/>
              </w:rPr>
            </w:pPr>
            <w:r w:rsidRPr="00E5766A">
              <w:t>4</w:t>
            </w:r>
            <w:r w:rsidR="00414626" w:rsidRPr="00E5766A">
              <w:t>6</w:t>
            </w:r>
          </w:p>
        </w:tc>
        <w:tc>
          <w:tcPr>
            <w:tcW w:w="0" w:type="auto"/>
            <w:tcBorders>
              <w:top w:val="nil"/>
              <w:left w:val="nil"/>
              <w:bottom w:val="single" w:sz="8" w:space="0" w:color="000000"/>
              <w:right w:val="single" w:sz="8" w:space="0" w:color="000000"/>
            </w:tcBorders>
            <w:shd w:val="clear" w:color="auto" w:fill="auto"/>
            <w:vAlign w:val="center"/>
          </w:tcPr>
          <w:p w14:paraId="1A3762BC" w14:textId="29C9659B" w:rsidR="00486104" w:rsidRPr="00E5766A" w:rsidRDefault="000874DE" w:rsidP="00EC78E4">
            <w:pPr>
              <w:pStyle w:val="Tablerightlarge"/>
              <w:rPr>
                <w:rFonts w:asciiTheme="majorHAnsi" w:hAnsiTheme="majorHAnsi" w:cstheme="majorHAnsi"/>
              </w:rPr>
            </w:pPr>
            <w:r w:rsidRPr="00E5766A">
              <w:t>14</w:t>
            </w:r>
          </w:p>
        </w:tc>
        <w:tc>
          <w:tcPr>
            <w:tcW w:w="0" w:type="auto"/>
            <w:tcBorders>
              <w:top w:val="nil"/>
              <w:left w:val="nil"/>
              <w:bottom w:val="single" w:sz="8" w:space="0" w:color="000000"/>
              <w:right w:val="single" w:sz="8" w:space="0" w:color="000000"/>
            </w:tcBorders>
            <w:shd w:val="clear" w:color="auto" w:fill="auto"/>
            <w:vAlign w:val="center"/>
          </w:tcPr>
          <w:p w14:paraId="59D3853C" w14:textId="2E4BAD2C" w:rsidR="00486104" w:rsidRPr="00E5766A" w:rsidRDefault="000874DE" w:rsidP="00EC78E4">
            <w:pPr>
              <w:pStyle w:val="Tablerightlarge"/>
              <w:rPr>
                <w:rFonts w:asciiTheme="majorHAnsi" w:hAnsiTheme="majorHAnsi" w:cstheme="majorHAnsi"/>
              </w:rPr>
            </w:pPr>
            <w:r w:rsidRPr="00E5766A">
              <w:t>1</w:t>
            </w:r>
          </w:p>
        </w:tc>
        <w:tc>
          <w:tcPr>
            <w:tcW w:w="1919" w:type="dxa"/>
            <w:tcBorders>
              <w:top w:val="nil"/>
              <w:left w:val="nil"/>
              <w:bottom w:val="single" w:sz="8" w:space="0" w:color="000000"/>
              <w:right w:val="single" w:sz="8" w:space="0" w:color="000000"/>
            </w:tcBorders>
            <w:shd w:val="clear" w:color="auto" w:fill="auto"/>
            <w:vAlign w:val="center"/>
          </w:tcPr>
          <w:p w14:paraId="22AB3ED1" w14:textId="283F3DDD" w:rsidR="00486104" w:rsidRPr="00E5766A" w:rsidRDefault="000874DE" w:rsidP="00EC78E4">
            <w:pPr>
              <w:pStyle w:val="Tablerightlarge"/>
              <w:rPr>
                <w:rFonts w:asciiTheme="majorHAnsi" w:hAnsiTheme="majorHAnsi" w:cstheme="majorHAnsi"/>
              </w:rPr>
            </w:pPr>
            <w:r w:rsidRPr="00E5766A">
              <w:t>14.8</w:t>
            </w:r>
          </w:p>
        </w:tc>
        <w:tc>
          <w:tcPr>
            <w:tcW w:w="0" w:type="auto"/>
            <w:tcBorders>
              <w:top w:val="nil"/>
              <w:left w:val="nil"/>
              <w:bottom w:val="single" w:sz="8" w:space="0" w:color="000000"/>
              <w:right w:val="single" w:sz="8" w:space="0" w:color="000000"/>
            </w:tcBorders>
            <w:shd w:val="clear" w:color="auto" w:fill="auto"/>
            <w:vAlign w:val="center"/>
          </w:tcPr>
          <w:p w14:paraId="1E95A09C" w14:textId="1D3508B3" w:rsidR="00486104" w:rsidRPr="00E5766A" w:rsidRDefault="000874DE" w:rsidP="00EC78E4">
            <w:pPr>
              <w:pStyle w:val="Tablerightlarge"/>
              <w:rPr>
                <w:rFonts w:asciiTheme="majorHAnsi" w:hAnsiTheme="majorHAnsi" w:cstheme="majorHAnsi"/>
              </w:rPr>
            </w:pPr>
            <w:r w:rsidRPr="00E5766A">
              <w:t>32</w:t>
            </w:r>
          </w:p>
        </w:tc>
        <w:tc>
          <w:tcPr>
            <w:tcW w:w="1820" w:type="dxa"/>
            <w:tcBorders>
              <w:top w:val="nil"/>
              <w:left w:val="nil"/>
              <w:bottom w:val="single" w:sz="8" w:space="0" w:color="000000"/>
              <w:right w:val="single" w:sz="4" w:space="0" w:color="000000"/>
            </w:tcBorders>
            <w:shd w:val="clear" w:color="auto" w:fill="auto"/>
            <w:vAlign w:val="center"/>
          </w:tcPr>
          <w:p w14:paraId="6D3F3B7D" w14:textId="169B8476" w:rsidR="00486104" w:rsidRPr="00E5766A" w:rsidRDefault="000874DE" w:rsidP="00EC78E4">
            <w:pPr>
              <w:pStyle w:val="Tablerightlarge"/>
              <w:rPr>
                <w:rFonts w:asciiTheme="majorHAnsi" w:hAnsiTheme="majorHAnsi" w:cstheme="majorHAnsi"/>
              </w:rPr>
            </w:pPr>
            <w:r w:rsidRPr="00E5766A">
              <w:t>31.2</w:t>
            </w:r>
          </w:p>
        </w:tc>
      </w:tr>
      <w:tr w:rsidR="00486104" w:rsidRPr="0012521E" w14:paraId="4C47D306" w14:textId="77777777" w:rsidTr="00B21AAF">
        <w:tc>
          <w:tcPr>
            <w:tcW w:w="0" w:type="auto"/>
          </w:tcPr>
          <w:p w14:paraId="234315FF" w14:textId="77777777" w:rsidR="00486104" w:rsidRPr="0012521E" w:rsidRDefault="00486104" w:rsidP="00EC78E4">
            <w:pPr>
              <w:pStyle w:val="TableText"/>
              <w:rPr>
                <w:rFonts w:asciiTheme="majorHAnsi" w:hAnsiTheme="majorHAnsi" w:cstheme="majorHAnsi"/>
                <w:u w:color="000000"/>
              </w:rPr>
            </w:pPr>
            <w:r w:rsidRPr="0012521E">
              <w:rPr>
                <w:rFonts w:asciiTheme="majorHAnsi" w:hAnsiTheme="majorHAnsi" w:cstheme="majorHAnsi"/>
                <w:u w:color="000000"/>
              </w:rPr>
              <w:t>Self-described</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5FAFA436" w14:textId="1CAE855A" w:rsidR="00486104" w:rsidRPr="00E5766A" w:rsidRDefault="000874DE" w:rsidP="00EC78E4">
            <w:pPr>
              <w:pStyle w:val="Tablerightlarge"/>
              <w:rPr>
                <w:rFonts w:asciiTheme="majorHAnsi" w:hAnsiTheme="majorHAnsi" w:cstheme="majorHAnsi"/>
              </w:rPr>
            </w:pPr>
            <w:r w:rsidRPr="00E5766A">
              <w:t> </w:t>
            </w:r>
            <w:r w:rsidR="00B314AB" w:rsidRPr="00E5766A">
              <w:t>0</w:t>
            </w:r>
          </w:p>
        </w:tc>
        <w:tc>
          <w:tcPr>
            <w:tcW w:w="0" w:type="auto"/>
            <w:tcBorders>
              <w:top w:val="nil"/>
              <w:left w:val="nil"/>
              <w:bottom w:val="single" w:sz="8" w:space="0" w:color="000000"/>
              <w:right w:val="single" w:sz="8" w:space="0" w:color="000000"/>
            </w:tcBorders>
            <w:shd w:val="clear" w:color="auto" w:fill="auto"/>
            <w:vAlign w:val="center"/>
          </w:tcPr>
          <w:p w14:paraId="703B9DE1" w14:textId="6E3E8B95" w:rsidR="00486104" w:rsidRPr="00E5766A" w:rsidRDefault="000874DE" w:rsidP="00EC78E4">
            <w:pPr>
              <w:pStyle w:val="Tablerightlarge"/>
              <w:rPr>
                <w:rFonts w:asciiTheme="majorHAnsi" w:hAnsiTheme="majorHAnsi" w:cstheme="majorHAnsi"/>
              </w:rPr>
            </w:pPr>
            <w:r w:rsidRPr="00E5766A">
              <w:t> </w:t>
            </w:r>
            <w:r w:rsidR="00B314AB" w:rsidRPr="00E5766A">
              <w:t>0</w:t>
            </w:r>
          </w:p>
        </w:tc>
        <w:tc>
          <w:tcPr>
            <w:tcW w:w="0" w:type="auto"/>
            <w:tcBorders>
              <w:top w:val="nil"/>
              <w:left w:val="nil"/>
              <w:bottom w:val="single" w:sz="8" w:space="0" w:color="000000"/>
              <w:right w:val="single" w:sz="8" w:space="0" w:color="000000"/>
            </w:tcBorders>
            <w:shd w:val="clear" w:color="auto" w:fill="auto"/>
            <w:vAlign w:val="center"/>
          </w:tcPr>
          <w:p w14:paraId="3A24C104" w14:textId="707DD4AD" w:rsidR="00486104" w:rsidRPr="00E5766A" w:rsidRDefault="000874DE" w:rsidP="00EC78E4">
            <w:pPr>
              <w:pStyle w:val="Tablerightlarge"/>
              <w:rPr>
                <w:rFonts w:asciiTheme="majorHAnsi" w:hAnsiTheme="majorHAnsi" w:cstheme="majorHAnsi"/>
              </w:rPr>
            </w:pPr>
            <w:r w:rsidRPr="00E5766A">
              <w:t> </w:t>
            </w:r>
            <w:r w:rsidR="00B314AB" w:rsidRPr="00E5766A">
              <w:t>0</w:t>
            </w:r>
          </w:p>
        </w:tc>
        <w:tc>
          <w:tcPr>
            <w:tcW w:w="0" w:type="auto"/>
            <w:tcBorders>
              <w:top w:val="nil"/>
              <w:left w:val="nil"/>
              <w:bottom w:val="single" w:sz="8" w:space="0" w:color="000000"/>
              <w:right w:val="single" w:sz="8" w:space="0" w:color="000000"/>
            </w:tcBorders>
            <w:shd w:val="clear" w:color="auto" w:fill="auto"/>
            <w:vAlign w:val="center"/>
          </w:tcPr>
          <w:p w14:paraId="2F0D8F18" w14:textId="2654F34D" w:rsidR="00486104" w:rsidRPr="00E5766A" w:rsidRDefault="000874DE" w:rsidP="00EC78E4">
            <w:pPr>
              <w:pStyle w:val="Tablerightlarge"/>
              <w:rPr>
                <w:rFonts w:asciiTheme="majorHAnsi" w:hAnsiTheme="majorHAnsi" w:cstheme="majorHAnsi"/>
              </w:rPr>
            </w:pPr>
            <w:r w:rsidRPr="00E5766A">
              <w:t> </w:t>
            </w:r>
            <w:r w:rsidR="00B314AB" w:rsidRPr="00E5766A">
              <w:t>0</w:t>
            </w:r>
          </w:p>
        </w:tc>
        <w:tc>
          <w:tcPr>
            <w:tcW w:w="1919" w:type="dxa"/>
            <w:tcBorders>
              <w:top w:val="nil"/>
              <w:left w:val="nil"/>
              <w:bottom w:val="nil"/>
              <w:right w:val="nil"/>
            </w:tcBorders>
            <w:shd w:val="clear" w:color="auto" w:fill="auto"/>
            <w:vAlign w:val="bottom"/>
          </w:tcPr>
          <w:p w14:paraId="363760FD" w14:textId="24068D97" w:rsidR="00486104" w:rsidRPr="00E5766A" w:rsidRDefault="00B314AB" w:rsidP="00EC78E4">
            <w:pPr>
              <w:pStyle w:val="Tablerightlarge"/>
              <w:rPr>
                <w:rFonts w:asciiTheme="majorHAnsi" w:hAnsiTheme="majorHAnsi" w:cstheme="majorHAnsi"/>
              </w:rPr>
            </w:pPr>
            <w:r w:rsidRPr="00E5766A">
              <w:rPr>
                <w:rFonts w:asciiTheme="majorHAnsi" w:hAnsiTheme="majorHAnsi" w:cstheme="majorHAnsi"/>
              </w:rPr>
              <w:t>0</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05909884" w14:textId="2A72B1AC" w:rsidR="00486104" w:rsidRPr="00E5766A" w:rsidRDefault="000874DE" w:rsidP="00EC78E4">
            <w:pPr>
              <w:pStyle w:val="Tablerightlarge"/>
              <w:rPr>
                <w:rFonts w:asciiTheme="majorHAnsi" w:hAnsiTheme="majorHAnsi" w:cstheme="majorHAnsi"/>
              </w:rPr>
            </w:pPr>
            <w:r w:rsidRPr="00E5766A">
              <w:t> </w:t>
            </w:r>
            <w:r w:rsidR="00B314AB" w:rsidRPr="00E5766A">
              <w:t>0</w:t>
            </w:r>
          </w:p>
        </w:tc>
        <w:tc>
          <w:tcPr>
            <w:tcW w:w="1820" w:type="dxa"/>
            <w:tcBorders>
              <w:top w:val="nil"/>
              <w:left w:val="nil"/>
              <w:bottom w:val="single" w:sz="8" w:space="0" w:color="000000"/>
              <w:right w:val="single" w:sz="4" w:space="0" w:color="000000"/>
            </w:tcBorders>
            <w:shd w:val="clear" w:color="auto" w:fill="auto"/>
            <w:vAlign w:val="center"/>
          </w:tcPr>
          <w:p w14:paraId="1737A1D3" w14:textId="0D16E8D5" w:rsidR="00486104" w:rsidRPr="00E5766A" w:rsidRDefault="000874DE" w:rsidP="00EC78E4">
            <w:pPr>
              <w:pStyle w:val="Tablerightlarge"/>
              <w:rPr>
                <w:rFonts w:asciiTheme="majorHAnsi" w:hAnsiTheme="majorHAnsi" w:cstheme="majorHAnsi"/>
              </w:rPr>
            </w:pPr>
            <w:r w:rsidRPr="00E5766A">
              <w:t> </w:t>
            </w:r>
            <w:r w:rsidR="00B314AB" w:rsidRPr="00E5766A">
              <w:t>0</w:t>
            </w:r>
          </w:p>
        </w:tc>
      </w:tr>
      <w:tr w:rsidR="00486104" w:rsidRPr="0012521E" w14:paraId="6C0F58AA" w14:textId="77777777" w:rsidTr="00284F80">
        <w:tc>
          <w:tcPr>
            <w:tcW w:w="0" w:type="auto"/>
            <w:shd w:val="clear" w:color="auto" w:fill="F4F9EE" w:themeFill="accent6" w:themeFillTint="33"/>
          </w:tcPr>
          <w:p w14:paraId="7A776FEF" w14:textId="77777777" w:rsidR="00486104" w:rsidRPr="0012521E" w:rsidRDefault="00486104" w:rsidP="00EC78E4">
            <w:pPr>
              <w:pStyle w:val="TableText"/>
              <w:rPr>
                <w:rFonts w:asciiTheme="majorHAnsi" w:hAnsiTheme="majorHAnsi" w:cstheme="majorHAnsi"/>
                <w:b/>
                <w:bCs w:val="0"/>
                <w:u w:color="000000"/>
              </w:rPr>
            </w:pPr>
            <w:r w:rsidRPr="0012521E">
              <w:rPr>
                <w:rFonts w:asciiTheme="majorHAnsi" w:hAnsiTheme="majorHAnsi" w:cstheme="majorHAnsi"/>
                <w:b/>
                <w:bCs w:val="0"/>
                <w:u w:color="000000"/>
              </w:rPr>
              <w:t>Total employees</w:t>
            </w:r>
          </w:p>
        </w:tc>
        <w:tc>
          <w:tcPr>
            <w:tcW w:w="0" w:type="auto"/>
            <w:tcBorders>
              <w:top w:val="nil"/>
              <w:left w:val="single" w:sz="8" w:space="0" w:color="000000"/>
              <w:bottom w:val="single" w:sz="4" w:space="0" w:color="000000"/>
              <w:right w:val="single" w:sz="8" w:space="0" w:color="000000"/>
            </w:tcBorders>
            <w:shd w:val="clear" w:color="000000" w:fill="F4F9EE"/>
            <w:vAlign w:val="center"/>
          </w:tcPr>
          <w:p w14:paraId="530E0D19" w14:textId="7E3AF774" w:rsidR="00486104" w:rsidRPr="00E5766A" w:rsidRDefault="000874DE" w:rsidP="00EC78E4">
            <w:pPr>
              <w:pStyle w:val="Tablerightlarge"/>
              <w:rPr>
                <w:rFonts w:asciiTheme="majorHAnsi" w:hAnsiTheme="majorHAnsi" w:cstheme="majorHAnsi"/>
              </w:rPr>
            </w:pPr>
            <w:r w:rsidRPr="00E5766A">
              <w:t>167</w:t>
            </w:r>
          </w:p>
        </w:tc>
        <w:tc>
          <w:tcPr>
            <w:tcW w:w="0" w:type="auto"/>
            <w:tcBorders>
              <w:top w:val="nil"/>
              <w:left w:val="nil"/>
              <w:bottom w:val="single" w:sz="4" w:space="0" w:color="000000"/>
              <w:right w:val="single" w:sz="8" w:space="0" w:color="000000"/>
            </w:tcBorders>
            <w:shd w:val="clear" w:color="000000" w:fill="F4F9EE"/>
            <w:vAlign w:val="center"/>
          </w:tcPr>
          <w:p w14:paraId="5D1959DD" w14:textId="4580D206" w:rsidR="00486104" w:rsidRPr="00E5766A" w:rsidRDefault="000874DE" w:rsidP="00EC78E4">
            <w:pPr>
              <w:pStyle w:val="Tablerightlarge"/>
              <w:rPr>
                <w:rFonts w:asciiTheme="majorHAnsi" w:hAnsiTheme="majorHAnsi" w:cstheme="majorHAnsi"/>
              </w:rPr>
            </w:pPr>
            <w:r w:rsidRPr="00E5766A">
              <w:t>155.</w:t>
            </w:r>
            <w:r w:rsidR="00B2761B" w:rsidRPr="00E5766A">
              <w:t>1</w:t>
            </w:r>
          </w:p>
        </w:tc>
        <w:tc>
          <w:tcPr>
            <w:tcW w:w="0" w:type="auto"/>
            <w:tcBorders>
              <w:top w:val="nil"/>
              <w:left w:val="nil"/>
              <w:bottom w:val="single" w:sz="4" w:space="0" w:color="000000"/>
              <w:right w:val="single" w:sz="8" w:space="0" w:color="000000"/>
            </w:tcBorders>
            <w:shd w:val="clear" w:color="000000" w:fill="F4F9EE"/>
            <w:vAlign w:val="center"/>
          </w:tcPr>
          <w:p w14:paraId="30994EB3" w14:textId="657BE8F5" w:rsidR="00486104" w:rsidRPr="00E5766A" w:rsidRDefault="000874DE" w:rsidP="00EC78E4">
            <w:pPr>
              <w:pStyle w:val="Tablerightlarge"/>
              <w:rPr>
                <w:rFonts w:asciiTheme="majorHAnsi" w:hAnsiTheme="majorHAnsi" w:cstheme="majorHAnsi"/>
              </w:rPr>
            </w:pPr>
            <w:r w:rsidRPr="00E5766A">
              <w:t>39</w:t>
            </w:r>
          </w:p>
        </w:tc>
        <w:tc>
          <w:tcPr>
            <w:tcW w:w="0" w:type="auto"/>
            <w:tcBorders>
              <w:top w:val="nil"/>
              <w:left w:val="nil"/>
              <w:bottom w:val="single" w:sz="4" w:space="0" w:color="000000"/>
              <w:right w:val="single" w:sz="8" w:space="0" w:color="000000"/>
            </w:tcBorders>
            <w:shd w:val="clear" w:color="000000" w:fill="F4F9EE"/>
            <w:vAlign w:val="center"/>
          </w:tcPr>
          <w:p w14:paraId="046CF396" w14:textId="5DA4EF8B" w:rsidR="00486104" w:rsidRPr="00E5766A" w:rsidRDefault="000874DE" w:rsidP="00EC78E4">
            <w:pPr>
              <w:pStyle w:val="Tablerightlarge"/>
              <w:rPr>
                <w:rFonts w:asciiTheme="majorHAnsi" w:hAnsiTheme="majorHAnsi" w:cstheme="majorHAnsi"/>
              </w:rPr>
            </w:pPr>
            <w:r w:rsidRPr="00E5766A">
              <w:t>10</w:t>
            </w:r>
          </w:p>
        </w:tc>
        <w:tc>
          <w:tcPr>
            <w:tcW w:w="1919" w:type="dxa"/>
            <w:tcBorders>
              <w:top w:val="single" w:sz="8" w:space="0" w:color="000000"/>
              <w:left w:val="nil"/>
              <w:bottom w:val="single" w:sz="8" w:space="0" w:color="000000"/>
              <w:right w:val="single" w:sz="8" w:space="0" w:color="000000"/>
            </w:tcBorders>
            <w:shd w:val="clear" w:color="auto" w:fill="F4F9EE" w:themeFill="accent6" w:themeFillTint="33"/>
            <w:vAlign w:val="center"/>
          </w:tcPr>
          <w:p w14:paraId="62C96AB3" w14:textId="1B86A0F5" w:rsidR="00486104" w:rsidRPr="00E5766A" w:rsidRDefault="000874DE" w:rsidP="00EC78E4">
            <w:pPr>
              <w:pStyle w:val="Tablerightlarge"/>
              <w:rPr>
                <w:rFonts w:asciiTheme="majorHAnsi" w:hAnsiTheme="majorHAnsi" w:cstheme="majorHAnsi"/>
              </w:rPr>
            </w:pPr>
            <w:r w:rsidRPr="00E5766A">
              <w:t>46.5</w:t>
            </w:r>
          </w:p>
        </w:tc>
        <w:tc>
          <w:tcPr>
            <w:tcW w:w="0" w:type="auto"/>
            <w:tcBorders>
              <w:top w:val="nil"/>
              <w:left w:val="nil"/>
              <w:bottom w:val="single" w:sz="4" w:space="0" w:color="000000"/>
              <w:right w:val="single" w:sz="8" w:space="0" w:color="000000"/>
            </w:tcBorders>
            <w:shd w:val="clear" w:color="000000" w:fill="F4F9EE"/>
            <w:vAlign w:val="center"/>
          </w:tcPr>
          <w:p w14:paraId="640F517B" w14:textId="16D99B57" w:rsidR="00486104" w:rsidRPr="00E5766A" w:rsidRDefault="000874DE" w:rsidP="00EC78E4">
            <w:pPr>
              <w:pStyle w:val="Tablerightlarge"/>
              <w:rPr>
                <w:rFonts w:asciiTheme="majorHAnsi" w:hAnsiTheme="majorHAnsi" w:cstheme="majorHAnsi"/>
              </w:rPr>
            </w:pPr>
            <w:r w:rsidRPr="00E5766A">
              <w:t>118</w:t>
            </w:r>
          </w:p>
        </w:tc>
        <w:tc>
          <w:tcPr>
            <w:tcW w:w="1820" w:type="dxa"/>
            <w:tcBorders>
              <w:top w:val="nil"/>
              <w:left w:val="nil"/>
              <w:bottom w:val="single" w:sz="4" w:space="0" w:color="000000"/>
              <w:right w:val="single" w:sz="4" w:space="0" w:color="000000"/>
            </w:tcBorders>
            <w:shd w:val="clear" w:color="000000" w:fill="F4F9EE"/>
            <w:vAlign w:val="center"/>
          </w:tcPr>
          <w:p w14:paraId="3AB5D093" w14:textId="35292542" w:rsidR="00486104" w:rsidRPr="00E5766A" w:rsidRDefault="000874DE" w:rsidP="00EC78E4">
            <w:pPr>
              <w:pStyle w:val="Tablerightlarge"/>
              <w:rPr>
                <w:rFonts w:asciiTheme="majorHAnsi" w:hAnsiTheme="majorHAnsi" w:cstheme="majorHAnsi"/>
              </w:rPr>
            </w:pPr>
            <w:r w:rsidRPr="00E5766A">
              <w:t>109.2</w:t>
            </w:r>
          </w:p>
        </w:tc>
      </w:tr>
    </w:tbl>
    <w:p w14:paraId="23C9539E" w14:textId="10FED075" w:rsidR="00486104" w:rsidRPr="0012521E" w:rsidRDefault="00486104" w:rsidP="0074499F">
      <w:pPr>
        <w:pStyle w:val="Heading4"/>
        <w:rPr>
          <w:rStyle w:val="Strong"/>
          <w:rFonts w:asciiTheme="majorHAnsi" w:hAnsiTheme="majorHAnsi" w:cstheme="majorHAnsi"/>
          <w:b w:val="0"/>
          <w:bCs w:val="0"/>
        </w:rPr>
      </w:pPr>
      <w:bookmarkStart w:id="155" w:name="_Toc166585733"/>
      <w:r w:rsidRPr="0012521E">
        <w:rPr>
          <w:rStyle w:val="Strong"/>
          <w:rFonts w:asciiTheme="majorHAnsi" w:hAnsiTheme="majorHAnsi" w:cstheme="majorHAnsi"/>
        </w:rPr>
        <w:t xml:space="preserve">Demographic data: Gender </w:t>
      </w:r>
      <w:r w:rsidR="00573C95" w:rsidRPr="0012521E">
        <w:rPr>
          <w:rStyle w:val="Strong"/>
          <w:rFonts w:asciiTheme="majorHAnsi" w:hAnsiTheme="majorHAnsi" w:cstheme="majorHAnsi"/>
        </w:rPr>
        <w:t>June 2023</w:t>
      </w:r>
      <w:bookmarkEnd w:id="155"/>
    </w:p>
    <w:tbl>
      <w:tblPr>
        <w:tblStyle w:val="TableGrid"/>
        <w:tblW w:w="14562" w:type="dxa"/>
        <w:tblLook w:val="0020" w:firstRow="1" w:lastRow="0" w:firstColumn="0" w:lastColumn="0" w:noHBand="0" w:noVBand="0"/>
      </w:tblPr>
      <w:tblGrid>
        <w:gridCol w:w="1464"/>
        <w:gridCol w:w="1949"/>
        <w:gridCol w:w="1582"/>
        <w:gridCol w:w="1857"/>
        <w:gridCol w:w="1864"/>
        <w:gridCol w:w="1919"/>
        <w:gridCol w:w="2107"/>
        <w:gridCol w:w="1820"/>
      </w:tblGrid>
      <w:tr w:rsidR="00486104" w:rsidRPr="0012521E" w14:paraId="5362B907" w14:textId="77777777" w:rsidTr="00E159ED">
        <w:tc>
          <w:tcPr>
            <w:tcW w:w="0" w:type="auto"/>
            <w:shd w:val="clear" w:color="auto" w:fill="D4DFA0" w:themeFill="background2"/>
          </w:tcPr>
          <w:p w14:paraId="7D999090" w14:textId="77777777" w:rsidR="00486104" w:rsidRPr="00E159ED" w:rsidRDefault="00486104" w:rsidP="00EC78E4">
            <w:pPr>
              <w:pStyle w:val="tableheadright"/>
              <w:rPr>
                <w:rFonts w:cstheme="majorHAnsi"/>
                <w:color w:val="auto"/>
                <w:u w:color="000000"/>
              </w:rPr>
            </w:pPr>
          </w:p>
        </w:tc>
        <w:tc>
          <w:tcPr>
            <w:tcW w:w="0" w:type="auto"/>
            <w:shd w:val="clear" w:color="auto" w:fill="D4DFA0" w:themeFill="background2"/>
          </w:tcPr>
          <w:p w14:paraId="074BDF0D"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Number (headcount)</w:t>
            </w:r>
          </w:p>
        </w:tc>
        <w:tc>
          <w:tcPr>
            <w:tcW w:w="0" w:type="auto"/>
            <w:shd w:val="clear" w:color="auto" w:fill="D4DFA0" w:themeFill="background2"/>
          </w:tcPr>
          <w:p w14:paraId="04B89738"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FTE</w:t>
            </w:r>
          </w:p>
        </w:tc>
        <w:tc>
          <w:tcPr>
            <w:tcW w:w="0" w:type="auto"/>
            <w:shd w:val="clear" w:color="auto" w:fill="D4DFA0" w:themeFill="background2"/>
          </w:tcPr>
          <w:p w14:paraId="388DFA3D"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Full-time (headcount)</w:t>
            </w:r>
          </w:p>
        </w:tc>
        <w:tc>
          <w:tcPr>
            <w:tcW w:w="0" w:type="auto"/>
            <w:shd w:val="clear" w:color="auto" w:fill="D4DFA0" w:themeFill="background2"/>
          </w:tcPr>
          <w:p w14:paraId="39C5C729"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Part-time (headcount)</w:t>
            </w:r>
          </w:p>
        </w:tc>
        <w:tc>
          <w:tcPr>
            <w:tcW w:w="1919" w:type="dxa"/>
            <w:shd w:val="clear" w:color="auto" w:fill="D4DFA0" w:themeFill="background2"/>
          </w:tcPr>
          <w:p w14:paraId="737630EE"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Ongoing: FTE</w:t>
            </w:r>
          </w:p>
        </w:tc>
        <w:tc>
          <w:tcPr>
            <w:tcW w:w="0" w:type="auto"/>
            <w:shd w:val="clear" w:color="auto" w:fill="D4DFA0" w:themeFill="background2"/>
          </w:tcPr>
          <w:p w14:paraId="18400DC7"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Number (headcount)</w:t>
            </w:r>
          </w:p>
        </w:tc>
        <w:tc>
          <w:tcPr>
            <w:tcW w:w="1820" w:type="dxa"/>
            <w:shd w:val="clear" w:color="auto" w:fill="D4DFA0" w:themeFill="background2"/>
          </w:tcPr>
          <w:p w14:paraId="6C5D53BF"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FTE</w:t>
            </w:r>
          </w:p>
        </w:tc>
      </w:tr>
      <w:tr w:rsidR="00573C95" w:rsidRPr="0012521E" w14:paraId="7A522DF3" w14:textId="77777777" w:rsidTr="00EC78E4">
        <w:tc>
          <w:tcPr>
            <w:tcW w:w="0" w:type="auto"/>
          </w:tcPr>
          <w:p w14:paraId="0D611817" w14:textId="77777777" w:rsidR="00573C95" w:rsidRPr="0012521E" w:rsidRDefault="00573C95" w:rsidP="00573C95">
            <w:pPr>
              <w:pStyle w:val="TableText"/>
              <w:rPr>
                <w:rFonts w:asciiTheme="majorHAnsi" w:hAnsiTheme="majorHAnsi" w:cstheme="majorHAnsi"/>
                <w:u w:color="000000"/>
              </w:rPr>
            </w:pPr>
            <w:r w:rsidRPr="0012521E">
              <w:rPr>
                <w:rFonts w:asciiTheme="majorHAnsi" w:hAnsiTheme="majorHAnsi" w:cstheme="majorHAnsi"/>
                <w:u w:color="000000"/>
              </w:rPr>
              <w:t>Women</w:t>
            </w:r>
          </w:p>
        </w:tc>
        <w:tc>
          <w:tcPr>
            <w:tcW w:w="0" w:type="auto"/>
          </w:tcPr>
          <w:p w14:paraId="60E5D5F6" w14:textId="76DA8059"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134</w:t>
            </w:r>
          </w:p>
        </w:tc>
        <w:tc>
          <w:tcPr>
            <w:tcW w:w="0" w:type="auto"/>
          </w:tcPr>
          <w:p w14:paraId="6C4E33A1" w14:textId="7F318FC1"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121.8</w:t>
            </w:r>
          </w:p>
        </w:tc>
        <w:tc>
          <w:tcPr>
            <w:tcW w:w="0" w:type="auto"/>
          </w:tcPr>
          <w:p w14:paraId="0F1F8B99" w14:textId="5642AA7B"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31</w:t>
            </w:r>
          </w:p>
        </w:tc>
        <w:tc>
          <w:tcPr>
            <w:tcW w:w="0" w:type="auto"/>
          </w:tcPr>
          <w:p w14:paraId="483B1378" w14:textId="64E4875F"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12</w:t>
            </w:r>
          </w:p>
        </w:tc>
        <w:tc>
          <w:tcPr>
            <w:tcW w:w="1919" w:type="dxa"/>
          </w:tcPr>
          <w:p w14:paraId="1D66C6DA" w14:textId="24BB03ED"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40</w:t>
            </w:r>
          </w:p>
        </w:tc>
        <w:tc>
          <w:tcPr>
            <w:tcW w:w="0" w:type="auto"/>
          </w:tcPr>
          <w:p w14:paraId="0AE74E06" w14:textId="4A27C034"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91</w:t>
            </w:r>
          </w:p>
        </w:tc>
        <w:tc>
          <w:tcPr>
            <w:tcW w:w="1820" w:type="dxa"/>
          </w:tcPr>
          <w:p w14:paraId="66A8F1D4" w14:textId="51DCA3CA"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81.8</w:t>
            </w:r>
          </w:p>
        </w:tc>
      </w:tr>
      <w:tr w:rsidR="00573C95" w:rsidRPr="0012521E" w14:paraId="3E1A7DC4" w14:textId="77777777" w:rsidTr="00EC78E4">
        <w:tc>
          <w:tcPr>
            <w:tcW w:w="0" w:type="auto"/>
          </w:tcPr>
          <w:p w14:paraId="3DB9BE9C" w14:textId="77777777" w:rsidR="00573C95" w:rsidRPr="0012521E" w:rsidRDefault="00573C95" w:rsidP="00573C95">
            <w:pPr>
              <w:pStyle w:val="TableText"/>
              <w:rPr>
                <w:rFonts w:asciiTheme="majorHAnsi" w:hAnsiTheme="majorHAnsi" w:cstheme="majorHAnsi"/>
                <w:u w:color="000000"/>
              </w:rPr>
            </w:pPr>
            <w:r w:rsidRPr="0012521E">
              <w:rPr>
                <w:rFonts w:asciiTheme="majorHAnsi" w:hAnsiTheme="majorHAnsi" w:cstheme="majorHAnsi"/>
                <w:u w:color="000000"/>
              </w:rPr>
              <w:t>Men</w:t>
            </w:r>
          </w:p>
        </w:tc>
        <w:tc>
          <w:tcPr>
            <w:tcW w:w="0" w:type="auto"/>
          </w:tcPr>
          <w:p w14:paraId="19D23FEA" w14:textId="285F9535"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57</w:t>
            </w:r>
          </w:p>
        </w:tc>
        <w:tc>
          <w:tcPr>
            <w:tcW w:w="0" w:type="auto"/>
          </w:tcPr>
          <w:p w14:paraId="31EAB44C" w14:textId="7506FAD2"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55.3</w:t>
            </w:r>
          </w:p>
        </w:tc>
        <w:tc>
          <w:tcPr>
            <w:tcW w:w="0" w:type="auto"/>
          </w:tcPr>
          <w:p w14:paraId="14139B9B" w14:textId="22EA181C"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18</w:t>
            </w:r>
          </w:p>
        </w:tc>
        <w:tc>
          <w:tcPr>
            <w:tcW w:w="0" w:type="auto"/>
          </w:tcPr>
          <w:p w14:paraId="4F455489" w14:textId="19A045E6"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1919" w:type="dxa"/>
          </w:tcPr>
          <w:p w14:paraId="31C8F3B2" w14:textId="6B1A10E4"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18.8</w:t>
            </w:r>
          </w:p>
        </w:tc>
        <w:tc>
          <w:tcPr>
            <w:tcW w:w="0" w:type="auto"/>
          </w:tcPr>
          <w:p w14:paraId="0539CB09" w14:textId="3EF36996"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38</w:t>
            </w:r>
          </w:p>
        </w:tc>
        <w:tc>
          <w:tcPr>
            <w:tcW w:w="1820" w:type="dxa"/>
          </w:tcPr>
          <w:p w14:paraId="152EC3CE" w14:textId="2B324446"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36.5</w:t>
            </w:r>
          </w:p>
        </w:tc>
      </w:tr>
      <w:tr w:rsidR="00573C95" w:rsidRPr="0012521E" w14:paraId="3F604E87" w14:textId="77777777" w:rsidTr="00EC78E4">
        <w:tc>
          <w:tcPr>
            <w:tcW w:w="0" w:type="auto"/>
          </w:tcPr>
          <w:p w14:paraId="1957B06E" w14:textId="77777777" w:rsidR="00573C95" w:rsidRPr="0012521E" w:rsidRDefault="00573C95" w:rsidP="00573C95">
            <w:pPr>
              <w:pStyle w:val="TableText"/>
              <w:rPr>
                <w:rFonts w:asciiTheme="majorHAnsi" w:hAnsiTheme="majorHAnsi" w:cstheme="majorHAnsi"/>
                <w:u w:color="000000"/>
              </w:rPr>
            </w:pPr>
            <w:r w:rsidRPr="0012521E">
              <w:rPr>
                <w:rFonts w:asciiTheme="majorHAnsi" w:hAnsiTheme="majorHAnsi" w:cstheme="majorHAnsi"/>
                <w:u w:color="000000"/>
              </w:rPr>
              <w:t>Self-described</w:t>
            </w:r>
          </w:p>
        </w:tc>
        <w:tc>
          <w:tcPr>
            <w:tcW w:w="0" w:type="auto"/>
          </w:tcPr>
          <w:p w14:paraId="541838D6" w14:textId="275BBEF6"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40495185" w14:textId="40CA955E"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57C924BF" w14:textId="0C8B76D6"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5A938D86" w14:textId="7B1FF6E6"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919" w:type="dxa"/>
          </w:tcPr>
          <w:p w14:paraId="69A93B39" w14:textId="5397BE5E"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1C51E8FA" w14:textId="5E80E0D9"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0D638E8C" w14:textId="32393AB9" w:rsidR="00573C95" w:rsidRPr="0012521E" w:rsidRDefault="00573C95" w:rsidP="00573C95">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573C95" w:rsidRPr="0012521E" w14:paraId="26BE3A7C" w14:textId="77777777" w:rsidTr="001F5130">
        <w:tc>
          <w:tcPr>
            <w:tcW w:w="0" w:type="auto"/>
            <w:shd w:val="clear" w:color="auto" w:fill="F4F9EE" w:themeFill="accent6" w:themeFillTint="33"/>
          </w:tcPr>
          <w:p w14:paraId="6CB15753" w14:textId="77777777" w:rsidR="00573C95" w:rsidRPr="00E159ED" w:rsidRDefault="00573C95" w:rsidP="00573C95">
            <w:pPr>
              <w:pStyle w:val="TableText"/>
              <w:rPr>
                <w:rStyle w:val="Strong"/>
                <w:rFonts w:asciiTheme="majorHAnsi" w:hAnsiTheme="majorHAnsi" w:cstheme="majorHAnsi"/>
                <w:color w:val="auto"/>
              </w:rPr>
            </w:pPr>
            <w:r w:rsidRPr="00E159ED">
              <w:rPr>
                <w:rStyle w:val="Strong"/>
                <w:rFonts w:asciiTheme="majorHAnsi" w:hAnsiTheme="majorHAnsi" w:cstheme="majorHAnsi"/>
                <w:color w:val="auto"/>
              </w:rPr>
              <w:t>Total employees</w:t>
            </w:r>
          </w:p>
        </w:tc>
        <w:tc>
          <w:tcPr>
            <w:tcW w:w="0" w:type="auto"/>
            <w:shd w:val="clear" w:color="auto" w:fill="F4F9EE" w:themeFill="accent6" w:themeFillTint="33"/>
          </w:tcPr>
          <w:p w14:paraId="6A6FF386" w14:textId="70CF2C84" w:rsidR="00573C95" w:rsidRPr="00E5766A" w:rsidRDefault="00573C95" w:rsidP="00573C95">
            <w:pPr>
              <w:pStyle w:val="Tablerightlarge"/>
              <w:rPr>
                <w:rStyle w:val="Strong"/>
                <w:rFonts w:asciiTheme="majorHAnsi" w:hAnsiTheme="majorHAnsi" w:cstheme="majorHAnsi"/>
                <w:color w:val="auto"/>
              </w:rPr>
            </w:pPr>
            <w:r w:rsidRPr="00E5766A">
              <w:rPr>
                <w:rFonts w:asciiTheme="majorHAnsi" w:hAnsiTheme="majorHAnsi" w:cstheme="majorHAnsi"/>
              </w:rPr>
              <w:t>191</w:t>
            </w:r>
          </w:p>
        </w:tc>
        <w:tc>
          <w:tcPr>
            <w:tcW w:w="0" w:type="auto"/>
            <w:shd w:val="clear" w:color="auto" w:fill="F4F9EE" w:themeFill="accent6" w:themeFillTint="33"/>
          </w:tcPr>
          <w:p w14:paraId="63DE5CEE" w14:textId="2AD466AE" w:rsidR="00573C95" w:rsidRPr="00E5766A" w:rsidRDefault="00573C95" w:rsidP="00573C95">
            <w:pPr>
              <w:pStyle w:val="Tablerightlarge"/>
              <w:rPr>
                <w:rStyle w:val="Strong"/>
                <w:rFonts w:asciiTheme="majorHAnsi" w:hAnsiTheme="majorHAnsi" w:cstheme="majorHAnsi"/>
                <w:color w:val="auto"/>
              </w:rPr>
            </w:pPr>
            <w:r w:rsidRPr="00E5766A">
              <w:rPr>
                <w:rFonts w:asciiTheme="majorHAnsi" w:hAnsiTheme="majorHAnsi" w:cstheme="majorHAnsi"/>
              </w:rPr>
              <w:t>177.1</w:t>
            </w:r>
          </w:p>
        </w:tc>
        <w:tc>
          <w:tcPr>
            <w:tcW w:w="0" w:type="auto"/>
            <w:shd w:val="clear" w:color="auto" w:fill="F4F9EE" w:themeFill="accent6" w:themeFillTint="33"/>
          </w:tcPr>
          <w:p w14:paraId="649FFCF6" w14:textId="47FA6456" w:rsidR="00573C95" w:rsidRPr="00E5766A" w:rsidRDefault="00573C95" w:rsidP="00573C95">
            <w:pPr>
              <w:pStyle w:val="Tablerightlarge"/>
              <w:rPr>
                <w:rStyle w:val="Strong"/>
                <w:rFonts w:asciiTheme="majorHAnsi" w:hAnsiTheme="majorHAnsi" w:cstheme="majorHAnsi"/>
                <w:color w:val="auto"/>
              </w:rPr>
            </w:pPr>
            <w:r w:rsidRPr="00E5766A">
              <w:rPr>
                <w:rFonts w:asciiTheme="majorHAnsi" w:hAnsiTheme="majorHAnsi" w:cstheme="majorHAnsi"/>
              </w:rPr>
              <w:t>49</w:t>
            </w:r>
          </w:p>
        </w:tc>
        <w:tc>
          <w:tcPr>
            <w:tcW w:w="0" w:type="auto"/>
            <w:shd w:val="clear" w:color="auto" w:fill="F4F9EE" w:themeFill="accent6" w:themeFillTint="33"/>
          </w:tcPr>
          <w:p w14:paraId="68B855C9" w14:textId="413D404B" w:rsidR="00573C95" w:rsidRPr="00E5766A" w:rsidRDefault="00573C95" w:rsidP="00573C95">
            <w:pPr>
              <w:pStyle w:val="Tablerightlarge"/>
              <w:rPr>
                <w:rStyle w:val="Strong"/>
                <w:rFonts w:asciiTheme="majorHAnsi" w:hAnsiTheme="majorHAnsi" w:cstheme="majorHAnsi"/>
                <w:color w:val="auto"/>
              </w:rPr>
            </w:pPr>
            <w:r w:rsidRPr="00E5766A">
              <w:rPr>
                <w:rFonts w:asciiTheme="majorHAnsi" w:hAnsiTheme="majorHAnsi" w:cstheme="majorHAnsi"/>
              </w:rPr>
              <w:t>13</w:t>
            </w:r>
          </w:p>
        </w:tc>
        <w:tc>
          <w:tcPr>
            <w:tcW w:w="1919" w:type="dxa"/>
            <w:shd w:val="clear" w:color="auto" w:fill="F4F9EE" w:themeFill="accent6" w:themeFillTint="33"/>
          </w:tcPr>
          <w:p w14:paraId="02BFF9DB" w14:textId="359D8F2B" w:rsidR="00573C95" w:rsidRPr="00E5766A" w:rsidRDefault="00573C95" w:rsidP="00573C95">
            <w:pPr>
              <w:pStyle w:val="Tablerightlarge"/>
              <w:rPr>
                <w:rStyle w:val="Strong"/>
                <w:rFonts w:asciiTheme="majorHAnsi" w:hAnsiTheme="majorHAnsi" w:cstheme="majorHAnsi"/>
                <w:color w:val="auto"/>
              </w:rPr>
            </w:pPr>
            <w:r w:rsidRPr="00E5766A">
              <w:rPr>
                <w:rFonts w:asciiTheme="majorHAnsi" w:hAnsiTheme="majorHAnsi" w:cstheme="majorHAnsi"/>
              </w:rPr>
              <w:t>58.8</w:t>
            </w:r>
          </w:p>
        </w:tc>
        <w:tc>
          <w:tcPr>
            <w:tcW w:w="0" w:type="auto"/>
            <w:shd w:val="clear" w:color="auto" w:fill="F4F9EE" w:themeFill="accent6" w:themeFillTint="33"/>
          </w:tcPr>
          <w:p w14:paraId="19E10760" w14:textId="68B39BBF" w:rsidR="00573C95" w:rsidRPr="00E5766A" w:rsidRDefault="00573C95" w:rsidP="00573C95">
            <w:pPr>
              <w:pStyle w:val="Tablerightlarge"/>
              <w:rPr>
                <w:rStyle w:val="Strong"/>
                <w:rFonts w:asciiTheme="majorHAnsi" w:hAnsiTheme="majorHAnsi" w:cstheme="majorHAnsi"/>
                <w:color w:val="auto"/>
              </w:rPr>
            </w:pPr>
            <w:r w:rsidRPr="00E5766A">
              <w:rPr>
                <w:rFonts w:asciiTheme="majorHAnsi" w:hAnsiTheme="majorHAnsi" w:cstheme="majorHAnsi"/>
              </w:rPr>
              <w:t>129</w:t>
            </w:r>
          </w:p>
        </w:tc>
        <w:tc>
          <w:tcPr>
            <w:tcW w:w="1820" w:type="dxa"/>
            <w:shd w:val="clear" w:color="auto" w:fill="F4F9EE" w:themeFill="accent6" w:themeFillTint="33"/>
          </w:tcPr>
          <w:p w14:paraId="68E4A5EC" w14:textId="18110265" w:rsidR="00573C95" w:rsidRPr="00E5766A" w:rsidRDefault="00573C95" w:rsidP="00573C95">
            <w:pPr>
              <w:pStyle w:val="Tablerightlarge"/>
              <w:rPr>
                <w:rStyle w:val="Strong"/>
                <w:rFonts w:asciiTheme="majorHAnsi" w:hAnsiTheme="majorHAnsi" w:cstheme="majorHAnsi"/>
                <w:color w:val="auto"/>
              </w:rPr>
            </w:pPr>
            <w:r w:rsidRPr="00E5766A">
              <w:rPr>
                <w:rFonts w:asciiTheme="majorHAnsi" w:hAnsiTheme="majorHAnsi" w:cstheme="majorHAnsi"/>
              </w:rPr>
              <w:t>118.3</w:t>
            </w:r>
          </w:p>
        </w:tc>
      </w:tr>
    </w:tbl>
    <w:p w14:paraId="6AD6622A" w14:textId="77777777" w:rsidR="00486104" w:rsidRPr="0012521E" w:rsidRDefault="00486104" w:rsidP="00105389">
      <w:pPr>
        <w:pStyle w:val="Body"/>
        <w:rPr>
          <w:rStyle w:val="Strong"/>
          <w:rFonts w:asciiTheme="majorHAnsi" w:eastAsiaTheme="minorHAnsi" w:hAnsiTheme="majorHAnsi" w:cstheme="majorHAnsi"/>
          <w:szCs w:val="22"/>
          <w:lang w:eastAsia="en-US"/>
        </w:rPr>
      </w:pPr>
    </w:p>
    <w:p w14:paraId="3D80CB29" w14:textId="524C7503" w:rsidR="00486104" w:rsidRPr="0012521E" w:rsidRDefault="00486104" w:rsidP="0074499F">
      <w:pPr>
        <w:pStyle w:val="Heading4"/>
        <w:rPr>
          <w:rStyle w:val="Strong"/>
          <w:rFonts w:asciiTheme="majorHAnsi" w:hAnsiTheme="majorHAnsi"/>
          <w:b w:val="0"/>
        </w:rPr>
      </w:pPr>
      <w:bookmarkStart w:id="156" w:name="_Toc166585734"/>
      <w:r w:rsidRPr="6A1EC78F">
        <w:rPr>
          <w:rStyle w:val="Strong"/>
          <w:rFonts w:asciiTheme="majorHAnsi" w:hAnsiTheme="majorHAnsi"/>
        </w:rPr>
        <w:lastRenderedPageBreak/>
        <w:t>Demographic data: Age in June 202</w:t>
      </w:r>
      <w:r w:rsidR="00BD500B" w:rsidRPr="6A1EC78F">
        <w:rPr>
          <w:rStyle w:val="Strong"/>
          <w:rFonts w:asciiTheme="majorHAnsi" w:hAnsiTheme="majorHAnsi"/>
        </w:rPr>
        <w:t>4</w:t>
      </w:r>
      <w:bookmarkEnd w:id="156"/>
    </w:p>
    <w:tbl>
      <w:tblPr>
        <w:tblStyle w:val="TableGrid"/>
        <w:tblW w:w="14289" w:type="dxa"/>
        <w:tblLook w:val="0020" w:firstRow="1" w:lastRow="0" w:firstColumn="0" w:lastColumn="0" w:noHBand="0" w:noVBand="0"/>
      </w:tblPr>
      <w:tblGrid>
        <w:gridCol w:w="1502"/>
        <w:gridCol w:w="1987"/>
        <w:gridCol w:w="1783"/>
        <w:gridCol w:w="1984"/>
        <w:gridCol w:w="1993"/>
        <w:gridCol w:w="1314"/>
        <w:gridCol w:w="1906"/>
        <w:gridCol w:w="1820"/>
      </w:tblGrid>
      <w:tr w:rsidR="00486104" w:rsidRPr="0012521E" w14:paraId="4E81146C" w14:textId="77777777" w:rsidTr="00E159ED">
        <w:tc>
          <w:tcPr>
            <w:tcW w:w="0" w:type="auto"/>
            <w:shd w:val="clear" w:color="auto" w:fill="D4DFA0" w:themeFill="accent3"/>
          </w:tcPr>
          <w:p w14:paraId="10FEBEF0" w14:textId="77777777" w:rsidR="00486104" w:rsidRPr="00E159ED" w:rsidRDefault="00486104" w:rsidP="00EC78E4">
            <w:pPr>
              <w:pStyle w:val="tableheadright"/>
              <w:rPr>
                <w:rFonts w:cstheme="majorHAnsi"/>
                <w:color w:val="auto"/>
                <w:u w:color="000000"/>
              </w:rPr>
            </w:pPr>
          </w:p>
        </w:tc>
        <w:tc>
          <w:tcPr>
            <w:tcW w:w="0" w:type="auto"/>
            <w:shd w:val="clear" w:color="auto" w:fill="D4DFA0" w:themeFill="accent3"/>
          </w:tcPr>
          <w:p w14:paraId="17EFA4E7"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No. (headcount)</w:t>
            </w:r>
          </w:p>
        </w:tc>
        <w:tc>
          <w:tcPr>
            <w:tcW w:w="1783" w:type="dxa"/>
            <w:shd w:val="clear" w:color="auto" w:fill="D4DFA0" w:themeFill="accent3"/>
          </w:tcPr>
          <w:p w14:paraId="5F95EFBB"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FTE</w:t>
            </w:r>
          </w:p>
        </w:tc>
        <w:tc>
          <w:tcPr>
            <w:tcW w:w="0" w:type="auto"/>
            <w:shd w:val="clear" w:color="auto" w:fill="D4DFA0" w:themeFill="accent3"/>
          </w:tcPr>
          <w:p w14:paraId="161AD385"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Full-time (headcount)</w:t>
            </w:r>
          </w:p>
        </w:tc>
        <w:tc>
          <w:tcPr>
            <w:tcW w:w="0" w:type="auto"/>
            <w:shd w:val="clear" w:color="auto" w:fill="D4DFA0" w:themeFill="accent3"/>
          </w:tcPr>
          <w:p w14:paraId="1E314F17"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Part-time (headcount)</w:t>
            </w:r>
          </w:p>
        </w:tc>
        <w:tc>
          <w:tcPr>
            <w:tcW w:w="0" w:type="auto"/>
            <w:shd w:val="clear" w:color="auto" w:fill="D4DFA0" w:themeFill="accent3"/>
          </w:tcPr>
          <w:p w14:paraId="64B3DA8D"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FTE</w:t>
            </w:r>
          </w:p>
        </w:tc>
        <w:tc>
          <w:tcPr>
            <w:tcW w:w="1906" w:type="dxa"/>
            <w:shd w:val="clear" w:color="auto" w:fill="D4DFA0" w:themeFill="accent3"/>
          </w:tcPr>
          <w:p w14:paraId="62D45213"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No. (headcount)</w:t>
            </w:r>
          </w:p>
        </w:tc>
        <w:tc>
          <w:tcPr>
            <w:tcW w:w="1820" w:type="dxa"/>
            <w:shd w:val="clear" w:color="auto" w:fill="D4DFA0" w:themeFill="accent3"/>
          </w:tcPr>
          <w:p w14:paraId="065D909A"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(FTE)</w:t>
            </w:r>
          </w:p>
        </w:tc>
      </w:tr>
      <w:tr w:rsidR="00486104" w:rsidRPr="0012521E" w14:paraId="2D5AF165" w14:textId="77777777" w:rsidTr="00501D45">
        <w:tc>
          <w:tcPr>
            <w:tcW w:w="0" w:type="auto"/>
          </w:tcPr>
          <w:p w14:paraId="48F96114"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15–24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20E210C" w14:textId="78ED7ED5" w:rsidR="00486104" w:rsidRPr="0012521E" w:rsidRDefault="00284F80" w:rsidP="00EC78E4">
            <w:pPr>
              <w:pStyle w:val="Tablerightlarge"/>
              <w:rPr>
                <w:rFonts w:asciiTheme="majorHAnsi" w:hAnsiTheme="majorHAnsi" w:cstheme="majorHAnsi"/>
                <w:color w:val="000000"/>
                <w:kern w:val="1"/>
                <w:szCs w:val="24"/>
                <w:u w:color="000000"/>
              </w:rPr>
            </w:pPr>
            <w:r>
              <w:rPr>
                <w:color w:val="000000"/>
              </w:rPr>
              <w:t>0</w:t>
            </w:r>
          </w:p>
        </w:tc>
        <w:tc>
          <w:tcPr>
            <w:tcW w:w="1783" w:type="dxa"/>
            <w:tcBorders>
              <w:top w:val="single" w:sz="8" w:space="0" w:color="000000"/>
              <w:left w:val="nil"/>
              <w:bottom w:val="single" w:sz="8" w:space="0" w:color="000000"/>
              <w:right w:val="single" w:sz="8" w:space="0" w:color="000000"/>
            </w:tcBorders>
            <w:shd w:val="clear" w:color="auto" w:fill="auto"/>
            <w:vAlign w:val="center"/>
          </w:tcPr>
          <w:p w14:paraId="1316889A" w14:textId="7CF9097A" w:rsidR="00486104" w:rsidRPr="0012521E" w:rsidRDefault="00284F80" w:rsidP="00EC78E4">
            <w:pPr>
              <w:pStyle w:val="Tablerightlarge"/>
              <w:rPr>
                <w:rFonts w:asciiTheme="majorHAnsi" w:hAnsiTheme="majorHAnsi" w:cstheme="majorHAnsi"/>
                <w:color w:val="000000"/>
                <w:kern w:val="1"/>
                <w:szCs w:val="24"/>
                <w:u w:color="000000"/>
              </w:rPr>
            </w:pPr>
            <w:r>
              <w:rPr>
                <w:color w:val="000000"/>
              </w:rPr>
              <w:t>0</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62833B1C" w14:textId="340D4ABD" w:rsidR="00486104" w:rsidRPr="0012521E" w:rsidRDefault="00284F80" w:rsidP="00EC78E4">
            <w:pPr>
              <w:pStyle w:val="Tablerightlarge"/>
              <w:rPr>
                <w:rFonts w:asciiTheme="majorHAnsi" w:hAnsiTheme="majorHAnsi" w:cstheme="majorHAnsi"/>
                <w:color w:val="000000"/>
                <w:kern w:val="1"/>
                <w:szCs w:val="24"/>
                <w:u w:color="000000"/>
              </w:rPr>
            </w:pPr>
            <w:r>
              <w:rPr>
                <w:color w:val="000000"/>
              </w:rPr>
              <w:t>0</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5F7F7FBB" w14:textId="70E86675" w:rsidR="00486104" w:rsidRPr="0012521E" w:rsidRDefault="00284F80" w:rsidP="00EC78E4">
            <w:pPr>
              <w:pStyle w:val="Tablerightlarge"/>
              <w:rPr>
                <w:rFonts w:asciiTheme="majorHAnsi" w:hAnsiTheme="majorHAnsi" w:cstheme="majorHAnsi"/>
                <w:color w:val="000000"/>
                <w:kern w:val="1"/>
                <w:szCs w:val="24"/>
                <w:u w:color="000000"/>
              </w:rPr>
            </w:pPr>
            <w:r>
              <w:rPr>
                <w:color w:val="000000"/>
              </w:rPr>
              <w:t>0</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39540B9D" w14:textId="50639904" w:rsidR="00486104" w:rsidRPr="0012521E" w:rsidRDefault="00284F80" w:rsidP="00EC78E4">
            <w:pPr>
              <w:pStyle w:val="Tablerightlarge"/>
              <w:rPr>
                <w:rFonts w:asciiTheme="majorHAnsi" w:hAnsiTheme="majorHAnsi" w:cstheme="majorHAnsi"/>
                <w:color w:val="000000"/>
                <w:kern w:val="1"/>
                <w:szCs w:val="24"/>
                <w:u w:color="000000"/>
              </w:rPr>
            </w:pPr>
            <w:r>
              <w:rPr>
                <w:color w:val="000000"/>
              </w:rPr>
              <w:t>0</w:t>
            </w:r>
          </w:p>
        </w:tc>
        <w:tc>
          <w:tcPr>
            <w:tcW w:w="1906" w:type="dxa"/>
            <w:tcBorders>
              <w:top w:val="single" w:sz="8" w:space="0" w:color="000000"/>
              <w:left w:val="nil"/>
              <w:bottom w:val="single" w:sz="8" w:space="0" w:color="000000"/>
              <w:right w:val="single" w:sz="8" w:space="0" w:color="000000"/>
            </w:tcBorders>
            <w:shd w:val="clear" w:color="auto" w:fill="auto"/>
            <w:vAlign w:val="center"/>
          </w:tcPr>
          <w:p w14:paraId="684E6857" w14:textId="3C518A1D" w:rsidR="00486104" w:rsidRPr="0012521E" w:rsidRDefault="00284F80" w:rsidP="00EC78E4">
            <w:pPr>
              <w:pStyle w:val="Tablerightlarge"/>
              <w:rPr>
                <w:rFonts w:asciiTheme="majorHAnsi" w:hAnsiTheme="majorHAnsi" w:cstheme="majorHAnsi"/>
                <w:color w:val="000000"/>
                <w:kern w:val="1"/>
                <w:szCs w:val="24"/>
                <w:u w:color="000000"/>
              </w:rPr>
            </w:pPr>
            <w:r>
              <w:rPr>
                <w:color w:val="000000"/>
              </w:rPr>
              <w:t>0</w:t>
            </w:r>
          </w:p>
        </w:tc>
        <w:tc>
          <w:tcPr>
            <w:tcW w:w="1820" w:type="dxa"/>
            <w:tcBorders>
              <w:top w:val="single" w:sz="8" w:space="0" w:color="000000"/>
              <w:left w:val="nil"/>
              <w:bottom w:val="single" w:sz="8" w:space="0" w:color="000000"/>
              <w:right w:val="single" w:sz="4" w:space="0" w:color="000000"/>
            </w:tcBorders>
            <w:shd w:val="clear" w:color="auto" w:fill="auto"/>
            <w:vAlign w:val="center"/>
          </w:tcPr>
          <w:p w14:paraId="2305B76F" w14:textId="740A962C" w:rsidR="00486104" w:rsidRPr="0012521E" w:rsidRDefault="00284F80" w:rsidP="00EC78E4">
            <w:pPr>
              <w:pStyle w:val="Tablerightlarge"/>
              <w:rPr>
                <w:rFonts w:asciiTheme="majorHAnsi" w:hAnsiTheme="majorHAnsi" w:cstheme="majorHAnsi"/>
                <w:color w:val="000000"/>
                <w:kern w:val="1"/>
                <w:szCs w:val="24"/>
                <w:u w:color="000000"/>
              </w:rPr>
            </w:pPr>
            <w:r>
              <w:rPr>
                <w:color w:val="000000"/>
              </w:rPr>
              <w:t>0</w:t>
            </w:r>
          </w:p>
        </w:tc>
      </w:tr>
      <w:tr w:rsidR="00486104" w:rsidRPr="0012521E" w14:paraId="72BD2250" w14:textId="77777777" w:rsidTr="00501D45">
        <w:tc>
          <w:tcPr>
            <w:tcW w:w="0" w:type="auto"/>
          </w:tcPr>
          <w:p w14:paraId="14EB81E4"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25–34</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29E2C545" w14:textId="5C12FC1E"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37</w:t>
            </w:r>
          </w:p>
        </w:tc>
        <w:tc>
          <w:tcPr>
            <w:tcW w:w="1783" w:type="dxa"/>
            <w:tcBorders>
              <w:top w:val="nil"/>
              <w:left w:val="nil"/>
              <w:bottom w:val="single" w:sz="8" w:space="0" w:color="000000"/>
              <w:right w:val="single" w:sz="8" w:space="0" w:color="000000"/>
            </w:tcBorders>
            <w:shd w:val="clear" w:color="auto" w:fill="auto"/>
            <w:vAlign w:val="center"/>
          </w:tcPr>
          <w:p w14:paraId="7BB6BFCE" w14:textId="1C354BDF"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w:t>
            </w:r>
            <w:r w:rsidR="00FB64E8">
              <w:rPr>
                <w:color w:val="000000"/>
              </w:rPr>
              <w:t>1</w:t>
            </w:r>
            <w:r>
              <w:rPr>
                <w:color w:val="000000"/>
              </w:rPr>
              <w:t>.</w:t>
            </w:r>
            <w:r w:rsidR="00FB64E8">
              <w:rPr>
                <w:color w:val="000000"/>
              </w:rPr>
              <w:t>1</w:t>
            </w:r>
          </w:p>
        </w:tc>
        <w:tc>
          <w:tcPr>
            <w:tcW w:w="0" w:type="auto"/>
            <w:tcBorders>
              <w:top w:val="nil"/>
              <w:left w:val="nil"/>
              <w:bottom w:val="single" w:sz="8" w:space="0" w:color="000000"/>
              <w:right w:val="single" w:sz="8" w:space="0" w:color="000000"/>
            </w:tcBorders>
            <w:shd w:val="clear" w:color="auto" w:fill="auto"/>
            <w:vAlign w:val="center"/>
          </w:tcPr>
          <w:p w14:paraId="2CE93693" w14:textId="55D05FF6"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w:t>
            </w:r>
          </w:p>
        </w:tc>
        <w:tc>
          <w:tcPr>
            <w:tcW w:w="0" w:type="auto"/>
            <w:tcBorders>
              <w:top w:val="nil"/>
              <w:left w:val="nil"/>
              <w:bottom w:val="single" w:sz="8" w:space="0" w:color="000000"/>
              <w:right w:val="single" w:sz="8" w:space="0" w:color="000000"/>
            </w:tcBorders>
            <w:shd w:val="clear" w:color="auto" w:fill="auto"/>
            <w:vAlign w:val="center"/>
          </w:tcPr>
          <w:p w14:paraId="09DF7F3F" w14:textId="35FE46B8"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w:t>
            </w:r>
          </w:p>
        </w:tc>
        <w:tc>
          <w:tcPr>
            <w:tcW w:w="0" w:type="auto"/>
            <w:tcBorders>
              <w:top w:val="nil"/>
              <w:left w:val="nil"/>
              <w:bottom w:val="single" w:sz="8" w:space="0" w:color="000000"/>
              <w:right w:val="single" w:sz="8" w:space="0" w:color="000000"/>
            </w:tcBorders>
            <w:shd w:val="clear" w:color="auto" w:fill="auto"/>
            <w:vAlign w:val="center"/>
          </w:tcPr>
          <w:p w14:paraId="5E213F32" w14:textId="76EBDF53"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1.6</w:t>
            </w:r>
          </w:p>
        </w:tc>
        <w:tc>
          <w:tcPr>
            <w:tcW w:w="1906" w:type="dxa"/>
            <w:tcBorders>
              <w:top w:val="nil"/>
              <w:left w:val="nil"/>
              <w:bottom w:val="single" w:sz="8" w:space="0" w:color="000000"/>
              <w:right w:val="single" w:sz="8" w:space="0" w:color="000000"/>
            </w:tcBorders>
            <w:shd w:val="clear" w:color="auto" w:fill="auto"/>
            <w:vAlign w:val="center"/>
          </w:tcPr>
          <w:p w14:paraId="3C823A8E" w14:textId="51E3753A"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35</w:t>
            </w:r>
          </w:p>
        </w:tc>
        <w:tc>
          <w:tcPr>
            <w:tcW w:w="1820" w:type="dxa"/>
            <w:tcBorders>
              <w:top w:val="nil"/>
              <w:left w:val="nil"/>
              <w:bottom w:val="single" w:sz="8" w:space="0" w:color="000000"/>
              <w:right w:val="single" w:sz="4" w:space="0" w:color="000000"/>
            </w:tcBorders>
            <w:shd w:val="clear" w:color="auto" w:fill="auto"/>
            <w:vAlign w:val="center"/>
          </w:tcPr>
          <w:p w14:paraId="6B0D27CF" w14:textId="1E151880"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32.8</w:t>
            </w:r>
          </w:p>
        </w:tc>
      </w:tr>
      <w:tr w:rsidR="00486104" w:rsidRPr="0012521E" w14:paraId="5631F25A" w14:textId="77777777" w:rsidTr="00501D45">
        <w:tc>
          <w:tcPr>
            <w:tcW w:w="0" w:type="auto"/>
          </w:tcPr>
          <w:p w14:paraId="5CDA497A"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34–44</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3D41B53F" w14:textId="2A59A597"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59</w:t>
            </w:r>
          </w:p>
        </w:tc>
        <w:tc>
          <w:tcPr>
            <w:tcW w:w="1783" w:type="dxa"/>
            <w:tcBorders>
              <w:top w:val="nil"/>
              <w:left w:val="nil"/>
              <w:bottom w:val="single" w:sz="8" w:space="0" w:color="000000"/>
              <w:right w:val="single" w:sz="8" w:space="0" w:color="000000"/>
            </w:tcBorders>
            <w:shd w:val="clear" w:color="auto" w:fill="auto"/>
            <w:vAlign w:val="center"/>
          </w:tcPr>
          <w:p w14:paraId="1CD30941" w14:textId="4E910D47"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5</w:t>
            </w:r>
            <w:r w:rsidR="00D51726">
              <w:rPr>
                <w:color w:val="000000"/>
              </w:rPr>
              <w:t>3.1</w:t>
            </w:r>
          </w:p>
        </w:tc>
        <w:tc>
          <w:tcPr>
            <w:tcW w:w="0" w:type="auto"/>
            <w:tcBorders>
              <w:top w:val="nil"/>
              <w:left w:val="nil"/>
              <w:bottom w:val="single" w:sz="8" w:space="0" w:color="000000"/>
              <w:right w:val="single" w:sz="8" w:space="0" w:color="000000"/>
            </w:tcBorders>
            <w:shd w:val="clear" w:color="auto" w:fill="auto"/>
            <w:vAlign w:val="center"/>
          </w:tcPr>
          <w:p w14:paraId="6716D482" w14:textId="45042137"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10</w:t>
            </w:r>
          </w:p>
        </w:tc>
        <w:tc>
          <w:tcPr>
            <w:tcW w:w="0" w:type="auto"/>
            <w:tcBorders>
              <w:top w:val="nil"/>
              <w:left w:val="nil"/>
              <w:bottom w:val="single" w:sz="8" w:space="0" w:color="000000"/>
              <w:right w:val="single" w:sz="8" w:space="0" w:color="000000"/>
            </w:tcBorders>
            <w:shd w:val="clear" w:color="auto" w:fill="auto"/>
            <w:vAlign w:val="center"/>
          </w:tcPr>
          <w:p w14:paraId="71E36D85" w14:textId="4A7B1CE9"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w:t>
            </w:r>
          </w:p>
        </w:tc>
        <w:tc>
          <w:tcPr>
            <w:tcW w:w="0" w:type="auto"/>
            <w:tcBorders>
              <w:top w:val="nil"/>
              <w:left w:val="nil"/>
              <w:bottom w:val="single" w:sz="8" w:space="0" w:color="000000"/>
              <w:right w:val="single" w:sz="8" w:space="0" w:color="000000"/>
            </w:tcBorders>
            <w:shd w:val="clear" w:color="auto" w:fill="auto"/>
            <w:vAlign w:val="center"/>
          </w:tcPr>
          <w:p w14:paraId="3CED6F8B" w14:textId="7010FFFE"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12.5</w:t>
            </w:r>
          </w:p>
        </w:tc>
        <w:tc>
          <w:tcPr>
            <w:tcW w:w="1906" w:type="dxa"/>
            <w:tcBorders>
              <w:top w:val="nil"/>
              <w:left w:val="nil"/>
              <w:bottom w:val="single" w:sz="8" w:space="0" w:color="000000"/>
              <w:right w:val="single" w:sz="8" w:space="0" w:color="000000"/>
            </w:tcBorders>
            <w:shd w:val="clear" w:color="auto" w:fill="auto"/>
            <w:vAlign w:val="center"/>
          </w:tcPr>
          <w:p w14:paraId="7BDCF472" w14:textId="57399BF2"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46</w:t>
            </w:r>
          </w:p>
        </w:tc>
        <w:tc>
          <w:tcPr>
            <w:tcW w:w="1820" w:type="dxa"/>
            <w:tcBorders>
              <w:top w:val="nil"/>
              <w:left w:val="nil"/>
              <w:bottom w:val="single" w:sz="8" w:space="0" w:color="000000"/>
              <w:right w:val="single" w:sz="4" w:space="0" w:color="000000"/>
            </w:tcBorders>
            <w:shd w:val="clear" w:color="auto" w:fill="auto"/>
            <w:vAlign w:val="center"/>
          </w:tcPr>
          <w:p w14:paraId="669AA828" w14:textId="582089AD"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42.8</w:t>
            </w:r>
          </w:p>
        </w:tc>
      </w:tr>
      <w:tr w:rsidR="00486104" w:rsidRPr="0012521E" w14:paraId="18B6D488" w14:textId="77777777" w:rsidTr="00501D45">
        <w:tc>
          <w:tcPr>
            <w:tcW w:w="0" w:type="auto"/>
          </w:tcPr>
          <w:p w14:paraId="552B4F25"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45–54</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79882038" w14:textId="734E87DD"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46</w:t>
            </w:r>
          </w:p>
        </w:tc>
        <w:tc>
          <w:tcPr>
            <w:tcW w:w="1783" w:type="dxa"/>
            <w:tcBorders>
              <w:top w:val="nil"/>
              <w:left w:val="nil"/>
              <w:bottom w:val="single" w:sz="8" w:space="0" w:color="000000"/>
              <w:right w:val="single" w:sz="8" w:space="0" w:color="000000"/>
            </w:tcBorders>
            <w:shd w:val="clear" w:color="auto" w:fill="auto"/>
            <w:vAlign w:val="center"/>
          </w:tcPr>
          <w:p w14:paraId="7649061E" w14:textId="43AC0509"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4</w:t>
            </w:r>
            <w:r w:rsidR="00D51726">
              <w:rPr>
                <w:color w:val="000000"/>
              </w:rPr>
              <w:t>6.8</w:t>
            </w:r>
          </w:p>
        </w:tc>
        <w:tc>
          <w:tcPr>
            <w:tcW w:w="0" w:type="auto"/>
            <w:tcBorders>
              <w:top w:val="nil"/>
              <w:left w:val="nil"/>
              <w:bottom w:val="single" w:sz="8" w:space="0" w:color="000000"/>
              <w:right w:val="single" w:sz="8" w:space="0" w:color="000000"/>
            </w:tcBorders>
            <w:shd w:val="clear" w:color="auto" w:fill="auto"/>
            <w:vAlign w:val="center"/>
          </w:tcPr>
          <w:p w14:paraId="6A7C9DD0" w14:textId="0BEA11B7"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16</w:t>
            </w:r>
          </w:p>
        </w:tc>
        <w:tc>
          <w:tcPr>
            <w:tcW w:w="0" w:type="auto"/>
            <w:tcBorders>
              <w:top w:val="nil"/>
              <w:left w:val="nil"/>
              <w:bottom w:val="single" w:sz="8" w:space="0" w:color="000000"/>
              <w:right w:val="single" w:sz="8" w:space="0" w:color="000000"/>
            </w:tcBorders>
            <w:shd w:val="clear" w:color="auto" w:fill="auto"/>
            <w:vAlign w:val="center"/>
          </w:tcPr>
          <w:p w14:paraId="49BF2A93" w14:textId="2DB65B92"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4</w:t>
            </w:r>
          </w:p>
        </w:tc>
        <w:tc>
          <w:tcPr>
            <w:tcW w:w="0" w:type="auto"/>
            <w:tcBorders>
              <w:top w:val="nil"/>
              <w:left w:val="nil"/>
              <w:bottom w:val="single" w:sz="8" w:space="0" w:color="000000"/>
              <w:right w:val="single" w:sz="8" w:space="0" w:color="000000"/>
            </w:tcBorders>
            <w:shd w:val="clear" w:color="auto" w:fill="auto"/>
            <w:vAlign w:val="center"/>
          </w:tcPr>
          <w:p w14:paraId="45D12677" w14:textId="47E3AB75"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19.0</w:t>
            </w:r>
          </w:p>
        </w:tc>
        <w:tc>
          <w:tcPr>
            <w:tcW w:w="1906" w:type="dxa"/>
            <w:tcBorders>
              <w:top w:val="nil"/>
              <w:left w:val="nil"/>
              <w:bottom w:val="single" w:sz="8" w:space="0" w:color="000000"/>
              <w:right w:val="single" w:sz="8" w:space="0" w:color="000000"/>
            </w:tcBorders>
            <w:shd w:val="clear" w:color="auto" w:fill="auto"/>
            <w:vAlign w:val="center"/>
          </w:tcPr>
          <w:p w14:paraId="03BD6DA3" w14:textId="043582EC"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26</w:t>
            </w:r>
          </w:p>
        </w:tc>
        <w:tc>
          <w:tcPr>
            <w:tcW w:w="1820" w:type="dxa"/>
            <w:tcBorders>
              <w:top w:val="nil"/>
              <w:left w:val="nil"/>
              <w:bottom w:val="single" w:sz="8" w:space="0" w:color="000000"/>
              <w:right w:val="single" w:sz="4" w:space="0" w:color="000000"/>
            </w:tcBorders>
            <w:shd w:val="clear" w:color="auto" w:fill="auto"/>
            <w:vAlign w:val="center"/>
          </w:tcPr>
          <w:p w14:paraId="1523C7DB" w14:textId="13EC3BEE"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23.9</w:t>
            </w:r>
          </w:p>
        </w:tc>
      </w:tr>
      <w:tr w:rsidR="00486104" w:rsidRPr="0012521E" w14:paraId="2A8E2D99" w14:textId="77777777" w:rsidTr="00501D45">
        <w:tc>
          <w:tcPr>
            <w:tcW w:w="0" w:type="auto"/>
          </w:tcPr>
          <w:p w14:paraId="3904332F"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55–64</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712C5A61" w14:textId="68C3C2AB"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21</w:t>
            </w:r>
          </w:p>
        </w:tc>
        <w:tc>
          <w:tcPr>
            <w:tcW w:w="1783" w:type="dxa"/>
            <w:tcBorders>
              <w:top w:val="nil"/>
              <w:left w:val="nil"/>
              <w:bottom w:val="single" w:sz="8" w:space="0" w:color="000000"/>
              <w:right w:val="single" w:sz="8" w:space="0" w:color="000000"/>
            </w:tcBorders>
            <w:shd w:val="clear" w:color="auto" w:fill="auto"/>
            <w:vAlign w:val="center"/>
          </w:tcPr>
          <w:p w14:paraId="4D941FF1" w14:textId="3D38490F" w:rsidR="00486104" w:rsidRPr="0012521E" w:rsidRDefault="005E15C3" w:rsidP="00EC78E4">
            <w:pPr>
              <w:pStyle w:val="Tablerightlarge"/>
              <w:rPr>
                <w:rFonts w:asciiTheme="majorHAnsi" w:hAnsiTheme="majorHAnsi" w:cstheme="majorHAnsi"/>
                <w:color w:val="000000"/>
                <w:kern w:val="1"/>
                <w:szCs w:val="24"/>
                <w:u w:color="000000"/>
              </w:rPr>
            </w:pPr>
            <w:r>
              <w:rPr>
                <w:color w:val="000000"/>
                <w:kern w:val="1"/>
                <w:szCs w:val="24"/>
                <w:u w:color="000000"/>
              </w:rPr>
              <w:t>20.5</w:t>
            </w:r>
          </w:p>
        </w:tc>
        <w:tc>
          <w:tcPr>
            <w:tcW w:w="0" w:type="auto"/>
            <w:tcBorders>
              <w:top w:val="nil"/>
              <w:left w:val="nil"/>
              <w:bottom w:val="single" w:sz="8" w:space="0" w:color="000000"/>
              <w:right w:val="single" w:sz="8" w:space="0" w:color="000000"/>
            </w:tcBorders>
            <w:shd w:val="clear" w:color="auto" w:fill="auto"/>
            <w:vAlign w:val="center"/>
          </w:tcPr>
          <w:p w14:paraId="469A3F2F" w14:textId="393EFA4B"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9</w:t>
            </w:r>
          </w:p>
        </w:tc>
        <w:tc>
          <w:tcPr>
            <w:tcW w:w="0" w:type="auto"/>
            <w:tcBorders>
              <w:top w:val="nil"/>
              <w:left w:val="nil"/>
              <w:bottom w:val="single" w:sz="8" w:space="0" w:color="000000"/>
              <w:right w:val="single" w:sz="8" w:space="0" w:color="000000"/>
            </w:tcBorders>
            <w:shd w:val="clear" w:color="auto" w:fill="auto"/>
            <w:vAlign w:val="center"/>
          </w:tcPr>
          <w:p w14:paraId="2676D7BA" w14:textId="4014D082"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w:t>
            </w:r>
          </w:p>
        </w:tc>
        <w:tc>
          <w:tcPr>
            <w:tcW w:w="0" w:type="auto"/>
            <w:tcBorders>
              <w:top w:val="nil"/>
              <w:left w:val="nil"/>
              <w:bottom w:val="single" w:sz="8" w:space="0" w:color="000000"/>
              <w:right w:val="single" w:sz="8" w:space="0" w:color="000000"/>
            </w:tcBorders>
            <w:shd w:val="clear" w:color="auto" w:fill="auto"/>
            <w:vAlign w:val="center"/>
          </w:tcPr>
          <w:p w14:paraId="383EB265" w14:textId="798FED14"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9.8</w:t>
            </w:r>
          </w:p>
        </w:tc>
        <w:tc>
          <w:tcPr>
            <w:tcW w:w="1906" w:type="dxa"/>
            <w:tcBorders>
              <w:top w:val="nil"/>
              <w:left w:val="nil"/>
              <w:bottom w:val="single" w:sz="8" w:space="0" w:color="000000"/>
              <w:right w:val="single" w:sz="8" w:space="0" w:color="000000"/>
            </w:tcBorders>
            <w:shd w:val="clear" w:color="auto" w:fill="auto"/>
            <w:vAlign w:val="center"/>
          </w:tcPr>
          <w:p w14:paraId="584E8C87" w14:textId="21872103"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11</w:t>
            </w:r>
          </w:p>
        </w:tc>
        <w:tc>
          <w:tcPr>
            <w:tcW w:w="1820" w:type="dxa"/>
            <w:tcBorders>
              <w:top w:val="nil"/>
              <w:left w:val="nil"/>
              <w:bottom w:val="single" w:sz="8" w:space="0" w:color="000000"/>
              <w:right w:val="single" w:sz="4" w:space="0" w:color="000000"/>
            </w:tcBorders>
            <w:shd w:val="clear" w:color="auto" w:fill="auto"/>
            <w:vAlign w:val="center"/>
          </w:tcPr>
          <w:p w14:paraId="58720DF4" w14:textId="580A3699"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9.7</w:t>
            </w:r>
          </w:p>
        </w:tc>
      </w:tr>
      <w:tr w:rsidR="00486104" w:rsidRPr="0012521E" w14:paraId="564A32A7" w14:textId="77777777" w:rsidTr="00501D45">
        <w:tc>
          <w:tcPr>
            <w:tcW w:w="0" w:type="auto"/>
          </w:tcPr>
          <w:p w14:paraId="2B7805E6"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65+</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36870EB0" w14:textId="1ADD6280"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4</w:t>
            </w:r>
          </w:p>
        </w:tc>
        <w:tc>
          <w:tcPr>
            <w:tcW w:w="1783" w:type="dxa"/>
            <w:tcBorders>
              <w:top w:val="nil"/>
              <w:left w:val="nil"/>
              <w:bottom w:val="single" w:sz="8" w:space="0" w:color="000000"/>
              <w:right w:val="single" w:sz="8" w:space="0" w:color="000000"/>
            </w:tcBorders>
            <w:shd w:val="clear" w:color="auto" w:fill="auto"/>
            <w:vAlign w:val="center"/>
          </w:tcPr>
          <w:p w14:paraId="764B505F" w14:textId="3A1896F3"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3.6</w:t>
            </w:r>
          </w:p>
        </w:tc>
        <w:tc>
          <w:tcPr>
            <w:tcW w:w="0" w:type="auto"/>
            <w:tcBorders>
              <w:top w:val="nil"/>
              <w:left w:val="nil"/>
              <w:bottom w:val="single" w:sz="8" w:space="0" w:color="000000"/>
              <w:right w:val="single" w:sz="8" w:space="0" w:color="000000"/>
            </w:tcBorders>
            <w:shd w:val="clear" w:color="auto" w:fill="auto"/>
            <w:vAlign w:val="center"/>
          </w:tcPr>
          <w:p w14:paraId="425755EE" w14:textId="5C63C8EF"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w:t>
            </w:r>
          </w:p>
        </w:tc>
        <w:tc>
          <w:tcPr>
            <w:tcW w:w="0" w:type="auto"/>
            <w:tcBorders>
              <w:top w:val="nil"/>
              <w:left w:val="nil"/>
              <w:bottom w:val="single" w:sz="8" w:space="0" w:color="000000"/>
              <w:right w:val="single" w:sz="8" w:space="0" w:color="000000"/>
            </w:tcBorders>
            <w:shd w:val="clear" w:color="auto" w:fill="auto"/>
            <w:vAlign w:val="center"/>
          </w:tcPr>
          <w:p w14:paraId="2B886A66" w14:textId="7B205ECC"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1</w:t>
            </w:r>
          </w:p>
        </w:tc>
        <w:tc>
          <w:tcPr>
            <w:tcW w:w="0" w:type="auto"/>
            <w:tcBorders>
              <w:top w:val="nil"/>
              <w:left w:val="nil"/>
              <w:bottom w:val="single" w:sz="8" w:space="0" w:color="000000"/>
              <w:right w:val="single" w:sz="8" w:space="0" w:color="000000"/>
            </w:tcBorders>
            <w:shd w:val="clear" w:color="auto" w:fill="auto"/>
            <w:vAlign w:val="center"/>
          </w:tcPr>
          <w:p w14:paraId="2B6683DA" w14:textId="23E1C07B"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3.6</w:t>
            </w:r>
          </w:p>
        </w:tc>
        <w:tc>
          <w:tcPr>
            <w:tcW w:w="1906" w:type="dxa"/>
            <w:tcBorders>
              <w:top w:val="nil"/>
              <w:left w:val="nil"/>
              <w:bottom w:val="single" w:sz="8" w:space="0" w:color="000000"/>
              <w:right w:val="single" w:sz="8" w:space="0" w:color="000000"/>
            </w:tcBorders>
            <w:shd w:val="clear" w:color="auto" w:fill="auto"/>
            <w:vAlign w:val="center"/>
          </w:tcPr>
          <w:p w14:paraId="16DD0FE6" w14:textId="26A1F8A4"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 </w:t>
            </w:r>
          </w:p>
        </w:tc>
        <w:tc>
          <w:tcPr>
            <w:tcW w:w="1820" w:type="dxa"/>
            <w:tcBorders>
              <w:top w:val="nil"/>
              <w:left w:val="nil"/>
              <w:bottom w:val="single" w:sz="8" w:space="0" w:color="000000"/>
              <w:right w:val="single" w:sz="4" w:space="0" w:color="000000"/>
            </w:tcBorders>
            <w:shd w:val="clear" w:color="auto" w:fill="auto"/>
            <w:vAlign w:val="center"/>
          </w:tcPr>
          <w:p w14:paraId="39B7ABE5" w14:textId="2ECC69C5" w:rsidR="00486104" w:rsidRPr="0012521E" w:rsidRDefault="007F3A76" w:rsidP="00EC78E4">
            <w:pPr>
              <w:pStyle w:val="Tablerightlarge"/>
              <w:rPr>
                <w:rFonts w:asciiTheme="majorHAnsi" w:hAnsiTheme="majorHAnsi" w:cstheme="majorHAnsi"/>
                <w:color w:val="000000"/>
                <w:kern w:val="1"/>
                <w:szCs w:val="24"/>
                <w:u w:color="000000"/>
              </w:rPr>
            </w:pPr>
            <w:r>
              <w:rPr>
                <w:color w:val="000000"/>
              </w:rPr>
              <w:t> </w:t>
            </w:r>
          </w:p>
        </w:tc>
      </w:tr>
      <w:tr w:rsidR="00486104" w:rsidRPr="0012521E" w14:paraId="7EEBE0AE" w14:textId="77777777" w:rsidTr="00501D45">
        <w:tc>
          <w:tcPr>
            <w:tcW w:w="0" w:type="auto"/>
            <w:shd w:val="clear" w:color="auto" w:fill="F4F9EE" w:themeFill="accent6" w:themeFillTint="33"/>
          </w:tcPr>
          <w:p w14:paraId="77860EED" w14:textId="77777777" w:rsidR="00486104" w:rsidRPr="001F5130" w:rsidRDefault="00486104" w:rsidP="00EC78E4">
            <w:pPr>
              <w:pStyle w:val="TableText"/>
              <w:rPr>
                <w:rStyle w:val="Strong"/>
                <w:rFonts w:asciiTheme="majorHAnsi" w:hAnsiTheme="majorHAnsi" w:cstheme="majorHAnsi"/>
                <w:color w:val="auto"/>
              </w:rPr>
            </w:pPr>
            <w:r w:rsidRPr="001F5130">
              <w:rPr>
                <w:rStyle w:val="Strong"/>
                <w:rFonts w:asciiTheme="majorHAnsi" w:hAnsiTheme="majorHAnsi" w:cstheme="majorHAnsi"/>
                <w:color w:val="auto"/>
              </w:rPr>
              <w:t>Total employees</w:t>
            </w:r>
          </w:p>
        </w:tc>
        <w:tc>
          <w:tcPr>
            <w:tcW w:w="0" w:type="auto"/>
            <w:tcBorders>
              <w:top w:val="nil"/>
              <w:left w:val="single" w:sz="8" w:space="0" w:color="000000"/>
              <w:bottom w:val="single" w:sz="4" w:space="0" w:color="000000"/>
              <w:right w:val="single" w:sz="8" w:space="0" w:color="000000"/>
            </w:tcBorders>
            <w:shd w:val="clear" w:color="000000" w:fill="F4F9EE"/>
            <w:vAlign w:val="center"/>
          </w:tcPr>
          <w:p w14:paraId="6CF78744" w14:textId="73027B43" w:rsidR="00486104" w:rsidRPr="00E5766A" w:rsidRDefault="007F3A76" w:rsidP="00EC78E4">
            <w:pPr>
              <w:pStyle w:val="Tablerightlarge"/>
              <w:rPr>
                <w:rStyle w:val="Strong"/>
                <w:rFonts w:asciiTheme="majorHAnsi" w:hAnsiTheme="majorHAnsi" w:cstheme="majorHAnsi"/>
                <w:b w:val="0"/>
                <w:bCs w:val="0"/>
                <w:color w:val="auto"/>
              </w:rPr>
            </w:pPr>
            <w:r w:rsidRPr="00E5766A">
              <w:t>167</w:t>
            </w:r>
          </w:p>
        </w:tc>
        <w:tc>
          <w:tcPr>
            <w:tcW w:w="1783" w:type="dxa"/>
            <w:tcBorders>
              <w:top w:val="nil"/>
              <w:left w:val="nil"/>
              <w:bottom w:val="single" w:sz="4" w:space="0" w:color="000000"/>
              <w:right w:val="single" w:sz="8" w:space="0" w:color="000000"/>
            </w:tcBorders>
            <w:shd w:val="clear" w:color="000000" w:fill="F4F9EE"/>
            <w:vAlign w:val="center"/>
          </w:tcPr>
          <w:p w14:paraId="6F0D2E91" w14:textId="2967F66C" w:rsidR="00486104" w:rsidRPr="00E5766A" w:rsidRDefault="007F3A76" w:rsidP="00EC78E4">
            <w:pPr>
              <w:pStyle w:val="Tablerightlarge"/>
              <w:rPr>
                <w:rStyle w:val="Strong"/>
                <w:rFonts w:asciiTheme="majorHAnsi" w:hAnsiTheme="majorHAnsi" w:cstheme="majorHAnsi"/>
                <w:b w:val="0"/>
                <w:bCs w:val="0"/>
                <w:color w:val="auto"/>
              </w:rPr>
            </w:pPr>
            <w:r w:rsidRPr="00E5766A">
              <w:t>155.</w:t>
            </w:r>
            <w:r w:rsidR="00427796" w:rsidRPr="00E5766A">
              <w:t>1</w:t>
            </w:r>
          </w:p>
        </w:tc>
        <w:tc>
          <w:tcPr>
            <w:tcW w:w="0" w:type="auto"/>
            <w:tcBorders>
              <w:top w:val="nil"/>
              <w:left w:val="nil"/>
              <w:bottom w:val="single" w:sz="4" w:space="0" w:color="000000"/>
              <w:right w:val="single" w:sz="8" w:space="0" w:color="000000"/>
            </w:tcBorders>
            <w:shd w:val="clear" w:color="000000" w:fill="F4F9EE"/>
            <w:vAlign w:val="center"/>
          </w:tcPr>
          <w:p w14:paraId="67C05C0C" w14:textId="4298D3DF" w:rsidR="00486104" w:rsidRPr="00E5766A" w:rsidRDefault="007F3A76" w:rsidP="00EC78E4">
            <w:pPr>
              <w:pStyle w:val="Tablerightlarge"/>
              <w:rPr>
                <w:rStyle w:val="Strong"/>
                <w:rFonts w:asciiTheme="majorHAnsi" w:hAnsiTheme="majorHAnsi" w:cstheme="majorHAnsi"/>
                <w:b w:val="0"/>
                <w:bCs w:val="0"/>
                <w:color w:val="auto"/>
              </w:rPr>
            </w:pPr>
            <w:r w:rsidRPr="00E5766A">
              <w:t>39</w:t>
            </w:r>
          </w:p>
        </w:tc>
        <w:tc>
          <w:tcPr>
            <w:tcW w:w="0" w:type="auto"/>
            <w:tcBorders>
              <w:top w:val="nil"/>
              <w:left w:val="nil"/>
              <w:bottom w:val="single" w:sz="4" w:space="0" w:color="000000"/>
              <w:right w:val="single" w:sz="8" w:space="0" w:color="000000"/>
            </w:tcBorders>
            <w:shd w:val="clear" w:color="000000" w:fill="F4F9EE"/>
            <w:vAlign w:val="center"/>
          </w:tcPr>
          <w:p w14:paraId="59981D70" w14:textId="7C04D8E4" w:rsidR="00486104" w:rsidRPr="00E5766A" w:rsidRDefault="007F3A76" w:rsidP="00EC78E4">
            <w:pPr>
              <w:pStyle w:val="Tablerightlarge"/>
              <w:rPr>
                <w:rStyle w:val="Strong"/>
                <w:rFonts w:asciiTheme="majorHAnsi" w:hAnsiTheme="majorHAnsi" w:cstheme="majorHAnsi"/>
                <w:b w:val="0"/>
                <w:bCs w:val="0"/>
                <w:color w:val="auto"/>
              </w:rPr>
            </w:pPr>
            <w:r w:rsidRPr="00E5766A">
              <w:t>10</w:t>
            </w:r>
          </w:p>
        </w:tc>
        <w:tc>
          <w:tcPr>
            <w:tcW w:w="0" w:type="auto"/>
            <w:tcBorders>
              <w:top w:val="nil"/>
              <w:left w:val="nil"/>
              <w:bottom w:val="single" w:sz="4" w:space="0" w:color="000000"/>
              <w:right w:val="single" w:sz="8" w:space="0" w:color="000000"/>
            </w:tcBorders>
            <w:shd w:val="clear" w:color="000000" w:fill="F4F9EE"/>
            <w:vAlign w:val="center"/>
          </w:tcPr>
          <w:p w14:paraId="3BAE2CCD" w14:textId="61019C96" w:rsidR="00486104" w:rsidRPr="00E5766A" w:rsidRDefault="007F3A76" w:rsidP="00EC78E4">
            <w:pPr>
              <w:pStyle w:val="Tablerightlarge"/>
              <w:rPr>
                <w:rStyle w:val="Strong"/>
                <w:rFonts w:asciiTheme="majorHAnsi" w:hAnsiTheme="majorHAnsi" w:cstheme="majorHAnsi"/>
                <w:b w:val="0"/>
                <w:bCs w:val="0"/>
                <w:color w:val="auto"/>
              </w:rPr>
            </w:pPr>
            <w:r w:rsidRPr="00E5766A">
              <w:t>46.5</w:t>
            </w:r>
          </w:p>
        </w:tc>
        <w:tc>
          <w:tcPr>
            <w:tcW w:w="1906" w:type="dxa"/>
            <w:tcBorders>
              <w:top w:val="nil"/>
              <w:left w:val="nil"/>
              <w:bottom w:val="single" w:sz="4" w:space="0" w:color="000000"/>
              <w:right w:val="single" w:sz="8" w:space="0" w:color="000000"/>
            </w:tcBorders>
            <w:shd w:val="clear" w:color="000000" w:fill="F4F9EE"/>
            <w:vAlign w:val="center"/>
          </w:tcPr>
          <w:p w14:paraId="23F98985" w14:textId="15E106C7" w:rsidR="00486104" w:rsidRPr="00E5766A" w:rsidRDefault="007F3A76" w:rsidP="00EC78E4">
            <w:pPr>
              <w:pStyle w:val="Tablerightlarge"/>
              <w:rPr>
                <w:rStyle w:val="Strong"/>
                <w:rFonts w:asciiTheme="majorHAnsi" w:hAnsiTheme="majorHAnsi" w:cstheme="majorHAnsi"/>
                <w:b w:val="0"/>
                <w:bCs w:val="0"/>
                <w:color w:val="auto"/>
              </w:rPr>
            </w:pPr>
            <w:r w:rsidRPr="00E5766A">
              <w:t>118</w:t>
            </w:r>
          </w:p>
        </w:tc>
        <w:tc>
          <w:tcPr>
            <w:tcW w:w="1820" w:type="dxa"/>
            <w:tcBorders>
              <w:top w:val="nil"/>
              <w:left w:val="nil"/>
              <w:bottom w:val="single" w:sz="4" w:space="0" w:color="000000"/>
              <w:right w:val="single" w:sz="4" w:space="0" w:color="000000"/>
            </w:tcBorders>
            <w:shd w:val="clear" w:color="000000" w:fill="F4F9EE"/>
            <w:vAlign w:val="center"/>
          </w:tcPr>
          <w:p w14:paraId="371D6D03" w14:textId="74CDC36D" w:rsidR="00486104" w:rsidRPr="00E5766A" w:rsidRDefault="007F3A76" w:rsidP="00EC78E4">
            <w:pPr>
              <w:pStyle w:val="Tablerightlarge"/>
              <w:rPr>
                <w:rStyle w:val="Strong"/>
                <w:rFonts w:asciiTheme="majorHAnsi" w:hAnsiTheme="majorHAnsi" w:cstheme="majorHAnsi"/>
                <w:b w:val="0"/>
                <w:bCs w:val="0"/>
                <w:color w:val="auto"/>
              </w:rPr>
            </w:pPr>
            <w:r w:rsidRPr="00E5766A">
              <w:t>109.2</w:t>
            </w:r>
          </w:p>
        </w:tc>
      </w:tr>
    </w:tbl>
    <w:p w14:paraId="3A177630" w14:textId="1B07E9D1" w:rsidR="00486104" w:rsidRPr="0012521E" w:rsidRDefault="00486104" w:rsidP="0074499F">
      <w:pPr>
        <w:pStyle w:val="Heading4"/>
        <w:rPr>
          <w:rStyle w:val="Strong"/>
          <w:rFonts w:asciiTheme="majorHAnsi" w:hAnsiTheme="majorHAnsi" w:cstheme="majorHAnsi"/>
          <w:b w:val="0"/>
          <w:bCs w:val="0"/>
        </w:rPr>
      </w:pPr>
      <w:bookmarkStart w:id="157" w:name="_Toc166585735"/>
      <w:r w:rsidRPr="0012521E">
        <w:rPr>
          <w:rStyle w:val="Strong"/>
          <w:rFonts w:asciiTheme="majorHAnsi" w:hAnsiTheme="majorHAnsi" w:cstheme="majorHAnsi"/>
        </w:rPr>
        <w:t>Demographic data: Age in June 202</w:t>
      </w:r>
      <w:r w:rsidR="00BD500B" w:rsidRPr="0012521E">
        <w:rPr>
          <w:rStyle w:val="Strong"/>
          <w:rFonts w:asciiTheme="majorHAnsi" w:hAnsiTheme="majorHAnsi" w:cstheme="majorHAnsi"/>
        </w:rPr>
        <w:t>3</w:t>
      </w:r>
      <w:bookmarkEnd w:id="157"/>
    </w:p>
    <w:tbl>
      <w:tblPr>
        <w:tblStyle w:val="TableGrid"/>
        <w:tblW w:w="14289" w:type="dxa"/>
        <w:tblLook w:val="0020" w:firstRow="1" w:lastRow="0" w:firstColumn="0" w:lastColumn="0" w:noHBand="0" w:noVBand="0"/>
      </w:tblPr>
      <w:tblGrid>
        <w:gridCol w:w="1502"/>
        <w:gridCol w:w="1987"/>
        <w:gridCol w:w="1783"/>
        <w:gridCol w:w="1984"/>
        <w:gridCol w:w="1993"/>
        <w:gridCol w:w="1314"/>
        <w:gridCol w:w="1906"/>
        <w:gridCol w:w="1820"/>
      </w:tblGrid>
      <w:tr w:rsidR="00486104" w:rsidRPr="0012521E" w14:paraId="45EB2D06" w14:textId="77777777" w:rsidTr="00E159ED">
        <w:trPr>
          <w:tblHeader/>
        </w:trPr>
        <w:tc>
          <w:tcPr>
            <w:tcW w:w="0" w:type="auto"/>
            <w:shd w:val="clear" w:color="auto" w:fill="D4DFA0" w:themeFill="accent3"/>
          </w:tcPr>
          <w:p w14:paraId="311DD665" w14:textId="77777777" w:rsidR="00486104" w:rsidRPr="00E159ED" w:rsidRDefault="00486104" w:rsidP="00EC78E4">
            <w:pPr>
              <w:pStyle w:val="tableheadright"/>
              <w:rPr>
                <w:rFonts w:cstheme="majorHAnsi"/>
                <w:color w:val="auto"/>
                <w:u w:color="000000"/>
              </w:rPr>
            </w:pPr>
          </w:p>
        </w:tc>
        <w:tc>
          <w:tcPr>
            <w:tcW w:w="0" w:type="auto"/>
            <w:shd w:val="clear" w:color="auto" w:fill="D4DFA0" w:themeFill="accent3"/>
          </w:tcPr>
          <w:p w14:paraId="60B6BB0E"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No. (headcount)</w:t>
            </w:r>
          </w:p>
        </w:tc>
        <w:tc>
          <w:tcPr>
            <w:tcW w:w="1783" w:type="dxa"/>
            <w:shd w:val="clear" w:color="auto" w:fill="D4DFA0" w:themeFill="accent3"/>
          </w:tcPr>
          <w:p w14:paraId="5D32E42C"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All employees: FTE</w:t>
            </w:r>
          </w:p>
        </w:tc>
        <w:tc>
          <w:tcPr>
            <w:tcW w:w="0" w:type="auto"/>
            <w:shd w:val="clear" w:color="auto" w:fill="D4DFA0" w:themeFill="accent3"/>
          </w:tcPr>
          <w:p w14:paraId="04684EE5"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Full-time (headcount)</w:t>
            </w:r>
          </w:p>
        </w:tc>
        <w:tc>
          <w:tcPr>
            <w:tcW w:w="0" w:type="auto"/>
            <w:shd w:val="clear" w:color="auto" w:fill="D4DFA0" w:themeFill="accent3"/>
          </w:tcPr>
          <w:p w14:paraId="30A751AD"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Part-time (headcount)</w:t>
            </w:r>
          </w:p>
        </w:tc>
        <w:tc>
          <w:tcPr>
            <w:tcW w:w="0" w:type="auto"/>
            <w:shd w:val="clear" w:color="auto" w:fill="D4DFA0" w:themeFill="accent3"/>
          </w:tcPr>
          <w:p w14:paraId="1DF53350"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Ongoing: FTE</w:t>
            </w:r>
          </w:p>
        </w:tc>
        <w:tc>
          <w:tcPr>
            <w:tcW w:w="1906" w:type="dxa"/>
            <w:shd w:val="clear" w:color="auto" w:fill="D4DFA0" w:themeFill="accent3"/>
          </w:tcPr>
          <w:p w14:paraId="62BE5941"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No. (headcount)</w:t>
            </w:r>
          </w:p>
        </w:tc>
        <w:tc>
          <w:tcPr>
            <w:tcW w:w="1820" w:type="dxa"/>
            <w:shd w:val="clear" w:color="auto" w:fill="D4DFA0" w:themeFill="accent3"/>
          </w:tcPr>
          <w:p w14:paraId="3B73009C" w14:textId="77777777" w:rsidR="00486104" w:rsidRPr="00E159ED" w:rsidRDefault="00486104" w:rsidP="00EC78E4">
            <w:pPr>
              <w:pStyle w:val="tableheadright"/>
              <w:rPr>
                <w:rFonts w:cstheme="majorHAnsi"/>
                <w:color w:val="auto"/>
                <w:u w:color="000000"/>
              </w:rPr>
            </w:pPr>
            <w:r w:rsidRPr="00E159ED">
              <w:rPr>
                <w:rFonts w:cstheme="majorHAnsi"/>
                <w:color w:val="auto"/>
                <w:u w:color="000000"/>
              </w:rPr>
              <w:t>Fixed term and casual (FTE)</w:t>
            </w:r>
          </w:p>
        </w:tc>
      </w:tr>
      <w:tr w:rsidR="00BD500B" w:rsidRPr="0012521E" w14:paraId="455352F5" w14:textId="77777777" w:rsidTr="00EC78E4">
        <w:tc>
          <w:tcPr>
            <w:tcW w:w="0" w:type="auto"/>
          </w:tcPr>
          <w:p w14:paraId="6A2B1C8A"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15–24</w:t>
            </w:r>
          </w:p>
        </w:tc>
        <w:tc>
          <w:tcPr>
            <w:tcW w:w="0" w:type="auto"/>
          </w:tcPr>
          <w:p w14:paraId="12F2C06A" w14:textId="1625691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1783" w:type="dxa"/>
          </w:tcPr>
          <w:p w14:paraId="05CC53AA" w14:textId="34463BA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0.6</w:t>
            </w:r>
          </w:p>
        </w:tc>
        <w:tc>
          <w:tcPr>
            <w:tcW w:w="0" w:type="auto"/>
          </w:tcPr>
          <w:p w14:paraId="0AB25A3B" w14:textId="1DB4536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773C491F" w14:textId="06F2D27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5ECE133C" w14:textId="5775F8D0"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0.0</w:t>
            </w:r>
          </w:p>
        </w:tc>
        <w:tc>
          <w:tcPr>
            <w:tcW w:w="1906" w:type="dxa"/>
          </w:tcPr>
          <w:p w14:paraId="22C4D112" w14:textId="52B47A5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1820" w:type="dxa"/>
          </w:tcPr>
          <w:p w14:paraId="73956512" w14:textId="293DE16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0.6</w:t>
            </w:r>
          </w:p>
        </w:tc>
      </w:tr>
      <w:tr w:rsidR="00BD500B" w:rsidRPr="0012521E" w14:paraId="77CCCDE6" w14:textId="77777777" w:rsidTr="00EC78E4">
        <w:tc>
          <w:tcPr>
            <w:tcW w:w="0" w:type="auto"/>
          </w:tcPr>
          <w:p w14:paraId="28A25EBE"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25–34</w:t>
            </w:r>
          </w:p>
        </w:tc>
        <w:tc>
          <w:tcPr>
            <w:tcW w:w="0" w:type="auto"/>
          </w:tcPr>
          <w:p w14:paraId="78195B6A" w14:textId="438521B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47</w:t>
            </w:r>
          </w:p>
        </w:tc>
        <w:tc>
          <w:tcPr>
            <w:tcW w:w="1783" w:type="dxa"/>
          </w:tcPr>
          <w:p w14:paraId="7FD4DAC7" w14:textId="540CF0A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44.9</w:t>
            </w:r>
          </w:p>
        </w:tc>
        <w:tc>
          <w:tcPr>
            <w:tcW w:w="0" w:type="auto"/>
          </w:tcPr>
          <w:p w14:paraId="23DA0C71" w14:textId="5F81D64D"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8</w:t>
            </w:r>
          </w:p>
        </w:tc>
        <w:tc>
          <w:tcPr>
            <w:tcW w:w="0" w:type="auto"/>
          </w:tcPr>
          <w:p w14:paraId="7F1C002C" w14:textId="14F66B3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0" w:type="auto"/>
          </w:tcPr>
          <w:p w14:paraId="703F8FDE" w14:textId="64BFBC2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8.8</w:t>
            </w:r>
          </w:p>
        </w:tc>
        <w:tc>
          <w:tcPr>
            <w:tcW w:w="1906" w:type="dxa"/>
          </w:tcPr>
          <w:p w14:paraId="517F2977" w14:textId="518153B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38</w:t>
            </w:r>
          </w:p>
        </w:tc>
        <w:tc>
          <w:tcPr>
            <w:tcW w:w="1820" w:type="dxa"/>
          </w:tcPr>
          <w:p w14:paraId="166690C7" w14:textId="580F7E8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36.1</w:t>
            </w:r>
          </w:p>
        </w:tc>
      </w:tr>
      <w:tr w:rsidR="00BD500B" w:rsidRPr="0012521E" w14:paraId="422F7CDF" w14:textId="77777777" w:rsidTr="00EC78E4">
        <w:tc>
          <w:tcPr>
            <w:tcW w:w="0" w:type="auto"/>
          </w:tcPr>
          <w:p w14:paraId="0703E5D2"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34–44</w:t>
            </w:r>
          </w:p>
        </w:tc>
        <w:tc>
          <w:tcPr>
            <w:tcW w:w="0" w:type="auto"/>
          </w:tcPr>
          <w:p w14:paraId="3B94671B" w14:textId="1435FE64"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68</w:t>
            </w:r>
          </w:p>
        </w:tc>
        <w:tc>
          <w:tcPr>
            <w:tcW w:w="1783" w:type="dxa"/>
          </w:tcPr>
          <w:p w14:paraId="47444B07" w14:textId="4BEDFF3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61.7</w:t>
            </w:r>
          </w:p>
        </w:tc>
        <w:tc>
          <w:tcPr>
            <w:tcW w:w="0" w:type="auto"/>
          </w:tcPr>
          <w:p w14:paraId="21FF2BAE" w14:textId="2987C32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13</w:t>
            </w:r>
          </w:p>
        </w:tc>
        <w:tc>
          <w:tcPr>
            <w:tcW w:w="0" w:type="auto"/>
          </w:tcPr>
          <w:p w14:paraId="553B6769" w14:textId="6A6B18A1"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w:t>
            </w:r>
          </w:p>
        </w:tc>
        <w:tc>
          <w:tcPr>
            <w:tcW w:w="0" w:type="auto"/>
          </w:tcPr>
          <w:p w14:paraId="62FAFFA2" w14:textId="013D4F76"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16.9</w:t>
            </w:r>
          </w:p>
        </w:tc>
        <w:tc>
          <w:tcPr>
            <w:tcW w:w="1906" w:type="dxa"/>
          </w:tcPr>
          <w:p w14:paraId="522DD78C" w14:textId="229BFFD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50</w:t>
            </w:r>
          </w:p>
        </w:tc>
        <w:tc>
          <w:tcPr>
            <w:tcW w:w="1820" w:type="dxa"/>
          </w:tcPr>
          <w:p w14:paraId="43B2ECB4" w14:textId="6F52D4A4"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44.8</w:t>
            </w:r>
          </w:p>
        </w:tc>
      </w:tr>
      <w:tr w:rsidR="00BD500B" w:rsidRPr="0012521E" w14:paraId="4E4C38E6" w14:textId="77777777" w:rsidTr="00EC78E4">
        <w:tc>
          <w:tcPr>
            <w:tcW w:w="0" w:type="auto"/>
          </w:tcPr>
          <w:p w14:paraId="32D65BCB"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45–54</w:t>
            </w:r>
          </w:p>
        </w:tc>
        <w:tc>
          <w:tcPr>
            <w:tcW w:w="0" w:type="auto"/>
          </w:tcPr>
          <w:p w14:paraId="648C39FC" w14:textId="42ABEDF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48</w:t>
            </w:r>
          </w:p>
        </w:tc>
        <w:tc>
          <w:tcPr>
            <w:tcW w:w="1783" w:type="dxa"/>
          </w:tcPr>
          <w:p w14:paraId="72995E12" w14:textId="715F36D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45.0</w:t>
            </w:r>
          </w:p>
        </w:tc>
        <w:tc>
          <w:tcPr>
            <w:tcW w:w="0" w:type="auto"/>
          </w:tcPr>
          <w:p w14:paraId="00BADD77" w14:textId="292D3A2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14</w:t>
            </w:r>
          </w:p>
        </w:tc>
        <w:tc>
          <w:tcPr>
            <w:tcW w:w="0" w:type="auto"/>
          </w:tcPr>
          <w:p w14:paraId="1BCEDAB3" w14:textId="62994C0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w:t>
            </w:r>
          </w:p>
        </w:tc>
        <w:tc>
          <w:tcPr>
            <w:tcW w:w="0" w:type="auto"/>
          </w:tcPr>
          <w:p w14:paraId="69A8CEE8" w14:textId="7B4C4C5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17.7</w:t>
            </w:r>
          </w:p>
        </w:tc>
        <w:tc>
          <w:tcPr>
            <w:tcW w:w="1906" w:type="dxa"/>
          </w:tcPr>
          <w:p w14:paraId="0C16835F" w14:textId="0F5263F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29</w:t>
            </w:r>
          </w:p>
        </w:tc>
        <w:tc>
          <w:tcPr>
            <w:tcW w:w="1820" w:type="dxa"/>
          </w:tcPr>
          <w:p w14:paraId="56BA90A7" w14:textId="7E7A9D41"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27.3</w:t>
            </w:r>
          </w:p>
        </w:tc>
      </w:tr>
      <w:tr w:rsidR="00BD500B" w:rsidRPr="0012521E" w14:paraId="2DA5134A" w14:textId="77777777" w:rsidTr="00EC78E4">
        <w:tc>
          <w:tcPr>
            <w:tcW w:w="0" w:type="auto"/>
          </w:tcPr>
          <w:p w14:paraId="5D2FAE6A"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55–64</w:t>
            </w:r>
          </w:p>
        </w:tc>
        <w:tc>
          <w:tcPr>
            <w:tcW w:w="0" w:type="auto"/>
          </w:tcPr>
          <w:p w14:paraId="0942F0B4" w14:textId="4AFB627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23</w:t>
            </w:r>
          </w:p>
        </w:tc>
        <w:tc>
          <w:tcPr>
            <w:tcW w:w="1783" w:type="dxa"/>
          </w:tcPr>
          <w:p w14:paraId="6818D4D9" w14:textId="1A530D69"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21.3</w:t>
            </w:r>
          </w:p>
        </w:tc>
        <w:tc>
          <w:tcPr>
            <w:tcW w:w="0" w:type="auto"/>
          </w:tcPr>
          <w:p w14:paraId="1BAA7029" w14:textId="5B23148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11</w:t>
            </w:r>
          </w:p>
        </w:tc>
        <w:tc>
          <w:tcPr>
            <w:tcW w:w="0" w:type="auto"/>
          </w:tcPr>
          <w:p w14:paraId="749D9AE0" w14:textId="5BA2E36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0" w:type="auto"/>
          </w:tcPr>
          <w:p w14:paraId="5D4B763D" w14:textId="58C0044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11.8</w:t>
            </w:r>
          </w:p>
        </w:tc>
        <w:tc>
          <w:tcPr>
            <w:tcW w:w="1906" w:type="dxa"/>
          </w:tcPr>
          <w:p w14:paraId="3303ED89" w14:textId="750B4FFD"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11</w:t>
            </w:r>
          </w:p>
        </w:tc>
        <w:tc>
          <w:tcPr>
            <w:tcW w:w="1820" w:type="dxa"/>
          </w:tcPr>
          <w:p w14:paraId="38BC5F69" w14:textId="3866D6FA"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9.5</w:t>
            </w:r>
          </w:p>
        </w:tc>
      </w:tr>
      <w:tr w:rsidR="00BD500B" w:rsidRPr="0012521E" w14:paraId="45247397" w14:textId="77777777" w:rsidTr="00EC78E4">
        <w:tc>
          <w:tcPr>
            <w:tcW w:w="0" w:type="auto"/>
          </w:tcPr>
          <w:p w14:paraId="30E1D70C"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65+</w:t>
            </w:r>
          </w:p>
        </w:tc>
        <w:tc>
          <w:tcPr>
            <w:tcW w:w="0" w:type="auto"/>
          </w:tcPr>
          <w:p w14:paraId="6303C70A" w14:textId="51FDE71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w:t>
            </w:r>
          </w:p>
        </w:tc>
        <w:tc>
          <w:tcPr>
            <w:tcW w:w="1783" w:type="dxa"/>
          </w:tcPr>
          <w:p w14:paraId="22F7C91D" w14:textId="0DCD6A0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3.6</w:t>
            </w:r>
          </w:p>
        </w:tc>
        <w:tc>
          <w:tcPr>
            <w:tcW w:w="0" w:type="auto"/>
          </w:tcPr>
          <w:p w14:paraId="16EB2864" w14:textId="2ACF552A"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w:t>
            </w:r>
          </w:p>
        </w:tc>
        <w:tc>
          <w:tcPr>
            <w:tcW w:w="0" w:type="auto"/>
          </w:tcPr>
          <w:p w14:paraId="56794969" w14:textId="5FFFB66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0" w:type="auto"/>
          </w:tcPr>
          <w:p w14:paraId="06022D1F" w14:textId="35106CD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3.6</w:t>
            </w:r>
          </w:p>
        </w:tc>
        <w:tc>
          <w:tcPr>
            <w:tcW w:w="1906" w:type="dxa"/>
          </w:tcPr>
          <w:p w14:paraId="1C89A7ED" w14:textId="1BD9323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67FBE246" w14:textId="185BAAD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BD500B" w:rsidRPr="0012521E" w14:paraId="1A7F5E1C" w14:textId="77777777" w:rsidTr="001F5130">
        <w:tc>
          <w:tcPr>
            <w:tcW w:w="0" w:type="auto"/>
            <w:shd w:val="clear" w:color="auto" w:fill="F4F9EE" w:themeFill="accent6" w:themeFillTint="33"/>
          </w:tcPr>
          <w:p w14:paraId="227351BB" w14:textId="77777777" w:rsidR="00BD500B" w:rsidRPr="001F5130" w:rsidRDefault="00BD500B" w:rsidP="00BD500B">
            <w:pPr>
              <w:pStyle w:val="TableText"/>
              <w:rPr>
                <w:rStyle w:val="Strong"/>
                <w:rFonts w:asciiTheme="majorHAnsi" w:hAnsiTheme="majorHAnsi" w:cstheme="majorHAnsi"/>
                <w:color w:val="auto"/>
              </w:rPr>
            </w:pPr>
            <w:r w:rsidRPr="001F5130">
              <w:rPr>
                <w:rStyle w:val="Strong"/>
                <w:rFonts w:asciiTheme="majorHAnsi" w:hAnsiTheme="majorHAnsi" w:cstheme="majorHAnsi"/>
                <w:color w:val="auto"/>
              </w:rPr>
              <w:t>Total employees</w:t>
            </w:r>
          </w:p>
        </w:tc>
        <w:tc>
          <w:tcPr>
            <w:tcW w:w="0" w:type="auto"/>
            <w:shd w:val="clear" w:color="auto" w:fill="F4F9EE" w:themeFill="accent6" w:themeFillTint="33"/>
          </w:tcPr>
          <w:p w14:paraId="3D133FA9" w14:textId="4EC72E9E" w:rsidR="00BD500B" w:rsidRPr="00E5766A" w:rsidRDefault="00BD500B" w:rsidP="00BD500B">
            <w:pPr>
              <w:pStyle w:val="Tablerightlarge"/>
              <w:rPr>
                <w:rStyle w:val="Strong"/>
                <w:rFonts w:asciiTheme="majorHAnsi" w:hAnsiTheme="majorHAnsi" w:cstheme="majorHAnsi"/>
                <w:color w:val="auto"/>
              </w:rPr>
            </w:pPr>
            <w:r w:rsidRPr="00E5766A">
              <w:rPr>
                <w:rFonts w:asciiTheme="majorHAnsi" w:hAnsiTheme="majorHAnsi" w:cstheme="majorHAnsi"/>
              </w:rPr>
              <w:t>191</w:t>
            </w:r>
          </w:p>
        </w:tc>
        <w:tc>
          <w:tcPr>
            <w:tcW w:w="1783" w:type="dxa"/>
            <w:shd w:val="clear" w:color="auto" w:fill="F4F9EE" w:themeFill="accent6" w:themeFillTint="33"/>
          </w:tcPr>
          <w:p w14:paraId="267E103C" w14:textId="1EF7453A" w:rsidR="00BD500B" w:rsidRPr="00E5766A" w:rsidRDefault="00BD500B" w:rsidP="00BD500B">
            <w:pPr>
              <w:pStyle w:val="Tablerightlarge"/>
              <w:rPr>
                <w:rStyle w:val="Strong"/>
                <w:rFonts w:asciiTheme="majorHAnsi" w:hAnsiTheme="majorHAnsi" w:cstheme="majorHAnsi"/>
                <w:color w:val="auto"/>
              </w:rPr>
            </w:pPr>
            <w:r w:rsidRPr="00E5766A">
              <w:rPr>
                <w:rFonts w:asciiTheme="majorHAnsi" w:hAnsiTheme="majorHAnsi" w:cstheme="majorHAnsi"/>
              </w:rPr>
              <w:t>177.1</w:t>
            </w:r>
          </w:p>
        </w:tc>
        <w:tc>
          <w:tcPr>
            <w:tcW w:w="0" w:type="auto"/>
            <w:shd w:val="clear" w:color="auto" w:fill="F4F9EE" w:themeFill="accent6" w:themeFillTint="33"/>
          </w:tcPr>
          <w:p w14:paraId="4D419F78" w14:textId="7BF71DF0" w:rsidR="00BD500B" w:rsidRPr="00E5766A" w:rsidRDefault="00BD500B" w:rsidP="00BD500B">
            <w:pPr>
              <w:pStyle w:val="Tablerightlarge"/>
              <w:rPr>
                <w:rStyle w:val="Strong"/>
                <w:rFonts w:asciiTheme="majorHAnsi" w:hAnsiTheme="majorHAnsi" w:cstheme="majorHAnsi"/>
                <w:color w:val="auto"/>
              </w:rPr>
            </w:pPr>
            <w:r w:rsidRPr="00E5766A">
              <w:rPr>
                <w:rFonts w:asciiTheme="majorHAnsi" w:hAnsiTheme="majorHAnsi" w:cstheme="majorHAnsi"/>
              </w:rPr>
              <w:t>49</w:t>
            </w:r>
          </w:p>
        </w:tc>
        <w:tc>
          <w:tcPr>
            <w:tcW w:w="0" w:type="auto"/>
            <w:shd w:val="clear" w:color="auto" w:fill="F4F9EE" w:themeFill="accent6" w:themeFillTint="33"/>
          </w:tcPr>
          <w:p w14:paraId="698F97FB" w14:textId="25DF3208" w:rsidR="00BD500B" w:rsidRPr="00E5766A" w:rsidRDefault="00BD500B" w:rsidP="00BD500B">
            <w:pPr>
              <w:pStyle w:val="Tablerightlarge"/>
              <w:rPr>
                <w:rStyle w:val="Strong"/>
                <w:rFonts w:asciiTheme="majorHAnsi" w:hAnsiTheme="majorHAnsi" w:cstheme="majorHAnsi"/>
                <w:color w:val="auto"/>
              </w:rPr>
            </w:pPr>
            <w:r w:rsidRPr="00E5766A">
              <w:rPr>
                <w:rFonts w:asciiTheme="majorHAnsi" w:hAnsiTheme="majorHAnsi" w:cstheme="majorHAnsi"/>
              </w:rPr>
              <w:t>13</w:t>
            </w:r>
          </w:p>
        </w:tc>
        <w:tc>
          <w:tcPr>
            <w:tcW w:w="0" w:type="auto"/>
            <w:shd w:val="clear" w:color="auto" w:fill="F4F9EE" w:themeFill="accent6" w:themeFillTint="33"/>
          </w:tcPr>
          <w:p w14:paraId="44C66CC6" w14:textId="51A52F13" w:rsidR="00BD500B" w:rsidRPr="00E5766A" w:rsidRDefault="00BD500B" w:rsidP="00BD500B">
            <w:pPr>
              <w:pStyle w:val="Tablerightlarge"/>
              <w:rPr>
                <w:rStyle w:val="Strong"/>
                <w:rFonts w:asciiTheme="majorHAnsi" w:hAnsiTheme="majorHAnsi" w:cstheme="majorHAnsi"/>
                <w:color w:val="auto"/>
              </w:rPr>
            </w:pPr>
            <w:r w:rsidRPr="00E5766A">
              <w:rPr>
                <w:rFonts w:asciiTheme="majorHAnsi" w:hAnsiTheme="majorHAnsi" w:cstheme="majorHAnsi"/>
              </w:rPr>
              <w:t>58.8</w:t>
            </w:r>
          </w:p>
        </w:tc>
        <w:tc>
          <w:tcPr>
            <w:tcW w:w="1906" w:type="dxa"/>
            <w:shd w:val="clear" w:color="auto" w:fill="F4F9EE" w:themeFill="accent6" w:themeFillTint="33"/>
          </w:tcPr>
          <w:p w14:paraId="0B47B3B0" w14:textId="649F50D4" w:rsidR="00BD500B" w:rsidRPr="00E5766A" w:rsidRDefault="00BD500B" w:rsidP="00BD500B">
            <w:pPr>
              <w:pStyle w:val="Tablerightlarge"/>
              <w:rPr>
                <w:rStyle w:val="Strong"/>
                <w:rFonts w:asciiTheme="majorHAnsi" w:hAnsiTheme="majorHAnsi" w:cstheme="majorHAnsi"/>
                <w:color w:val="auto"/>
              </w:rPr>
            </w:pPr>
            <w:r w:rsidRPr="00E5766A">
              <w:rPr>
                <w:rFonts w:asciiTheme="majorHAnsi" w:hAnsiTheme="majorHAnsi" w:cstheme="majorHAnsi"/>
              </w:rPr>
              <w:t>129</w:t>
            </w:r>
          </w:p>
        </w:tc>
        <w:tc>
          <w:tcPr>
            <w:tcW w:w="1820" w:type="dxa"/>
            <w:shd w:val="clear" w:color="auto" w:fill="F4F9EE" w:themeFill="accent6" w:themeFillTint="33"/>
          </w:tcPr>
          <w:p w14:paraId="58C50C8D" w14:textId="6E88D957" w:rsidR="00BD500B" w:rsidRPr="00E5766A" w:rsidRDefault="00BD500B" w:rsidP="00BD500B">
            <w:pPr>
              <w:pStyle w:val="Tablerightlarge"/>
              <w:rPr>
                <w:rStyle w:val="Strong"/>
                <w:rFonts w:asciiTheme="majorHAnsi" w:hAnsiTheme="majorHAnsi" w:cstheme="majorHAnsi"/>
                <w:color w:val="auto"/>
              </w:rPr>
            </w:pPr>
            <w:r w:rsidRPr="00E5766A">
              <w:rPr>
                <w:rFonts w:asciiTheme="majorHAnsi" w:hAnsiTheme="majorHAnsi" w:cstheme="majorHAnsi"/>
              </w:rPr>
              <w:t>118.3</w:t>
            </w:r>
          </w:p>
        </w:tc>
      </w:tr>
    </w:tbl>
    <w:p w14:paraId="234A0654" w14:textId="386E4105" w:rsidR="00486104" w:rsidRPr="0012521E" w:rsidRDefault="00486104" w:rsidP="0074499F">
      <w:pPr>
        <w:pStyle w:val="Heading4"/>
      </w:pPr>
      <w:bookmarkStart w:id="158" w:name="_Toc166585736"/>
      <w:r w:rsidRPr="0012521E">
        <w:rPr>
          <w:rStyle w:val="Strong"/>
          <w:rFonts w:asciiTheme="majorHAnsi" w:hAnsiTheme="majorHAnsi" w:cstheme="majorHAnsi"/>
        </w:rPr>
        <w:lastRenderedPageBreak/>
        <w:t>Classification data: VPS 1–6 Grades June 202</w:t>
      </w:r>
      <w:r w:rsidR="00BD500B" w:rsidRPr="0012521E">
        <w:rPr>
          <w:rStyle w:val="Strong"/>
          <w:rFonts w:asciiTheme="majorHAnsi" w:hAnsiTheme="majorHAnsi" w:cstheme="majorHAnsi"/>
        </w:rPr>
        <w:t>4</w:t>
      </w:r>
      <w:bookmarkEnd w:id="158"/>
    </w:p>
    <w:tbl>
      <w:tblPr>
        <w:tblStyle w:val="TableGrid"/>
        <w:tblW w:w="13943" w:type="dxa"/>
        <w:tblLook w:val="0020" w:firstRow="1" w:lastRow="0" w:firstColumn="0" w:lastColumn="0" w:noHBand="0" w:noVBand="0"/>
      </w:tblPr>
      <w:tblGrid>
        <w:gridCol w:w="1186"/>
        <w:gridCol w:w="1984"/>
        <w:gridCol w:w="1843"/>
        <w:gridCol w:w="1843"/>
        <w:gridCol w:w="2126"/>
        <w:gridCol w:w="1276"/>
        <w:gridCol w:w="1842"/>
        <w:gridCol w:w="1843"/>
      </w:tblGrid>
      <w:tr w:rsidR="00486104" w:rsidRPr="0012521E" w14:paraId="20DFBED9" w14:textId="77777777" w:rsidTr="00E159ED">
        <w:tc>
          <w:tcPr>
            <w:tcW w:w="1186" w:type="dxa"/>
            <w:shd w:val="clear" w:color="auto" w:fill="D4DFA0" w:themeFill="accent3"/>
          </w:tcPr>
          <w:p w14:paraId="69E19A28" w14:textId="77777777" w:rsidR="00486104" w:rsidRPr="00E159ED" w:rsidRDefault="00486104" w:rsidP="00EC78E4">
            <w:pPr>
              <w:pStyle w:val="Tablehead10"/>
              <w:rPr>
                <w:rFonts w:cstheme="majorHAnsi"/>
                <w:color w:val="auto"/>
              </w:rPr>
            </w:pPr>
          </w:p>
        </w:tc>
        <w:tc>
          <w:tcPr>
            <w:tcW w:w="1984" w:type="dxa"/>
            <w:shd w:val="clear" w:color="auto" w:fill="D4DFA0" w:themeFill="accent3"/>
          </w:tcPr>
          <w:p w14:paraId="0EE3E1FA" w14:textId="77777777" w:rsidR="00486104" w:rsidRPr="00E159ED" w:rsidRDefault="00486104" w:rsidP="00EC78E4">
            <w:pPr>
              <w:pStyle w:val="Tablehead10"/>
              <w:rPr>
                <w:rFonts w:cstheme="majorHAnsi"/>
                <w:color w:val="auto"/>
              </w:rPr>
            </w:pPr>
            <w:r w:rsidRPr="00E159ED">
              <w:rPr>
                <w:rFonts w:cstheme="majorHAnsi"/>
                <w:color w:val="auto"/>
                <w:u w:color="000000"/>
              </w:rPr>
              <w:t>All employees: No. (headcount)</w:t>
            </w:r>
          </w:p>
        </w:tc>
        <w:tc>
          <w:tcPr>
            <w:tcW w:w="1843" w:type="dxa"/>
            <w:shd w:val="clear" w:color="auto" w:fill="D4DFA0" w:themeFill="accent3"/>
          </w:tcPr>
          <w:p w14:paraId="5760E772" w14:textId="77777777" w:rsidR="00486104" w:rsidRPr="00E159ED" w:rsidRDefault="00486104" w:rsidP="00EC78E4">
            <w:pPr>
              <w:pStyle w:val="Tablehead10"/>
              <w:rPr>
                <w:rFonts w:cstheme="majorHAnsi"/>
                <w:color w:val="auto"/>
              </w:rPr>
            </w:pPr>
            <w:r w:rsidRPr="00E159ED">
              <w:rPr>
                <w:rFonts w:cstheme="majorHAnsi"/>
                <w:color w:val="auto"/>
                <w:u w:color="000000"/>
              </w:rPr>
              <w:t>All employees: FTE</w:t>
            </w:r>
          </w:p>
        </w:tc>
        <w:tc>
          <w:tcPr>
            <w:tcW w:w="1843" w:type="dxa"/>
            <w:shd w:val="clear" w:color="auto" w:fill="D4DFA0" w:themeFill="accent3"/>
          </w:tcPr>
          <w:p w14:paraId="3B9BE006" w14:textId="77777777" w:rsidR="00486104" w:rsidRPr="00E159ED" w:rsidRDefault="00486104" w:rsidP="00EC78E4">
            <w:pPr>
              <w:pStyle w:val="Tablehead10"/>
              <w:rPr>
                <w:rFonts w:cstheme="majorHAnsi"/>
                <w:color w:val="auto"/>
              </w:rPr>
            </w:pPr>
            <w:r w:rsidRPr="00E159ED">
              <w:rPr>
                <w:rFonts w:cstheme="majorHAnsi"/>
                <w:color w:val="auto"/>
                <w:u w:color="000000"/>
              </w:rPr>
              <w:t>Ongoing: Full-time (headcount)</w:t>
            </w:r>
          </w:p>
        </w:tc>
        <w:tc>
          <w:tcPr>
            <w:tcW w:w="2126" w:type="dxa"/>
            <w:shd w:val="clear" w:color="auto" w:fill="D4DFA0" w:themeFill="accent3"/>
          </w:tcPr>
          <w:p w14:paraId="65EE1753" w14:textId="77777777" w:rsidR="00486104" w:rsidRPr="00E159ED" w:rsidRDefault="00486104" w:rsidP="00EC78E4">
            <w:pPr>
              <w:pStyle w:val="Tablehead10"/>
              <w:rPr>
                <w:rFonts w:cstheme="majorHAnsi"/>
                <w:color w:val="auto"/>
              </w:rPr>
            </w:pPr>
            <w:r w:rsidRPr="00E159ED">
              <w:rPr>
                <w:rFonts w:cstheme="majorHAnsi"/>
                <w:color w:val="auto"/>
                <w:u w:color="000000"/>
              </w:rPr>
              <w:t>Ongoing: Part-time (headcount)</w:t>
            </w:r>
          </w:p>
        </w:tc>
        <w:tc>
          <w:tcPr>
            <w:tcW w:w="1276" w:type="dxa"/>
            <w:shd w:val="clear" w:color="auto" w:fill="D4DFA0" w:themeFill="accent3"/>
          </w:tcPr>
          <w:p w14:paraId="7A01C07D" w14:textId="77777777" w:rsidR="00486104" w:rsidRPr="00E159ED" w:rsidRDefault="00486104" w:rsidP="00EC78E4">
            <w:pPr>
              <w:pStyle w:val="Tablehead10"/>
              <w:rPr>
                <w:rFonts w:cstheme="majorHAnsi"/>
                <w:color w:val="auto"/>
              </w:rPr>
            </w:pPr>
            <w:r w:rsidRPr="00E159ED">
              <w:rPr>
                <w:rFonts w:cstheme="majorHAnsi"/>
                <w:color w:val="auto"/>
                <w:u w:color="000000"/>
              </w:rPr>
              <w:t>Ongoing: FTE</w:t>
            </w:r>
          </w:p>
        </w:tc>
        <w:tc>
          <w:tcPr>
            <w:tcW w:w="1842" w:type="dxa"/>
            <w:shd w:val="clear" w:color="auto" w:fill="D4DFA0" w:themeFill="accent3"/>
          </w:tcPr>
          <w:p w14:paraId="3042667C" w14:textId="77777777" w:rsidR="00486104" w:rsidRPr="00E159ED" w:rsidRDefault="00486104" w:rsidP="00EC78E4">
            <w:pPr>
              <w:pStyle w:val="Tablehead10"/>
              <w:rPr>
                <w:rFonts w:cstheme="majorHAnsi"/>
                <w:color w:val="auto"/>
              </w:rPr>
            </w:pPr>
            <w:r w:rsidRPr="00E159ED">
              <w:rPr>
                <w:rFonts w:cstheme="majorHAnsi"/>
                <w:color w:val="auto"/>
                <w:u w:color="000000"/>
              </w:rPr>
              <w:t>Fixed term and casual: No. (headcount)</w:t>
            </w:r>
          </w:p>
        </w:tc>
        <w:tc>
          <w:tcPr>
            <w:tcW w:w="1843" w:type="dxa"/>
            <w:shd w:val="clear" w:color="auto" w:fill="D4DFA0" w:themeFill="accent3"/>
          </w:tcPr>
          <w:p w14:paraId="7E626C40" w14:textId="77777777" w:rsidR="00486104" w:rsidRPr="00E159ED" w:rsidRDefault="00486104" w:rsidP="00EC78E4">
            <w:pPr>
              <w:pStyle w:val="Tablehead10"/>
              <w:rPr>
                <w:rFonts w:cstheme="majorHAnsi"/>
                <w:color w:val="auto"/>
              </w:rPr>
            </w:pPr>
            <w:r w:rsidRPr="00E159ED">
              <w:rPr>
                <w:rFonts w:cstheme="majorHAnsi"/>
                <w:color w:val="auto"/>
                <w:u w:color="000000"/>
              </w:rPr>
              <w:t>Fixed term and casual (FTE)</w:t>
            </w:r>
          </w:p>
        </w:tc>
      </w:tr>
      <w:tr w:rsidR="00486104" w:rsidRPr="0012521E" w14:paraId="653B107C" w14:textId="77777777" w:rsidTr="0034112F">
        <w:tc>
          <w:tcPr>
            <w:tcW w:w="1186" w:type="dxa"/>
          </w:tcPr>
          <w:p w14:paraId="42A95E61"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VPS 1</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967704" w14:textId="52058C20"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c>
          <w:tcPr>
            <w:tcW w:w="1843" w:type="dxa"/>
            <w:tcBorders>
              <w:top w:val="single" w:sz="8" w:space="0" w:color="000000"/>
              <w:left w:val="nil"/>
              <w:bottom w:val="single" w:sz="8" w:space="0" w:color="000000"/>
              <w:right w:val="single" w:sz="8" w:space="0" w:color="000000"/>
            </w:tcBorders>
            <w:shd w:val="clear" w:color="auto" w:fill="auto"/>
            <w:vAlign w:val="center"/>
          </w:tcPr>
          <w:p w14:paraId="0560D51C" w14:textId="6B8C1DAD" w:rsidR="00486104" w:rsidRPr="0012521E" w:rsidRDefault="00932139" w:rsidP="00EC78E4">
            <w:pPr>
              <w:pStyle w:val="Tablerightlarge"/>
              <w:rPr>
                <w:rFonts w:asciiTheme="majorHAnsi" w:hAnsiTheme="majorHAnsi" w:cstheme="majorHAnsi"/>
                <w:color w:val="000000"/>
                <w:kern w:val="1"/>
                <w:szCs w:val="24"/>
                <w:u w:color="000000"/>
              </w:rPr>
            </w:pPr>
            <w:r>
              <w:rPr>
                <w:color w:val="000000"/>
                <w:kern w:val="1"/>
                <w:szCs w:val="24"/>
                <w:u w:color="000000"/>
              </w:rPr>
              <w:t>0</w:t>
            </w:r>
          </w:p>
        </w:tc>
        <w:tc>
          <w:tcPr>
            <w:tcW w:w="1843" w:type="dxa"/>
            <w:tcBorders>
              <w:top w:val="single" w:sz="8" w:space="0" w:color="000000"/>
              <w:left w:val="nil"/>
              <w:bottom w:val="single" w:sz="8" w:space="0" w:color="000000"/>
              <w:right w:val="single" w:sz="8" w:space="0" w:color="000000"/>
            </w:tcBorders>
            <w:shd w:val="clear" w:color="auto" w:fill="auto"/>
            <w:vAlign w:val="center"/>
          </w:tcPr>
          <w:p w14:paraId="6EDC4200" w14:textId="268D002C" w:rsidR="00486104" w:rsidRPr="0012521E" w:rsidRDefault="00932139" w:rsidP="00EC78E4">
            <w:pPr>
              <w:pStyle w:val="Tablerightlarge"/>
              <w:rPr>
                <w:rFonts w:asciiTheme="majorHAnsi" w:hAnsiTheme="majorHAnsi" w:cstheme="majorHAnsi"/>
                <w:color w:val="000000"/>
                <w:kern w:val="1"/>
                <w:szCs w:val="24"/>
                <w:u w:color="000000"/>
              </w:rPr>
            </w:pPr>
            <w:r>
              <w:rPr>
                <w:color w:val="000000"/>
              </w:rPr>
              <w:t>0</w:t>
            </w:r>
          </w:p>
        </w:tc>
        <w:tc>
          <w:tcPr>
            <w:tcW w:w="2126" w:type="dxa"/>
            <w:tcBorders>
              <w:top w:val="single" w:sz="8" w:space="0" w:color="000000"/>
              <w:left w:val="nil"/>
              <w:bottom w:val="single" w:sz="8" w:space="0" w:color="000000"/>
              <w:right w:val="single" w:sz="8" w:space="0" w:color="000000"/>
            </w:tcBorders>
            <w:shd w:val="clear" w:color="auto" w:fill="auto"/>
            <w:vAlign w:val="center"/>
          </w:tcPr>
          <w:p w14:paraId="12DCE7FF" w14:textId="27DE6DFC" w:rsidR="00486104" w:rsidRPr="0012521E" w:rsidRDefault="00932139" w:rsidP="00932139">
            <w:pPr>
              <w:pStyle w:val="Tablerightlarge"/>
              <w:rPr>
                <w:rFonts w:asciiTheme="majorHAnsi" w:hAnsiTheme="majorHAnsi" w:cstheme="majorHAnsi"/>
                <w:color w:val="000000"/>
                <w:kern w:val="1"/>
                <w:szCs w:val="24"/>
                <w:u w:color="000000"/>
              </w:rPr>
            </w:pPr>
            <w:r>
              <w:rPr>
                <w:color w:val="000000"/>
              </w:rPr>
              <w:t>0</w:t>
            </w:r>
          </w:p>
        </w:tc>
        <w:tc>
          <w:tcPr>
            <w:tcW w:w="1276" w:type="dxa"/>
            <w:tcBorders>
              <w:top w:val="single" w:sz="8" w:space="0" w:color="000000"/>
              <w:left w:val="nil"/>
              <w:bottom w:val="single" w:sz="8" w:space="0" w:color="000000"/>
              <w:right w:val="single" w:sz="8" w:space="0" w:color="000000"/>
            </w:tcBorders>
            <w:shd w:val="clear" w:color="auto" w:fill="auto"/>
            <w:vAlign w:val="center"/>
          </w:tcPr>
          <w:p w14:paraId="3FBCEDFD" w14:textId="158921B5" w:rsidR="00486104" w:rsidRPr="0012521E" w:rsidRDefault="00932139" w:rsidP="00EC78E4">
            <w:pPr>
              <w:pStyle w:val="Tablerightlarge"/>
              <w:rPr>
                <w:rFonts w:asciiTheme="majorHAnsi" w:hAnsiTheme="majorHAnsi" w:cstheme="majorHAnsi"/>
                <w:color w:val="000000"/>
                <w:kern w:val="1"/>
                <w:szCs w:val="24"/>
                <w:u w:color="000000"/>
              </w:rPr>
            </w:pPr>
            <w:r>
              <w:rPr>
                <w:color w:val="000000"/>
              </w:rPr>
              <w:t>0</w:t>
            </w:r>
            <w:r w:rsidR="008027F2">
              <w:rPr>
                <w:color w:val="000000"/>
              </w:rPr>
              <w:t> </w:t>
            </w:r>
          </w:p>
        </w:tc>
        <w:tc>
          <w:tcPr>
            <w:tcW w:w="1842" w:type="dxa"/>
            <w:tcBorders>
              <w:top w:val="single" w:sz="8" w:space="0" w:color="000000"/>
              <w:left w:val="nil"/>
              <w:bottom w:val="single" w:sz="8" w:space="0" w:color="000000"/>
              <w:right w:val="single" w:sz="8" w:space="0" w:color="000000"/>
            </w:tcBorders>
            <w:shd w:val="clear" w:color="auto" w:fill="auto"/>
            <w:vAlign w:val="center"/>
          </w:tcPr>
          <w:p w14:paraId="4E02E045" w14:textId="239CF9E8"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c>
          <w:tcPr>
            <w:tcW w:w="1843" w:type="dxa"/>
            <w:tcBorders>
              <w:top w:val="single" w:sz="8" w:space="0" w:color="000000"/>
              <w:left w:val="nil"/>
              <w:bottom w:val="single" w:sz="8" w:space="0" w:color="000000"/>
              <w:right w:val="single" w:sz="4" w:space="0" w:color="000000"/>
            </w:tcBorders>
            <w:shd w:val="clear" w:color="auto" w:fill="auto"/>
            <w:vAlign w:val="center"/>
          </w:tcPr>
          <w:p w14:paraId="5F629D58" w14:textId="2C345177"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r>
      <w:tr w:rsidR="00486104" w:rsidRPr="0012521E" w14:paraId="58A8A903" w14:textId="77777777" w:rsidTr="0034112F">
        <w:tc>
          <w:tcPr>
            <w:tcW w:w="1186" w:type="dxa"/>
          </w:tcPr>
          <w:p w14:paraId="25F444E2"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VPS 2</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270351CB" w14:textId="39DD79D2"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c>
          <w:tcPr>
            <w:tcW w:w="1843" w:type="dxa"/>
            <w:tcBorders>
              <w:top w:val="nil"/>
              <w:left w:val="nil"/>
              <w:bottom w:val="single" w:sz="8" w:space="0" w:color="000000"/>
              <w:right w:val="single" w:sz="8" w:space="0" w:color="000000"/>
            </w:tcBorders>
            <w:shd w:val="clear" w:color="auto" w:fill="auto"/>
            <w:vAlign w:val="center"/>
          </w:tcPr>
          <w:p w14:paraId="45659B5B" w14:textId="480EDD76" w:rsidR="00486104" w:rsidRPr="0012521E" w:rsidRDefault="00932139" w:rsidP="00EC78E4">
            <w:pPr>
              <w:pStyle w:val="Tablerightlarge"/>
              <w:rPr>
                <w:rFonts w:asciiTheme="majorHAnsi" w:hAnsiTheme="majorHAnsi" w:cstheme="majorHAnsi"/>
                <w:color w:val="000000"/>
                <w:kern w:val="1"/>
                <w:szCs w:val="24"/>
                <w:u w:color="000000"/>
              </w:rPr>
            </w:pPr>
            <w:r>
              <w:rPr>
                <w:color w:val="000000"/>
              </w:rPr>
              <w:t>0</w:t>
            </w:r>
          </w:p>
        </w:tc>
        <w:tc>
          <w:tcPr>
            <w:tcW w:w="1843" w:type="dxa"/>
            <w:tcBorders>
              <w:top w:val="nil"/>
              <w:left w:val="nil"/>
              <w:bottom w:val="single" w:sz="8" w:space="0" w:color="000000"/>
              <w:right w:val="single" w:sz="8" w:space="0" w:color="000000"/>
            </w:tcBorders>
            <w:shd w:val="clear" w:color="auto" w:fill="auto"/>
            <w:vAlign w:val="center"/>
          </w:tcPr>
          <w:p w14:paraId="6605DE41" w14:textId="0A4C4CE3"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c>
          <w:tcPr>
            <w:tcW w:w="2126" w:type="dxa"/>
            <w:tcBorders>
              <w:top w:val="nil"/>
              <w:left w:val="nil"/>
              <w:bottom w:val="single" w:sz="8" w:space="0" w:color="000000"/>
              <w:right w:val="single" w:sz="8" w:space="0" w:color="000000"/>
            </w:tcBorders>
            <w:shd w:val="clear" w:color="auto" w:fill="auto"/>
            <w:vAlign w:val="center"/>
          </w:tcPr>
          <w:p w14:paraId="0A2C488C" w14:textId="7425E9AC" w:rsidR="00486104" w:rsidRPr="0012521E" w:rsidRDefault="00932139" w:rsidP="00EC78E4">
            <w:pPr>
              <w:pStyle w:val="Tablerightlarge"/>
              <w:rPr>
                <w:rFonts w:asciiTheme="majorHAnsi" w:hAnsiTheme="majorHAnsi" w:cstheme="majorHAnsi"/>
                <w:color w:val="000000"/>
                <w:kern w:val="1"/>
                <w:szCs w:val="24"/>
                <w:u w:color="000000"/>
              </w:rPr>
            </w:pPr>
            <w:r>
              <w:rPr>
                <w:color w:val="000000"/>
              </w:rPr>
              <w:t>0</w:t>
            </w:r>
          </w:p>
        </w:tc>
        <w:tc>
          <w:tcPr>
            <w:tcW w:w="1276" w:type="dxa"/>
            <w:tcBorders>
              <w:top w:val="nil"/>
              <w:left w:val="nil"/>
              <w:bottom w:val="single" w:sz="8" w:space="0" w:color="000000"/>
              <w:right w:val="single" w:sz="8" w:space="0" w:color="000000"/>
            </w:tcBorders>
            <w:shd w:val="clear" w:color="auto" w:fill="auto"/>
            <w:vAlign w:val="center"/>
          </w:tcPr>
          <w:p w14:paraId="5FE7C9AC" w14:textId="00B2B9BF" w:rsidR="00486104" w:rsidRPr="0012521E" w:rsidRDefault="008027F2" w:rsidP="00932139">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c>
          <w:tcPr>
            <w:tcW w:w="1842" w:type="dxa"/>
            <w:tcBorders>
              <w:top w:val="nil"/>
              <w:left w:val="nil"/>
              <w:bottom w:val="single" w:sz="8" w:space="0" w:color="000000"/>
              <w:right w:val="single" w:sz="8" w:space="0" w:color="000000"/>
            </w:tcBorders>
            <w:shd w:val="clear" w:color="auto" w:fill="auto"/>
            <w:vAlign w:val="center"/>
          </w:tcPr>
          <w:p w14:paraId="5A30A8C5" w14:textId="582C07CE"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c>
          <w:tcPr>
            <w:tcW w:w="1843" w:type="dxa"/>
            <w:tcBorders>
              <w:top w:val="nil"/>
              <w:left w:val="nil"/>
              <w:bottom w:val="single" w:sz="8" w:space="0" w:color="000000"/>
              <w:right w:val="single" w:sz="4" w:space="0" w:color="000000"/>
            </w:tcBorders>
            <w:shd w:val="clear" w:color="auto" w:fill="auto"/>
            <w:vAlign w:val="center"/>
          </w:tcPr>
          <w:p w14:paraId="17C76CE1" w14:textId="6E25FDB9"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r>
      <w:tr w:rsidR="00486104" w:rsidRPr="0012521E" w14:paraId="4FF8CDF1" w14:textId="77777777" w:rsidTr="0034112F">
        <w:tc>
          <w:tcPr>
            <w:tcW w:w="1186" w:type="dxa"/>
          </w:tcPr>
          <w:p w14:paraId="5968B78C"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VPS 3</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21565F6F" w14:textId="306B86F8"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3</w:t>
            </w:r>
          </w:p>
        </w:tc>
        <w:tc>
          <w:tcPr>
            <w:tcW w:w="1843" w:type="dxa"/>
            <w:tcBorders>
              <w:top w:val="nil"/>
              <w:left w:val="nil"/>
              <w:bottom w:val="single" w:sz="8" w:space="0" w:color="000000"/>
              <w:right w:val="single" w:sz="8" w:space="0" w:color="000000"/>
            </w:tcBorders>
            <w:shd w:val="clear" w:color="auto" w:fill="auto"/>
            <w:vAlign w:val="center"/>
          </w:tcPr>
          <w:p w14:paraId="0997FC8B" w14:textId="61A2B196" w:rsidR="00486104" w:rsidRPr="0012521E" w:rsidRDefault="007E316B" w:rsidP="00EC78E4">
            <w:pPr>
              <w:pStyle w:val="Tablerightlarge"/>
              <w:rPr>
                <w:rFonts w:asciiTheme="majorHAnsi" w:hAnsiTheme="majorHAnsi" w:cstheme="majorHAnsi"/>
                <w:color w:val="000000"/>
                <w:kern w:val="1"/>
                <w:szCs w:val="24"/>
                <w:u w:color="000000"/>
              </w:rPr>
            </w:pPr>
            <w:r>
              <w:rPr>
                <w:color w:val="000000"/>
                <w:kern w:val="1"/>
                <w:szCs w:val="24"/>
                <w:u w:color="000000"/>
              </w:rPr>
              <w:t>2.4</w:t>
            </w:r>
          </w:p>
        </w:tc>
        <w:tc>
          <w:tcPr>
            <w:tcW w:w="1843" w:type="dxa"/>
            <w:tcBorders>
              <w:top w:val="nil"/>
              <w:left w:val="nil"/>
              <w:bottom w:val="single" w:sz="8" w:space="0" w:color="000000"/>
              <w:right w:val="single" w:sz="8" w:space="0" w:color="000000"/>
            </w:tcBorders>
            <w:shd w:val="clear" w:color="auto" w:fill="auto"/>
            <w:vAlign w:val="center"/>
          </w:tcPr>
          <w:p w14:paraId="26C02475" w14:textId="46A6EC56"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1</w:t>
            </w:r>
          </w:p>
        </w:tc>
        <w:tc>
          <w:tcPr>
            <w:tcW w:w="2126" w:type="dxa"/>
            <w:tcBorders>
              <w:top w:val="nil"/>
              <w:left w:val="nil"/>
              <w:bottom w:val="single" w:sz="8" w:space="0" w:color="000000"/>
              <w:right w:val="single" w:sz="8" w:space="0" w:color="000000"/>
            </w:tcBorders>
            <w:shd w:val="clear" w:color="auto" w:fill="auto"/>
            <w:vAlign w:val="center"/>
          </w:tcPr>
          <w:p w14:paraId="34436CAE" w14:textId="6D8258F4"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 </w:t>
            </w:r>
            <w:r w:rsidR="00932139">
              <w:rPr>
                <w:color w:val="000000"/>
              </w:rPr>
              <w:t>0</w:t>
            </w:r>
          </w:p>
        </w:tc>
        <w:tc>
          <w:tcPr>
            <w:tcW w:w="1276" w:type="dxa"/>
            <w:tcBorders>
              <w:top w:val="nil"/>
              <w:left w:val="nil"/>
              <w:bottom w:val="single" w:sz="8" w:space="0" w:color="000000"/>
              <w:right w:val="single" w:sz="8" w:space="0" w:color="000000"/>
            </w:tcBorders>
            <w:shd w:val="clear" w:color="auto" w:fill="auto"/>
            <w:vAlign w:val="center"/>
          </w:tcPr>
          <w:p w14:paraId="19AD1054" w14:textId="7F3063D2"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1</w:t>
            </w:r>
          </w:p>
        </w:tc>
        <w:tc>
          <w:tcPr>
            <w:tcW w:w="1842" w:type="dxa"/>
            <w:tcBorders>
              <w:top w:val="nil"/>
              <w:left w:val="nil"/>
              <w:bottom w:val="single" w:sz="8" w:space="0" w:color="000000"/>
              <w:right w:val="single" w:sz="8" w:space="0" w:color="000000"/>
            </w:tcBorders>
            <w:shd w:val="clear" w:color="auto" w:fill="auto"/>
            <w:vAlign w:val="center"/>
          </w:tcPr>
          <w:p w14:paraId="1F581413" w14:textId="68F62088"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2</w:t>
            </w:r>
          </w:p>
        </w:tc>
        <w:tc>
          <w:tcPr>
            <w:tcW w:w="1843" w:type="dxa"/>
            <w:tcBorders>
              <w:top w:val="nil"/>
              <w:left w:val="nil"/>
              <w:bottom w:val="single" w:sz="8" w:space="0" w:color="000000"/>
              <w:right w:val="single" w:sz="4" w:space="0" w:color="000000"/>
            </w:tcBorders>
            <w:shd w:val="clear" w:color="auto" w:fill="auto"/>
            <w:vAlign w:val="center"/>
          </w:tcPr>
          <w:p w14:paraId="1106E12A" w14:textId="454AEB21"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1.4</w:t>
            </w:r>
          </w:p>
        </w:tc>
      </w:tr>
      <w:tr w:rsidR="00486104" w:rsidRPr="0012521E" w14:paraId="2DC0B700" w14:textId="77777777" w:rsidTr="0034112F">
        <w:tc>
          <w:tcPr>
            <w:tcW w:w="1186" w:type="dxa"/>
          </w:tcPr>
          <w:p w14:paraId="17016D8C"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VPS 4</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2CD442EA" w14:textId="53D2E607" w:rsidR="00486104" w:rsidRPr="0012521E" w:rsidRDefault="00A73C31" w:rsidP="00EC78E4">
            <w:pPr>
              <w:pStyle w:val="Tablerightlarge"/>
              <w:rPr>
                <w:rFonts w:asciiTheme="majorHAnsi" w:hAnsiTheme="majorHAnsi" w:cstheme="majorHAnsi"/>
                <w:color w:val="000000"/>
                <w:kern w:val="1"/>
                <w:szCs w:val="24"/>
                <w:u w:color="000000"/>
              </w:rPr>
            </w:pPr>
            <w:r>
              <w:rPr>
                <w:color w:val="000000"/>
              </w:rPr>
              <w:t>42</w:t>
            </w:r>
          </w:p>
        </w:tc>
        <w:tc>
          <w:tcPr>
            <w:tcW w:w="1843" w:type="dxa"/>
            <w:tcBorders>
              <w:top w:val="nil"/>
              <w:left w:val="nil"/>
              <w:bottom w:val="single" w:sz="8" w:space="0" w:color="000000"/>
              <w:right w:val="single" w:sz="8" w:space="0" w:color="000000"/>
            </w:tcBorders>
            <w:shd w:val="clear" w:color="auto" w:fill="auto"/>
            <w:vAlign w:val="center"/>
          </w:tcPr>
          <w:p w14:paraId="6617E78B" w14:textId="14E39B5E" w:rsidR="00486104" w:rsidRPr="0012521E" w:rsidRDefault="00351120" w:rsidP="00EC78E4">
            <w:pPr>
              <w:pStyle w:val="Tablerightlarge"/>
              <w:rPr>
                <w:rFonts w:asciiTheme="majorHAnsi" w:hAnsiTheme="majorHAnsi" w:cstheme="majorHAnsi"/>
                <w:color w:val="000000"/>
                <w:kern w:val="1"/>
                <w:szCs w:val="24"/>
                <w:u w:color="000000"/>
              </w:rPr>
            </w:pPr>
            <w:r>
              <w:rPr>
                <w:color w:val="000000"/>
                <w:kern w:val="1"/>
                <w:szCs w:val="24"/>
                <w:u w:color="000000"/>
              </w:rPr>
              <w:t>37.3</w:t>
            </w:r>
          </w:p>
        </w:tc>
        <w:tc>
          <w:tcPr>
            <w:tcW w:w="1843" w:type="dxa"/>
            <w:tcBorders>
              <w:top w:val="nil"/>
              <w:left w:val="nil"/>
              <w:bottom w:val="single" w:sz="8" w:space="0" w:color="000000"/>
              <w:right w:val="single" w:sz="8" w:space="0" w:color="000000"/>
            </w:tcBorders>
            <w:shd w:val="clear" w:color="auto" w:fill="auto"/>
            <w:vAlign w:val="center"/>
          </w:tcPr>
          <w:p w14:paraId="3E1AA5D9" w14:textId="100C26D2"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6</w:t>
            </w:r>
          </w:p>
        </w:tc>
        <w:tc>
          <w:tcPr>
            <w:tcW w:w="2126" w:type="dxa"/>
            <w:tcBorders>
              <w:top w:val="nil"/>
              <w:left w:val="nil"/>
              <w:bottom w:val="single" w:sz="8" w:space="0" w:color="000000"/>
              <w:right w:val="single" w:sz="8" w:space="0" w:color="000000"/>
            </w:tcBorders>
            <w:shd w:val="clear" w:color="auto" w:fill="auto"/>
            <w:vAlign w:val="center"/>
          </w:tcPr>
          <w:p w14:paraId="1F595452" w14:textId="3D3A005C"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3</w:t>
            </w:r>
          </w:p>
        </w:tc>
        <w:tc>
          <w:tcPr>
            <w:tcW w:w="1276" w:type="dxa"/>
            <w:tcBorders>
              <w:top w:val="nil"/>
              <w:left w:val="nil"/>
              <w:bottom w:val="single" w:sz="8" w:space="0" w:color="000000"/>
              <w:right w:val="single" w:sz="8" w:space="0" w:color="000000"/>
            </w:tcBorders>
            <w:shd w:val="clear" w:color="auto" w:fill="auto"/>
            <w:vAlign w:val="center"/>
          </w:tcPr>
          <w:p w14:paraId="41048323" w14:textId="08A1B5B6"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8</w:t>
            </w:r>
          </w:p>
        </w:tc>
        <w:tc>
          <w:tcPr>
            <w:tcW w:w="1842" w:type="dxa"/>
            <w:tcBorders>
              <w:top w:val="nil"/>
              <w:left w:val="nil"/>
              <w:bottom w:val="single" w:sz="8" w:space="0" w:color="000000"/>
              <w:right w:val="single" w:sz="8" w:space="0" w:color="000000"/>
            </w:tcBorders>
            <w:shd w:val="clear" w:color="auto" w:fill="auto"/>
            <w:vAlign w:val="center"/>
          </w:tcPr>
          <w:p w14:paraId="6527BC24" w14:textId="4B2FC224"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36</w:t>
            </w:r>
          </w:p>
        </w:tc>
        <w:tc>
          <w:tcPr>
            <w:tcW w:w="1843" w:type="dxa"/>
            <w:tcBorders>
              <w:top w:val="nil"/>
              <w:left w:val="nil"/>
              <w:bottom w:val="single" w:sz="8" w:space="0" w:color="000000"/>
              <w:right w:val="single" w:sz="4" w:space="0" w:color="000000"/>
            </w:tcBorders>
            <w:shd w:val="clear" w:color="auto" w:fill="auto"/>
            <w:vAlign w:val="center"/>
          </w:tcPr>
          <w:p w14:paraId="40699688" w14:textId="0237CE5A"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32.6</w:t>
            </w:r>
          </w:p>
        </w:tc>
      </w:tr>
      <w:tr w:rsidR="00486104" w:rsidRPr="0012521E" w14:paraId="2B693A40" w14:textId="77777777" w:rsidTr="0034112F">
        <w:tc>
          <w:tcPr>
            <w:tcW w:w="1186" w:type="dxa"/>
          </w:tcPr>
          <w:p w14:paraId="55393B70"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VPS 5</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0FAA199F" w14:textId="2B386774"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8</w:t>
            </w:r>
            <w:r w:rsidR="00A73C31">
              <w:rPr>
                <w:color w:val="000000"/>
              </w:rPr>
              <w:t>9</w:t>
            </w:r>
          </w:p>
        </w:tc>
        <w:tc>
          <w:tcPr>
            <w:tcW w:w="1843" w:type="dxa"/>
            <w:tcBorders>
              <w:top w:val="nil"/>
              <w:left w:val="nil"/>
              <w:bottom w:val="single" w:sz="8" w:space="0" w:color="000000"/>
              <w:right w:val="single" w:sz="8" w:space="0" w:color="000000"/>
            </w:tcBorders>
            <w:shd w:val="clear" w:color="auto" w:fill="auto"/>
            <w:vAlign w:val="center"/>
          </w:tcPr>
          <w:p w14:paraId="0BA5ABC0" w14:textId="53A86BAA" w:rsidR="00486104" w:rsidRPr="0012521E" w:rsidRDefault="00351120" w:rsidP="00EC78E4">
            <w:pPr>
              <w:pStyle w:val="Tablerightlarge"/>
              <w:rPr>
                <w:rFonts w:asciiTheme="majorHAnsi" w:hAnsiTheme="majorHAnsi" w:cstheme="majorHAnsi"/>
                <w:color w:val="000000"/>
                <w:kern w:val="1"/>
                <w:szCs w:val="24"/>
                <w:u w:color="000000"/>
              </w:rPr>
            </w:pPr>
            <w:r>
              <w:rPr>
                <w:color w:val="000000"/>
                <w:kern w:val="1"/>
                <w:szCs w:val="24"/>
                <w:u w:color="000000"/>
              </w:rPr>
              <w:t>83.8</w:t>
            </w:r>
          </w:p>
        </w:tc>
        <w:tc>
          <w:tcPr>
            <w:tcW w:w="1843" w:type="dxa"/>
            <w:tcBorders>
              <w:top w:val="nil"/>
              <w:left w:val="nil"/>
              <w:bottom w:val="single" w:sz="8" w:space="0" w:color="000000"/>
              <w:right w:val="single" w:sz="8" w:space="0" w:color="000000"/>
            </w:tcBorders>
            <w:shd w:val="clear" w:color="auto" w:fill="auto"/>
            <w:vAlign w:val="center"/>
          </w:tcPr>
          <w:p w14:paraId="6DBAA70F" w14:textId="06AE2130"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21</w:t>
            </w:r>
          </w:p>
        </w:tc>
        <w:tc>
          <w:tcPr>
            <w:tcW w:w="2126" w:type="dxa"/>
            <w:tcBorders>
              <w:top w:val="nil"/>
              <w:left w:val="nil"/>
              <w:bottom w:val="single" w:sz="8" w:space="0" w:color="000000"/>
              <w:right w:val="single" w:sz="8" w:space="0" w:color="000000"/>
            </w:tcBorders>
            <w:shd w:val="clear" w:color="auto" w:fill="auto"/>
            <w:vAlign w:val="center"/>
          </w:tcPr>
          <w:p w14:paraId="2CA7E123" w14:textId="613BE775"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7</w:t>
            </w:r>
          </w:p>
        </w:tc>
        <w:tc>
          <w:tcPr>
            <w:tcW w:w="1276" w:type="dxa"/>
            <w:tcBorders>
              <w:top w:val="nil"/>
              <w:left w:val="nil"/>
              <w:bottom w:val="single" w:sz="8" w:space="0" w:color="000000"/>
              <w:right w:val="single" w:sz="8" w:space="0" w:color="000000"/>
            </w:tcBorders>
            <w:shd w:val="clear" w:color="auto" w:fill="auto"/>
            <w:vAlign w:val="center"/>
          </w:tcPr>
          <w:p w14:paraId="3F74CAC4" w14:textId="522B561C"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26.5</w:t>
            </w:r>
          </w:p>
        </w:tc>
        <w:tc>
          <w:tcPr>
            <w:tcW w:w="1842" w:type="dxa"/>
            <w:tcBorders>
              <w:top w:val="nil"/>
              <w:left w:val="nil"/>
              <w:bottom w:val="single" w:sz="8" w:space="0" w:color="000000"/>
              <w:right w:val="single" w:sz="8" w:space="0" w:color="000000"/>
            </w:tcBorders>
            <w:shd w:val="clear" w:color="auto" w:fill="auto"/>
            <w:vAlign w:val="center"/>
          </w:tcPr>
          <w:p w14:paraId="7E938CE1" w14:textId="63934B82"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60</w:t>
            </w:r>
          </w:p>
        </w:tc>
        <w:tc>
          <w:tcPr>
            <w:tcW w:w="1843" w:type="dxa"/>
            <w:tcBorders>
              <w:top w:val="nil"/>
              <w:left w:val="nil"/>
              <w:bottom w:val="single" w:sz="8" w:space="0" w:color="000000"/>
              <w:right w:val="single" w:sz="4" w:space="0" w:color="000000"/>
            </w:tcBorders>
            <w:shd w:val="clear" w:color="auto" w:fill="auto"/>
            <w:vAlign w:val="center"/>
          </w:tcPr>
          <w:p w14:paraId="7D907F1B" w14:textId="24C4A42D"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56.6</w:t>
            </w:r>
          </w:p>
        </w:tc>
      </w:tr>
      <w:tr w:rsidR="00486104" w:rsidRPr="0012521E" w14:paraId="537E8058" w14:textId="77777777" w:rsidTr="0034112F">
        <w:tc>
          <w:tcPr>
            <w:tcW w:w="1186" w:type="dxa"/>
          </w:tcPr>
          <w:p w14:paraId="7EEC846F"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VPS 6</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52A198B3" w14:textId="59C030D8"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2</w:t>
            </w:r>
            <w:r w:rsidR="00A73C31">
              <w:rPr>
                <w:color w:val="000000"/>
              </w:rPr>
              <w:t>2</w:t>
            </w:r>
          </w:p>
        </w:tc>
        <w:tc>
          <w:tcPr>
            <w:tcW w:w="1843" w:type="dxa"/>
            <w:tcBorders>
              <w:top w:val="nil"/>
              <w:left w:val="nil"/>
              <w:bottom w:val="single" w:sz="8" w:space="0" w:color="000000"/>
              <w:right w:val="single" w:sz="8" w:space="0" w:color="000000"/>
            </w:tcBorders>
            <w:shd w:val="clear" w:color="auto" w:fill="auto"/>
            <w:vAlign w:val="center"/>
          </w:tcPr>
          <w:p w14:paraId="1C6BE6F8" w14:textId="7F3D1D15" w:rsidR="00486104" w:rsidRPr="0012521E" w:rsidRDefault="00351120" w:rsidP="00EC78E4">
            <w:pPr>
              <w:pStyle w:val="Tablerightlarge"/>
              <w:rPr>
                <w:rFonts w:asciiTheme="majorHAnsi" w:hAnsiTheme="majorHAnsi" w:cstheme="majorHAnsi"/>
                <w:color w:val="000000"/>
                <w:kern w:val="1"/>
                <w:szCs w:val="24"/>
                <w:u w:color="000000"/>
              </w:rPr>
            </w:pPr>
            <w:r>
              <w:rPr>
                <w:color w:val="000000"/>
                <w:kern w:val="1"/>
                <w:szCs w:val="24"/>
                <w:u w:color="000000"/>
              </w:rPr>
              <w:t>21.4</w:t>
            </w:r>
          </w:p>
        </w:tc>
        <w:tc>
          <w:tcPr>
            <w:tcW w:w="1843" w:type="dxa"/>
            <w:tcBorders>
              <w:top w:val="nil"/>
              <w:left w:val="nil"/>
              <w:bottom w:val="single" w:sz="8" w:space="0" w:color="000000"/>
              <w:right w:val="single" w:sz="8" w:space="0" w:color="000000"/>
            </w:tcBorders>
            <w:shd w:val="clear" w:color="auto" w:fill="auto"/>
            <w:vAlign w:val="center"/>
          </w:tcPr>
          <w:p w14:paraId="728866B2" w14:textId="3CCBC387"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9</w:t>
            </w:r>
          </w:p>
        </w:tc>
        <w:tc>
          <w:tcPr>
            <w:tcW w:w="2126" w:type="dxa"/>
            <w:tcBorders>
              <w:top w:val="nil"/>
              <w:left w:val="nil"/>
              <w:bottom w:val="single" w:sz="8" w:space="0" w:color="000000"/>
              <w:right w:val="single" w:sz="8" w:space="0" w:color="000000"/>
            </w:tcBorders>
            <w:shd w:val="clear" w:color="auto" w:fill="auto"/>
            <w:vAlign w:val="center"/>
          </w:tcPr>
          <w:p w14:paraId="75D8BA1D" w14:textId="0AACD611" w:rsidR="00486104" w:rsidRPr="0012521E" w:rsidRDefault="00932139" w:rsidP="00EC78E4">
            <w:pPr>
              <w:pStyle w:val="Tablerightlarge"/>
              <w:rPr>
                <w:rFonts w:asciiTheme="majorHAnsi" w:hAnsiTheme="majorHAnsi" w:cstheme="majorHAnsi"/>
                <w:color w:val="000000"/>
                <w:kern w:val="1"/>
                <w:szCs w:val="24"/>
                <w:u w:color="000000"/>
              </w:rPr>
            </w:pPr>
            <w:r>
              <w:rPr>
                <w:color w:val="000000"/>
              </w:rPr>
              <w:t>0</w:t>
            </w:r>
          </w:p>
        </w:tc>
        <w:tc>
          <w:tcPr>
            <w:tcW w:w="1276" w:type="dxa"/>
            <w:tcBorders>
              <w:top w:val="nil"/>
              <w:left w:val="nil"/>
              <w:bottom w:val="single" w:sz="8" w:space="0" w:color="000000"/>
              <w:right w:val="single" w:sz="8" w:space="0" w:color="000000"/>
            </w:tcBorders>
            <w:shd w:val="clear" w:color="auto" w:fill="auto"/>
            <w:vAlign w:val="center"/>
          </w:tcPr>
          <w:p w14:paraId="1668E9B1" w14:textId="1D67DD2F"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9</w:t>
            </w:r>
          </w:p>
        </w:tc>
        <w:tc>
          <w:tcPr>
            <w:tcW w:w="1842" w:type="dxa"/>
            <w:tcBorders>
              <w:top w:val="nil"/>
              <w:left w:val="nil"/>
              <w:bottom w:val="single" w:sz="8" w:space="0" w:color="000000"/>
              <w:right w:val="single" w:sz="8" w:space="0" w:color="000000"/>
            </w:tcBorders>
            <w:shd w:val="clear" w:color="auto" w:fill="auto"/>
            <w:vAlign w:val="center"/>
          </w:tcPr>
          <w:p w14:paraId="51D9E837" w14:textId="5295AF30"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11</w:t>
            </w:r>
          </w:p>
        </w:tc>
        <w:tc>
          <w:tcPr>
            <w:tcW w:w="1843" w:type="dxa"/>
            <w:tcBorders>
              <w:top w:val="nil"/>
              <w:left w:val="nil"/>
              <w:bottom w:val="single" w:sz="8" w:space="0" w:color="000000"/>
              <w:right w:val="single" w:sz="4" w:space="0" w:color="000000"/>
            </w:tcBorders>
            <w:shd w:val="clear" w:color="auto" w:fill="auto"/>
            <w:vAlign w:val="center"/>
          </w:tcPr>
          <w:p w14:paraId="2FAE79AC" w14:textId="536EAC23" w:rsidR="00486104" w:rsidRPr="0012521E" w:rsidRDefault="008027F2" w:rsidP="00EC78E4">
            <w:pPr>
              <w:pStyle w:val="Tablerightlarge"/>
              <w:rPr>
                <w:rFonts w:asciiTheme="majorHAnsi" w:hAnsiTheme="majorHAnsi" w:cstheme="majorHAnsi"/>
                <w:color w:val="000000"/>
                <w:kern w:val="1"/>
                <w:szCs w:val="24"/>
                <w:u w:color="000000"/>
              </w:rPr>
            </w:pPr>
            <w:r>
              <w:rPr>
                <w:color w:val="000000"/>
              </w:rPr>
              <w:t>10.4</w:t>
            </w:r>
          </w:p>
        </w:tc>
      </w:tr>
      <w:tr w:rsidR="00486104" w:rsidRPr="0012521E" w14:paraId="48B7AD4D" w14:textId="77777777" w:rsidTr="0034112F">
        <w:tc>
          <w:tcPr>
            <w:tcW w:w="1186" w:type="dxa"/>
            <w:shd w:val="clear" w:color="auto" w:fill="F4F9EE" w:themeFill="accent6" w:themeFillTint="33"/>
          </w:tcPr>
          <w:p w14:paraId="370E8709" w14:textId="77777777" w:rsidR="00486104" w:rsidRPr="001F5130" w:rsidRDefault="00486104" w:rsidP="00EC78E4">
            <w:pPr>
              <w:pStyle w:val="TableText"/>
              <w:rPr>
                <w:rFonts w:asciiTheme="majorHAnsi" w:hAnsiTheme="majorHAnsi" w:cstheme="majorHAnsi"/>
                <w:b/>
                <w:bCs w:val="0"/>
              </w:rPr>
            </w:pPr>
            <w:r w:rsidRPr="001F5130">
              <w:rPr>
                <w:rFonts w:asciiTheme="majorHAnsi" w:hAnsiTheme="majorHAnsi" w:cstheme="majorHAnsi"/>
                <w:b/>
                <w:bCs w:val="0"/>
              </w:rPr>
              <w:t>Total</w:t>
            </w:r>
          </w:p>
        </w:tc>
        <w:tc>
          <w:tcPr>
            <w:tcW w:w="1984" w:type="dxa"/>
            <w:tcBorders>
              <w:top w:val="nil"/>
              <w:left w:val="single" w:sz="8" w:space="0" w:color="000000"/>
              <w:bottom w:val="single" w:sz="4" w:space="0" w:color="000000"/>
              <w:right w:val="single" w:sz="8" w:space="0" w:color="000000"/>
            </w:tcBorders>
            <w:shd w:val="clear" w:color="000000" w:fill="F4F9EE"/>
            <w:vAlign w:val="center"/>
          </w:tcPr>
          <w:p w14:paraId="435F40A8" w14:textId="57CEA38A" w:rsidR="00486104" w:rsidRPr="001F5130" w:rsidRDefault="008027F2" w:rsidP="00EC78E4">
            <w:pPr>
              <w:pStyle w:val="Tablerightlarge"/>
              <w:rPr>
                <w:rFonts w:asciiTheme="majorHAnsi" w:hAnsiTheme="majorHAnsi" w:cstheme="majorHAnsi"/>
              </w:rPr>
            </w:pPr>
            <w:r>
              <w:t>156</w:t>
            </w:r>
          </w:p>
        </w:tc>
        <w:tc>
          <w:tcPr>
            <w:tcW w:w="1843" w:type="dxa"/>
            <w:tcBorders>
              <w:top w:val="nil"/>
              <w:left w:val="nil"/>
              <w:bottom w:val="single" w:sz="4" w:space="0" w:color="000000"/>
              <w:right w:val="single" w:sz="8" w:space="0" w:color="000000"/>
            </w:tcBorders>
            <w:shd w:val="clear" w:color="000000" w:fill="F4F9EE"/>
            <w:vAlign w:val="center"/>
          </w:tcPr>
          <w:p w14:paraId="38404573" w14:textId="129E618E" w:rsidR="00486104" w:rsidRPr="001F5130" w:rsidRDefault="00C51399" w:rsidP="00EC78E4">
            <w:pPr>
              <w:pStyle w:val="Tablerightlarge"/>
              <w:rPr>
                <w:rFonts w:asciiTheme="majorHAnsi" w:hAnsiTheme="majorHAnsi" w:cstheme="majorHAnsi"/>
              </w:rPr>
            </w:pPr>
            <w:r>
              <w:rPr>
                <w:rFonts w:asciiTheme="majorHAnsi" w:hAnsiTheme="majorHAnsi" w:cstheme="majorHAnsi"/>
              </w:rPr>
              <w:t>144.9</w:t>
            </w:r>
          </w:p>
        </w:tc>
        <w:tc>
          <w:tcPr>
            <w:tcW w:w="1843" w:type="dxa"/>
            <w:tcBorders>
              <w:top w:val="nil"/>
              <w:left w:val="nil"/>
              <w:bottom w:val="single" w:sz="4" w:space="0" w:color="000000"/>
              <w:right w:val="single" w:sz="8" w:space="0" w:color="000000"/>
            </w:tcBorders>
            <w:shd w:val="clear" w:color="000000" w:fill="F4F9EE"/>
            <w:vAlign w:val="center"/>
          </w:tcPr>
          <w:p w14:paraId="14B50D25" w14:textId="0DA8C081" w:rsidR="00486104" w:rsidRPr="001F5130" w:rsidRDefault="008027F2" w:rsidP="00EC78E4">
            <w:pPr>
              <w:pStyle w:val="Tablerightlarge"/>
              <w:rPr>
                <w:rFonts w:asciiTheme="majorHAnsi" w:hAnsiTheme="majorHAnsi" w:cstheme="majorHAnsi"/>
              </w:rPr>
            </w:pPr>
            <w:r>
              <w:t>37</w:t>
            </w:r>
          </w:p>
        </w:tc>
        <w:tc>
          <w:tcPr>
            <w:tcW w:w="2126" w:type="dxa"/>
            <w:tcBorders>
              <w:top w:val="nil"/>
              <w:left w:val="nil"/>
              <w:bottom w:val="single" w:sz="4" w:space="0" w:color="000000"/>
              <w:right w:val="single" w:sz="8" w:space="0" w:color="000000"/>
            </w:tcBorders>
            <w:shd w:val="clear" w:color="000000" w:fill="F4F9EE"/>
            <w:vAlign w:val="center"/>
          </w:tcPr>
          <w:p w14:paraId="00C5F90C" w14:textId="1DEDBAEE" w:rsidR="00486104" w:rsidRPr="001F5130" w:rsidRDefault="008027F2" w:rsidP="00EC78E4">
            <w:pPr>
              <w:pStyle w:val="Tablerightlarge"/>
              <w:rPr>
                <w:rFonts w:asciiTheme="majorHAnsi" w:hAnsiTheme="majorHAnsi" w:cstheme="majorHAnsi"/>
              </w:rPr>
            </w:pPr>
            <w:r>
              <w:t>10</w:t>
            </w:r>
          </w:p>
        </w:tc>
        <w:tc>
          <w:tcPr>
            <w:tcW w:w="1276" w:type="dxa"/>
            <w:tcBorders>
              <w:top w:val="nil"/>
              <w:left w:val="nil"/>
              <w:bottom w:val="single" w:sz="4" w:space="0" w:color="000000"/>
              <w:right w:val="single" w:sz="8" w:space="0" w:color="000000"/>
            </w:tcBorders>
            <w:shd w:val="clear" w:color="000000" w:fill="F4F9EE"/>
            <w:vAlign w:val="center"/>
          </w:tcPr>
          <w:p w14:paraId="45EFE21A" w14:textId="4428FA6D" w:rsidR="00486104" w:rsidRPr="001F5130" w:rsidRDefault="008027F2" w:rsidP="00EC78E4">
            <w:pPr>
              <w:pStyle w:val="Tablerightlarge"/>
              <w:rPr>
                <w:rFonts w:asciiTheme="majorHAnsi" w:hAnsiTheme="majorHAnsi" w:cstheme="majorHAnsi"/>
              </w:rPr>
            </w:pPr>
            <w:r>
              <w:t>44.5</w:t>
            </w:r>
          </w:p>
        </w:tc>
        <w:tc>
          <w:tcPr>
            <w:tcW w:w="1842" w:type="dxa"/>
            <w:tcBorders>
              <w:top w:val="nil"/>
              <w:left w:val="nil"/>
              <w:bottom w:val="single" w:sz="4" w:space="0" w:color="000000"/>
              <w:right w:val="single" w:sz="8" w:space="0" w:color="000000"/>
            </w:tcBorders>
            <w:shd w:val="clear" w:color="000000" w:fill="F4F9EE"/>
            <w:vAlign w:val="center"/>
          </w:tcPr>
          <w:p w14:paraId="1EC1E7C0" w14:textId="731C09C0" w:rsidR="00486104" w:rsidRPr="001F5130" w:rsidRDefault="008027F2" w:rsidP="00EC78E4">
            <w:pPr>
              <w:pStyle w:val="Tablerightlarge"/>
              <w:rPr>
                <w:rFonts w:asciiTheme="majorHAnsi" w:hAnsiTheme="majorHAnsi" w:cstheme="majorHAnsi"/>
              </w:rPr>
            </w:pPr>
            <w:r>
              <w:t>109</w:t>
            </w:r>
          </w:p>
        </w:tc>
        <w:tc>
          <w:tcPr>
            <w:tcW w:w="1843" w:type="dxa"/>
            <w:tcBorders>
              <w:top w:val="nil"/>
              <w:left w:val="nil"/>
              <w:bottom w:val="single" w:sz="4" w:space="0" w:color="000000"/>
              <w:right w:val="single" w:sz="4" w:space="0" w:color="000000"/>
            </w:tcBorders>
            <w:shd w:val="clear" w:color="000000" w:fill="F4F9EE"/>
            <w:vAlign w:val="center"/>
          </w:tcPr>
          <w:p w14:paraId="0FE469B3" w14:textId="15AF0902" w:rsidR="00486104" w:rsidRPr="001F5130" w:rsidRDefault="008027F2" w:rsidP="00EC78E4">
            <w:pPr>
              <w:pStyle w:val="Tablerightlarge"/>
              <w:rPr>
                <w:rFonts w:asciiTheme="majorHAnsi" w:hAnsiTheme="majorHAnsi" w:cstheme="majorHAnsi"/>
              </w:rPr>
            </w:pPr>
            <w:r>
              <w:t>101.0</w:t>
            </w:r>
          </w:p>
        </w:tc>
      </w:tr>
    </w:tbl>
    <w:p w14:paraId="763AE1FC" w14:textId="268BA604" w:rsidR="00486104" w:rsidRPr="0012521E" w:rsidRDefault="00486104" w:rsidP="0074499F">
      <w:pPr>
        <w:pStyle w:val="Heading4"/>
        <w:rPr>
          <w:rStyle w:val="Strong"/>
          <w:rFonts w:asciiTheme="majorHAnsi" w:hAnsiTheme="majorHAnsi" w:cstheme="majorHAnsi"/>
          <w:b w:val="0"/>
          <w:bCs w:val="0"/>
        </w:rPr>
      </w:pPr>
      <w:bookmarkStart w:id="159" w:name="_Toc166585737"/>
      <w:r w:rsidRPr="0012521E">
        <w:rPr>
          <w:rStyle w:val="Strong"/>
          <w:rFonts w:asciiTheme="majorHAnsi" w:hAnsiTheme="majorHAnsi" w:cstheme="majorHAnsi"/>
        </w:rPr>
        <w:t>Classification data: VPS 1–6 Grades June 202</w:t>
      </w:r>
      <w:r w:rsidR="00BD500B" w:rsidRPr="0012521E">
        <w:rPr>
          <w:rStyle w:val="Strong"/>
          <w:rFonts w:asciiTheme="majorHAnsi" w:hAnsiTheme="majorHAnsi" w:cstheme="majorHAnsi"/>
        </w:rPr>
        <w:t>3</w:t>
      </w:r>
      <w:bookmarkEnd w:id="159"/>
    </w:p>
    <w:tbl>
      <w:tblPr>
        <w:tblStyle w:val="TableGrid"/>
        <w:tblW w:w="14344" w:type="dxa"/>
        <w:tblLook w:val="0020" w:firstRow="1" w:lastRow="0" w:firstColumn="0" w:lastColumn="0" w:noHBand="0" w:noVBand="0"/>
      </w:tblPr>
      <w:tblGrid>
        <w:gridCol w:w="1611"/>
        <w:gridCol w:w="1985"/>
        <w:gridCol w:w="1701"/>
        <w:gridCol w:w="2113"/>
        <w:gridCol w:w="2124"/>
        <w:gridCol w:w="1345"/>
        <w:gridCol w:w="1645"/>
        <w:gridCol w:w="1820"/>
      </w:tblGrid>
      <w:tr w:rsidR="00486104" w:rsidRPr="0012521E" w14:paraId="4EF424A6" w14:textId="77777777" w:rsidTr="00E159ED">
        <w:tc>
          <w:tcPr>
            <w:tcW w:w="1611" w:type="dxa"/>
            <w:shd w:val="clear" w:color="auto" w:fill="D4DFA0" w:themeFill="accent3"/>
          </w:tcPr>
          <w:p w14:paraId="4BFC6ADF" w14:textId="77777777" w:rsidR="00486104" w:rsidRPr="00E159ED" w:rsidRDefault="00486104" w:rsidP="00EC78E4">
            <w:pPr>
              <w:pStyle w:val="tableheader0"/>
              <w:rPr>
                <w:rFonts w:cstheme="majorHAnsi"/>
                <w:color w:val="auto"/>
              </w:rPr>
            </w:pPr>
          </w:p>
        </w:tc>
        <w:tc>
          <w:tcPr>
            <w:tcW w:w="1985" w:type="dxa"/>
            <w:shd w:val="clear" w:color="auto" w:fill="D4DFA0" w:themeFill="accent3"/>
          </w:tcPr>
          <w:p w14:paraId="2D9CBD43" w14:textId="77777777" w:rsidR="00486104" w:rsidRPr="00E159ED" w:rsidRDefault="00486104" w:rsidP="00EC78E4">
            <w:pPr>
              <w:pStyle w:val="tableheader0"/>
              <w:rPr>
                <w:rFonts w:cstheme="majorHAnsi"/>
                <w:color w:val="auto"/>
              </w:rPr>
            </w:pPr>
            <w:r w:rsidRPr="00E159ED">
              <w:rPr>
                <w:rFonts w:cstheme="majorHAnsi"/>
                <w:color w:val="auto"/>
                <w:u w:color="000000"/>
              </w:rPr>
              <w:t>All employees: No. (headcount)</w:t>
            </w:r>
          </w:p>
        </w:tc>
        <w:tc>
          <w:tcPr>
            <w:tcW w:w="1701" w:type="dxa"/>
            <w:shd w:val="clear" w:color="auto" w:fill="D4DFA0" w:themeFill="accent3"/>
          </w:tcPr>
          <w:p w14:paraId="71157B6B" w14:textId="77777777" w:rsidR="00486104" w:rsidRPr="00E159ED" w:rsidRDefault="00486104" w:rsidP="00EC78E4">
            <w:pPr>
              <w:pStyle w:val="tableheader0"/>
              <w:rPr>
                <w:rFonts w:cstheme="majorHAnsi"/>
                <w:color w:val="auto"/>
              </w:rPr>
            </w:pPr>
            <w:r w:rsidRPr="00E159ED">
              <w:rPr>
                <w:rFonts w:cstheme="majorHAnsi"/>
                <w:color w:val="auto"/>
                <w:u w:color="000000"/>
              </w:rPr>
              <w:t>All employees: FTE</w:t>
            </w:r>
          </w:p>
        </w:tc>
        <w:tc>
          <w:tcPr>
            <w:tcW w:w="0" w:type="auto"/>
            <w:shd w:val="clear" w:color="auto" w:fill="D4DFA0" w:themeFill="accent3"/>
          </w:tcPr>
          <w:p w14:paraId="602CAE08" w14:textId="77777777" w:rsidR="00486104" w:rsidRPr="00E159ED" w:rsidRDefault="00486104" w:rsidP="00EC78E4">
            <w:pPr>
              <w:pStyle w:val="tableheader0"/>
              <w:rPr>
                <w:rFonts w:cstheme="majorHAnsi"/>
                <w:color w:val="auto"/>
              </w:rPr>
            </w:pPr>
            <w:r w:rsidRPr="00E159ED">
              <w:rPr>
                <w:rFonts w:cstheme="majorHAnsi"/>
                <w:color w:val="auto"/>
                <w:u w:color="000000"/>
              </w:rPr>
              <w:t>Ongoing: Full-time (headcount)</w:t>
            </w:r>
          </w:p>
        </w:tc>
        <w:tc>
          <w:tcPr>
            <w:tcW w:w="0" w:type="auto"/>
            <w:shd w:val="clear" w:color="auto" w:fill="D4DFA0" w:themeFill="accent3"/>
          </w:tcPr>
          <w:p w14:paraId="2D1D53FB" w14:textId="77777777" w:rsidR="00486104" w:rsidRPr="00E159ED" w:rsidRDefault="00486104" w:rsidP="00EC78E4">
            <w:pPr>
              <w:pStyle w:val="tableheader0"/>
              <w:rPr>
                <w:rFonts w:cstheme="majorHAnsi"/>
                <w:color w:val="auto"/>
              </w:rPr>
            </w:pPr>
            <w:r w:rsidRPr="00E159ED">
              <w:rPr>
                <w:rFonts w:cstheme="majorHAnsi"/>
                <w:color w:val="auto"/>
                <w:u w:color="000000"/>
              </w:rPr>
              <w:t>Ongoing: Part-time (headcount)</w:t>
            </w:r>
          </w:p>
        </w:tc>
        <w:tc>
          <w:tcPr>
            <w:tcW w:w="0" w:type="auto"/>
            <w:shd w:val="clear" w:color="auto" w:fill="D4DFA0" w:themeFill="accent3"/>
          </w:tcPr>
          <w:p w14:paraId="592B8D50" w14:textId="77777777" w:rsidR="00486104" w:rsidRPr="00E159ED" w:rsidRDefault="00486104" w:rsidP="00EC78E4">
            <w:pPr>
              <w:pStyle w:val="tableheader0"/>
              <w:rPr>
                <w:rFonts w:cstheme="majorHAnsi"/>
                <w:color w:val="auto"/>
              </w:rPr>
            </w:pPr>
            <w:r w:rsidRPr="00E159ED">
              <w:rPr>
                <w:rFonts w:cstheme="majorHAnsi"/>
                <w:color w:val="auto"/>
                <w:u w:color="000000"/>
              </w:rPr>
              <w:t>Ongoing: FTE</w:t>
            </w:r>
          </w:p>
        </w:tc>
        <w:tc>
          <w:tcPr>
            <w:tcW w:w="1645" w:type="dxa"/>
            <w:shd w:val="clear" w:color="auto" w:fill="D4DFA0" w:themeFill="accent3"/>
          </w:tcPr>
          <w:p w14:paraId="76D91AB0" w14:textId="77777777" w:rsidR="00486104" w:rsidRPr="00E159ED" w:rsidRDefault="00486104" w:rsidP="00EC78E4">
            <w:pPr>
              <w:pStyle w:val="tableheader0"/>
              <w:rPr>
                <w:rFonts w:cstheme="majorHAnsi"/>
                <w:color w:val="auto"/>
              </w:rPr>
            </w:pPr>
            <w:r w:rsidRPr="00E159ED">
              <w:rPr>
                <w:rFonts w:cstheme="majorHAnsi"/>
                <w:color w:val="auto"/>
                <w:u w:color="000000"/>
              </w:rPr>
              <w:t>Fixed term and casual: No. (headcount)</w:t>
            </w:r>
          </w:p>
        </w:tc>
        <w:tc>
          <w:tcPr>
            <w:tcW w:w="1820" w:type="dxa"/>
            <w:shd w:val="clear" w:color="auto" w:fill="D4DFA0" w:themeFill="accent3"/>
          </w:tcPr>
          <w:p w14:paraId="01E1CFF9" w14:textId="77777777" w:rsidR="00486104" w:rsidRPr="00E159ED" w:rsidRDefault="00486104" w:rsidP="00EC78E4">
            <w:pPr>
              <w:pStyle w:val="tableheader0"/>
              <w:rPr>
                <w:rFonts w:cstheme="majorHAnsi"/>
                <w:color w:val="auto"/>
              </w:rPr>
            </w:pPr>
            <w:r w:rsidRPr="00E159ED">
              <w:rPr>
                <w:rFonts w:cstheme="majorHAnsi"/>
                <w:color w:val="auto"/>
                <w:u w:color="000000"/>
              </w:rPr>
              <w:t>Fixed term and casual (FTE)</w:t>
            </w:r>
          </w:p>
        </w:tc>
      </w:tr>
      <w:tr w:rsidR="00BD500B" w:rsidRPr="0012521E" w14:paraId="174446F2" w14:textId="77777777" w:rsidTr="00EC78E4">
        <w:tc>
          <w:tcPr>
            <w:tcW w:w="1611" w:type="dxa"/>
          </w:tcPr>
          <w:p w14:paraId="072EE00F"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VPS 1</w:t>
            </w:r>
          </w:p>
        </w:tc>
        <w:tc>
          <w:tcPr>
            <w:tcW w:w="1985" w:type="dxa"/>
          </w:tcPr>
          <w:p w14:paraId="2C564B35" w14:textId="4E5AE2F0"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701" w:type="dxa"/>
          </w:tcPr>
          <w:p w14:paraId="05900D18" w14:textId="7797D69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02530739" w14:textId="0F88451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4648BD58" w14:textId="11B002B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6F94B62E" w14:textId="43ECF0E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645" w:type="dxa"/>
          </w:tcPr>
          <w:p w14:paraId="371DF20E" w14:textId="00804B8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12DBD9EE" w14:textId="068BD63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BD500B" w:rsidRPr="0012521E" w14:paraId="433AD6BE" w14:textId="77777777" w:rsidTr="00EC78E4">
        <w:tc>
          <w:tcPr>
            <w:tcW w:w="1611" w:type="dxa"/>
          </w:tcPr>
          <w:p w14:paraId="31627055"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VPS 2</w:t>
            </w:r>
          </w:p>
        </w:tc>
        <w:tc>
          <w:tcPr>
            <w:tcW w:w="1985" w:type="dxa"/>
          </w:tcPr>
          <w:p w14:paraId="287C2C1F" w14:textId="7C78CD8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701" w:type="dxa"/>
          </w:tcPr>
          <w:p w14:paraId="3EB5606D" w14:textId="2B880AA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4F411428" w14:textId="0DA9F11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0EAF2537" w14:textId="3A80827A"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70336AEC" w14:textId="61400336"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645" w:type="dxa"/>
          </w:tcPr>
          <w:p w14:paraId="7F99C58F" w14:textId="6B015F41"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493CF975" w14:textId="3A9C64B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BD500B" w:rsidRPr="0012521E" w14:paraId="656A51E1" w14:textId="77777777" w:rsidTr="00EC78E4">
        <w:tc>
          <w:tcPr>
            <w:tcW w:w="1611" w:type="dxa"/>
          </w:tcPr>
          <w:p w14:paraId="434D1DAD"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VPS 3</w:t>
            </w:r>
          </w:p>
        </w:tc>
        <w:tc>
          <w:tcPr>
            <w:tcW w:w="1985" w:type="dxa"/>
          </w:tcPr>
          <w:p w14:paraId="007849D9" w14:textId="7E68AFF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w:t>
            </w:r>
          </w:p>
        </w:tc>
        <w:tc>
          <w:tcPr>
            <w:tcW w:w="1701" w:type="dxa"/>
          </w:tcPr>
          <w:p w14:paraId="21B5AEB3" w14:textId="689E329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3.4</w:t>
            </w:r>
          </w:p>
        </w:tc>
        <w:tc>
          <w:tcPr>
            <w:tcW w:w="0" w:type="auto"/>
          </w:tcPr>
          <w:p w14:paraId="51FBCA97" w14:textId="167D565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w:t>
            </w:r>
          </w:p>
        </w:tc>
        <w:tc>
          <w:tcPr>
            <w:tcW w:w="0" w:type="auto"/>
          </w:tcPr>
          <w:p w14:paraId="4397E5B9" w14:textId="08E394BA"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3554CAB7" w14:textId="674F7306"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w:t>
            </w:r>
          </w:p>
        </w:tc>
        <w:tc>
          <w:tcPr>
            <w:tcW w:w="1645" w:type="dxa"/>
          </w:tcPr>
          <w:p w14:paraId="10F1A686" w14:textId="0F2A561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w:t>
            </w:r>
          </w:p>
        </w:tc>
        <w:tc>
          <w:tcPr>
            <w:tcW w:w="1820" w:type="dxa"/>
          </w:tcPr>
          <w:p w14:paraId="218E2691" w14:textId="1E42B2C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1.4</w:t>
            </w:r>
          </w:p>
        </w:tc>
      </w:tr>
      <w:tr w:rsidR="00BD500B" w:rsidRPr="0012521E" w14:paraId="625941F9" w14:textId="77777777" w:rsidTr="00EC78E4">
        <w:tc>
          <w:tcPr>
            <w:tcW w:w="1611" w:type="dxa"/>
          </w:tcPr>
          <w:p w14:paraId="3AD41056"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VPS 4</w:t>
            </w:r>
          </w:p>
        </w:tc>
        <w:tc>
          <w:tcPr>
            <w:tcW w:w="1985" w:type="dxa"/>
          </w:tcPr>
          <w:p w14:paraId="748386C9" w14:textId="2FA2900D"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63</w:t>
            </w:r>
          </w:p>
        </w:tc>
        <w:tc>
          <w:tcPr>
            <w:tcW w:w="1701" w:type="dxa"/>
          </w:tcPr>
          <w:p w14:paraId="74D6BB29" w14:textId="7A67ACE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56.2</w:t>
            </w:r>
          </w:p>
        </w:tc>
        <w:tc>
          <w:tcPr>
            <w:tcW w:w="0" w:type="auto"/>
          </w:tcPr>
          <w:p w14:paraId="6CD714B2" w14:textId="659E204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9</w:t>
            </w:r>
          </w:p>
        </w:tc>
        <w:tc>
          <w:tcPr>
            <w:tcW w:w="0" w:type="auto"/>
          </w:tcPr>
          <w:p w14:paraId="1241D3CC" w14:textId="093C138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w:t>
            </w:r>
          </w:p>
        </w:tc>
        <w:tc>
          <w:tcPr>
            <w:tcW w:w="0" w:type="auto"/>
          </w:tcPr>
          <w:p w14:paraId="0266F894" w14:textId="37349CC9"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11.8</w:t>
            </w:r>
          </w:p>
        </w:tc>
        <w:tc>
          <w:tcPr>
            <w:tcW w:w="1645" w:type="dxa"/>
          </w:tcPr>
          <w:p w14:paraId="435AF379" w14:textId="6D3FA729"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50</w:t>
            </w:r>
          </w:p>
        </w:tc>
        <w:tc>
          <w:tcPr>
            <w:tcW w:w="1820" w:type="dxa"/>
          </w:tcPr>
          <w:p w14:paraId="133B3B29" w14:textId="266C24F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44.4</w:t>
            </w:r>
          </w:p>
        </w:tc>
      </w:tr>
      <w:tr w:rsidR="00BD500B" w:rsidRPr="0012521E" w14:paraId="663873FA" w14:textId="77777777" w:rsidTr="00EC78E4">
        <w:tc>
          <w:tcPr>
            <w:tcW w:w="1611" w:type="dxa"/>
          </w:tcPr>
          <w:p w14:paraId="1544E27F"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VPS 5</w:t>
            </w:r>
          </w:p>
        </w:tc>
        <w:tc>
          <w:tcPr>
            <w:tcW w:w="1985" w:type="dxa"/>
          </w:tcPr>
          <w:p w14:paraId="0EB1F157" w14:textId="4408377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91</w:t>
            </w:r>
          </w:p>
        </w:tc>
        <w:tc>
          <w:tcPr>
            <w:tcW w:w="1701" w:type="dxa"/>
          </w:tcPr>
          <w:p w14:paraId="5B8449DB" w14:textId="2D11728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85.8</w:t>
            </w:r>
          </w:p>
        </w:tc>
        <w:tc>
          <w:tcPr>
            <w:tcW w:w="0" w:type="auto"/>
          </w:tcPr>
          <w:p w14:paraId="7D1239AF" w14:textId="1A84191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25</w:t>
            </w:r>
          </w:p>
        </w:tc>
        <w:tc>
          <w:tcPr>
            <w:tcW w:w="0" w:type="auto"/>
          </w:tcPr>
          <w:p w14:paraId="3F3BFAB1" w14:textId="3FD51F7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8</w:t>
            </w:r>
          </w:p>
        </w:tc>
        <w:tc>
          <w:tcPr>
            <w:tcW w:w="0" w:type="auto"/>
          </w:tcPr>
          <w:p w14:paraId="7B0D258C" w14:textId="1E5860D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31.1</w:t>
            </w:r>
          </w:p>
        </w:tc>
        <w:tc>
          <w:tcPr>
            <w:tcW w:w="1645" w:type="dxa"/>
          </w:tcPr>
          <w:p w14:paraId="4266767A" w14:textId="3C7EDCF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58</w:t>
            </w:r>
          </w:p>
        </w:tc>
        <w:tc>
          <w:tcPr>
            <w:tcW w:w="1820" w:type="dxa"/>
          </w:tcPr>
          <w:p w14:paraId="6FDC01A8" w14:textId="5913540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54.7</w:t>
            </w:r>
          </w:p>
        </w:tc>
      </w:tr>
      <w:tr w:rsidR="00BD500B" w:rsidRPr="0012521E" w14:paraId="3A1DE63E" w14:textId="77777777" w:rsidTr="00EC78E4">
        <w:tc>
          <w:tcPr>
            <w:tcW w:w="1611" w:type="dxa"/>
          </w:tcPr>
          <w:p w14:paraId="1EC63808"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VPS 6</w:t>
            </w:r>
          </w:p>
        </w:tc>
        <w:tc>
          <w:tcPr>
            <w:tcW w:w="1985" w:type="dxa"/>
          </w:tcPr>
          <w:p w14:paraId="35604833" w14:textId="678FF1C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24</w:t>
            </w:r>
          </w:p>
        </w:tc>
        <w:tc>
          <w:tcPr>
            <w:tcW w:w="1701" w:type="dxa"/>
          </w:tcPr>
          <w:p w14:paraId="49BE9655" w14:textId="51963F4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23.5</w:t>
            </w:r>
          </w:p>
        </w:tc>
        <w:tc>
          <w:tcPr>
            <w:tcW w:w="0" w:type="auto"/>
          </w:tcPr>
          <w:p w14:paraId="2F9A117F" w14:textId="4DD210CA"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12</w:t>
            </w:r>
          </w:p>
        </w:tc>
        <w:tc>
          <w:tcPr>
            <w:tcW w:w="0" w:type="auto"/>
          </w:tcPr>
          <w:p w14:paraId="449E0E14" w14:textId="7FC7B2F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0" w:type="auto"/>
          </w:tcPr>
          <w:p w14:paraId="7E8EE00A" w14:textId="26FAAA1D"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12.9</w:t>
            </w:r>
          </w:p>
        </w:tc>
        <w:tc>
          <w:tcPr>
            <w:tcW w:w="1645" w:type="dxa"/>
          </w:tcPr>
          <w:p w14:paraId="4A35EA7A" w14:textId="7A8E614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11</w:t>
            </w:r>
          </w:p>
        </w:tc>
        <w:tc>
          <w:tcPr>
            <w:tcW w:w="1820" w:type="dxa"/>
          </w:tcPr>
          <w:p w14:paraId="11711421" w14:textId="3025318D"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10.6</w:t>
            </w:r>
          </w:p>
        </w:tc>
      </w:tr>
      <w:tr w:rsidR="00BD500B" w:rsidRPr="0012521E" w14:paraId="6BC9A356" w14:textId="77777777" w:rsidTr="001F5130">
        <w:tc>
          <w:tcPr>
            <w:tcW w:w="1611" w:type="dxa"/>
            <w:shd w:val="clear" w:color="auto" w:fill="F4F9EE" w:themeFill="accent6" w:themeFillTint="33"/>
          </w:tcPr>
          <w:p w14:paraId="2816B177" w14:textId="77777777" w:rsidR="00BD500B" w:rsidRPr="0012521E" w:rsidRDefault="00BD500B" w:rsidP="00BD500B">
            <w:pPr>
              <w:pStyle w:val="TableText"/>
              <w:rPr>
                <w:rFonts w:asciiTheme="majorHAnsi" w:hAnsiTheme="majorHAnsi" w:cstheme="majorHAnsi"/>
                <w:b/>
                <w:bCs w:val="0"/>
              </w:rPr>
            </w:pPr>
            <w:r w:rsidRPr="0012521E">
              <w:rPr>
                <w:rFonts w:asciiTheme="majorHAnsi" w:hAnsiTheme="majorHAnsi" w:cstheme="majorHAnsi"/>
                <w:b/>
                <w:bCs w:val="0"/>
              </w:rPr>
              <w:t xml:space="preserve">Total </w:t>
            </w:r>
          </w:p>
        </w:tc>
        <w:tc>
          <w:tcPr>
            <w:tcW w:w="1985" w:type="dxa"/>
            <w:shd w:val="clear" w:color="auto" w:fill="F4F9EE" w:themeFill="accent6" w:themeFillTint="33"/>
            <w:vAlign w:val="bottom"/>
          </w:tcPr>
          <w:p w14:paraId="09A2ED03" w14:textId="50DF1872" w:rsidR="00BD500B" w:rsidRPr="0012521E" w:rsidRDefault="00BD500B" w:rsidP="00BD500B">
            <w:pPr>
              <w:pStyle w:val="Tablerightlarge"/>
              <w:rPr>
                <w:rFonts w:asciiTheme="majorHAnsi" w:hAnsiTheme="majorHAnsi" w:cstheme="majorHAnsi"/>
              </w:rPr>
            </w:pPr>
            <w:r w:rsidRPr="0012521E">
              <w:rPr>
                <w:rFonts w:asciiTheme="majorHAnsi" w:hAnsiTheme="majorHAnsi" w:cstheme="majorHAnsi"/>
              </w:rPr>
              <w:t>182</w:t>
            </w:r>
          </w:p>
        </w:tc>
        <w:tc>
          <w:tcPr>
            <w:tcW w:w="1701" w:type="dxa"/>
            <w:shd w:val="clear" w:color="auto" w:fill="F4F9EE" w:themeFill="accent6" w:themeFillTint="33"/>
            <w:vAlign w:val="bottom"/>
          </w:tcPr>
          <w:p w14:paraId="4A6B4A35" w14:textId="00B72CC8" w:rsidR="00BD500B" w:rsidRPr="0012521E" w:rsidRDefault="00BD500B" w:rsidP="00BD500B">
            <w:pPr>
              <w:pStyle w:val="Tablerightlarge"/>
              <w:rPr>
                <w:rFonts w:asciiTheme="majorHAnsi" w:hAnsiTheme="majorHAnsi" w:cstheme="majorHAnsi"/>
              </w:rPr>
            </w:pPr>
            <w:r w:rsidRPr="0012521E">
              <w:rPr>
                <w:rFonts w:asciiTheme="majorHAnsi" w:hAnsiTheme="majorHAnsi" w:cstheme="majorHAnsi"/>
              </w:rPr>
              <w:t>168.9</w:t>
            </w:r>
          </w:p>
        </w:tc>
        <w:tc>
          <w:tcPr>
            <w:tcW w:w="0" w:type="auto"/>
            <w:shd w:val="clear" w:color="auto" w:fill="F4F9EE" w:themeFill="accent6" w:themeFillTint="33"/>
            <w:vAlign w:val="bottom"/>
          </w:tcPr>
          <w:p w14:paraId="110A9CFD" w14:textId="706A7ADF" w:rsidR="00BD500B" w:rsidRPr="0012521E" w:rsidRDefault="00BD500B" w:rsidP="00BD500B">
            <w:pPr>
              <w:pStyle w:val="Tablerightlarge"/>
              <w:rPr>
                <w:rFonts w:asciiTheme="majorHAnsi" w:hAnsiTheme="majorHAnsi" w:cstheme="majorHAnsi"/>
              </w:rPr>
            </w:pPr>
            <w:r w:rsidRPr="0012521E">
              <w:rPr>
                <w:rFonts w:asciiTheme="majorHAnsi" w:hAnsiTheme="majorHAnsi" w:cstheme="majorHAnsi"/>
              </w:rPr>
              <w:t>48</w:t>
            </w:r>
          </w:p>
        </w:tc>
        <w:tc>
          <w:tcPr>
            <w:tcW w:w="0" w:type="auto"/>
            <w:shd w:val="clear" w:color="auto" w:fill="F4F9EE" w:themeFill="accent6" w:themeFillTint="33"/>
            <w:vAlign w:val="bottom"/>
          </w:tcPr>
          <w:p w14:paraId="5F353F32" w14:textId="44D764BF" w:rsidR="00BD500B" w:rsidRPr="0012521E" w:rsidRDefault="00BD500B" w:rsidP="00BD500B">
            <w:pPr>
              <w:pStyle w:val="Tablerightlarge"/>
              <w:rPr>
                <w:rFonts w:asciiTheme="majorHAnsi" w:hAnsiTheme="majorHAnsi" w:cstheme="majorHAnsi"/>
              </w:rPr>
            </w:pPr>
            <w:r w:rsidRPr="0012521E">
              <w:rPr>
                <w:rFonts w:asciiTheme="majorHAnsi" w:hAnsiTheme="majorHAnsi" w:cstheme="majorHAnsi"/>
              </w:rPr>
              <w:t>13</w:t>
            </w:r>
          </w:p>
        </w:tc>
        <w:tc>
          <w:tcPr>
            <w:tcW w:w="0" w:type="auto"/>
            <w:shd w:val="clear" w:color="auto" w:fill="F4F9EE" w:themeFill="accent6" w:themeFillTint="33"/>
            <w:vAlign w:val="bottom"/>
          </w:tcPr>
          <w:p w14:paraId="18C63E3A" w14:textId="4DEBA8CE" w:rsidR="00BD500B" w:rsidRPr="0012521E" w:rsidRDefault="00BD500B" w:rsidP="00BD500B">
            <w:pPr>
              <w:pStyle w:val="Tablerightlarge"/>
              <w:rPr>
                <w:rFonts w:asciiTheme="majorHAnsi" w:hAnsiTheme="majorHAnsi" w:cstheme="majorHAnsi"/>
              </w:rPr>
            </w:pPr>
            <w:r w:rsidRPr="0012521E">
              <w:rPr>
                <w:rFonts w:asciiTheme="majorHAnsi" w:hAnsiTheme="majorHAnsi" w:cstheme="majorHAnsi"/>
              </w:rPr>
              <w:t>57.8</w:t>
            </w:r>
          </w:p>
        </w:tc>
        <w:tc>
          <w:tcPr>
            <w:tcW w:w="1645" w:type="dxa"/>
            <w:shd w:val="clear" w:color="auto" w:fill="F4F9EE" w:themeFill="accent6" w:themeFillTint="33"/>
            <w:vAlign w:val="bottom"/>
          </w:tcPr>
          <w:p w14:paraId="084E017A" w14:textId="7778E940" w:rsidR="00BD500B" w:rsidRPr="0012521E" w:rsidRDefault="00BD500B" w:rsidP="00BD500B">
            <w:pPr>
              <w:pStyle w:val="Tablerightlarge"/>
              <w:rPr>
                <w:rFonts w:asciiTheme="majorHAnsi" w:hAnsiTheme="majorHAnsi" w:cstheme="majorHAnsi"/>
              </w:rPr>
            </w:pPr>
            <w:r w:rsidRPr="0012521E">
              <w:rPr>
                <w:rFonts w:asciiTheme="majorHAnsi" w:hAnsiTheme="majorHAnsi" w:cstheme="majorHAnsi"/>
              </w:rPr>
              <w:t>121</w:t>
            </w:r>
          </w:p>
        </w:tc>
        <w:tc>
          <w:tcPr>
            <w:tcW w:w="1820" w:type="dxa"/>
            <w:shd w:val="clear" w:color="auto" w:fill="F4F9EE" w:themeFill="accent6" w:themeFillTint="33"/>
            <w:vAlign w:val="bottom"/>
          </w:tcPr>
          <w:p w14:paraId="339B66F5" w14:textId="3524264D" w:rsidR="00BD500B" w:rsidRPr="0012521E" w:rsidRDefault="00BD500B" w:rsidP="00BD500B">
            <w:pPr>
              <w:pStyle w:val="Tablerightlarge"/>
              <w:rPr>
                <w:rFonts w:asciiTheme="majorHAnsi" w:hAnsiTheme="majorHAnsi" w:cstheme="majorHAnsi"/>
              </w:rPr>
            </w:pPr>
            <w:r w:rsidRPr="0012521E">
              <w:rPr>
                <w:rFonts w:asciiTheme="majorHAnsi" w:hAnsiTheme="majorHAnsi" w:cstheme="majorHAnsi"/>
              </w:rPr>
              <w:t>111.1</w:t>
            </w:r>
          </w:p>
        </w:tc>
      </w:tr>
    </w:tbl>
    <w:p w14:paraId="318C0E62" w14:textId="556A01A0" w:rsidR="00486104" w:rsidRPr="0012521E" w:rsidRDefault="00486104" w:rsidP="0074499F">
      <w:pPr>
        <w:pStyle w:val="Heading4"/>
        <w:rPr>
          <w:rStyle w:val="Strong"/>
          <w:rFonts w:asciiTheme="majorHAnsi" w:hAnsiTheme="majorHAnsi" w:cstheme="majorHAnsi"/>
          <w:b w:val="0"/>
          <w:bCs w:val="0"/>
        </w:rPr>
      </w:pPr>
      <w:bookmarkStart w:id="160" w:name="_Toc166585738"/>
      <w:r w:rsidRPr="0012521E">
        <w:rPr>
          <w:rStyle w:val="Strong"/>
          <w:rFonts w:asciiTheme="majorHAnsi" w:hAnsiTheme="majorHAnsi" w:cstheme="majorHAnsi"/>
        </w:rPr>
        <w:lastRenderedPageBreak/>
        <w:t>Classification data: Senior employees June 202</w:t>
      </w:r>
      <w:r w:rsidR="00BD500B" w:rsidRPr="0012521E">
        <w:rPr>
          <w:rStyle w:val="Strong"/>
          <w:rFonts w:asciiTheme="majorHAnsi" w:hAnsiTheme="majorHAnsi" w:cstheme="majorHAnsi"/>
        </w:rPr>
        <w:t>4</w:t>
      </w:r>
      <w:bookmarkEnd w:id="160"/>
    </w:p>
    <w:tbl>
      <w:tblPr>
        <w:tblStyle w:val="TableGrid"/>
        <w:tblW w:w="14771" w:type="dxa"/>
        <w:tblLook w:val="0020" w:firstRow="1" w:lastRow="0" w:firstColumn="0" w:lastColumn="0" w:noHBand="0" w:noVBand="0"/>
      </w:tblPr>
      <w:tblGrid>
        <w:gridCol w:w="1663"/>
        <w:gridCol w:w="1954"/>
        <w:gridCol w:w="1669"/>
        <w:gridCol w:w="1951"/>
        <w:gridCol w:w="1960"/>
        <w:gridCol w:w="1307"/>
        <w:gridCol w:w="2447"/>
        <w:gridCol w:w="1820"/>
      </w:tblGrid>
      <w:tr w:rsidR="00486104" w:rsidRPr="0012521E" w14:paraId="0D1F2166" w14:textId="77777777" w:rsidTr="00E159ED">
        <w:trPr>
          <w:tblHeader/>
        </w:trPr>
        <w:tc>
          <w:tcPr>
            <w:tcW w:w="0" w:type="auto"/>
            <w:shd w:val="clear" w:color="auto" w:fill="D4DFA0" w:themeFill="accent3"/>
          </w:tcPr>
          <w:p w14:paraId="65108E0E" w14:textId="77777777" w:rsidR="00486104" w:rsidRPr="00E159ED" w:rsidRDefault="00486104" w:rsidP="00EC78E4">
            <w:pPr>
              <w:pStyle w:val="tableheader0"/>
              <w:rPr>
                <w:rFonts w:cstheme="majorHAnsi"/>
                <w:color w:val="auto"/>
                <w:u w:color="000000"/>
              </w:rPr>
            </w:pPr>
          </w:p>
        </w:tc>
        <w:tc>
          <w:tcPr>
            <w:tcW w:w="0" w:type="auto"/>
            <w:shd w:val="clear" w:color="auto" w:fill="D4DFA0" w:themeFill="accent3"/>
          </w:tcPr>
          <w:p w14:paraId="4726A1BA"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All employees: No. (headcount)</w:t>
            </w:r>
          </w:p>
        </w:tc>
        <w:tc>
          <w:tcPr>
            <w:tcW w:w="1669" w:type="dxa"/>
            <w:shd w:val="clear" w:color="auto" w:fill="D4DFA0" w:themeFill="accent3"/>
          </w:tcPr>
          <w:p w14:paraId="301732F7"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All employees: FTE</w:t>
            </w:r>
          </w:p>
        </w:tc>
        <w:tc>
          <w:tcPr>
            <w:tcW w:w="0" w:type="auto"/>
            <w:shd w:val="clear" w:color="auto" w:fill="D4DFA0" w:themeFill="accent3"/>
          </w:tcPr>
          <w:p w14:paraId="050AF1C5"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Ongoing: Full-time (headcount)</w:t>
            </w:r>
          </w:p>
        </w:tc>
        <w:tc>
          <w:tcPr>
            <w:tcW w:w="0" w:type="auto"/>
            <w:shd w:val="clear" w:color="auto" w:fill="D4DFA0" w:themeFill="accent3"/>
          </w:tcPr>
          <w:p w14:paraId="0FE9C359"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Ongoing: Part-time (headcount)</w:t>
            </w:r>
          </w:p>
        </w:tc>
        <w:tc>
          <w:tcPr>
            <w:tcW w:w="0" w:type="auto"/>
            <w:shd w:val="clear" w:color="auto" w:fill="D4DFA0" w:themeFill="accent3"/>
          </w:tcPr>
          <w:p w14:paraId="15F7EA54"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Ongoing: FTE</w:t>
            </w:r>
          </w:p>
        </w:tc>
        <w:tc>
          <w:tcPr>
            <w:tcW w:w="2447" w:type="dxa"/>
            <w:shd w:val="clear" w:color="auto" w:fill="D4DFA0" w:themeFill="accent3"/>
          </w:tcPr>
          <w:p w14:paraId="62E54672"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Fixed term and casual: No. (headcount)</w:t>
            </w:r>
          </w:p>
        </w:tc>
        <w:tc>
          <w:tcPr>
            <w:tcW w:w="1820" w:type="dxa"/>
            <w:shd w:val="clear" w:color="auto" w:fill="D4DFA0" w:themeFill="accent3"/>
          </w:tcPr>
          <w:p w14:paraId="10CC6A85"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Fixed term and casual (FTE)</w:t>
            </w:r>
          </w:p>
        </w:tc>
      </w:tr>
      <w:tr w:rsidR="00486104" w:rsidRPr="0012521E" w14:paraId="2B73D7F1" w14:textId="77777777" w:rsidTr="00CB0C87">
        <w:tc>
          <w:tcPr>
            <w:tcW w:w="0" w:type="auto"/>
          </w:tcPr>
          <w:p w14:paraId="7E50F88E"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STS</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35C49C3" w14:textId="77777777" w:rsidR="00486104" w:rsidRPr="0012521E" w:rsidRDefault="00486104" w:rsidP="00EC78E4">
            <w:pPr>
              <w:pStyle w:val="Tablerightlarge"/>
              <w:rPr>
                <w:rFonts w:asciiTheme="majorHAnsi" w:hAnsiTheme="majorHAnsi" w:cstheme="majorHAnsi"/>
                <w:color w:val="000000"/>
                <w:kern w:val="1"/>
                <w:szCs w:val="24"/>
                <w:u w:color="000000"/>
              </w:rPr>
            </w:pPr>
            <w:r>
              <w:t>4</w:t>
            </w:r>
          </w:p>
        </w:tc>
        <w:tc>
          <w:tcPr>
            <w:tcW w:w="1669" w:type="dxa"/>
            <w:tcBorders>
              <w:top w:val="single" w:sz="8" w:space="0" w:color="000000"/>
              <w:left w:val="nil"/>
              <w:bottom w:val="single" w:sz="8" w:space="0" w:color="000000"/>
              <w:right w:val="single" w:sz="8" w:space="0" w:color="000000"/>
            </w:tcBorders>
            <w:shd w:val="clear" w:color="auto" w:fill="auto"/>
            <w:vAlign w:val="center"/>
          </w:tcPr>
          <w:p w14:paraId="06868028" w14:textId="3B3BE9BB" w:rsidR="00486104" w:rsidRPr="0012521E" w:rsidRDefault="00486104" w:rsidP="00EC78E4">
            <w:pPr>
              <w:pStyle w:val="Tablerightlarge"/>
              <w:rPr>
                <w:rFonts w:asciiTheme="majorHAnsi" w:hAnsiTheme="majorHAnsi" w:cstheme="majorHAnsi"/>
                <w:color w:val="000000"/>
                <w:kern w:val="1"/>
                <w:szCs w:val="24"/>
                <w:u w:color="000000"/>
              </w:rPr>
            </w:pPr>
            <w:r>
              <w:t>4</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70EF287D" w14:textId="64E22EBF" w:rsidR="00486104" w:rsidRPr="0012521E" w:rsidRDefault="006F7EDF" w:rsidP="00EC78E4">
            <w:pPr>
              <w:pStyle w:val="Tablerightlarge"/>
              <w:rPr>
                <w:rFonts w:asciiTheme="majorHAnsi" w:hAnsiTheme="majorHAnsi" w:cstheme="majorHAnsi"/>
                <w:color w:val="000000"/>
                <w:kern w:val="1"/>
                <w:szCs w:val="24"/>
                <w:u w:color="000000"/>
              </w:rPr>
            </w:pPr>
            <w:r>
              <w:t>2</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21F138D3" w14:textId="747F9D7F"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3E1DC268" w14:textId="36FB4F26" w:rsidR="00486104" w:rsidRPr="0012521E" w:rsidRDefault="00EB69C9" w:rsidP="00EC78E4">
            <w:pPr>
              <w:pStyle w:val="Tablerightlarge"/>
              <w:rPr>
                <w:rFonts w:asciiTheme="majorHAnsi" w:hAnsiTheme="majorHAnsi" w:cstheme="majorHAnsi"/>
                <w:color w:val="000000"/>
                <w:kern w:val="1"/>
                <w:szCs w:val="24"/>
                <w:u w:color="000000"/>
              </w:rPr>
            </w:pPr>
            <w:r>
              <w:rPr>
                <w:kern w:val="1"/>
                <w:szCs w:val="24"/>
                <w:u w:color="000000"/>
              </w:rPr>
              <w:t>2</w:t>
            </w:r>
          </w:p>
        </w:tc>
        <w:tc>
          <w:tcPr>
            <w:tcW w:w="2447" w:type="dxa"/>
            <w:tcBorders>
              <w:top w:val="single" w:sz="8" w:space="0" w:color="000000"/>
              <w:left w:val="nil"/>
              <w:bottom w:val="single" w:sz="8" w:space="0" w:color="000000"/>
              <w:right w:val="single" w:sz="8" w:space="0" w:color="000000"/>
            </w:tcBorders>
            <w:shd w:val="clear" w:color="auto" w:fill="auto"/>
            <w:vAlign w:val="center"/>
          </w:tcPr>
          <w:p w14:paraId="16B7DBC3" w14:textId="34E17ECC" w:rsidR="00486104" w:rsidRPr="0012521E" w:rsidRDefault="006F7EDF" w:rsidP="00EC78E4">
            <w:pPr>
              <w:pStyle w:val="Tablerightlarge"/>
              <w:rPr>
                <w:rFonts w:asciiTheme="majorHAnsi" w:hAnsiTheme="majorHAnsi" w:cstheme="majorHAnsi"/>
                <w:color w:val="000000"/>
                <w:kern w:val="1"/>
                <w:szCs w:val="24"/>
                <w:u w:color="000000"/>
              </w:rPr>
            </w:pPr>
            <w:r>
              <w:t>2</w:t>
            </w:r>
          </w:p>
        </w:tc>
        <w:tc>
          <w:tcPr>
            <w:tcW w:w="1820" w:type="dxa"/>
            <w:tcBorders>
              <w:top w:val="single" w:sz="8" w:space="0" w:color="000000"/>
              <w:left w:val="nil"/>
              <w:bottom w:val="single" w:sz="8" w:space="0" w:color="000000"/>
              <w:right w:val="single" w:sz="4" w:space="0" w:color="000000"/>
            </w:tcBorders>
            <w:shd w:val="clear" w:color="auto" w:fill="auto"/>
            <w:vAlign w:val="center"/>
          </w:tcPr>
          <w:p w14:paraId="2676825C" w14:textId="6103F93B" w:rsidR="00486104" w:rsidRPr="0012521E" w:rsidRDefault="006F7EDF" w:rsidP="00EC78E4">
            <w:pPr>
              <w:pStyle w:val="Tablerightlarge"/>
              <w:rPr>
                <w:rFonts w:asciiTheme="majorHAnsi" w:hAnsiTheme="majorHAnsi" w:cstheme="majorHAnsi"/>
                <w:color w:val="000000"/>
                <w:kern w:val="1"/>
                <w:szCs w:val="24"/>
                <w:u w:color="000000"/>
              </w:rPr>
            </w:pPr>
            <w:r>
              <w:t>2</w:t>
            </w:r>
          </w:p>
        </w:tc>
      </w:tr>
      <w:tr w:rsidR="00486104" w:rsidRPr="0012521E" w14:paraId="23B0A803" w14:textId="77777777" w:rsidTr="00CB0C87">
        <w:tc>
          <w:tcPr>
            <w:tcW w:w="0" w:type="auto"/>
          </w:tcPr>
          <w:p w14:paraId="16300E32"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PS</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4C9D5F3E" w14:textId="11EC2FD3" w:rsidR="00486104" w:rsidRPr="0012521E" w:rsidRDefault="00EB69C9" w:rsidP="00EC78E4">
            <w:pPr>
              <w:pStyle w:val="Tablerightlarge"/>
              <w:rPr>
                <w:rFonts w:asciiTheme="majorHAnsi" w:hAnsiTheme="majorHAnsi" w:cstheme="majorHAnsi"/>
                <w:color w:val="000000"/>
                <w:kern w:val="1"/>
                <w:szCs w:val="24"/>
                <w:u w:color="000000"/>
              </w:rPr>
            </w:pPr>
            <w:r>
              <w:t>0</w:t>
            </w:r>
          </w:p>
        </w:tc>
        <w:tc>
          <w:tcPr>
            <w:tcW w:w="1669" w:type="dxa"/>
            <w:tcBorders>
              <w:top w:val="nil"/>
              <w:left w:val="nil"/>
              <w:bottom w:val="single" w:sz="8" w:space="0" w:color="000000"/>
              <w:right w:val="single" w:sz="8" w:space="0" w:color="000000"/>
            </w:tcBorders>
            <w:shd w:val="clear" w:color="auto" w:fill="auto"/>
            <w:vAlign w:val="center"/>
          </w:tcPr>
          <w:p w14:paraId="4C5BA783" w14:textId="39636D96"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73362C32" w14:textId="7D8F1774" w:rsidR="00486104" w:rsidRPr="0012521E" w:rsidRDefault="00EB69C9" w:rsidP="00EC78E4">
            <w:pPr>
              <w:pStyle w:val="Tablerightlarge"/>
              <w:rPr>
                <w:rFonts w:asciiTheme="majorHAnsi" w:hAnsiTheme="majorHAnsi" w:cstheme="majorHAnsi"/>
                <w:color w:val="000000"/>
                <w:kern w:val="1"/>
                <w:szCs w:val="24"/>
                <w:u w:color="000000"/>
              </w:rPr>
            </w:pPr>
            <w:r>
              <w:t>0</w:t>
            </w:r>
          </w:p>
        </w:tc>
        <w:tc>
          <w:tcPr>
            <w:tcW w:w="0" w:type="auto"/>
            <w:tcBorders>
              <w:top w:val="nil"/>
              <w:left w:val="nil"/>
              <w:bottom w:val="single" w:sz="8" w:space="0" w:color="000000"/>
              <w:right w:val="single" w:sz="8" w:space="0" w:color="000000"/>
            </w:tcBorders>
            <w:shd w:val="clear" w:color="auto" w:fill="auto"/>
            <w:vAlign w:val="center"/>
          </w:tcPr>
          <w:p w14:paraId="004A71AE" w14:textId="5B1FF826"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42F7C8E6" w14:textId="557B4564"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2447" w:type="dxa"/>
            <w:tcBorders>
              <w:top w:val="nil"/>
              <w:left w:val="nil"/>
              <w:bottom w:val="single" w:sz="8" w:space="0" w:color="000000"/>
              <w:right w:val="single" w:sz="8" w:space="0" w:color="000000"/>
            </w:tcBorders>
            <w:shd w:val="clear" w:color="auto" w:fill="auto"/>
            <w:vAlign w:val="center"/>
          </w:tcPr>
          <w:p w14:paraId="36E2EB3C" w14:textId="0C0C7900"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1820" w:type="dxa"/>
            <w:tcBorders>
              <w:top w:val="nil"/>
              <w:left w:val="nil"/>
              <w:bottom w:val="single" w:sz="8" w:space="0" w:color="000000"/>
              <w:right w:val="single" w:sz="4" w:space="0" w:color="000000"/>
            </w:tcBorders>
            <w:shd w:val="clear" w:color="auto" w:fill="auto"/>
            <w:vAlign w:val="center"/>
          </w:tcPr>
          <w:p w14:paraId="3A673031" w14:textId="0FB5D4A0" w:rsidR="00486104" w:rsidRPr="0012521E" w:rsidRDefault="00EB69C9" w:rsidP="00EC78E4">
            <w:pPr>
              <w:pStyle w:val="Tablerightlarge"/>
              <w:rPr>
                <w:rFonts w:asciiTheme="majorHAnsi" w:hAnsiTheme="majorHAnsi" w:cstheme="majorHAnsi"/>
                <w:color w:val="000000"/>
                <w:kern w:val="1"/>
                <w:szCs w:val="24"/>
                <w:u w:color="000000"/>
              </w:rPr>
            </w:pPr>
            <w:r>
              <w:t>0</w:t>
            </w:r>
          </w:p>
        </w:tc>
      </w:tr>
      <w:tr w:rsidR="00486104" w:rsidRPr="0012521E" w14:paraId="17A9D65F" w14:textId="77777777" w:rsidTr="00CB0C87">
        <w:tc>
          <w:tcPr>
            <w:tcW w:w="0" w:type="auto"/>
          </w:tcPr>
          <w:p w14:paraId="4B2A3742"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SMA</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2D96B359" w14:textId="2CF36F05" w:rsidR="00486104" w:rsidRPr="0012521E" w:rsidRDefault="00EB69C9" w:rsidP="00EC78E4">
            <w:pPr>
              <w:pStyle w:val="Tablerightlarge"/>
              <w:rPr>
                <w:rFonts w:asciiTheme="majorHAnsi" w:hAnsiTheme="majorHAnsi" w:cstheme="majorHAnsi"/>
                <w:color w:val="000000"/>
                <w:kern w:val="1"/>
                <w:szCs w:val="24"/>
                <w:u w:color="000000"/>
              </w:rPr>
            </w:pPr>
            <w:r>
              <w:t>0</w:t>
            </w:r>
          </w:p>
        </w:tc>
        <w:tc>
          <w:tcPr>
            <w:tcW w:w="1669" w:type="dxa"/>
            <w:tcBorders>
              <w:top w:val="nil"/>
              <w:left w:val="nil"/>
              <w:bottom w:val="single" w:sz="8" w:space="0" w:color="000000"/>
              <w:right w:val="single" w:sz="8" w:space="0" w:color="000000"/>
            </w:tcBorders>
            <w:shd w:val="clear" w:color="auto" w:fill="auto"/>
            <w:vAlign w:val="center"/>
          </w:tcPr>
          <w:p w14:paraId="096B250B" w14:textId="21FB1BBA"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6E78C3F3" w14:textId="7583C50F"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2A0240E2" w14:textId="49519DCF"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337FDE77" w14:textId="7521E118"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2447" w:type="dxa"/>
            <w:tcBorders>
              <w:top w:val="nil"/>
              <w:left w:val="nil"/>
              <w:bottom w:val="single" w:sz="8" w:space="0" w:color="000000"/>
              <w:right w:val="single" w:sz="8" w:space="0" w:color="000000"/>
            </w:tcBorders>
            <w:shd w:val="clear" w:color="auto" w:fill="auto"/>
            <w:vAlign w:val="center"/>
          </w:tcPr>
          <w:p w14:paraId="4B865631" w14:textId="6CFEF511"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1820" w:type="dxa"/>
            <w:tcBorders>
              <w:top w:val="nil"/>
              <w:left w:val="nil"/>
              <w:bottom w:val="single" w:sz="8" w:space="0" w:color="000000"/>
              <w:right w:val="single" w:sz="4" w:space="0" w:color="000000"/>
            </w:tcBorders>
            <w:shd w:val="clear" w:color="auto" w:fill="auto"/>
            <w:vAlign w:val="center"/>
          </w:tcPr>
          <w:p w14:paraId="7BA58345" w14:textId="707D3DB9"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r>
      <w:tr w:rsidR="00486104" w:rsidRPr="0012521E" w14:paraId="43B5E8A8" w14:textId="77777777" w:rsidTr="00CB0C87">
        <w:tc>
          <w:tcPr>
            <w:tcW w:w="0" w:type="auto"/>
          </w:tcPr>
          <w:p w14:paraId="6991A7FE"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SRA</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13E69EEE" w14:textId="11F6E398" w:rsidR="00486104" w:rsidRPr="0012521E" w:rsidRDefault="00EB69C9" w:rsidP="00EC78E4">
            <w:pPr>
              <w:pStyle w:val="Tablerightlarge"/>
              <w:rPr>
                <w:rFonts w:asciiTheme="majorHAnsi" w:hAnsiTheme="majorHAnsi" w:cstheme="majorHAnsi"/>
                <w:color w:val="000000"/>
                <w:kern w:val="1"/>
                <w:szCs w:val="24"/>
                <w:u w:color="000000"/>
              </w:rPr>
            </w:pPr>
            <w:r>
              <w:t>0</w:t>
            </w:r>
          </w:p>
        </w:tc>
        <w:tc>
          <w:tcPr>
            <w:tcW w:w="1669" w:type="dxa"/>
            <w:tcBorders>
              <w:top w:val="nil"/>
              <w:left w:val="nil"/>
              <w:bottom w:val="single" w:sz="8" w:space="0" w:color="000000"/>
              <w:right w:val="single" w:sz="8" w:space="0" w:color="000000"/>
            </w:tcBorders>
            <w:shd w:val="clear" w:color="auto" w:fill="auto"/>
            <w:vAlign w:val="center"/>
          </w:tcPr>
          <w:p w14:paraId="116BDA45" w14:textId="1E9DACCE" w:rsidR="00486104" w:rsidRPr="0012521E" w:rsidRDefault="00EB69C9" w:rsidP="00EC78E4">
            <w:pPr>
              <w:pStyle w:val="Tablerightlarge"/>
              <w:rPr>
                <w:rFonts w:asciiTheme="majorHAnsi" w:hAnsiTheme="majorHAnsi" w:cstheme="majorHAnsi"/>
                <w:color w:val="000000"/>
                <w:kern w:val="1"/>
                <w:szCs w:val="24"/>
                <w:u w:color="000000"/>
              </w:rPr>
            </w:pPr>
            <w:r>
              <w:t>0</w:t>
            </w:r>
          </w:p>
        </w:tc>
        <w:tc>
          <w:tcPr>
            <w:tcW w:w="0" w:type="auto"/>
            <w:tcBorders>
              <w:top w:val="nil"/>
              <w:left w:val="nil"/>
              <w:bottom w:val="single" w:sz="8" w:space="0" w:color="000000"/>
              <w:right w:val="single" w:sz="8" w:space="0" w:color="000000"/>
            </w:tcBorders>
            <w:shd w:val="clear" w:color="auto" w:fill="auto"/>
            <w:vAlign w:val="center"/>
          </w:tcPr>
          <w:p w14:paraId="71A13951" w14:textId="5B2BBD78"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5120D7BA" w14:textId="4B0992CD"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7400EBC9" w14:textId="2FC558C5"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2447" w:type="dxa"/>
            <w:tcBorders>
              <w:top w:val="nil"/>
              <w:left w:val="nil"/>
              <w:bottom w:val="single" w:sz="8" w:space="0" w:color="000000"/>
              <w:right w:val="single" w:sz="8" w:space="0" w:color="000000"/>
            </w:tcBorders>
            <w:shd w:val="clear" w:color="auto" w:fill="auto"/>
            <w:vAlign w:val="center"/>
          </w:tcPr>
          <w:p w14:paraId="62626977" w14:textId="1A5C964E"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1820" w:type="dxa"/>
            <w:tcBorders>
              <w:top w:val="nil"/>
              <w:left w:val="nil"/>
              <w:bottom w:val="single" w:sz="8" w:space="0" w:color="000000"/>
              <w:right w:val="single" w:sz="4" w:space="0" w:color="000000"/>
            </w:tcBorders>
            <w:shd w:val="clear" w:color="auto" w:fill="auto"/>
            <w:vAlign w:val="center"/>
          </w:tcPr>
          <w:p w14:paraId="7474E659" w14:textId="4DAABFB0"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r>
      <w:tr w:rsidR="00486104" w:rsidRPr="0012521E" w14:paraId="5C38DD2F" w14:textId="77777777" w:rsidTr="00CB0C87">
        <w:tc>
          <w:tcPr>
            <w:tcW w:w="0" w:type="auto"/>
          </w:tcPr>
          <w:p w14:paraId="34AB467B"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Executives</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29BBA12B" w14:textId="2D861089" w:rsidR="00486104" w:rsidRPr="0012521E" w:rsidRDefault="006F7EDF" w:rsidP="00EC78E4">
            <w:pPr>
              <w:pStyle w:val="Tablerightlarge"/>
              <w:rPr>
                <w:rFonts w:asciiTheme="majorHAnsi" w:hAnsiTheme="majorHAnsi" w:cstheme="majorHAnsi"/>
                <w:color w:val="000000"/>
                <w:kern w:val="1"/>
                <w:szCs w:val="24"/>
                <w:u w:color="000000"/>
              </w:rPr>
            </w:pPr>
            <w:r>
              <w:t>7</w:t>
            </w:r>
          </w:p>
        </w:tc>
        <w:tc>
          <w:tcPr>
            <w:tcW w:w="1669" w:type="dxa"/>
            <w:tcBorders>
              <w:top w:val="nil"/>
              <w:left w:val="nil"/>
              <w:bottom w:val="single" w:sz="8" w:space="0" w:color="000000"/>
              <w:right w:val="single" w:sz="8" w:space="0" w:color="000000"/>
            </w:tcBorders>
            <w:shd w:val="clear" w:color="auto" w:fill="auto"/>
            <w:vAlign w:val="center"/>
          </w:tcPr>
          <w:p w14:paraId="1E22C936" w14:textId="12558401" w:rsidR="00486104" w:rsidRPr="0012521E" w:rsidRDefault="006F7EDF" w:rsidP="00EC78E4">
            <w:pPr>
              <w:pStyle w:val="Tablerightlarge"/>
              <w:rPr>
                <w:rFonts w:asciiTheme="majorHAnsi" w:hAnsiTheme="majorHAnsi" w:cstheme="majorHAnsi"/>
                <w:color w:val="000000"/>
                <w:kern w:val="1"/>
                <w:szCs w:val="24"/>
                <w:u w:color="000000"/>
              </w:rPr>
            </w:pPr>
            <w:r>
              <w:t>6</w:t>
            </w:r>
            <w:r w:rsidR="00486104">
              <w:t>.2</w:t>
            </w:r>
          </w:p>
        </w:tc>
        <w:tc>
          <w:tcPr>
            <w:tcW w:w="0" w:type="auto"/>
            <w:tcBorders>
              <w:top w:val="nil"/>
              <w:left w:val="nil"/>
              <w:bottom w:val="single" w:sz="8" w:space="0" w:color="000000"/>
              <w:right w:val="single" w:sz="8" w:space="0" w:color="000000"/>
            </w:tcBorders>
            <w:shd w:val="clear" w:color="auto" w:fill="auto"/>
            <w:vAlign w:val="center"/>
          </w:tcPr>
          <w:p w14:paraId="378DE73F" w14:textId="38108986"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59ED326D" w14:textId="22E1C9DB"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7BB477EE" w14:textId="40EB4B91"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2447" w:type="dxa"/>
            <w:tcBorders>
              <w:top w:val="nil"/>
              <w:left w:val="nil"/>
              <w:bottom w:val="single" w:sz="8" w:space="0" w:color="000000"/>
              <w:right w:val="single" w:sz="8" w:space="0" w:color="000000"/>
            </w:tcBorders>
            <w:shd w:val="clear" w:color="auto" w:fill="auto"/>
            <w:vAlign w:val="center"/>
          </w:tcPr>
          <w:p w14:paraId="5569DAB9" w14:textId="329DD6A0" w:rsidR="00486104" w:rsidRPr="0012521E" w:rsidRDefault="006F7EDF" w:rsidP="00EC78E4">
            <w:pPr>
              <w:pStyle w:val="Tablerightlarge"/>
              <w:rPr>
                <w:rFonts w:asciiTheme="majorHAnsi" w:hAnsiTheme="majorHAnsi" w:cstheme="majorHAnsi"/>
                <w:color w:val="000000"/>
                <w:kern w:val="1"/>
                <w:szCs w:val="24"/>
                <w:u w:color="000000"/>
              </w:rPr>
            </w:pPr>
            <w:r>
              <w:t>7</w:t>
            </w:r>
          </w:p>
        </w:tc>
        <w:tc>
          <w:tcPr>
            <w:tcW w:w="1820" w:type="dxa"/>
            <w:tcBorders>
              <w:top w:val="nil"/>
              <w:left w:val="nil"/>
              <w:bottom w:val="single" w:sz="8" w:space="0" w:color="000000"/>
              <w:right w:val="single" w:sz="4" w:space="0" w:color="000000"/>
            </w:tcBorders>
            <w:shd w:val="clear" w:color="auto" w:fill="auto"/>
            <w:vAlign w:val="center"/>
          </w:tcPr>
          <w:p w14:paraId="58F8CF63" w14:textId="5BB03AD8" w:rsidR="00486104" w:rsidRPr="0012521E" w:rsidRDefault="006F7EDF" w:rsidP="00EC78E4">
            <w:pPr>
              <w:pStyle w:val="Tablerightlarge"/>
              <w:rPr>
                <w:rFonts w:asciiTheme="majorHAnsi" w:hAnsiTheme="majorHAnsi" w:cstheme="majorHAnsi"/>
                <w:color w:val="000000"/>
                <w:kern w:val="1"/>
                <w:szCs w:val="24"/>
                <w:u w:color="000000"/>
              </w:rPr>
            </w:pPr>
            <w:r>
              <w:t>6</w:t>
            </w:r>
            <w:r w:rsidR="00486104">
              <w:t>.2</w:t>
            </w:r>
          </w:p>
        </w:tc>
      </w:tr>
      <w:tr w:rsidR="00486104" w:rsidRPr="0012521E" w14:paraId="35D0CBCF" w14:textId="77777777" w:rsidTr="00CB0C87">
        <w:tc>
          <w:tcPr>
            <w:tcW w:w="0" w:type="auto"/>
          </w:tcPr>
          <w:p w14:paraId="0C8A3436" w14:textId="77777777" w:rsidR="00486104" w:rsidRPr="0012521E" w:rsidRDefault="00486104" w:rsidP="00EC78E4">
            <w:pPr>
              <w:pStyle w:val="TableText"/>
              <w:rPr>
                <w:rFonts w:asciiTheme="majorHAnsi" w:hAnsiTheme="majorHAnsi" w:cstheme="majorHAnsi"/>
              </w:rPr>
            </w:pPr>
            <w:r w:rsidRPr="0012521E">
              <w:rPr>
                <w:rFonts w:asciiTheme="majorHAnsi" w:hAnsiTheme="majorHAnsi" w:cstheme="majorHAnsi"/>
              </w:rPr>
              <w:t>Other</w:t>
            </w:r>
          </w:p>
        </w:tc>
        <w:tc>
          <w:tcPr>
            <w:tcW w:w="0" w:type="auto"/>
            <w:tcBorders>
              <w:top w:val="nil"/>
              <w:left w:val="single" w:sz="8" w:space="0" w:color="000000"/>
              <w:bottom w:val="single" w:sz="8" w:space="0" w:color="000000"/>
              <w:right w:val="single" w:sz="8" w:space="0" w:color="000000"/>
            </w:tcBorders>
            <w:shd w:val="clear" w:color="auto" w:fill="auto"/>
            <w:vAlign w:val="center"/>
          </w:tcPr>
          <w:p w14:paraId="2D01B0D1" w14:textId="4785EA5A"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1669" w:type="dxa"/>
            <w:tcBorders>
              <w:top w:val="nil"/>
              <w:left w:val="nil"/>
              <w:bottom w:val="single" w:sz="8" w:space="0" w:color="000000"/>
              <w:right w:val="single" w:sz="8" w:space="0" w:color="000000"/>
            </w:tcBorders>
            <w:shd w:val="clear" w:color="auto" w:fill="auto"/>
            <w:vAlign w:val="center"/>
          </w:tcPr>
          <w:p w14:paraId="34E91A6B" w14:textId="78493258" w:rsidR="00486104" w:rsidRPr="0012521E" w:rsidRDefault="00EB69C9" w:rsidP="00EC78E4">
            <w:pPr>
              <w:pStyle w:val="Tablerightlarge"/>
              <w:rPr>
                <w:rFonts w:asciiTheme="majorHAnsi" w:hAnsiTheme="majorHAnsi" w:cstheme="majorHAnsi"/>
                <w:color w:val="000000"/>
                <w:kern w:val="1"/>
                <w:szCs w:val="24"/>
                <w:u w:color="000000"/>
              </w:rPr>
            </w:pPr>
            <w:r>
              <w:t>0</w:t>
            </w:r>
          </w:p>
        </w:tc>
        <w:tc>
          <w:tcPr>
            <w:tcW w:w="0" w:type="auto"/>
            <w:tcBorders>
              <w:top w:val="nil"/>
              <w:left w:val="nil"/>
              <w:bottom w:val="single" w:sz="8" w:space="0" w:color="000000"/>
              <w:right w:val="single" w:sz="8" w:space="0" w:color="000000"/>
            </w:tcBorders>
            <w:shd w:val="clear" w:color="auto" w:fill="auto"/>
            <w:vAlign w:val="center"/>
          </w:tcPr>
          <w:p w14:paraId="6DA74233" w14:textId="6D78A6DA"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44A39BBC" w14:textId="48A5FCD8"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0" w:type="auto"/>
            <w:tcBorders>
              <w:top w:val="nil"/>
              <w:left w:val="nil"/>
              <w:bottom w:val="single" w:sz="8" w:space="0" w:color="000000"/>
              <w:right w:val="single" w:sz="8" w:space="0" w:color="000000"/>
            </w:tcBorders>
            <w:shd w:val="clear" w:color="auto" w:fill="auto"/>
            <w:vAlign w:val="center"/>
          </w:tcPr>
          <w:p w14:paraId="539A42DA" w14:textId="1DBED6E4"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c>
          <w:tcPr>
            <w:tcW w:w="2447" w:type="dxa"/>
            <w:tcBorders>
              <w:top w:val="nil"/>
              <w:left w:val="nil"/>
              <w:bottom w:val="single" w:sz="8" w:space="0" w:color="000000"/>
              <w:right w:val="single" w:sz="8" w:space="0" w:color="000000"/>
            </w:tcBorders>
            <w:shd w:val="clear" w:color="auto" w:fill="auto"/>
            <w:vAlign w:val="center"/>
          </w:tcPr>
          <w:p w14:paraId="600390F1" w14:textId="58ADB098" w:rsidR="00486104" w:rsidRPr="0012521E" w:rsidRDefault="00EB69C9" w:rsidP="00EC78E4">
            <w:pPr>
              <w:pStyle w:val="Tablerightlarge"/>
              <w:rPr>
                <w:rFonts w:asciiTheme="majorHAnsi" w:hAnsiTheme="majorHAnsi" w:cstheme="majorHAnsi"/>
                <w:color w:val="000000"/>
                <w:kern w:val="1"/>
                <w:szCs w:val="24"/>
                <w:u w:color="000000"/>
              </w:rPr>
            </w:pPr>
            <w:r>
              <w:t>0</w:t>
            </w:r>
          </w:p>
        </w:tc>
        <w:tc>
          <w:tcPr>
            <w:tcW w:w="1820" w:type="dxa"/>
            <w:tcBorders>
              <w:top w:val="nil"/>
              <w:left w:val="nil"/>
              <w:bottom w:val="single" w:sz="8" w:space="0" w:color="000000"/>
              <w:right w:val="single" w:sz="4" w:space="0" w:color="000000"/>
            </w:tcBorders>
            <w:shd w:val="clear" w:color="auto" w:fill="auto"/>
            <w:vAlign w:val="center"/>
          </w:tcPr>
          <w:p w14:paraId="03DC4F09" w14:textId="2A889A4E" w:rsidR="00486104" w:rsidRPr="0012521E" w:rsidRDefault="006F7EDF" w:rsidP="00EC78E4">
            <w:pPr>
              <w:pStyle w:val="Tablerightlarge"/>
              <w:rPr>
                <w:rFonts w:asciiTheme="majorHAnsi" w:hAnsiTheme="majorHAnsi" w:cstheme="majorHAnsi"/>
                <w:color w:val="000000"/>
                <w:kern w:val="1"/>
                <w:szCs w:val="24"/>
                <w:u w:color="000000"/>
              </w:rPr>
            </w:pPr>
            <w:r>
              <w:t> </w:t>
            </w:r>
            <w:r w:rsidR="00EB69C9">
              <w:t>0</w:t>
            </w:r>
          </w:p>
        </w:tc>
      </w:tr>
      <w:tr w:rsidR="00486104" w:rsidRPr="0012521E" w14:paraId="0AE245AF" w14:textId="77777777" w:rsidTr="00CB0C87">
        <w:tc>
          <w:tcPr>
            <w:tcW w:w="0" w:type="auto"/>
            <w:shd w:val="clear" w:color="auto" w:fill="F4F9EE" w:themeFill="accent6" w:themeFillTint="33"/>
          </w:tcPr>
          <w:p w14:paraId="26279F3D" w14:textId="77777777" w:rsidR="00486104" w:rsidRPr="001F5130" w:rsidRDefault="00486104" w:rsidP="00EC78E4">
            <w:pPr>
              <w:pStyle w:val="TableText"/>
              <w:rPr>
                <w:rStyle w:val="Strong"/>
                <w:rFonts w:asciiTheme="majorHAnsi" w:hAnsiTheme="majorHAnsi" w:cstheme="majorHAnsi"/>
                <w:color w:val="auto"/>
              </w:rPr>
            </w:pPr>
            <w:r w:rsidRPr="001F5130">
              <w:rPr>
                <w:rStyle w:val="Strong"/>
                <w:rFonts w:asciiTheme="majorHAnsi" w:hAnsiTheme="majorHAnsi" w:cstheme="majorHAnsi"/>
                <w:color w:val="auto"/>
              </w:rPr>
              <w:t>Total senior employees</w:t>
            </w:r>
          </w:p>
        </w:tc>
        <w:tc>
          <w:tcPr>
            <w:tcW w:w="0" w:type="auto"/>
            <w:tcBorders>
              <w:top w:val="nil"/>
              <w:left w:val="single" w:sz="8" w:space="0" w:color="000000"/>
              <w:bottom w:val="single" w:sz="4" w:space="0" w:color="000000"/>
              <w:right w:val="single" w:sz="8" w:space="0" w:color="000000"/>
            </w:tcBorders>
            <w:shd w:val="clear" w:color="000000" w:fill="F4F9EE"/>
            <w:vAlign w:val="center"/>
          </w:tcPr>
          <w:p w14:paraId="5914B53C" w14:textId="744D6456" w:rsidR="00486104" w:rsidRPr="00E5766A" w:rsidRDefault="006F7EDF" w:rsidP="00EC78E4">
            <w:pPr>
              <w:pStyle w:val="Tablerightlarge"/>
              <w:rPr>
                <w:rStyle w:val="Strong"/>
                <w:rFonts w:asciiTheme="majorHAnsi" w:hAnsiTheme="majorHAnsi" w:cstheme="majorHAnsi"/>
                <w:color w:val="auto"/>
              </w:rPr>
            </w:pPr>
            <w:r w:rsidRPr="00E5766A">
              <w:t>11</w:t>
            </w:r>
          </w:p>
        </w:tc>
        <w:tc>
          <w:tcPr>
            <w:tcW w:w="1669" w:type="dxa"/>
            <w:tcBorders>
              <w:top w:val="nil"/>
              <w:left w:val="nil"/>
              <w:bottom w:val="single" w:sz="4" w:space="0" w:color="000000"/>
              <w:right w:val="single" w:sz="8" w:space="0" w:color="000000"/>
            </w:tcBorders>
            <w:shd w:val="clear" w:color="000000" w:fill="F4F9EE"/>
            <w:vAlign w:val="center"/>
          </w:tcPr>
          <w:p w14:paraId="0A79A2FB" w14:textId="5C1F32F4" w:rsidR="00486104" w:rsidRPr="00E5766A" w:rsidRDefault="006F7EDF" w:rsidP="00EC78E4">
            <w:pPr>
              <w:pStyle w:val="Tablerightlarge"/>
              <w:rPr>
                <w:rStyle w:val="Strong"/>
                <w:rFonts w:asciiTheme="majorHAnsi" w:hAnsiTheme="majorHAnsi" w:cstheme="majorHAnsi"/>
                <w:color w:val="auto"/>
              </w:rPr>
            </w:pPr>
            <w:r w:rsidRPr="00E5766A">
              <w:t>10</w:t>
            </w:r>
            <w:r w:rsidR="00486104" w:rsidRPr="00E5766A">
              <w:t>.2</w:t>
            </w:r>
          </w:p>
        </w:tc>
        <w:tc>
          <w:tcPr>
            <w:tcW w:w="0" w:type="auto"/>
            <w:tcBorders>
              <w:top w:val="nil"/>
              <w:left w:val="nil"/>
              <w:bottom w:val="single" w:sz="4" w:space="0" w:color="000000"/>
              <w:right w:val="single" w:sz="8" w:space="0" w:color="000000"/>
            </w:tcBorders>
            <w:shd w:val="clear" w:color="000000" w:fill="F4F9EE"/>
            <w:vAlign w:val="center"/>
          </w:tcPr>
          <w:p w14:paraId="776E2509" w14:textId="7EA1088C" w:rsidR="00486104" w:rsidRPr="00E5766A" w:rsidRDefault="006F7EDF" w:rsidP="00EC78E4">
            <w:pPr>
              <w:pStyle w:val="Tablerightlarge"/>
              <w:rPr>
                <w:rStyle w:val="Strong"/>
                <w:rFonts w:asciiTheme="majorHAnsi" w:hAnsiTheme="majorHAnsi" w:cstheme="majorHAnsi"/>
                <w:color w:val="auto"/>
              </w:rPr>
            </w:pPr>
            <w:r w:rsidRPr="00E5766A">
              <w:t>2</w:t>
            </w:r>
          </w:p>
        </w:tc>
        <w:tc>
          <w:tcPr>
            <w:tcW w:w="0" w:type="auto"/>
            <w:tcBorders>
              <w:top w:val="nil"/>
              <w:left w:val="nil"/>
              <w:bottom w:val="single" w:sz="4" w:space="0" w:color="000000"/>
              <w:right w:val="single" w:sz="8" w:space="0" w:color="000000"/>
            </w:tcBorders>
            <w:shd w:val="clear" w:color="000000" w:fill="F4F9EE"/>
            <w:vAlign w:val="center"/>
          </w:tcPr>
          <w:p w14:paraId="578FD0C4" w14:textId="48629599" w:rsidR="00486104" w:rsidRPr="00E5766A" w:rsidRDefault="006F7EDF" w:rsidP="00EC78E4">
            <w:pPr>
              <w:pStyle w:val="Tablerightlarge"/>
              <w:rPr>
                <w:rStyle w:val="Strong"/>
                <w:rFonts w:asciiTheme="majorHAnsi" w:hAnsiTheme="majorHAnsi" w:cstheme="majorHAnsi"/>
                <w:color w:val="auto"/>
              </w:rPr>
            </w:pPr>
            <w:r w:rsidRPr="00E5766A">
              <w:t> </w:t>
            </w:r>
          </w:p>
        </w:tc>
        <w:tc>
          <w:tcPr>
            <w:tcW w:w="0" w:type="auto"/>
            <w:tcBorders>
              <w:top w:val="nil"/>
              <w:left w:val="nil"/>
              <w:bottom w:val="single" w:sz="4" w:space="0" w:color="000000"/>
              <w:right w:val="single" w:sz="8" w:space="0" w:color="000000"/>
            </w:tcBorders>
            <w:shd w:val="clear" w:color="000000" w:fill="F4F9EE"/>
            <w:vAlign w:val="center"/>
          </w:tcPr>
          <w:p w14:paraId="4348CAD7" w14:textId="0E7606C4" w:rsidR="00486104" w:rsidRPr="00E5766A" w:rsidRDefault="006F7EDF" w:rsidP="00EC78E4">
            <w:pPr>
              <w:pStyle w:val="Tablerightlarge"/>
              <w:rPr>
                <w:rStyle w:val="Strong"/>
                <w:rFonts w:asciiTheme="majorHAnsi" w:hAnsiTheme="majorHAnsi" w:cstheme="majorHAnsi"/>
                <w:color w:val="auto"/>
              </w:rPr>
            </w:pPr>
            <w:r w:rsidRPr="00E5766A">
              <w:t>2.0</w:t>
            </w:r>
          </w:p>
        </w:tc>
        <w:tc>
          <w:tcPr>
            <w:tcW w:w="2447" w:type="dxa"/>
            <w:tcBorders>
              <w:top w:val="nil"/>
              <w:left w:val="nil"/>
              <w:bottom w:val="single" w:sz="4" w:space="0" w:color="000000"/>
              <w:right w:val="single" w:sz="8" w:space="0" w:color="000000"/>
            </w:tcBorders>
            <w:shd w:val="clear" w:color="000000" w:fill="F4F9EE"/>
            <w:vAlign w:val="center"/>
          </w:tcPr>
          <w:p w14:paraId="5A9A7990" w14:textId="31C38766" w:rsidR="00486104" w:rsidRPr="00E5766A" w:rsidRDefault="006F7EDF" w:rsidP="00EC78E4">
            <w:pPr>
              <w:pStyle w:val="Tablerightlarge"/>
              <w:rPr>
                <w:rStyle w:val="Strong"/>
                <w:rFonts w:asciiTheme="majorHAnsi" w:hAnsiTheme="majorHAnsi" w:cstheme="majorHAnsi"/>
                <w:color w:val="auto"/>
              </w:rPr>
            </w:pPr>
            <w:r w:rsidRPr="00E5766A">
              <w:t>9</w:t>
            </w:r>
          </w:p>
        </w:tc>
        <w:tc>
          <w:tcPr>
            <w:tcW w:w="1820" w:type="dxa"/>
            <w:tcBorders>
              <w:top w:val="nil"/>
              <w:left w:val="nil"/>
              <w:bottom w:val="single" w:sz="4" w:space="0" w:color="000000"/>
              <w:right w:val="single" w:sz="4" w:space="0" w:color="000000"/>
            </w:tcBorders>
            <w:shd w:val="clear" w:color="000000" w:fill="F4F9EE"/>
            <w:vAlign w:val="center"/>
          </w:tcPr>
          <w:p w14:paraId="733672E2" w14:textId="44BDDD3B" w:rsidR="00486104" w:rsidRPr="00E5766A" w:rsidRDefault="006F7EDF" w:rsidP="00EC78E4">
            <w:pPr>
              <w:pStyle w:val="Tablerightlarge"/>
              <w:rPr>
                <w:rStyle w:val="Strong"/>
                <w:rFonts w:asciiTheme="majorHAnsi" w:hAnsiTheme="majorHAnsi" w:cstheme="majorHAnsi"/>
                <w:color w:val="auto"/>
              </w:rPr>
            </w:pPr>
            <w:r w:rsidRPr="00E5766A">
              <w:t>8</w:t>
            </w:r>
            <w:r w:rsidR="00486104" w:rsidRPr="00E5766A">
              <w:t>.2</w:t>
            </w:r>
          </w:p>
        </w:tc>
      </w:tr>
    </w:tbl>
    <w:p w14:paraId="25980E89" w14:textId="02F00D7B" w:rsidR="00486104" w:rsidRPr="0012521E" w:rsidRDefault="00486104" w:rsidP="0074499F">
      <w:pPr>
        <w:pStyle w:val="Heading4"/>
        <w:rPr>
          <w:rStyle w:val="Strong"/>
          <w:rFonts w:asciiTheme="majorHAnsi" w:hAnsiTheme="majorHAnsi" w:cstheme="majorHAnsi"/>
          <w:b w:val="0"/>
          <w:bCs w:val="0"/>
        </w:rPr>
      </w:pPr>
      <w:bookmarkStart w:id="161" w:name="_Toc166585739"/>
      <w:r w:rsidRPr="0012521E">
        <w:rPr>
          <w:rStyle w:val="Strong"/>
          <w:rFonts w:asciiTheme="majorHAnsi" w:hAnsiTheme="majorHAnsi" w:cstheme="majorHAnsi"/>
        </w:rPr>
        <w:t>Classification data: Senior employees June 202</w:t>
      </w:r>
      <w:r w:rsidR="00BD500B" w:rsidRPr="0012521E">
        <w:rPr>
          <w:rStyle w:val="Strong"/>
          <w:rFonts w:asciiTheme="majorHAnsi" w:hAnsiTheme="majorHAnsi" w:cstheme="majorHAnsi"/>
        </w:rPr>
        <w:t>3</w:t>
      </w:r>
      <w:bookmarkEnd w:id="161"/>
    </w:p>
    <w:tbl>
      <w:tblPr>
        <w:tblStyle w:val="TableGrid"/>
        <w:tblW w:w="14771" w:type="dxa"/>
        <w:tblLook w:val="0020" w:firstRow="1" w:lastRow="0" w:firstColumn="0" w:lastColumn="0" w:noHBand="0" w:noVBand="0"/>
      </w:tblPr>
      <w:tblGrid>
        <w:gridCol w:w="1663"/>
        <w:gridCol w:w="1954"/>
        <w:gridCol w:w="1669"/>
        <w:gridCol w:w="1951"/>
        <w:gridCol w:w="1960"/>
        <w:gridCol w:w="1307"/>
        <w:gridCol w:w="2447"/>
        <w:gridCol w:w="1820"/>
      </w:tblGrid>
      <w:tr w:rsidR="00486104" w:rsidRPr="0012521E" w14:paraId="60A91B73" w14:textId="77777777" w:rsidTr="00E159ED">
        <w:tc>
          <w:tcPr>
            <w:tcW w:w="0" w:type="auto"/>
            <w:shd w:val="clear" w:color="auto" w:fill="D4DFA0" w:themeFill="accent3"/>
          </w:tcPr>
          <w:p w14:paraId="55726DF1" w14:textId="77777777" w:rsidR="00486104" w:rsidRPr="00E159ED" w:rsidRDefault="00486104" w:rsidP="00EC78E4">
            <w:pPr>
              <w:pStyle w:val="tableheader0"/>
              <w:rPr>
                <w:rFonts w:cstheme="majorHAnsi"/>
                <w:color w:val="auto"/>
                <w:u w:color="000000"/>
              </w:rPr>
            </w:pPr>
          </w:p>
        </w:tc>
        <w:tc>
          <w:tcPr>
            <w:tcW w:w="0" w:type="auto"/>
            <w:shd w:val="clear" w:color="auto" w:fill="D4DFA0" w:themeFill="accent3"/>
          </w:tcPr>
          <w:p w14:paraId="21F09E07"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All employees: No. (headcount)</w:t>
            </w:r>
          </w:p>
        </w:tc>
        <w:tc>
          <w:tcPr>
            <w:tcW w:w="1669" w:type="dxa"/>
            <w:shd w:val="clear" w:color="auto" w:fill="D4DFA0" w:themeFill="accent3"/>
          </w:tcPr>
          <w:p w14:paraId="26EB4677"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All employees: FTE</w:t>
            </w:r>
          </w:p>
        </w:tc>
        <w:tc>
          <w:tcPr>
            <w:tcW w:w="0" w:type="auto"/>
            <w:shd w:val="clear" w:color="auto" w:fill="D4DFA0" w:themeFill="accent3"/>
          </w:tcPr>
          <w:p w14:paraId="2AFB077E"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Ongoing: Full-time (headcount)</w:t>
            </w:r>
          </w:p>
        </w:tc>
        <w:tc>
          <w:tcPr>
            <w:tcW w:w="0" w:type="auto"/>
            <w:shd w:val="clear" w:color="auto" w:fill="D4DFA0" w:themeFill="accent3"/>
          </w:tcPr>
          <w:p w14:paraId="7B5B3274"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Ongoing: Part-time (headcount)</w:t>
            </w:r>
          </w:p>
        </w:tc>
        <w:tc>
          <w:tcPr>
            <w:tcW w:w="0" w:type="auto"/>
            <w:shd w:val="clear" w:color="auto" w:fill="D4DFA0" w:themeFill="accent3"/>
          </w:tcPr>
          <w:p w14:paraId="74AB897E"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Ongoing: FTE</w:t>
            </w:r>
          </w:p>
        </w:tc>
        <w:tc>
          <w:tcPr>
            <w:tcW w:w="2447" w:type="dxa"/>
            <w:shd w:val="clear" w:color="auto" w:fill="D4DFA0" w:themeFill="accent3"/>
          </w:tcPr>
          <w:p w14:paraId="73C6A2A1"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Fixed term and casual: No. (headcount)</w:t>
            </w:r>
          </w:p>
        </w:tc>
        <w:tc>
          <w:tcPr>
            <w:tcW w:w="1820" w:type="dxa"/>
            <w:shd w:val="clear" w:color="auto" w:fill="D4DFA0" w:themeFill="accent3"/>
          </w:tcPr>
          <w:p w14:paraId="2659DE12" w14:textId="77777777" w:rsidR="00486104" w:rsidRPr="00E159ED" w:rsidRDefault="00486104" w:rsidP="00EC78E4">
            <w:pPr>
              <w:pStyle w:val="tableheader0"/>
              <w:rPr>
                <w:rFonts w:cstheme="majorHAnsi"/>
                <w:color w:val="auto"/>
                <w:u w:color="000000"/>
              </w:rPr>
            </w:pPr>
            <w:r w:rsidRPr="00E159ED">
              <w:rPr>
                <w:rFonts w:cstheme="majorHAnsi"/>
                <w:color w:val="auto"/>
                <w:u w:color="000000"/>
              </w:rPr>
              <w:t>Fixed term and casual (FTE)</w:t>
            </w:r>
          </w:p>
        </w:tc>
      </w:tr>
      <w:tr w:rsidR="00BD500B" w:rsidRPr="0012521E" w14:paraId="741F6666" w14:textId="77777777" w:rsidTr="00EC78E4">
        <w:tc>
          <w:tcPr>
            <w:tcW w:w="0" w:type="auto"/>
          </w:tcPr>
          <w:p w14:paraId="528EEC7C"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STS</w:t>
            </w:r>
          </w:p>
        </w:tc>
        <w:tc>
          <w:tcPr>
            <w:tcW w:w="0" w:type="auto"/>
          </w:tcPr>
          <w:p w14:paraId="5013257E" w14:textId="00554C0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w:t>
            </w:r>
          </w:p>
        </w:tc>
        <w:tc>
          <w:tcPr>
            <w:tcW w:w="1669" w:type="dxa"/>
          </w:tcPr>
          <w:p w14:paraId="09922174" w14:textId="502C82A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w:t>
            </w:r>
          </w:p>
        </w:tc>
        <w:tc>
          <w:tcPr>
            <w:tcW w:w="0" w:type="auto"/>
          </w:tcPr>
          <w:p w14:paraId="461A07FA" w14:textId="00299B3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0" w:type="auto"/>
          </w:tcPr>
          <w:p w14:paraId="6FB0DB6F" w14:textId="743E7BAA"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6EDF1474" w14:textId="54A1097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1</w:t>
            </w:r>
          </w:p>
        </w:tc>
        <w:tc>
          <w:tcPr>
            <w:tcW w:w="2447" w:type="dxa"/>
          </w:tcPr>
          <w:p w14:paraId="7F208BF7" w14:textId="3F0E2D4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w:t>
            </w:r>
          </w:p>
        </w:tc>
        <w:tc>
          <w:tcPr>
            <w:tcW w:w="1820" w:type="dxa"/>
          </w:tcPr>
          <w:p w14:paraId="1EA67D3E" w14:textId="2BA78CE2"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3</w:t>
            </w:r>
          </w:p>
        </w:tc>
      </w:tr>
      <w:tr w:rsidR="00BD500B" w:rsidRPr="0012521E" w14:paraId="3333049D" w14:textId="77777777" w:rsidTr="00EC78E4">
        <w:tc>
          <w:tcPr>
            <w:tcW w:w="0" w:type="auto"/>
          </w:tcPr>
          <w:p w14:paraId="73A83DB4"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PS</w:t>
            </w:r>
          </w:p>
        </w:tc>
        <w:tc>
          <w:tcPr>
            <w:tcW w:w="0" w:type="auto"/>
          </w:tcPr>
          <w:p w14:paraId="18541CE7" w14:textId="522630C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669" w:type="dxa"/>
          </w:tcPr>
          <w:p w14:paraId="6DE57CCB" w14:textId="7C817B7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17F15E67" w14:textId="11A782A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21BF4334" w14:textId="195784C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4181D4B1" w14:textId="612D84BA"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2447" w:type="dxa"/>
          </w:tcPr>
          <w:p w14:paraId="2CC969FC" w14:textId="6A9963C4"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45F3C0AA" w14:textId="106B8D9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BD500B" w:rsidRPr="0012521E" w14:paraId="1FEDD6AC" w14:textId="77777777" w:rsidTr="00EC78E4">
        <w:tc>
          <w:tcPr>
            <w:tcW w:w="0" w:type="auto"/>
          </w:tcPr>
          <w:p w14:paraId="4744C01E"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SMA</w:t>
            </w:r>
          </w:p>
        </w:tc>
        <w:tc>
          <w:tcPr>
            <w:tcW w:w="0" w:type="auto"/>
          </w:tcPr>
          <w:p w14:paraId="338B2ADF" w14:textId="49896ED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669" w:type="dxa"/>
          </w:tcPr>
          <w:p w14:paraId="7CF87D08" w14:textId="0996DC2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63E19BCF" w14:textId="6BFECDC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6123306F" w14:textId="30BAD374"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1E06032B" w14:textId="0D6F7F7E"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2447" w:type="dxa"/>
          </w:tcPr>
          <w:p w14:paraId="67B45139" w14:textId="42C1EF0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0B9CF84A" w14:textId="5AC6AEBF"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BD500B" w:rsidRPr="0012521E" w14:paraId="70BF985E" w14:textId="77777777" w:rsidTr="00EC78E4">
        <w:tc>
          <w:tcPr>
            <w:tcW w:w="0" w:type="auto"/>
          </w:tcPr>
          <w:p w14:paraId="02514946"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SRA</w:t>
            </w:r>
          </w:p>
        </w:tc>
        <w:tc>
          <w:tcPr>
            <w:tcW w:w="0" w:type="auto"/>
          </w:tcPr>
          <w:p w14:paraId="0374AC2B" w14:textId="6B3D0B73"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669" w:type="dxa"/>
          </w:tcPr>
          <w:p w14:paraId="2DFDA7C5" w14:textId="6A306A09"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7719F93C" w14:textId="429A3C1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3A7B6B18" w14:textId="60895504"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2BC8565B" w14:textId="0CC0837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2447" w:type="dxa"/>
          </w:tcPr>
          <w:p w14:paraId="3FA5A458" w14:textId="560C737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509EA227" w14:textId="2787FD1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BD500B" w:rsidRPr="0012521E" w14:paraId="1B3555B5" w14:textId="77777777" w:rsidTr="00EC78E4">
        <w:tc>
          <w:tcPr>
            <w:tcW w:w="0" w:type="auto"/>
          </w:tcPr>
          <w:p w14:paraId="01454510"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Executives</w:t>
            </w:r>
          </w:p>
        </w:tc>
        <w:tc>
          <w:tcPr>
            <w:tcW w:w="0" w:type="auto"/>
          </w:tcPr>
          <w:p w14:paraId="5977347A" w14:textId="1FAE235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w:t>
            </w:r>
          </w:p>
        </w:tc>
        <w:tc>
          <w:tcPr>
            <w:tcW w:w="1669" w:type="dxa"/>
          </w:tcPr>
          <w:p w14:paraId="4D2518F8" w14:textId="53BA27C6"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4.2</w:t>
            </w:r>
          </w:p>
        </w:tc>
        <w:tc>
          <w:tcPr>
            <w:tcW w:w="0" w:type="auto"/>
          </w:tcPr>
          <w:p w14:paraId="233BAF92" w14:textId="0CFB1681" w:rsidR="00BD500B" w:rsidRPr="00C45712" w:rsidRDefault="00BD500B" w:rsidP="00BD500B">
            <w:pPr>
              <w:pStyle w:val="Tablerightlarge"/>
              <w:rPr>
                <w:rFonts w:asciiTheme="majorHAnsi" w:hAnsiTheme="majorHAnsi" w:cstheme="majorHAnsi"/>
                <w:color w:val="000000"/>
                <w:kern w:val="1"/>
                <w:szCs w:val="24"/>
                <w:u w:color="000000"/>
              </w:rPr>
            </w:pPr>
            <w:r w:rsidRPr="00C45712">
              <w:rPr>
                <w:rFonts w:asciiTheme="majorHAnsi" w:hAnsiTheme="majorHAnsi" w:cstheme="majorHAnsi"/>
              </w:rPr>
              <w:t>0</w:t>
            </w:r>
          </w:p>
        </w:tc>
        <w:tc>
          <w:tcPr>
            <w:tcW w:w="0" w:type="auto"/>
          </w:tcPr>
          <w:p w14:paraId="43CB46D6" w14:textId="2F609F86"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68694E91" w14:textId="7F97706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2447" w:type="dxa"/>
          </w:tcPr>
          <w:p w14:paraId="2AF7EDD0" w14:textId="51F5C3B7"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5</w:t>
            </w:r>
          </w:p>
        </w:tc>
        <w:tc>
          <w:tcPr>
            <w:tcW w:w="1820" w:type="dxa"/>
          </w:tcPr>
          <w:p w14:paraId="046B15F0" w14:textId="3ADDA688"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4.2</w:t>
            </w:r>
          </w:p>
        </w:tc>
      </w:tr>
      <w:tr w:rsidR="00BD500B" w:rsidRPr="0012521E" w14:paraId="3AEC3E64" w14:textId="77777777" w:rsidTr="00EC78E4">
        <w:tc>
          <w:tcPr>
            <w:tcW w:w="0" w:type="auto"/>
          </w:tcPr>
          <w:p w14:paraId="6825B919" w14:textId="77777777" w:rsidR="00BD500B" w:rsidRPr="0012521E" w:rsidRDefault="00BD500B" w:rsidP="00BD500B">
            <w:pPr>
              <w:pStyle w:val="TableText"/>
              <w:rPr>
                <w:rFonts w:asciiTheme="majorHAnsi" w:hAnsiTheme="majorHAnsi" w:cstheme="majorHAnsi"/>
              </w:rPr>
            </w:pPr>
            <w:r w:rsidRPr="0012521E">
              <w:rPr>
                <w:rFonts w:asciiTheme="majorHAnsi" w:hAnsiTheme="majorHAnsi" w:cstheme="majorHAnsi"/>
              </w:rPr>
              <w:t>Other</w:t>
            </w:r>
          </w:p>
        </w:tc>
        <w:tc>
          <w:tcPr>
            <w:tcW w:w="0" w:type="auto"/>
          </w:tcPr>
          <w:p w14:paraId="0A3AE4B4" w14:textId="18D0DAF6"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669" w:type="dxa"/>
          </w:tcPr>
          <w:p w14:paraId="10648118" w14:textId="2B11236B"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7AB935EE" w14:textId="4F0E145D"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2E56DEDA" w14:textId="4FB88E1C"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0" w:type="auto"/>
          </w:tcPr>
          <w:p w14:paraId="55B0208B" w14:textId="412BF120"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2447" w:type="dxa"/>
          </w:tcPr>
          <w:p w14:paraId="60DD5C0C" w14:textId="7BD740DD"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c>
          <w:tcPr>
            <w:tcW w:w="1820" w:type="dxa"/>
          </w:tcPr>
          <w:p w14:paraId="27211340" w14:textId="37AD0925" w:rsidR="00BD500B" w:rsidRPr="0012521E" w:rsidRDefault="00BD500B" w:rsidP="00BD500B">
            <w:pPr>
              <w:pStyle w:val="Tablerightlarge"/>
              <w:rPr>
                <w:rFonts w:asciiTheme="majorHAnsi" w:hAnsiTheme="majorHAnsi" w:cstheme="majorHAnsi"/>
                <w:color w:val="000000"/>
                <w:kern w:val="1"/>
                <w:szCs w:val="24"/>
                <w:u w:color="000000"/>
              </w:rPr>
            </w:pPr>
            <w:r w:rsidRPr="0012521E">
              <w:rPr>
                <w:rFonts w:asciiTheme="majorHAnsi" w:hAnsiTheme="majorHAnsi" w:cstheme="majorHAnsi"/>
              </w:rPr>
              <w:t>0</w:t>
            </w:r>
          </w:p>
        </w:tc>
      </w:tr>
      <w:tr w:rsidR="00BD500B" w:rsidRPr="0012521E" w14:paraId="28734F20" w14:textId="77777777" w:rsidTr="001F5130">
        <w:tc>
          <w:tcPr>
            <w:tcW w:w="0" w:type="auto"/>
            <w:shd w:val="clear" w:color="auto" w:fill="F4F9EE" w:themeFill="accent6" w:themeFillTint="33"/>
          </w:tcPr>
          <w:p w14:paraId="14224864" w14:textId="77777777" w:rsidR="00BD500B" w:rsidRPr="001F5130" w:rsidRDefault="00BD500B" w:rsidP="00BD500B">
            <w:pPr>
              <w:pStyle w:val="TableText"/>
              <w:rPr>
                <w:rStyle w:val="Strong"/>
                <w:rFonts w:asciiTheme="majorHAnsi" w:hAnsiTheme="majorHAnsi" w:cstheme="majorHAnsi"/>
                <w:color w:val="auto"/>
              </w:rPr>
            </w:pPr>
            <w:r w:rsidRPr="001F5130">
              <w:rPr>
                <w:rStyle w:val="Strong"/>
                <w:rFonts w:asciiTheme="majorHAnsi" w:hAnsiTheme="majorHAnsi" w:cstheme="majorHAnsi"/>
                <w:color w:val="auto"/>
              </w:rPr>
              <w:t>Total senior employees</w:t>
            </w:r>
          </w:p>
        </w:tc>
        <w:tc>
          <w:tcPr>
            <w:tcW w:w="0" w:type="auto"/>
            <w:shd w:val="clear" w:color="auto" w:fill="F4F9EE" w:themeFill="accent6" w:themeFillTint="33"/>
          </w:tcPr>
          <w:p w14:paraId="023FD170" w14:textId="5600E376" w:rsidR="00BD500B" w:rsidRPr="00E5766A" w:rsidRDefault="00BD500B" w:rsidP="00BD500B">
            <w:pPr>
              <w:pStyle w:val="Tablerightlarge"/>
              <w:rPr>
                <w:rStyle w:val="Strong"/>
                <w:rFonts w:asciiTheme="majorHAnsi" w:hAnsiTheme="majorHAnsi" w:cstheme="majorHAnsi"/>
                <w:b w:val="0"/>
                <w:bCs w:val="0"/>
                <w:color w:val="auto"/>
              </w:rPr>
            </w:pPr>
            <w:r w:rsidRPr="00E5766A">
              <w:rPr>
                <w:rStyle w:val="Strong"/>
                <w:rFonts w:asciiTheme="majorHAnsi" w:hAnsiTheme="majorHAnsi" w:cstheme="majorHAnsi"/>
                <w:b w:val="0"/>
                <w:bCs w:val="0"/>
                <w:color w:val="auto"/>
              </w:rPr>
              <w:t>9</w:t>
            </w:r>
          </w:p>
        </w:tc>
        <w:tc>
          <w:tcPr>
            <w:tcW w:w="1669" w:type="dxa"/>
            <w:shd w:val="clear" w:color="auto" w:fill="F4F9EE" w:themeFill="accent6" w:themeFillTint="33"/>
          </w:tcPr>
          <w:p w14:paraId="65527680" w14:textId="0A25A401" w:rsidR="00BD500B" w:rsidRPr="00E5766A" w:rsidRDefault="00BD500B" w:rsidP="00BD500B">
            <w:pPr>
              <w:pStyle w:val="Tablerightlarge"/>
              <w:rPr>
                <w:rStyle w:val="Strong"/>
                <w:rFonts w:asciiTheme="majorHAnsi" w:hAnsiTheme="majorHAnsi" w:cstheme="majorHAnsi"/>
                <w:b w:val="0"/>
                <w:bCs w:val="0"/>
                <w:color w:val="auto"/>
              </w:rPr>
            </w:pPr>
            <w:r w:rsidRPr="00E5766A">
              <w:rPr>
                <w:rStyle w:val="Strong"/>
                <w:rFonts w:asciiTheme="majorHAnsi" w:hAnsiTheme="majorHAnsi" w:cstheme="majorHAnsi"/>
                <w:b w:val="0"/>
                <w:bCs w:val="0"/>
                <w:color w:val="auto"/>
              </w:rPr>
              <w:t>8.2</w:t>
            </w:r>
          </w:p>
        </w:tc>
        <w:tc>
          <w:tcPr>
            <w:tcW w:w="0" w:type="auto"/>
            <w:shd w:val="clear" w:color="auto" w:fill="F4F9EE" w:themeFill="accent6" w:themeFillTint="33"/>
          </w:tcPr>
          <w:p w14:paraId="2798EAEA" w14:textId="76AF4BC1" w:rsidR="00BD500B" w:rsidRPr="00E5766A" w:rsidRDefault="00BD500B" w:rsidP="00BD500B">
            <w:pPr>
              <w:pStyle w:val="Tablerightlarge"/>
              <w:rPr>
                <w:rStyle w:val="Strong"/>
                <w:rFonts w:asciiTheme="majorHAnsi" w:hAnsiTheme="majorHAnsi" w:cstheme="majorHAnsi"/>
                <w:b w:val="0"/>
                <w:bCs w:val="0"/>
                <w:color w:val="auto"/>
              </w:rPr>
            </w:pPr>
            <w:r w:rsidRPr="00E5766A">
              <w:rPr>
                <w:rStyle w:val="Strong"/>
                <w:rFonts w:asciiTheme="majorHAnsi" w:hAnsiTheme="majorHAnsi" w:cstheme="majorHAnsi"/>
                <w:b w:val="0"/>
                <w:bCs w:val="0"/>
                <w:color w:val="auto"/>
              </w:rPr>
              <w:t>1</w:t>
            </w:r>
          </w:p>
        </w:tc>
        <w:tc>
          <w:tcPr>
            <w:tcW w:w="0" w:type="auto"/>
            <w:shd w:val="clear" w:color="auto" w:fill="F4F9EE" w:themeFill="accent6" w:themeFillTint="33"/>
          </w:tcPr>
          <w:p w14:paraId="3078D865" w14:textId="40991CF8" w:rsidR="00BD500B" w:rsidRPr="00E5766A" w:rsidRDefault="00BD500B" w:rsidP="00BD500B">
            <w:pPr>
              <w:pStyle w:val="Tablerightlarge"/>
              <w:rPr>
                <w:rStyle w:val="Strong"/>
                <w:rFonts w:asciiTheme="majorHAnsi" w:hAnsiTheme="majorHAnsi" w:cstheme="majorHAnsi"/>
                <w:b w:val="0"/>
                <w:bCs w:val="0"/>
                <w:color w:val="auto"/>
              </w:rPr>
            </w:pPr>
            <w:r w:rsidRPr="00E5766A">
              <w:rPr>
                <w:rStyle w:val="Strong"/>
                <w:rFonts w:asciiTheme="majorHAnsi" w:hAnsiTheme="majorHAnsi" w:cstheme="majorHAnsi"/>
                <w:b w:val="0"/>
                <w:bCs w:val="0"/>
                <w:color w:val="auto"/>
              </w:rPr>
              <w:t>0</w:t>
            </w:r>
          </w:p>
        </w:tc>
        <w:tc>
          <w:tcPr>
            <w:tcW w:w="0" w:type="auto"/>
            <w:shd w:val="clear" w:color="auto" w:fill="F4F9EE" w:themeFill="accent6" w:themeFillTint="33"/>
          </w:tcPr>
          <w:p w14:paraId="271255D0" w14:textId="0BAB784A" w:rsidR="00BD500B" w:rsidRPr="00E5766A" w:rsidRDefault="00BD500B" w:rsidP="00BD500B">
            <w:pPr>
              <w:pStyle w:val="Tablerightlarge"/>
              <w:rPr>
                <w:rStyle w:val="Strong"/>
                <w:rFonts w:asciiTheme="majorHAnsi" w:hAnsiTheme="majorHAnsi" w:cstheme="majorHAnsi"/>
                <w:b w:val="0"/>
                <w:bCs w:val="0"/>
                <w:color w:val="auto"/>
              </w:rPr>
            </w:pPr>
            <w:r w:rsidRPr="00E5766A">
              <w:rPr>
                <w:rStyle w:val="Strong"/>
                <w:rFonts w:asciiTheme="majorHAnsi" w:hAnsiTheme="majorHAnsi" w:cstheme="majorHAnsi"/>
                <w:b w:val="0"/>
                <w:bCs w:val="0"/>
                <w:color w:val="auto"/>
              </w:rPr>
              <w:t>1</w:t>
            </w:r>
          </w:p>
        </w:tc>
        <w:tc>
          <w:tcPr>
            <w:tcW w:w="2447" w:type="dxa"/>
            <w:shd w:val="clear" w:color="auto" w:fill="F4F9EE" w:themeFill="accent6" w:themeFillTint="33"/>
          </w:tcPr>
          <w:p w14:paraId="0572CC1B" w14:textId="434A9CB9" w:rsidR="00BD500B" w:rsidRPr="00E5766A" w:rsidRDefault="00BD500B" w:rsidP="00BD500B">
            <w:pPr>
              <w:pStyle w:val="Tablerightlarge"/>
              <w:rPr>
                <w:rStyle w:val="Strong"/>
                <w:rFonts w:asciiTheme="majorHAnsi" w:hAnsiTheme="majorHAnsi" w:cstheme="majorHAnsi"/>
                <w:b w:val="0"/>
                <w:bCs w:val="0"/>
                <w:color w:val="auto"/>
              </w:rPr>
            </w:pPr>
            <w:r w:rsidRPr="00E5766A">
              <w:rPr>
                <w:rStyle w:val="Strong"/>
                <w:rFonts w:asciiTheme="majorHAnsi" w:hAnsiTheme="majorHAnsi" w:cstheme="majorHAnsi"/>
                <w:b w:val="0"/>
                <w:bCs w:val="0"/>
                <w:color w:val="auto"/>
              </w:rPr>
              <w:t>8</w:t>
            </w:r>
          </w:p>
        </w:tc>
        <w:tc>
          <w:tcPr>
            <w:tcW w:w="1820" w:type="dxa"/>
            <w:shd w:val="clear" w:color="auto" w:fill="F4F9EE" w:themeFill="accent6" w:themeFillTint="33"/>
          </w:tcPr>
          <w:p w14:paraId="200CDC7C" w14:textId="4F3E8B6F" w:rsidR="00BD500B" w:rsidRPr="00E5766A" w:rsidRDefault="00BD500B" w:rsidP="00BD500B">
            <w:pPr>
              <w:pStyle w:val="Tablerightlarge"/>
              <w:rPr>
                <w:rStyle w:val="Strong"/>
                <w:rFonts w:asciiTheme="majorHAnsi" w:hAnsiTheme="majorHAnsi" w:cstheme="majorHAnsi"/>
                <w:b w:val="0"/>
                <w:bCs w:val="0"/>
                <w:color w:val="auto"/>
              </w:rPr>
            </w:pPr>
            <w:r w:rsidRPr="00E5766A">
              <w:rPr>
                <w:rStyle w:val="Strong"/>
                <w:rFonts w:asciiTheme="majorHAnsi" w:hAnsiTheme="majorHAnsi" w:cstheme="majorHAnsi"/>
                <w:b w:val="0"/>
                <w:bCs w:val="0"/>
                <w:color w:val="auto"/>
              </w:rPr>
              <w:t>7.2</w:t>
            </w:r>
          </w:p>
        </w:tc>
      </w:tr>
    </w:tbl>
    <w:p w14:paraId="30B847CC" w14:textId="77777777" w:rsidR="00860D3D" w:rsidRPr="0012521E" w:rsidRDefault="00860D3D" w:rsidP="00860D3D">
      <w:pPr>
        <w:rPr>
          <w:rFonts w:asciiTheme="majorHAnsi" w:hAnsiTheme="majorHAnsi" w:cstheme="majorHAnsi"/>
        </w:rPr>
      </w:pPr>
    </w:p>
    <w:p w14:paraId="5CF9450E" w14:textId="77777777" w:rsidR="00747504" w:rsidRPr="0012521E" w:rsidRDefault="00747504" w:rsidP="00860D3D">
      <w:pPr>
        <w:rPr>
          <w:rFonts w:asciiTheme="majorHAnsi" w:hAnsiTheme="majorHAnsi" w:cstheme="majorHAnsi"/>
        </w:rPr>
        <w:sectPr w:rsidR="00747504" w:rsidRPr="0012521E" w:rsidSect="00D36FDD">
          <w:headerReference w:type="default" r:id="rId52"/>
          <w:footerReference w:type="even" r:id="rId53"/>
          <w:footerReference w:type="default" r:id="rId54"/>
          <w:footerReference w:type="first" r:id="rId55"/>
          <w:pgSz w:w="16820" w:h="11900" w:orient="landscape" w:code="9"/>
          <w:pgMar w:top="1582" w:right="1174" w:bottom="1298" w:left="1298" w:header="0" w:footer="862" w:gutter="0"/>
          <w:cols w:space="720"/>
          <w:docGrid w:linePitch="360"/>
        </w:sectPr>
      </w:pPr>
    </w:p>
    <w:p w14:paraId="274D376C" w14:textId="77777777" w:rsidR="00603B33" w:rsidRPr="0012521E" w:rsidRDefault="00603B33" w:rsidP="00126908">
      <w:pPr>
        <w:pStyle w:val="Heading3"/>
      </w:pPr>
      <w:bookmarkStart w:id="162" w:name="_Ref141114389"/>
      <w:bookmarkStart w:id="163" w:name="_Toc144884450"/>
      <w:bookmarkStart w:id="164" w:name="_Toc166585740"/>
      <w:r w:rsidRPr="0012521E">
        <w:lastRenderedPageBreak/>
        <w:t>Yearly salary for senior employees</w:t>
      </w:r>
      <w:bookmarkEnd w:id="162"/>
      <w:bookmarkEnd w:id="163"/>
      <w:bookmarkEnd w:id="164"/>
    </w:p>
    <w:p w14:paraId="5853EE91" w14:textId="25482192" w:rsidR="00603B33" w:rsidRPr="0012521E" w:rsidRDefault="00603B33" w:rsidP="00603B33">
      <w:pPr>
        <w:rPr>
          <w:rFonts w:asciiTheme="majorHAnsi" w:hAnsiTheme="majorHAnsi" w:cstheme="majorHAnsi"/>
        </w:rPr>
      </w:pPr>
      <w:r w:rsidRPr="0012521E">
        <w:rPr>
          <w:rFonts w:asciiTheme="majorHAnsi" w:hAnsiTheme="majorHAnsi" w:cstheme="majorHAnsi"/>
        </w:rPr>
        <w:fldChar w:fldCharType="begin"/>
      </w:r>
      <w:r w:rsidRPr="0012521E">
        <w:rPr>
          <w:rFonts w:asciiTheme="majorHAnsi" w:hAnsiTheme="majorHAnsi" w:cstheme="majorHAnsi"/>
        </w:rPr>
        <w:instrText xml:space="preserve"> REF _Ref138610398 \h </w:instrText>
      </w:r>
      <w:r w:rsidR="0012521E">
        <w:rPr>
          <w:rFonts w:asciiTheme="majorHAnsi" w:hAnsiTheme="majorHAnsi" w:cstheme="majorHAnsi"/>
        </w:rPr>
        <w:instrText xml:space="preserve"> \* MERGEFORMAT </w:instrText>
      </w:r>
      <w:r w:rsidRPr="0012521E">
        <w:rPr>
          <w:rFonts w:asciiTheme="majorHAnsi" w:hAnsiTheme="majorHAnsi" w:cstheme="majorHAnsi"/>
        </w:rPr>
      </w:r>
      <w:r w:rsidRPr="0012521E">
        <w:rPr>
          <w:rFonts w:asciiTheme="majorHAnsi" w:hAnsiTheme="majorHAnsi" w:cstheme="majorHAnsi"/>
        </w:rPr>
        <w:fldChar w:fldCharType="separate"/>
      </w:r>
      <w:r w:rsidR="00EB70DF" w:rsidRPr="0012521E">
        <w:rPr>
          <w:rFonts w:asciiTheme="majorHAnsi" w:hAnsiTheme="majorHAnsi" w:cstheme="majorHAnsi"/>
        </w:rPr>
        <w:t xml:space="preserve">Table </w:t>
      </w:r>
      <w:r w:rsidR="00EB70DF">
        <w:rPr>
          <w:rFonts w:asciiTheme="majorHAnsi" w:hAnsiTheme="majorHAnsi" w:cstheme="majorHAnsi"/>
          <w:noProof/>
        </w:rPr>
        <w:t>14</w:t>
      </w:r>
      <w:r w:rsidRPr="0012521E">
        <w:rPr>
          <w:rFonts w:asciiTheme="majorHAnsi" w:hAnsiTheme="majorHAnsi" w:cstheme="majorHAnsi"/>
        </w:rPr>
        <w:fldChar w:fldCharType="end"/>
      </w:r>
      <w:r w:rsidRPr="0012521E">
        <w:rPr>
          <w:rFonts w:asciiTheme="majorHAnsi" w:hAnsiTheme="majorHAnsi" w:cstheme="majorHAnsi"/>
        </w:rPr>
        <w:t xml:space="preserve"> discloses the annualised total salary for executives and senior SV employees, categorised by classification. The salary amount is reported as the full-time annualised salary.</w:t>
      </w:r>
      <w:bookmarkStart w:id="165" w:name="_Ref57366099"/>
    </w:p>
    <w:p w14:paraId="26F423B1" w14:textId="73048F64" w:rsidR="00603B33" w:rsidRPr="0012521E" w:rsidRDefault="00603B33" w:rsidP="00603B33">
      <w:pPr>
        <w:pStyle w:val="Caption"/>
        <w:rPr>
          <w:rFonts w:asciiTheme="majorHAnsi" w:hAnsiTheme="majorHAnsi" w:cstheme="majorHAnsi"/>
        </w:rPr>
      </w:pPr>
      <w:bookmarkStart w:id="166" w:name="_Ref138610398"/>
      <w:bookmarkStart w:id="167" w:name="_Ref57366660"/>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14</w:t>
      </w:r>
      <w:r w:rsidRPr="0012521E">
        <w:rPr>
          <w:rFonts w:asciiTheme="majorHAnsi" w:hAnsiTheme="majorHAnsi" w:cstheme="majorHAnsi"/>
        </w:rPr>
        <w:fldChar w:fldCharType="end"/>
      </w:r>
      <w:bookmarkEnd w:id="165"/>
      <w:bookmarkEnd w:id="166"/>
      <w:bookmarkEnd w:id="167"/>
      <w:r w:rsidRPr="0012521E">
        <w:rPr>
          <w:rFonts w:asciiTheme="majorHAnsi" w:hAnsiTheme="majorHAnsi" w:cstheme="majorHAnsi"/>
        </w:rPr>
        <w:t>: Annualised total salary, by $20,000 bands, for executives and other senior non-executive employees</w:t>
      </w:r>
    </w:p>
    <w:tbl>
      <w:tblPr>
        <w:tblStyle w:val="TableGrid10"/>
        <w:tblW w:w="9170" w:type="dxa"/>
        <w:tblLook w:val="04A0" w:firstRow="1" w:lastRow="0" w:firstColumn="1" w:lastColumn="0" w:noHBand="0" w:noVBand="1"/>
      </w:tblPr>
      <w:tblGrid>
        <w:gridCol w:w="2547"/>
        <w:gridCol w:w="1536"/>
        <w:gridCol w:w="1064"/>
        <w:gridCol w:w="974"/>
        <w:gridCol w:w="989"/>
        <w:gridCol w:w="994"/>
        <w:gridCol w:w="1066"/>
      </w:tblGrid>
      <w:tr w:rsidR="00603B33" w:rsidRPr="0012521E" w14:paraId="3C9CA07E" w14:textId="77777777" w:rsidTr="00E159ED">
        <w:trPr>
          <w:trHeight w:val="368"/>
        </w:trPr>
        <w:tc>
          <w:tcPr>
            <w:tcW w:w="2547" w:type="dxa"/>
            <w:shd w:val="clear" w:color="auto" w:fill="D4DFA0" w:themeFill="accent3"/>
          </w:tcPr>
          <w:p w14:paraId="7F0A102B" w14:textId="77777777" w:rsidR="00603B33" w:rsidRPr="00E159ED" w:rsidRDefault="00603B33" w:rsidP="00EC78E4">
            <w:pPr>
              <w:pStyle w:val="TableHeading"/>
              <w:rPr>
                <w:rFonts w:cstheme="majorHAnsi"/>
                <w:color w:val="auto"/>
              </w:rPr>
            </w:pPr>
            <w:bookmarkStart w:id="168" w:name="_Toc57039876"/>
            <w:bookmarkStart w:id="169" w:name="_Toc56627341"/>
            <w:bookmarkStart w:id="170" w:name="_Ref85022881"/>
            <w:r w:rsidRPr="00E159ED">
              <w:rPr>
                <w:rFonts w:cstheme="majorHAnsi"/>
                <w:color w:val="auto"/>
              </w:rPr>
              <w:t>Income band (salary)</w:t>
            </w:r>
          </w:p>
        </w:tc>
        <w:tc>
          <w:tcPr>
            <w:tcW w:w="1536" w:type="dxa"/>
            <w:shd w:val="clear" w:color="auto" w:fill="D4DFA0" w:themeFill="accent3"/>
          </w:tcPr>
          <w:p w14:paraId="401B3DC7" w14:textId="77777777" w:rsidR="00603B33" w:rsidRPr="00E159ED" w:rsidRDefault="00603B33" w:rsidP="00EC78E4">
            <w:pPr>
              <w:pStyle w:val="TableHeading"/>
              <w:rPr>
                <w:rFonts w:cstheme="majorHAnsi"/>
                <w:color w:val="auto"/>
              </w:rPr>
            </w:pPr>
            <w:r w:rsidRPr="00E159ED">
              <w:rPr>
                <w:rFonts w:cstheme="majorHAnsi"/>
                <w:color w:val="auto"/>
              </w:rPr>
              <w:t>Executives</w:t>
            </w:r>
          </w:p>
        </w:tc>
        <w:tc>
          <w:tcPr>
            <w:tcW w:w="1064" w:type="dxa"/>
            <w:shd w:val="clear" w:color="auto" w:fill="D4DFA0" w:themeFill="accent3"/>
          </w:tcPr>
          <w:p w14:paraId="701DD461" w14:textId="77777777" w:rsidR="00603B33" w:rsidRPr="00E159ED" w:rsidRDefault="00603B33" w:rsidP="00EC78E4">
            <w:pPr>
              <w:pStyle w:val="TableHeading"/>
              <w:rPr>
                <w:rFonts w:cstheme="majorHAnsi"/>
                <w:color w:val="auto"/>
              </w:rPr>
            </w:pPr>
            <w:r w:rsidRPr="00E159ED">
              <w:rPr>
                <w:rFonts w:cstheme="majorHAnsi"/>
                <w:color w:val="auto"/>
              </w:rPr>
              <w:t>STS (VPS 7)</w:t>
            </w:r>
          </w:p>
        </w:tc>
        <w:tc>
          <w:tcPr>
            <w:tcW w:w="974" w:type="dxa"/>
            <w:shd w:val="clear" w:color="auto" w:fill="D4DFA0" w:themeFill="accent3"/>
          </w:tcPr>
          <w:p w14:paraId="43698C51" w14:textId="77777777" w:rsidR="00603B33" w:rsidRPr="00E159ED" w:rsidRDefault="00603B33" w:rsidP="00EC78E4">
            <w:pPr>
              <w:pStyle w:val="TableHeading"/>
              <w:rPr>
                <w:rFonts w:cstheme="majorHAnsi"/>
                <w:color w:val="auto"/>
              </w:rPr>
            </w:pPr>
            <w:r w:rsidRPr="00E159ED">
              <w:rPr>
                <w:rFonts w:cstheme="majorHAnsi"/>
                <w:color w:val="auto"/>
              </w:rPr>
              <w:t>PS</w:t>
            </w:r>
          </w:p>
        </w:tc>
        <w:tc>
          <w:tcPr>
            <w:tcW w:w="989" w:type="dxa"/>
            <w:shd w:val="clear" w:color="auto" w:fill="D4DFA0" w:themeFill="accent3"/>
          </w:tcPr>
          <w:p w14:paraId="4338DBAA" w14:textId="77777777" w:rsidR="00603B33" w:rsidRPr="00E159ED" w:rsidRDefault="00603B33" w:rsidP="00EC78E4">
            <w:pPr>
              <w:pStyle w:val="TableHeading"/>
              <w:rPr>
                <w:rFonts w:cstheme="majorHAnsi"/>
                <w:color w:val="auto"/>
              </w:rPr>
            </w:pPr>
            <w:r w:rsidRPr="00E159ED">
              <w:rPr>
                <w:rFonts w:cstheme="majorHAnsi"/>
                <w:color w:val="auto"/>
              </w:rPr>
              <w:t>SMA</w:t>
            </w:r>
          </w:p>
        </w:tc>
        <w:tc>
          <w:tcPr>
            <w:tcW w:w="994" w:type="dxa"/>
            <w:shd w:val="clear" w:color="auto" w:fill="D4DFA0" w:themeFill="accent3"/>
          </w:tcPr>
          <w:p w14:paraId="774FD33C" w14:textId="77777777" w:rsidR="00603B33" w:rsidRPr="00E159ED" w:rsidRDefault="00603B33" w:rsidP="00EC78E4">
            <w:pPr>
              <w:pStyle w:val="TableHeading"/>
              <w:rPr>
                <w:rFonts w:cstheme="majorHAnsi"/>
                <w:color w:val="auto"/>
              </w:rPr>
            </w:pPr>
            <w:r w:rsidRPr="00E159ED">
              <w:rPr>
                <w:rFonts w:cstheme="majorHAnsi"/>
                <w:color w:val="auto"/>
              </w:rPr>
              <w:t>SRA</w:t>
            </w:r>
          </w:p>
        </w:tc>
        <w:tc>
          <w:tcPr>
            <w:tcW w:w="1066" w:type="dxa"/>
            <w:shd w:val="clear" w:color="auto" w:fill="D4DFA0" w:themeFill="accent3"/>
          </w:tcPr>
          <w:p w14:paraId="4C6793C4" w14:textId="77777777" w:rsidR="00603B33" w:rsidRPr="00E159ED" w:rsidRDefault="00603B33" w:rsidP="00EC78E4">
            <w:pPr>
              <w:pStyle w:val="TableHeading"/>
              <w:rPr>
                <w:rFonts w:cstheme="majorHAnsi"/>
                <w:color w:val="auto"/>
              </w:rPr>
            </w:pPr>
            <w:r w:rsidRPr="00E159ED">
              <w:rPr>
                <w:rFonts w:cstheme="majorHAnsi"/>
                <w:color w:val="auto"/>
              </w:rPr>
              <w:t>Other</w:t>
            </w:r>
          </w:p>
        </w:tc>
      </w:tr>
      <w:tr w:rsidR="00603B33" w:rsidRPr="0012521E" w14:paraId="3E951621" w14:textId="77777777" w:rsidTr="00944B14">
        <w:trPr>
          <w:trHeight w:val="292"/>
        </w:trPr>
        <w:tc>
          <w:tcPr>
            <w:tcW w:w="2547" w:type="dxa"/>
          </w:tcPr>
          <w:p w14:paraId="5FC5D6E4"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&lt; $160,000</w:t>
            </w:r>
          </w:p>
        </w:tc>
        <w:tc>
          <w:tcPr>
            <w:tcW w:w="15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D1CFDB" w14:textId="528F492E" w:rsidR="00603B33" w:rsidRPr="0012521E" w:rsidRDefault="00A75A08" w:rsidP="00EC78E4">
            <w:pPr>
              <w:pStyle w:val="Tablerightlarge"/>
              <w:rPr>
                <w:rFonts w:asciiTheme="majorHAnsi" w:hAnsiTheme="majorHAnsi" w:cstheme="majorHAnsi"/>
              </w:rPr>
            </w:pPr>
            <w:r>
              <w:t> </w:t>
            </w:r>
          </w:p>
        </w:tc>
        <w:tc>
          <w:tcPr>
            <w:tcW w:w="1064" w:type="dxa"/>
            <w:tcBorders>
              <w:top w:val="single" w:sz="8" w:space="0" w:color="000000"/>
              <w:left w:val="nil"/>
              <w:bottom w:val="single" w:sz="8" w:space="0" w:color="000000"/>
              <w:right w:val="single" w:sz="8" w:space="0" w:color="000000"/>
            </w:tcBorders>
            <w:shd w:val="clear" w:color="auto" w:fill="auto"/>
            <w:vAlign w:val="center"/>
          </w:tcPr>
          <w:p w14:paraId="631FD508" w14:textId="5DF73FE1" w:rsidR="00603B33" w:rsidRPr="0012521E" w:rsidRDefault="00A75A08" w:rsidP="00EC78E4">
            <w:pPr>
              <w:pStyle w:val="Tablerightlarge"/>
              <w:rPr>
                <w:rFonts w:asciiTheme="majorHAnsi" w:hAnsiTheme="majorHAnsi" w:cstheme="majorHAnsi"/>
              </w:rPr>
            </w:pPr>
            <w:r>
              <w:t> </w:t>
            </w:r>
          </w:p>
        </w:tc>
        <w:tc>
          <w:tcPr>
            <w:tcW w:w="974" w:type="dxa"/>
            <w:tcBorders>
              <w:top w:val="single" w:sz="8" w:space="0" w:color="000000"/>
              <w:left w:val="nil"/>
              <w:bottom w:val="single" w:sz="8" w:space="0" w:color="000000"/>
              <w:right w:val="single" w:sz="8" w:space="0" w:color="000000"/>
            </w:tcBorders>
            <w:shd w:val="clear" w:color="auto" w:fill="auto"/>
            <w:vAlign w:val="center"/>
          </w:tcPr>
          <w:p w14:paraId="573C70E4" w14:textId="715A703B" w:rsidR="00603B33" w:rsidRPr="0012521E" w:rsidRDefault="00A75A08" w:rsidP="00EC78E4">
            <w:pPr>
              <w:pStyle w:val="Tablerightlarge"/>
              <w:rPr>
                <w:rFonts w:asciiTheme="majorHAnsi" w:hAnsiTheme="majorHAnsi" w:cstheme="majorHAnsi"/>
              </w:rPr>
            </w:pPr>
            <w:r>
              <w:t> </w:t>
            </w:r>
          </w:p>
        </w:tc>
        <w:tc>
          <w:tcPr>
            <w:tcW w:w="989" w:type="dxa"/>
            <w:tcBorders>
              <w:top w:val="single" w:sz="8" w:space="0" w:color="000000"/>
              <w:left w:val="nil"/>
              <w:bottom w:val="single" w:sz="8" w:space="0" w:color="000000"/>
              <w:right w:val="single" w:sz="8" w:space="0" w:color="000000"/>
            </w:tcBorders>
            <w:shd w:val="clear" w:color="auto" w:fill="auto"/>
            <w:vAlign w:val="center"/>
          </w:tcPr>
          <w:p w14:paraId="44C3C4A0" w14:textId="35906AF0" w:rsidR="00603B33" w:rsidRPr="0012521E" w:rsidRDefault="00A75A08" w:rsidP="00EC78E4">
            <w:pPr>
              <w:pStyle w:val="Tablerightlarge"/>
              <w:rPr>
                <w:rFonts w:asciiTheme="majorHAnsi" w:hAnsiTheme="majorHAnsi" w:cstheme="majorHAnsi"/>
              </w:rPr>
            </w:pPr>
            <w:r>
              <w:t> </w:t>
            </w:r>
          </w:p>
        </w:tc>
        <w:tc>
          <w:tcPr>
            <w:tcW w:w="994" w:type="dxa"/>
            <w:tcBorders>
              <w:top w:val="single" w:sz="8" w:space="0" w:color="000000"/>
              <w:left w:val="nil"/>
              <w:bottom w:val="single" w:sz="8" w:space="0" w:color="000000"/>
              <w:right w:val="single" w:sz="8" w:space="0" w:color="000000"/>
            </w:tcBorders>
            <w:shd w:val="clear" w:color="auto" w:fill="auto"/>
            <w:vAlign w:val="center"/>
          </w:tcPr>
          <w:p w14:paraId="255B1A40" w14:textId="00635B6C" w:rsidR="00603B33" w:rsidRPr="0012521E" w:rsidRDefault="00A75A08" w:rsidP="00EC78E4">
            <w:pPr>
              <w:pStyle w:val="Tablerightlarge"/>
              <w:rPr>
                <w:rFonts w:asciiTheme="majorHAnsi" w:hAnsiTheme="majorHAnsi" w:cstheme="majorHAnsi"/>
              </w:rPr>
            </w:pPr>
            <w:r>
              <w:t> </w:t>
            </w:r>
          </w:p>
        </w:tc>
        <w:tc>
          <w:tcPr>
            <w:tcW w:w="1066" w:type="dxa"/>
            <w:tcBorders>
              <w:top w:val="single" w:sz="8" w:space="0" w:color="000000"/>
              <w:left w:val="nil"/>
              <w:bottom w:val="single" w:sz="8" w:space="0" w:color="000000"/>
              <w:right w:val="single" w:sz="4" w:space="0" w:color="000000"/>
            </w:tcBorders>
            <w:shd w:val="clear" w:color="auto" w:fill="auto"/>
            <w:vAlign w:val="center"/>
          </w:tcPr>
          <w:p w14:paraId="330AC0D9" w14:textId="7EB6F6BA" w:rsidR="00603B33" w:rsidRPr="0012521E" w:rsidRDefault="00A75A08" w:rsidP="00EC78E4">
            <w:pPr>
              <w:pStyle w:val="Tablerightlarge"/>
              <w:rPr>
                <w:rFonts w:asciiTheme="majorHAnsi" w:hAnsiTheme="majorHAnsi" w:cstheme="majorHAnsi"/>
              </w:rPr>
            </w:pPr>
            <w:r>
              <w:t> </w:t>
            </w:r>
          </w:p>
        </w:tc>
      </w:tr>
      <w:tr w:rsidR="00603B33" w:rsidRPr="0012521E" w14:paraId="0F20BCF5" w14:textId="77777777" w:rsidTr="00944B14">
        <w:trPr>
          <w:trHeight w:val="292"/>
        </w:trPr>
        <w:tc>
          <w:tcPr>
            <w:tcW w:w="2547" w:type="dxa"/>
          </w:tcPr>
          <w:p w14:paraId="787ECCE5"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$160,000 – $179,999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33877663" w14:textId="4C243C20"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6ED57DEB" w14:textId="252377E9"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0F4C84EE" w14:textId="5CBBE8C7"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059448F3" w14:textId="2FDE10E8"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24BF4561" w14:textId="753B5C5C"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58D56F6E" w14:textId="01532B97" w:rsidR="00603B33" w:rsidRPr="0012521E" w:rsidRDefault="00A75A08" w:rsidP="00EC78E4">
            <w:pPr>
              <w:pStyle w:val="Tablerightlarge"/>
              <w:rPr>
                <w:rFonts w:asciiTheme="majorHAnsi" w:hAnsiTheme="majorHAnsi" w:cstheme="majorHAnsi"/>
              </w:rPr>
            </w:pPr>
            <w:r>
              <w:t> </w:t>
            </w:r>
          </w:p>
        </w:tc>
      </w:tr>
      <w:tr w:rsidR="00603B33" w:rsidRPr="0012521E" w14:paraId="2CB0E2C8" w14:textId="77777777" w:rsidTr="00944B14">
        <w:trPr>
          <w:trHeight w:val="277"/>
        </w:trPr>
        <w:tc>
          <w:tcPr>
            <w:tcW w:w="2547" w:type="dxa"/>
          </w:tcPr>
          <w:p w14:paraId="75FDCF5A"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$180,000 – $199,999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2508B36C" w14:textId="6EBBDE33" w:rsidR="00603B33" w:rsidRPr="0012521E" w:rsidRDefault="00A75A08" w:rsidP="00EC78E4">
            <w:pPr>
              <w:pStyle w:val="Tablerightlarge"/>
              <w:rPr>
                <w:rFonts w:asciiTheme="majorHAnsi" w:hAnsiTheme="majorHAnsi" w:cstheme="majorHAnsi"/>
                <w:highlight w:val="yellow"/>
              </w:rPr>
            </w:pPr>
            <w:r>
              <w:t> </w:t>
            </w:r>
          </w:p>
        </w:tc>
        <w:tc>
          <w:tcPr>
            <w:tcW w:w="1064" w:type="dxa"/>
            <w:tcBorders>
              <w:top w:val="nil"/>
              <w:left w:val="nil"/>
              <w:bottom w:val="single" w:sz="8" w:space="0" w:color="000000"/>
              <w:right w:val="single" w:sz="8" w:space="0" w:color="000000"/>
            </w:tcBorders>
            <w:shd w:val="clear" w:color="auto" w:fill="auto"/>
            <w:vAlign w:val="center"/>
          </w:tcPr>
          <w:p w14:paraId="59D7F64C" w14:textId="45E6C1FC" w:rsidR="00603B33" w:rsidRPr="0012521E" w:rsidRDefault="00603B33" w:rsidP="00EC78E4">
            <w:pPr>
              <w:pStyle w:val="Tablerightlarge"/>
              <w:rPr>
                <w:rFonts w:asciiTheme="majorHAnsi" w:hAnsiTheme="majorHAnsi" w:cstheme="majorHAnsi"/>
                <w:highlight w:val="yellow"/>
              </w:rPr>
            </w:pPr>
            <w:r>
              <w:t>4</w:t>
            </w:r>
            <w:r w:rsidR="00A75A08">
              <w:t> </w:t>
            </w:r>
          </w:p>
        </w:tc>
        <w:tc>
          <w:tcPr>
            <w:tcW w:w="974" w:type="dxa"/>
            <w:tcBorders>
              <w:top w:val="nil"/>
              <w:left w:val="nil"/>
              <w:bottom w:val="single" w:sz="8" w:space="0" w:color="000000"/>
              <w:right w:val="single" w:sz="8" w:space="0" w:color="000000"/>
            </w:tcBorders>
            <w:shd w:val="clear" w:color="auto" w:fill="auto"/>
            <w:vAlign w:val="center"/>
          </w:tcPr>
          <w:p w14:paraId="4D10A710" w14:textId="40ACB72A"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12E5E868" w14:textId="3CFB9F33"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19119E39" w14:textId="1C17324F"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53EFAC46" w14:textId="40F1BED1" w:rsidR="00603B33" w:rsidRPr="0012521E" w:rsidRDefault="00A75A08" w:rsidP="00EC78E4">
            <w:pPr>
              <w:pStyle w:val="Tablerightlarge"/>
              <w:rPr>
                <w:rFonts w:asciiTheme="majorHAnsi" w:hAnsiTheme="majorHAnsi" w:cstheme="majorHAnsi"/>
              </w:rPr>
            </w:pPr>
            <w:r>
              <w:t> </w:t>
            </w:r>
          </w:p>
        </w:tc>
      </w:tr>
      <w:tr w:rsidR="00603B33" w:rsidRPr="0012521E" w14:paraId="3C9CAB0B" w14:textId="77777777" w:rsidTr="00944B14">
        <w:trPr>
          <w:trHeight w:val="292"/>
        </w:trPr>
        <w:tc>
          <w:tcPr>
            <w:tcW w:w="2547" w:type="dxa"/>
          </w:tcPr>
          <w:p w14:paraId="18F8D4F8"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$200,000 – $219,999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1D0EFE6B" w14:textId="3F41F9AE" w:rsidR="00603B33" w:rsidRPr="0012521E" w:rsidRDefault="00A75A08" w:rsidP="00EC78E4">
            <w:pPr>
              <w:pStyle w:val="Tablerightlarge"/>
              <w:rPr>
                <w:rFonts w:asciiTheme="majorHAnsi" w:hAnsiTheme="majorHAnsi" w:cstheme="majorHAnsi"/>
                <w:highlight w:val="yellow"/>
              </w:rPr>
            </w:pPr>
            <w:r>
              <w:t> </w:t>
            </w:r>
          </w:p>
        </w:tc>
        <w:tc>
          <w:tcPr>
            <w:tcW w:w="1064" w:type="dxa"/>
            <w:tcBorders>
              <w:top w:val="nil"/>
              <w:left w:val="nil"/>
              <w:bottom w:val="single" w:sz="8" w:space="0" w:color="000000"/>
              <w:right w:val="single" w:sz="8" w:space="0" w:color="000000"/>
            </w:tcBorders>
            <w:shd w:val="clear" w:color="auto" w:fill="auto"/>
            <w:vAlign w:val="center"/>
          </w:tcPr>
          <w:p w14:paraId="63431DEB" w14:textId="61146545" w:rsidR="00603B33" w:rsidRPr="0012521E" w:rsidRDefault="00A75A08" w:rsidP="00EC78E4">
            <w:pPr>
              <w:pStyle w:val="Tablerightlarge"/>
              <w:rPr>
                <w:rFonts w:asciiTheme="majorHAnsi" w:hAnsiTheme="majorHAnsi" w:cstheme="majorHAnsi"/>
                <w:highlight w:val="yellow"/>
              </w:rPr>
            </w:pPr>
            <w:r>
              <w:t> </w:t>
            </w:r>
          </w:p>
        </w:tc>
        <w:tc>
          <w:tcPr>
            <w:tcW w:w="974" w:type="dxa"/>
            <w:tcBorders>
              <w:top w:val="nil"/>
              <w:left w:val="nil"/>
              <w:bottom w:val="single" w:sz="8" w:space="0" w:color="000000"/>
              <w:right w:val="single" w:sz="8" w:space="0" w:color="000000"/>
            </w:tcBorders>
            <w:shd w:val="clear" w:color="auto" w:fill="auto"/>
            <w:vAlign w:val="center"/>
          </w:tcPr>
          <w:p w14:paraId="20DFB26A" w14:textId="667DF8D5"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40CC5184" w14:textId="09BFEB62"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796019F4" w14:textId="22B5C693"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76D0A025" w14:textId="328FC32E" w:rsidR="00603B33" w:rsidRPr="0012521E" w:rsidRDefault="00A75A08" w:rsidP="00EC78E4">
            <w:pPr>
              <w:pStyle w:val="Tablerightlarge"/>
              <w:rPr>
                <w:rFonts w:asciiTheme="majorHAnsi" w:hAnsiTheme="majorHAnsi" w:cstheme="majorHAnsi"/>
              </w:rPr>
            </w:pPr>
            <w:r>
              <w:t> </w:t>
            </w:r>
          </w:p>
        </w:tc>
      </w:tr>
      <w:tr w:rsidR="00603B33" w:rsidRPr="0012521E" w14:paraId="76D8954E" w14:textId="77777777" w:rsidTr="00944B14">
        <w:trPr>
          <w:trHeight w:val="292"/>
        </w:trPr>
        <w:tc>
          <w:tcPr>
            <w:tcW w:w="2547" w:type="dxa"/>
          </w:tcPr>
          <w:p w14:paraId="615AABB9"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$220,000 – $239,999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6E7AB32B" w14:textId="2FB87228" w:rsidR="00603B33" w:rsidRPr="0012521E" w:rsidRDefault="00A75A08" w:rsidP="00EC78E4">
            <w:pPr>
              <w:pStyle w:val="Tablerightlarge"/>
              <w:rPr>
                <w:rFonts w:asciiTheme="majorHAnsi" w:hAnsiTheme="majorHAnsi" w:cstheme="majorHAnsi"/>
                <w:highlight w:val="yellow"/>
              </w:rPr>
            </w:pPr>
            <w:r>
              <w:t>6</w:t>
            </w:r>
          </w:p>
        </w:tc>
        <w:tc>
          <w:tcPr>
            <w:tcW w:w="1064" w:type="dxa"/>
            <w:tcBorders>
              <w:top w:val="nil"/>
              <w:left w:val="nil"/>
              <w:bottom w:val="single" w:sz="8" w:space="0" w:color="000000"/>
              <w:right w:val="single" w:sz="8" w:space="0" w:color="000000"/>
            </w:tcBorders>
            <w:shd w:val="clear" w:color="auto" w:fill="auto"/>
            <w:vAlign w:val="center"/>
          </w:tcPr>
          <w:p w14:paraId="74386617" w14:textId="5200472A" w:rsidR="00603B33" w:rsidRPr="0012521E" w:rsidRDefault="00A75A08" w:rsidP="00EC78E4">
            <w:pPr>
              <w:pStyle w:val="Tablerightlarge"/>
              <w:rPr>
                <w:rFonts w:asciiTheme="majorHAnsi" w:hAnsiTheme="majorHAnsi" w:cstheme="majorHAnsi"/>
                <w:highlight w:val="yellow"/>
              </w:rPr>
            </w:pPr>
            <w:r>
              <w:t> </w:t>
            </w:r>
          </w:p>
        </w:tc>
        <w:tc>
          <w:tcPr>
            <w:tcW w:w="974" w:type="dxa"/>
            <w:tcBorders>
              <w:top w:val="nil"/>
              <w:left w:val="nil"/>
              <w:bottom w:val="single" w:sz="8" w:space="0" w:color="000000"/>
              <w:right w:val="single" w:sz="8" w:space="0" w:color="000000"/>
            </w:tcBorders>
            <w:shd w:val="clear" w:color="auto" w:fill="auto"/>
            <w:vAlign w:val="center"/>
          </w:tcPr>
          <w:p w14:paraId="32B168BB" w14:textId="6FB6FFE7"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5B0BA8D2" w14:textId="5A844577"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695866CA" w14:textId="1F69CC83"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7F6C3FCD" w14:textId="38D76EBE" w:rsidR="00603B33" w:rsidRPr="0012521E" w:rsidRDefault="00A75A08" w:rsidP="00EC78E4">
            <w:pPr>
              <w:pStyle w:val="Tablerightlarge"/>
              <w:rPr>
                <w:rFonts w:asciiTheme="majorHAnsi" w:hAnsiTheme="majorHAnsi" w:cstheme="majorHAnsi"/>
              </w:rPr>
            </w:pPr>
            <w:r>
              <w:t> </w:t>
            </w:r>
          </w:p>
        </w:tc>
      </w:tr>
      <w:tr w:rsidR="00603B33" w:rsidRPr="0012521E" w14:paraId="4B268BAF" w14:textId="77777777" w:rsidTr="00944B14">
        <w:trPr>
          <w:trHeight w:val="277"/>
        </w:trPr>
        <w:tc>
          <w:tcPr>
            <w:tcW w:w="2547" w:type="dxa"/>
          </w:tcPr>
          <w:p w14:paraId="6DE4B8A9"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$240,000 – $259,999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7A8D17D0" w14:textId="3BC04EDB"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11D78079" w14:textId="5B9E0D9C"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136869D1" w14:textId="597D02A5"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27B031D2" w14:textId="2BDB6024"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2D74164A" w14:textId="1A0403A5"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5987D5EB" w14:textId="270C9E1F" w:rsidR="00603B33" w:rsidRPr="0012521E" w:rsidRDefault="00A75A08" w:rsidP="00EC78E4">
            <w:pPr>
              <w:pStyle w:val="Tablerightlarge"/>
              <w:rPr>
                <w:rFonts w:asciiTheme="majorHAnsi" w:hAnsiTheme="majorHAnsi" w:cstheme="majorHAnsi"/>
              </w:rPr>
            </w:pPr>
            <w:r>
              <w:t> </w:t>
            </w:r>
          </w:p>
        </w:tc>
      </w:tr>
      <w:tr w:rsidR="00603B33" w:rsidRPr="0012521E" w14:paraId="3BBD5BA6" w14:textId="77777777" w:rsidTr="00944B14">
        <w:trPr>
          <w:trHeight w:val="292"/>
        </w:trPr>
        <w:tc>
          <w:tcPr>
            <w:tcW w:w="2547" w:type="dxa"/>
          </w:tcPr>
          <w:p w14:paraId="20C9A752"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$260,000 – $279,999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7324BA18" w14:textId="2A1AC230"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63042B98" w14:textId="5F986462"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3209503E" w14:textId="744FDF3C"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2A583530" w14:textId="3734069F"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14FD440A" w14:textId="61EEC51F"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5327DFB1" w14:textId="200D1B6B" w:rsidR="00603B33" w:rsidRPr="0012521E" w:rsidRDefault="00A75A08" w:rsidP="00EC78E4">
            <w:pPr>
              <w:pStyle w:val="Tablerightlarge"/>
              <w:rPr>
                <w:rFonts w:asciiTheme="majorHAnsi" w:hAnsiTheme="majorHAnsi" w:cstheme="majorHAnsi"/>
              </w:rPr>
            </w:pPr>
            <w:r>
              <w:t> </w:t>
            </w:r>
          </w:p>
        </w:tc>
      </w:tr>
      <w:tr w:rsidR="00603B33" w:rsidRPr="0012521E" w14:paraId="1B099A3B" w14:textId="77777777" w:rsidTr="00944B14">
        <w:trPr>
          <w:trHeight w:val="292"/>
        </w:trPr>
        <w:tc>
          <w:tcPr>
            <w:tcW w:w="2547" w:type="dxa"/>
          </w:tcPr>
          <w:p w14:paraId="6A71BAAE"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$280,000 – $299,999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28139B13" w14:textId="31E19397"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1330F708" w14:textId="35E7D8C7"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58819A30" w14:textId="1A742ABA"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7F050AAF" w14:textId="7597F2A4"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7F77E750" w14:textId="61446BF2"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35F1DF20" w14:textId="18EE122F" w:rsidR="00603B33" w:rsidRPr="0012521E" w:rsidRDefault="00A75A08" w:rsidP="00EC78E4">
            <w:pPr>
              <w:pStyle w:val="Tablerightlarge"/>
              <w:rPr>
                <w:rFonts w:asciiTheme="majorHAnsi" w:hAnsiTheme="majorHAnsi" w:cstheme="majorHAnsi"/>
              </w:rPr>
            </w:pPr>
            <w:r>
              <w:t> </w:t>
            </w:r>
          </w:p>
        </w:tc>
      </w:tr>
      <w:tr w:rsidR="00603B33" w:rsidRPr="0012521E" w14:paraId="7AB1718B" w14:textId="77777777" w:rsidTr="00944B14">
        <w:trPr>
          <w:trHeight w:val="277"/>
        </w:trPr>
        <w:tc>
          <w:tcPr>
            <w:tcW w:w="2547" w:type="dxa"/>
          </w:tcPr>
          <w:p w14:paraId="5A6E8779"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$300,000 – $319,999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5D501614" w14:textId="003C64CD"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646BF766" w14:textId="27F3CA24"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1CFEE0BE" w14:textId="4E9E8D5D"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7900A6F2" w14:textId="33A1F92F"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29118E86" w14:textId="67E15617"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219560DB" w14:textId="4AB09E46" w:rsidR="00603B33" w:rsidRPr="0012521E" w:rsidRDefault="00A75A08" w:rsidP="00EC78E4">
            <w:pPr>
              <w:pStyle w:val="Tablerightlarge"/>
              <w:rPr>
                <w:rFonts w:asciiTheme="majorHAnsi" w:hAnsiTheme="majorHAnsi" w:cstheme="majorHAnsi"/>
              </w:rPr>
            </w:pPr>
            <w:r>
              <w:t> </w:t>
            </w:r>
          </w:p>
        </w:tc>
      </w:tr>
      <w:tr w:rsidR="00603B33" w:rsidRPr="0012521E" w14:paraId="5BAD6F58" w14:textId="77777777" w:rsidTr="00944B14">
        <w:trPr>
          <w:trHeight w:val="292"/>
        </w:trPr>
        <w:tc>
          <w:tcPr>
            <w:tcW w:w="2547" w:type="dxa"/>
          </w:tcPr>
          <w:p w14:paraId="045DE659"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$320,000 – $339,999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215A99C2" w14:textId="74B4CF2C"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2BC96E83" w14:textId="577CD2D4"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69A1528E" w14:textId="6AB0F4FE"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6CE90FEA" w14:textId="21B39648"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4414674A" w14:textId="0199121D"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5DCB4F48" w14:textId="6858A0B9" w:rsidR="00603B33" w:rsidRPr="0012521E" w:rsidRDefault="00A75A08" w:rsidP="00EC78E4">
            <w:pPr>
              <w:pStyle w:val="Tablerightlarge"/>
              <w:rPr>
                <w:rFonts w:asciiTheme="majorHAnsi" w:hAnsiTheme="majorHAnsi" w:cstheme="majorHAnsi"/>
              </w:rPr>
            </w:pPr>
            <w:r>
              <w:t> </w:t>
            </w:r>
          </w:p>
        </w:tc>
      </w:tr>
      <w:tr w:rsidR="00603B33" w:rsidRPr="0012521E" w14:paraId="650C5F16" w14:textId="77777777" w:rsidTr="00944B14">
        <w:trPr>
          <w:trHeight w:val="292"/>
        </w:trPr>
        <w:tc>
          <w:tcPr>
            <w:tcW w:w="2547" w:type="dxa"/>
          </w:tcPr>
          <w:p w14:paraId="27957C48"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$340,000 – $359,999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2CCD8C8E" w14:textId="2B1AD045"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6495F87A" w14:textId="3EB4BE0F"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686A58CE" w14:textId="36EC1ADE"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52DDB3AC" w14:textId="1ACF9330"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1E42A959" w14:textId="284E586E"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7E678954" w14:textId="60A32C15" w:rsidR="00603B33" w:rsidRPr="0012521E" w:rsidRDefault="00A75A08" w:rsidP="00EC78E4">
            <w:pPr>
              <w:pStyle w:val="Tablerightlarge"/>
              <w:rPr>
                <w:rFonts w:asciiTheme="majorHAnsi" w:hAnsiTheme="majorHAnsi" w:cstheme="majorHAnsi"/>
              </w:rPr>
            </w:pPr>
            <w:r>
              <w:t> </w:t>
            </w:r>
          </w:p>
        </w:tc>
      </w:tr>
      <w:tr w:rsidR="00603B33" w:rsidRPr="0012521E" w14:paraId="5B80181E" w14:textId="77777777" w:rsidTr="00944B14">
        <w:trPr>
          <w:trHeight w:val="277"/>
        </w:trPr>
        <w:tc>
          <w:tcPr>
            <w:tcW w:w="2547" w:type="dxa"/>
          </w:tcPr>
          <w:p w14:paraId="26A8CDB3"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$360,000 – $379,999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34E8056C" w14:textId="6EDEFD57" w:rsidR="00603B33" w:rsidRPr="0012521E" w:rsidRDefault="00A75A08" w:rsidP="00EC78E4">
            <w:pPr>
              <w:pStyle w:val="Tablerightlarge"/>
              <w:rPr>
                <w:rFonts w:asciiTheme="majorHAnsi" w:hAnsiTheme="majorHAnsi" w:cstheme="majorHAnsi"/>
              </w:rPr>
            </w:pPr>
            <w:r>
              <w:t>1</w:t>
            </w:r>
          </w:p>
        </w:tc>
        <w:tc>
          <w:tcPr>
            <w:tcW w:w="1064" w:type="dxa"/>
            <w:tcBorders>
              <w:top w:val="nil"/>
              <w:left w:val="nil"/>
              <w:bottom w:val="single" w:sz="8" w:space="0" w:color="000000"/>
              <w:right w:val="single" w:sz="8" w:space="0" w:color="000000"/>
            </w:tcBorders>
            <w:shd w:val="clear" w:color="auto" w:fill="auto"/>
            <w:vAlign w:val="center"/>
          </w:tcPr>
          <w:p w14:paraId="4424DF52" w14:textId="7BA9D907"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55981385" w14:textId="3DF7ED6F"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4631C123" w14:textId="6B5C99F5"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7DCB4429" w14:textId="5A8B35A7"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7A02E109" w14:textId="29962601" w:rsidR="00603B33" w:rsidRPr="0012521E" w:rsidRDefault="00A75A08" w:rsidP="00EC78E4">
            <w:pPr>
              <w:pStyle w:val="Tablerightlarge"/>
              <w:rPr>
                <w:rFonts w:asciiTheme="majorHAnsi" w:hAnsiTheme="majorHAnsi" w:cstheme="majorHAnsi"/>
              </w:rPr>
            </w:pPr>
            <w:r>
              <w:t> </w:t>
            </w:r>
          </w:p>
        </w:tc>
      </w:tr>
      <w:tr w:rsidR="00603B33" w:rsidRPr="0012521E" w14:paraId="66AB6AFF" w14:textId="77777777" w:rsidTr="00944B14">
        <w:trPr>
          <w:trHeight w:val="292"/>
        </w:trPr>
        <w:tc>
          <w:tcPr>
            <w:tcW w:w="2547" w:type="dxa"/>
          </w:tcPr>
          <w:p w14:paraId="5C2A2EDB"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$380,000 – $399,999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59548057" w14:textId="003CC225"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19CC8251" w14:textId="35F0A763"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55B028CD" w14:textId="6C523F4E"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621A3655" w14:textId="2A53805C"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22A3505E" w14:textId="607007FC"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6E4EF8CB" w14:textId="44EF4216" w:rsidR="00603B33" w:rsidRPr="0012521E" w:rsidRDefault="00A75A08" w:rsidP="00EC78E4">
            <w:pPr>
              <w:pStyle w:val="Tablerightlarge"/>
              <w:rPr>
                <w:rFonts w:asciiTheme="majorHAnsi" w:hAnsiTheme="majorHAnsi" w:cstheme="majorHAnsi"/>
              </w:rPr>
            </w:pPr>
            <w:r>
              <w:t> </w:t>
            </w:r>
          </w:p>
        </w:tc>
      </w:tr>
      <w:tr w:rsidR="00603B33" w:rsidRPr="0012521E" w14:paraId="6901376A" w14:textId="77777777" w:rsidTr="00944B14">
        <w:trPr>
          <w:trHeight w:val="292"/>
        </w:trPr>
        <w:tc>
          <w:tcPr>
            <w:tcW w:w="2547" w:type="dxa"/>
          </w:tcPr>
          <w:p w14:paraId="59349E2A"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$400,000 – $419,999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52A48FD1" w14:textId="29C72348"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0E2E279C" w14:textId="57A13A1A"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1BB2479E" w14:textId="5F3ED315"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217237DD" w14:textId="0834AC17"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35D5ED5B" w14:textId="67BAB190"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6AFF8E41" w14:textId="003ADEE6" w:rsidR="00603B33" w:rsidRPr="0012521E" w:rsidRDefault="00A75A08" w:rsidP="00EC78E4">
            <w:pPr>
              <w:pStyle w:val="Tablerightlarge"/>
              <w:rPr>
                <w:rFonts w:asciiTheme="majorHAnsi" w:hAnsiTheme="majorHAnsi" w:cstheme="majorHAnsi"/>
              </w:rPr>
            </w:pPr>
            <w:r>
              <w:t> </w:t>
            </w:r>
          </w:p>
        </w:tc>
      </w:tr>
      <w:tr w:rsidR="00603B33" w:rsidRPr="0012521E" w14:paraId="0F1EC3B6" w14:textId="77777777" w:rsidTr="00944B14">
        <w:trPr>
          <w:trHeight w:val="277"/>
        </w:trPr>
        <w:tc>
          <w:tcPr>
            <w:tcW w:w="2547" w:type="dxa"/>
          </w:tcPr>
          <w:p w14:paraId="6EB7DB9C"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$420,000 – $439,999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1E70E46A" w14:textId="6D85BB26"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6BF769FB" w14:textId="3E699758"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0DA9BA39" w14:textId="73DFDA77"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4359CFE2" w14:textId="6DCCFCB7"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6788ED43" w14:textId="6C07F17D"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0B030D38" w14:textId="07C82FBD" w:rsidR="00603B33" w:rsidRPr="0012521E" w:rsidRDefault="00A75A08" w:rsidP="00EC78E4">
            <w:pPr>
              <w:pStyle w:val="Tablerightlarge"/>
              <w:rPr>
                <w:rFonts w:asciiTheme="majorHAnsi" w:hAnsiTheme="majorHAnsi" w:cstheme="majorHAnsi"/>
              </w:rPr>
            </w:pPr>
            <w:r>
              <w:t> </w:t>
            </w:r>
          </w:p>
        </w:tc>
      </w:tr>
      <w:tr w:rsidR="00603B33" w:rsidRPr="0012521E" w14:paraId="56BF093E" w14:textId="77777777" w:rsidTr="00944B14">
        <w:trPr>
          <w:trHeight w:val="292"/>
        </w:trPr>
        <w:tc>
          <w:tcPr>
            <w:tcW w:w="2547" w:type="dxa"/>
          </w:tcPr>
          <w:p w14:paraId="2A46D098"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$440,000 – $459,999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79BD28E3" w14:textId="25DC2BB8"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68D68C37" w14:textId="0A860551"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09CE0EA6" w14:textId="5286B53D"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4114A2AA" w14:textId="14E3C393"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4FB11B9D" w14:textId="00D28CCA"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587D374A" w14:textId="286FBF35" w:rsidR="00603B33" w:rsidRPr="0012521E" w:rsidRDefault="00A75A08" w:rsidP="00EC78E4">
            <w:pPr>
              <w:pStyle w:val="Tablerightlarge"/>
              <w:rPr>
                <w:rFonts w:asciiTheme="majorHAnsi" w:hAnsiTheme="majorHAnsi" w:cstheme="majorHAnsi"/>
              </w:rPr>
            </w:pPr>
            <w:r>
              <w:t> </w:t>
            </w:r>
          </w:p>
        </w:tc>
      </w:tr>
      <w:tr w:rsidR="00603B33" w:rsidRPr="0012521E" w14:paraId="34B20B06" w14:textId="77777777" w:rsidTr="00944B14">
        <w:trPr>
          <w:trHeight w:val="292"/>
        </w:trPr>
        <w:tc>
          <w:tcPr>
            <w:tcW w:w="2547" w:type="dxa"/>
          </w:tcPr>
          <w:p w14:paraId="79D276EC"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$460,000 – $479,999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1A292F0D" w14:textId="620712F8"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38FECE2E" w14:textId="446F9AB5"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223886FD" w14:textId="088EF56A"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6D9F6E4D" w14:textId="6F6986F2"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18576A60" w14:textId="3E6AEEE5"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6C9895A7" w14:textId="275BA022" w:rsidR="00603B33" w:rsidRPr="0012521E" w:rsidRDefault="00A75A08" w:rsidP="00EC78E4">
            <w:pPr>
              <w:pStyle w:val="Tablerightlarge"/>
              <w:rPr>
                <w:rFonts w:asciiTheme="majorHAnsi" w:hAnsiTheme="majorHAnsi" w:cstheme="majorHAnsi"/>
              </w:rPr>
            </w:pPr>
            <w:r>
              <w:t> </w:t>
            </w:r>
          </w:p>
        </w:tc>
      </w:tr>
      <w:tr w:rsidR="00603B33" w:rsidRPr="0012521E" w14:paraId="3A4B98B9" w14:textId="77777777" w:rsidTr="00944B14">
        <w:trPr>
          <w:trHeight w:val="277"/>
        </w:trPr>
        <w:tc>
          <w:tcPr>
            <w:tcW w:w="2547" w:type="dxa"/>
          </w:tcPr>
          <w:p w14:paraId="2D5DB9A0"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$480,000 – $499,999</w:t>
            </w:r>
          </w:p>
        </w:tc>
        <w:tc>
          <w:tcPr>
            <w:tcW w:w="1536" w:type="dxa"/>
            <w:tcBorders>
              <w:top w:val="nil"/>
              <w:left w:val="single" w:sz="8" w:space="0" w:color="000000"/>
              <w:bottom w:val="single" w:sz="8" w:space="0" w:color="000000"/>
              <w:right w:val="single" w:sz="8" w:space="0" w:color="000000"/>
            </w:tcBorders>
            <w:shd w:val="clear" w:color="auto" w:fill="auto"/>
            <w:vAlign w:val="center"/>
          </w:tcPr>
          <w:p w14:paraId="7FA6FDCC" w14:textId="011B0322" w:rsidR="00603B33" w:rsidRPr="0012521E" w:rsidRDefault="00A75A08" w:rsidP="00EC78E4">
            <w:pPr>
              <w:pStyle w:val="Tablerightlarge"/>
              <w:rPr>
                <w:rFonts w:asciiTheme="majorHAnsi" w:hAnsiTheme="majorHAnsi" w:cstheme="majorHAnsi"/>
              </w:rPr>
            </w:pPr>
            <w:r>
              <w:t> </w:t>
            </w:r>
          </w:p>
        </w:tc>
        <w:tc>
          <w:tcPr>
            <w:tcW w:w="1064" w:type="dxa"/>
            <w:tcBorders>
              <w:top w:val="nil"/>
              <w:left w:val="nil"/>
              <w:bottom w:val="single" w:sz="8" w:space="0" w:color="000000"/>
              <w:right w:val="single" w:sz="8" w:space="0" w:color="000000"/>
            </w:tcBorders>
            <w:shd w:val="clear" w:color="auto" w:fill="auto"/>
            <w:vAlign w:val="center"/>
          </w:tcPr>
          <w:p w14:paraId="446370AC" w14:textId="0453ED79" w:rsidR="00603B33" w:rsidRPr="0012521E" w:rsidRDefault="00A75A08" w:rsidP="00EC78E4">
            <w:pPr>
              <w:pStyle w:val="Tablerightlarge"/>
              <w:rPr>
                <w:rFonts w:asciiTheme="majorHAnsi" w:hAnsiTheme="majorHAnsi" w:cstheme="majorHAnsi"/>
              </w:rPr>
            </w:pPr>
            <w:r>
              <w:t> </w:t>
            </w:r>
          </w:p>
        </w:tc>
        <w:tc>
          <w:tcPr>
            <w:tcW w:w="974" w:type="dxa"/>
            <w:tcBorders>
              <w:top w:val="nil"/>
              <w:left w:val="nil"/>
              <w:bottom w:val="single" w:sz="8" w:space="0" w:color="000000"/>
              <w:right w:val="single" w:sz="8" w:space="0" w:color="000000"/>
            </w:tcBorders>
            <w:shd w:val="clear" w:color="auto" w:fill="auto"/>
            <w:vAlign w:val="center"/>
          </w:tcPr>
          <w:p w14:paraId="35E6502D" w14:textId="22C9DE54" w:rsidR="00603B33" w:rsidRPr="0012521E" w:rsidRDefault="00A75A08" w:rsidP="00EC78E4">
            <w:pPr>
              <w:pStyle w:val="Tablerightlarge"/>
              <w:rPr>
                <w:rFonts w:asciiTheme="majorHAnsi" w:hAnsiTheme="majorHAnsi" w:cstheme="majorHAnsi"/>
              </w:rPr>
            </w:pPr>
            <w:r>
              <w:t> </w:t>
            </w:r>
          </w:p>
        </w:tc>
        <w:tc>
          <w:tcPr>
            <w:tcW w:w="989" w:type="dxa"/>
            <w:tcBorders>
              <w:top w:val="nil"/>
              <w:left w:val="nil"/>
              <w:bottom w:val="single" w:sz="8" w:space="0" w:color="000000"/>
              <w:right w:val="single" w:sz="8" w:space="0" w:color="000000"/>
            </w:tcBorders>
            <w:shd w:val="clear" w:color="auto" w:fill="auto"/>
            <w:vAlign w:val="center"/>
          </w:tcPr>
          <w:p w14:paraId="5F9E9215" w14:textId="3562F14D" w:rsidR="00603B33" w:rsidRPr="0012521E" w:rsidRDefault="00A75A08" w:rsidP="00EC78E4">
            <w:pPr>
              <w:pStyle w:val="Tablerightlarge"/>
              <w:rPr>
                <w:rFonts w:asciiTheme="majorHAnsi" w:hAnsiTheme="majorHAnsi" w:cstheme="majorHAnsi"/>
              </w:rPr>
            </w:pPr>
            <w:r>
              <w:t> </w:t>
            </w:r>
          </w:p>
        </w:tc>
        <w:tc>
          <w:tcPr>
            <w:tcW w:w="994" w:type="dxa"/>
            <w:tcBorders>
              <w:top w:val="nil"/>
              <w:left w:val="nil"/>
              <w:bottom w:val="single" w:sz="8" w:space="0" w:color="000000"/>
              <w:right w:val="single" w:sz="8" w:space="0" w:color="000000"/>
            </w:tcBorders>
            <w:shd w:val="clear" w:color="auto" w:fill="auto"/>
            <w:vAlign w:val="center"/>
          </w:tcPr>
          <w:p w14:paraId="61571142" w14:textId="2FCFD4AD" w:rsidR="00603B33" w:rsidRPr="0012521E" w:rsidRDefault="00A75A08" w:rsidP="00EC78E4">
            <w:pPr>
              <w:pStyle w:val="Tablerightlarge"/>
              <w:rPr>
                <w:rFonts w:asciiTheme="majorHAnsi" w:hAnsiTheme="majorHAnsi" w:cstheme="majorHAnsi"/>
              </w:rPr>
            </w:pPr>
            <w:r>
              <w:t> </w:t>
            </w:r>
          </w:p>
        </w:tc>
        <w:tc>
          <w:tcPr>
            <w:tcW w:w="1066" w:type="dxa"/>
            <w:tcBorders>
              <w:top w:val="nil"/>
              <w:left w:val="nil"/>
              <w:bottom w:val="single" w:sz="8" w:space="0" w:color="000000"/>
              <w:right w:val="single" w:sz="4" w:space="0" w:color="000000"/>
            </w:tcBorders>
            <w:shd w:val="clear" w:color="auto" w:fill="auto"/>
            <w:vAlign w:val="center"/>
          </w:tcPr>
          <w:p w14:paraId="643E04D0" w14:textId="531ECDC2" w:rsidR="00603B33" w:rsidRPr="0012521E" w:rsidRDefault="00A75A08" w:rsidP="00EC78E4">
            <w:pPr>
              <w:pStyle w:val="Tablerightlarge"/>
              <w:rPr>
                <w:rFonts w:asciiTheme="majorHAnsi" w:hAnsiTheme="majorHAnsi" w:cstheme="majorHAnsi"/>
              </w:rPr>
            </w:pPr>
            <w:r>
              <w:t> </w:t>
            </w:r>
          </w:p>
        </w:tc>
      </w:tr>
      <w:tr w:rsidR="00603B33" w:rsidRPr="0012521E" w14:paraId="14BDA04E" w14:textId="77777777" w:rsidTr="00944B14">
        <w:trPr>
          <w:trHeight w:val="74"/>
        </w:trPr>
        <w:tc>
          <w:tcPr>
            <w:tcW w:w="2547" w:type="dxa"/>
            <w:shd w:val="clear" w:color="auto" w:fill="F4F9EE" w:themeFill="accent6" w:themeFillTint="33"/>
          </w:tcPr>
          <w:p w14:paraId="012EC009"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Total</w:t>
            </w:r>
          </w:p>
        </w:tc>
        <w:tc>
          <w:tcPr>
            <w:tcW w:w="1536" w:type="dxa"/>
            <w:tcBorders>
              <w:top w:val="nil"/>
              <w:left w:val="single" w:sz="8" w:space="0" w:color="000000"/>
              <w:bottom w:val="single" w:sz="4" w:space="0" w:color="000000"/>
              <w:right w:val="single" w:sz="8" w:space="0" w:color="000000"/>
            </w:tcBorders>
            <w:shd w:val="clear" w:color="000000" w:fill="F4F9EE"/>
            <w:vAlign w:val="center"/>
          </w:tcPr>
          <w:p w14:paraId="7989D00A" w14:textId="273C9695" w:rsidR="00603B33" w:rsidRPr="0012521E" w:rsidRDefault="00A75A08" w:rsidP="00EC78E4">
            <w:pPr>
              <w:pStyle w:val="Tablerightlarge"/>
              <w:rPr>
                <w:rFonts w:asciiTheme="majorHAnsi" w:hAnsiTheme="majorHAnsi" w:cstheme="majorHAnsi"/>
                <w:highlight w:val="yellow"/>
              </w:rPr>
            </w:pPr>
            <w:r>
              <w:t>7</w:t>
            </w:r>
          </w:p>
        </w:tc>
        <w:tc>
          <w:tcPr>
            <w:tcW w:w="1064" w:type="dxa"/>
            <w:tcBorders>
              <w:top w:val="nil"/>
              <w:left w:val="nil"/>
              <w:bottom w:val="single" w:sz="4" w:space="0" w:color="000000"/>
              <w:right w:val="single" w:sz="8" w:space="0" w:color="000000"/>
            </w:tcBorders>
            <w:shd w:val="clear" w:color="000000" w:fill="F4F9EE"/>
            <w:vAlign w:val="center"/>
          </w:tcPr>
          <w:p w14:paraId="36FF075F" w14:textId="1DC71684" w:rsidR="00603B33" w:rsidRPr="0012521E" w:rsidRDefault="00603B33" w:rsidP="00EC78E4">
            <w:pPr>
              <w:pStyle w:val="Tablerightlarge"/>
              <w:rPr>
                <w:rFonts w:asciiTheme="majorHAnsi" w:hAnsiTheme="majorHAnsi" w:cstheme="majorHAnsi"/>
                <w:highlight w:val="yellow"/>
              </w:rPr>
            </w:pPr>
            <w:r>
              <w:t>4</w:t>
            </w:r>
            <w:r w:rsidR="00A75A08">
              <w:t> </w:t>
            </w:r>
          </w:p>
        </w:tc>
        <w:tc>
          <w:tcPr>
            <w:tcW w:w="974" w:type="dxa"/>
            <w:tcBorders>
              <w:top w:val="nil"/>
              <w:left w:val="nil"/>
              <w:bottom w:val="single" w:sz="4" w:space="0" w:color="000000"/>
              <w:right w:val="single" w:sz="8" w:space="0" w:color="000000"/>
            </w:tcBorders>
            <w:shd w:val="clear" w:color="000000" w:fill="F4F9EE"/>
            <w:vAlign w:val="center"/>
          </w:tcPr>
          <w:p w14:paraId="70CA9090" w14:textId="124699C5" w:rsidR="00603B33" w:rsidRPr="0012521E" w:rsidRDefault="00603B33" w:rsidP="00EC78E4">
            <w:pPr>
              <w:pStyle w:val="Tablerightlarge"/>
              <w:rPr>
                <w:rFonts w:asciiTheme="majorHAnsi" w:hAnsiTheme="majorHAnsi" w:cstheme="majorHAnsi"/>
                <w:highlight w:val="yellow"/>
              </w:rPr>
            </w:pPr>
            <w:r>
              <w:t>0</w:t>
            </w:r>
            <w:r w:rsidR="00A75A08">
              <w:t> </w:t>
            </w:r>
          </w:p>
        </w:tc>
        <w:tc>
          <w:tcPr>
            <w:tcW w:w="989" w:type="dxa"/>
            <w:tcBorders>
              <w:top w:val="nil"/>
              <w:left w:val="nil"/>
              <w:bottom w:val="single" w:sz="4" w:space="0" w:color="000000"/>
              <w:right w:val="single" w:sz="8" w:space="0" w:color="000000"/>
            </w:tcBorders>
            <w:shd w:val="clear" w:color="000000" w:fill="F4F9EE"/>
            <w:vAlign w:val="center"/>
          </w:tcPr>
          <w:p w14:paraId="2618E857" w14:textId="5D834A90" w:rsidR="00603B33" w:rsidRPr="0012521E" w:rsidRDefault="00603B33" w:rsidP="00EC78E4">
            <w:pPr>
              <w:pStyle w:val="Tablerightlarge"/>
              <w:rPr>
                <w:rFonts w:asciiTheme="majorHAnsi" w:hAnsiTheme="majorHAnsi" w:cstheme="majorHAnsi"/>
                <w:highlight w:val="yellow"/>
              </w:rPr>
            </w:pPr>
            <w:r>
              <w:t>0</w:t>
            </w:r>
            <w:r w:rsidR="00A75A08">
              <w:t> </w:t>
            </w:r>
          </w:p>
        </w:tc>
        <w:tc>
          <w:tcPr>
            <w:tcW w:w="994" w:type="dxa"/>
            <w:tcBorders>
              <w:top w:val="nil"/>
              <w:left w:val="nil"/>
              <w:bottom w:val="single" w:sz="4" w:space="0" w:color="000000"/>
              <w:right w:val="single" w:sz="8" w:space="0" w:color="000000"/>
            </w:tcBorders>
            <w:shd w:val="clear" w:color="000000" w:fill="F4F9EE"/>
            <w:vAlign w:val="center"/>
          </w:tcPr>
          <w:p w14:paraId="2496072E" w14:textId="24FB5EAF" w:rsidR="00603B33" w:rsidRPr="0012521E" w:rsidRDefault="00603B33" w:rsidP="00EC78E4">
            <w:pPr>
              <w:pStyle w:val="Tablerightlarge"/>
              <w:rPr>
                <w:rFonts w:asciiTheme="majorHAnsi" w:hAnsiTheme="majorHAnsi" w:cstheme="majorHAnsi"/>
                <w:highlight w:val="yellow"/>
              </w:rPr>
            </w:pPr>
            <w:r>
              <w:t>0</w:t>
            </w:r>
            <w:r w:rsidR="00A75A08">
              <w:t> </w:t>
            </w:r>
          </w:p>
        </w:tc>
        <w:tc>
          <w:tcPr>
            <w:tcW w:w="1066" w:type="dxa"/>
            <w:tcBorders>
              <w:top w:val="nil"/>
              <w:left w:val="nil"/>
              <w:bottom w:val="single" w:sz="4" w:space="0" w:color="000000"/>
              <w:right w:val="single" w:sz="4" w:space="0" w:color="000000"/>
            </w:tcBorders>
            <w:shd w:val="clear" w:color="000000" w:fill="F4F9EE"/>
            <w:vAlign w:val="center"/>
          </w:tcPr>
          <w:p w14:paraId="2A9E44AE" w14:textId="019C0EF2" w:rsidR="00603B33" w:rsidRPr="0012521E" w:rsidRDefault="00603B33" w:rsidP="00EC78E4">
            <w:pPr>
              <w:pStyle w:val="Tablerightlarge"/>
              <w:rPr>
                <w:rFonts w:asciiTheme="majorHAnsi" w:hAnsiTheme="majorHAnsi" w:cstheme="majorHAnsi"/>
                <w:highlight w:val="yellow"/>
              </w:rPr>
            </w:pPr>
            <w:r>
              <w:t>0</w:t>
            </w:r>
            <w:r w:rsidR="00A75A08">
              <w:t> </w:t>
            </w:r>
          </w:p>
        </w:tc>
      </w:tr>
    </w:tbl>
    <w:p w14:paraId="49BB82B0" w14:textId="77777777" w:rsidR="00603B33" w:rsidRPr="0012521E" w:rsidRDefault="00603B33" w:rsidP="00126908">
      <w:pPr>
        <w:pStyle w:val="Heading3"/>
      </w:pPr>
      <w:bookmarkStart w:id="171" w:name="_Toc144884451"/>
      <w:bookmarkStart w:id="172" w:name="_Toc166585741"/>
      <w:r w:rsidRPr="0012521E">
        <w:t>Executive officer data</w:t>
      </w:r>
      <w:bookmarkEnd w:id="168"/>
      <w:bookmarkEnd w:id="169"/>
      <w:bookmarkEnd w:id="170"/>
      <w:bookmarkEnd w:id="171"/>
      <w:bookmarkEnd w:id="172"/>
    </w:p>
    <w:p w14:paraId="3991762D" w14:textId="77777777" w:rsidR="00603B33" w:rsidRPr="0012521E" w:rsidRDefault="00603B33" w:rsidP="00603B33">
      <w:pPr>
        <w:rPr>
          <w:rFonts w:asciiTheme="majorHAnsi" w:hAnsiTheme="majorHAnsi" w:cstheme="majorHAnsi"/>
        </w:rPr>
      </w:pPr>
      <w:r w:rsidRPr="0012521E">
        <w:rPr>
          <w:rFonts w:asciiTheme="majorHAnsi" w:hAnsiTheme="majorHAnsi" w:cstheme="majorHAnsi"/>
        </w:rPr>
        <w:t xml:space="preserve">An Executive Officer is a person employed as a head or other Executive under Part 3, Division 5 of the </w:t>
      </w:r>
      <w:r w:rsidRPr="0012521E">
        <w:rPr>
          <w:rFonts w:asciiTheme="majorHAnsi" w:hAnsiTheme="majorHAnsi" w:cstheme="majorHAnsi"/>
          <w:i/>
        </w:rPr>
        <w:t>Public Administration Act 2004</w:t>
      </w:r>
      <w:r w:rsidRPr="0012521E">
        <w:rPr>
          <w:rFonts w:asciiTheme="majorHAnsi" w:hAnsiTheme="majorHAnsi" w:cstheme="majorHAnsi"/>
        </w:rPr>
        <w:t>.</w:t>
      </w:r>
    </w:p>
    <w:p w14:paraId="1C6F66D4" w14:textId="5BDD639B" w:rsidR="00603B33" w:rsidRPr="0012521E" w:rsidRDefault="00603B33" w:rsidP="00603B33">
      <w:pPr>
        <w:rPr>
          <w:rFonts w:asciiTheme="majorHAnsi" w:hAnsiTheme="majorHAnsi" w:cstheme="majorHAnsi"/>
        </w:rPr>
      </w:pPr>
      <w:r w:rsidRPr="0012521E">
        <w:rPr>
          <w:rFonts w:asciiTheme="majorHAnsi" w:hAnsiTheme="majorHAnsi" w:cstheme="majorHAnsi"/>
        </w:rPr>
        <w:t xml:space="preserve">SV’s </w:t>
      </w:r>
      <w:r w:rsidR="00286566" w:rsidRPr="00286566">
        <w:rPr>
          <w:rFonts w:asciiTheme="majorHAnsi" w:hAnsiTheme="majorHAnsi" w:cstheme="majorHAnsi"/>
        </w:rPr>
        <w:t>seven</w:t>
      </w:r>
      <w:r w:rsidRPr="00286566">
        <w:rPr>
          <w:rFonts w:asciiTheme="majorHAnsi" w:hAnsiTheme="majorHAnsi" w:cstheme="majorHAnsi"/>
        </w:rPr>
        <w:t xml:space="preserve"> executive officers in 202</w:t>
      </w:r>
      <w:r w:rsidR="00F04BC5" w:rsidRPr="00286566">
        <w:rPr>
          <w:rFonts w:asciiTheme="majorHAnsi" w:hAnsiTheme="majorHAnsi" w:cstheme="majorHAnsi"/>
        </w:rPr>
        <w:t>3</w:t>
      </w:r>
      <w:r w:rsidRPr="00286566">
        <w:rPr>
          <w:rFonts w:asciiTheme="majorHAnsi" w:hAnsiTheme="majorHAnsi" w:cstheme="majorHAnsi"/>
        </w:rPr>
        <w:t>–2</w:t>
      </w:r>
      <w:r w:rsidR="00F04BC5" w:rsidRPr="00286566">
        <w:rPr>
          <w:rFonts w:asciiTheme="majorHAnsi" w:hAnsiTheme="majorHAnsi" w:cstheme="majorHAnsi"/>
        </w:rPr>
        <w:t>4</w:t>
      </w:r>
      <w:r w:rsidRPr="0012521E">
        <w:rPr>
          <w:rFonts w:asciiTheme="majorHAnsi" w:hAnsiTheme="majorHAnsi" w:cstheme="majorHAnsi"/>
        </w:rPr>
        <w:t xml:space="preserve"> </w:t>
      </w:r>
      <w:proofErr w:type="gramStart"/>
      <w:r w:rsidRPr="0012521E">
        <w:rPr>
          <w:rFonts w:asciiTheme="majorHAnsi" w:hAnsiTheme="majorHAnsi" w:cstheme="majorHAnsi"/>
        </w:rPr>
        <w:t>were</w:t>
      </w:r>
      <w:proofErr w:type="gramEnd"/>
      <w:r w:rsidRPr="0012521E">
        <w:rPr>
          <w:rFonts w:asciiTheme="majorHAnsi" w:hAnsiTheme="majorHAnsi" w:cstheme="majorHAnsi"/>
        </w:rPr>
        <w:t xml:space="preserve"> responsible for leading the business and providing oversight of strategy and operations. They all held fixed term positions. </w:t>
      </w:r>
      <w:bookmarkStart w:id="173" w:name="_Hlk57545035"/>
      <w:r w:rsidRPr="0012521E">
        <w:rPr>
          <w:rFonts w:asciiTheme="majorHAnsi" w:hAnsiTheme="majorHAnsi" w:cstheme="majorHAnsi"/>
        </w:rPr>
        <w:t xml:space="preserve">The tables below </w:t>
      </w:r>
      <w:bookmarkEnd w:id="173"/>
      <w:r w:rsidRPr="0012521E">
        <w:rPr>
          <w:rFonts w:asciiTheme="majorHAnsi" w:hAnsiTheme="majorHAnsi" w:cstheme="majorHAnsi"/>
        </w:rPr>
        <w:t>show the breakdown of executive officers by gender and reconciliation of executive numbers.</w:t>
      </w:r>
    </w:p>
    <w:p w14:paraId="78C89B9E" w14:textId="3B20309B" w:rsidR="00603B33" w:rsidRPr="0012521E" w:rsidRDefault="00603B33" w:rsidP="00603B33">
      <w:pPr>
        <w:pStyle w:val="Caption"/>
        <w:rPr>
          <w:rFonts w:asciiTheme="majorHAnsi" w:hAnsiTheme="majorHAnsi" w:cstheme="majorHAnsi"/>
        </w:rPr>
      </w:pPr>
      <w:bookmarkStart w:id="174" w:name="_Ref57366662"/>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15</w:t>
      </w:r>
      <w:r w:rsidRPr="0012521E">
        <w:rPr>
          <w:rFonts w:asciiTheme="majorHAnsi" w:hAnsiTheme="majorHAnsi" w:cstheme="majorHAnsi"/>
        </w:rPr>
        <w:fldChar w:fldCharType="end"/>
      </w:r>
      <w:bookmarkEnd w:id="174"/>
      <w:r w:rsidRPr="0012521E">
        <w:rPr>
          <w:rFonts w:asciiTheme="majorHAnsi" w:hAnsiTheme="majorHAnsi" w:cstheme="majorHAnsi"/>
        </w:rPr>
        <w:t>: Breakdown of executive officers by gender</w:t>
      </w:r>
    </w:p>
    <w:tbl>
      <w:tblPr>
        <w:tblStyle w:val="TableGrid10"/>
        <w:tblW w:w="0" w:type="auto"/>
        <w:tblLayout w:type="fixed"/>
        <w:tblLook w:val="04A0" w:firstRow="1" w:lastRow="0" w:firstColumn="1" w:lastColumn="0" w:noHBand="0" w:noVBand="1"/>
      </w:tblPr>
      <w:tblGrid>
        <w:gridCol w:w="1980"/>
        <w:gridCol w:w="1984"/>
        <w:gridCol w:w="2104"/>
        <w:gridCol w:w="1654"/>
        <w:gridCol w:w="1293"/>
      </w:tblGrid>
      <w:tr w:rsidR="00603B33" w:rsidRPr="0012521E" w14:paraId="1D8D09E4" w14:textId="77777777" w:rsidTr="00E159ED">
        <w:trPr>
          <w:trHeight w:val="20"/>
        </w:trPr>
        <w:tc>
          <w:tcPr>
            <w:tcW w:w="1980" w:type="dxa"/>
            <w:shd w:val="clear" w:color="auto" w:fill="D4DFA0" w:themeFill="accent3"/>
          </w:tcPr>
          <w:p w14:paraId="4306FCFA" w14:textId="77777777" w:rsidR="00603B33" w:rsidRPr="00E159ED" w:rsidRDefault="00603B33" w:rsidP="00EC78E4">
            <w:pPr>
              <w:pStyle w:val="tableheader0"/>
              <w:rPr>
                <w:rFonts w:cstheme="majorHAnsi"/>
                <w:color w:val="auto"/>
              </w:rPr>
            </w:pPr>
            <w:r w:rsidRPr="00E159ED">
              <w:rPr>
                <w:rFonts w:cstheme="majorHAnsi"/>
                <w:color w:val="auto"/>
              </w:rPr>
              <w:t>Class</w:t>
            </w:r>
          </w:p>
        </w:tc>
        <w:tc>
          <w:tcPr>
            <w:tcW w:w="1984" w:type="dxa"/>
            <w:shd w:val="clear" w:color="auto" w:fill="D4DFA0" w:themeFill="accent3"/>
          </w:tcPr>
          <w:p w14:paraId="7E23D0F8" w14:textId="77777777" w:rsidR="00603B33" w:rsidRPr="00E159ED" w:rsidRDefault="00603B33" w:rsidP="00EC78E4">
            <w:pPr>
              <w:pStyle w:val="tableheader0"/>
              <w:rPr>
                <w:rFonts w:cstheme="majorHAnsi"/>
                <w:color w:val="auto"/>
              </w:rPr>
            </w:pPr>
            <w:r w:rsidRPr="00E159ED">
              <w:rPr>
                <w:rFonts w:cstheme="majorHAnsi"/>
                <w:color w:val="auto"/>
              </w:rPr>
              <w:t>Man (number)</w:t>
            </w:r>
          </w:p>
        </w:tc>
        <w:tc>
          <w:tcPr>
            <w:tcW w:w="2104" w:type="dxa"/>
            <w:shd w:val="clear" w:color="auto" w:fill="D4DFA0" w:themeFill="accent3"/>
          </w:tcPr>
          <w:p w14:paraId="3F14A53E" w14:textId="77777777" w:rsidR="00603B33" w:rsidRPr="00E159ED" w:rsidRDefault="00603B33" w:rsidP="00EC78E4">
            <w:pPr>
              <w:pStyle w:val="tableheader0"/>
              <w:rPr>
                <w:rFonts w:cstheme="majorHAnsi"/>
                <w:color w:val="auto"/>
              </w:rPr>
            </w:pPr>
            <w:r w:rsidRPr="00E159ED">
              <w:rPr>
                <w:rFonts w:cstheme="majorHAnsi"/>
                <w:color w:val="auto"/>
              </w:rPr>
              <w:t>Woman (number)</w:t>
            </w:r>
          </w:p>
        </w:tc>
        <w:tc>
          <w:tcPr>
            <w:tcW w:w="1654" w:type="dxa"/>
            <w:shd w:val="clear" w:color="auto" w:fill="D4DFA0" w:themeFill="accent3"/>
          </w:tcPr>
          <w:p w14:paraId="16140BC6" w14:textId="77777777" w:rsidR="00603B33" w:rsidRPr="00E159ED" w:rsidRDefault="00603B33" w:rsidP="00EC78E4">
            <w:pPr>
              <w:pStyle w:val="tableheader0"/>
              <w:rPr>
                <w:rFonts w:cstheme="majorHAnsi"/>
                <w:color w:val="auto"/>
              </w:rPr>
            </w:pPr>
            <w:r w:rsidRPr="00E159ED">
              <w:rPr>
                <w:rFonts w:cstheme="majorHAnsi"/>
                <w:color w:val="auto"/>
              </w:rPr>
              <w:t>Self-described (number)</w:t>
            </w:r>
          </w:p>
        </w:tc>
        <w:tc>
          <w:tcPr>
            <w:tcW w:w="1293" w:type="dxa"/>
            <w:shd w:val="clear" w:color="auto" w:fill="D4DFA0" w:themeFill="accent3"/>
          </w:tcPr>
          <w:p w14:paraId="1A147303" w14:textId="77777777" w:rsidR="00603B33" w:rsidRPr="00E159ED" w:rsidRDefault="00603B33" w:rsidP="00EC78E4">
            <w:pPr>
              <w:pStyle w:val="tableheader0"/>
              <w:rPr>
                <w:rFonts w:cstheme="majorHAnsi"/>
                <w:color w:val="auto"/>
              </w:rPr>
            </w:pPr>
            <w:r w:rsidRPr="00E159ED">
              <w:rPr>
                <w:rFonts w:cstheme="majorHAnsi"/>
                <w:color w:val="auto"/>
              </w:rPr>
              <w:t>Vacancies</w:t>
            </w:r>
          </w:p>
        </w:tc>
      </w:tr>
      <w:tr w:rsidR="00603B33" w:rsidRPr="0012521E" w14:paraId="21247972" w14:textId="77777777" w:rsidTr="00944B14">
        <w:trPr>
          <w:trHeight w:val="20"/>
        </w:trPr>
        <w:tc>
          <w:tcPr>
            <w:tcW w:w="1980" w:type="dxa"/>
          </w:tcPr>
          <w:p w14:paraId="46C13476"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SES-3 (E0-1)</w:t>
            </w:r>
          </w:p>
        </w:tc>
        <w:tc>
          <w:tcPr>
            <w:tcW w:w="198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067B64" w14:textId="33311EAC" w:rsidR="00603B33" w:rsidRPr="0012521E" w:rsidRDefault="00603B33" w:rsidP="00EC78E4">
            <w:pPr>
              <w:pStyle w:val="Tablerightlarge"/>
              <w:rPr>
                <w:rFonts w:asciiTheme="majorHAnsi" w:hAnsiTheme="majorHAnsi" w:cstheme="majorHAnsi"/>
              </w:rPr>
            </w:pPr>
            <w:r>
              <w:t>0</w:t>
            </w:r>
            <w:r w:rsidR="00A75A08">
              <w:t> </w:t>
            </w:r>
          </w:p>
        </w:tc>
        <w:tc>
          <w:tcPr>
            <w:tcW w:w="2104" w:type="dxa"/>
            <w:tcBorders>
              <w:top w:val="single" w:sz="8" w:space="0" w:color="000000"/>
              <w:left w:val="nil"/>
              <w:bottom w:val="single" w:sz="8" w:space="0" w:color="000000"/>
              <w:right w:val="single" w:sz="8" w:space="0" w:color="000000"/>
            </w:tcBorders>
            <w:shd w:val="clear" w:color="auto" w:fill="auto"/>
            <w:vAlign w:val="center"/>
          </w:tcPr>
          <w:p w14:paraId="7CB89413" w14:textId="072B3746" w:rsidR="00603B33" w:rsidRPr="0012521E" w:rsidRDefault="00603B33" w:rsidP="00EC78E4">
            <w:pPr>
              <w:pStyle w:val="Tablerightlarge"/>
              <w:rPr>
                <w:rFonts w:asciiTheme="majorHAnsi" w:hAnsiTheme="majorHAnsi" w:cstheme="majorHAnsi"/>
              </w:rPr>
            </w:pPr>
            <w:r>
              <w:t>0</w:t>
            </w:r>
            <w:r w:rsidR="00A75A08">
              <w:t> </w:t>
            </w:r>
          </w:p>
        </w:tc>
        <w:tc>
          <w:tcPr>
            <w:tcW w:w="1654" w:type="dxa"/>
            <w:tcBorders>
              <w:top w:val="single" w:sz="8" w:space="0" w:color="000000"/>
              <w:left w:val="nil"/>
              <w:bottom w:val="single" w:sz="8" w:space="0" w:color="000000"/>
              <w:right w:val="single" w:sz="8" w:space="0" w:color="000000"/>
            </w:tcBorders>
            <w:shd w:val="clear" w:color="auto" w:fill="auto"/>
            <w:vAlign w:val="center"/>
          </w:tcPr>
          <w:p w14:paraId="50159AB5" w14:textId="73DB053F" w:rsidR="00603B33" w:rsidRPr="0012521E" w:rsidRDefault="00603B33" w:rsidP="00EC78E4">
            <w:pPr>
              <w:pStyle w:val="Tablerightlarge"/>
              <w:rPr>
                <w:rFonts w:asciiTheme="majorHAnsi" w:hAnsiTheme="majorHAnsi" w:cstheme="majorHAnsi"/>
              </w:rPr>
            </w:pPr>
            <w:r>
              <w:t>0</w:t>
            </w:r>
            <w:r w:rsidR="00A75A08">
              <w:t> </w:t>
            </w:r>
          </w:p>
        </w:tc>
        <w:tc>
          <w:tcPr>
            <w:tcW w:w="1293" w:type="dxa"/>
            <w:tcBorders>
              <w:top w:val="single" w:sz="8" w:space="0" w:color="000000"/>
              <w:left w:val="nil"/>
              <w:bottom w:val="single" w:sz="8" w:space="0" w:color="000000"/>
              <w:right w:val="single" w:sz="4" w:space="0" w:color="000000"/>
            </w:tcBorders>
            <w:shd w:val="clear" w:color="auto" w:fill="auto"/>
            <w:vAlign w:val="center"/>
          </w:tcPr>
          <w:p w14:paraId="67DCEAB1" w14:textId="28E7DDA9" w:rsidR="00603B33" w:rsidRPr="0012521E" w:rsidRDefault="00603B33" w:rsidP="00EC78E4">
            <w:pPr>
              <w:pStyle w:val="Tablerightlarge"/>
              <w:rPr>
                <w:rFonts w:asciiTheme="majorHAnsi" w:hAnsiTheme="majorHAnsi" w:cstheme="majorHAnsi"/>
              </w:rPr>
            </w:pPr>
            <w:r>
              <w:t>0</w:t>
            </w:r>
            <w:r w:rsidR="00A75A08">
              <w:t> </w:t>
            </w:r>
          </w:p>
        </w:tc>
      </w:tr>
      <w:tr w:rsidR="00603B33" w:rsidRPr="0012521E" w14:paraId="2B0D0D8A" w14:textId="77777777" w:rsidTr="00944B14">
        <w:trPr>
          <w:trHeight w:val="20"/>
        </w:trPr>
        <w:tc>
          <w:tcPr>
            <w:tcW w:w="1980" w:type="dxa"/>
          </w:tcPr>
          <w:p w14:paraId="0F53C888"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SES-2 (E0-2)</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1C40D323" w14:textId="4E487677" w:rsidR="00603B33" w:rsidRPr="0012521E" w:rsidRDefault="00603B33" w:rsidP="00EC78E4">
            <w:pPr>
              <w:pStyle w:val="Tablerightlarge"/>
              <w:rPr>
                <w:rFonts w:asciiTheme="majorHAnsi" w:hAnsiTheme="majorHAnsi" w:cstheme="majorHAnsi"/>
              </w:rPr>
            </w:pPr>
            <w:r>
              <w:t>0</w:t>
            </w:r>
            <w:r w:rsidR="00A75A08">
              <w:t> </w:t>
            </w:r>
          </w:p>
        </w:tc>
        <w:tc>
          <w:tcPr>
            <w:tcW w:w="2104" w:type="dxa"/>
            <w:tcBorders>
              <w:top w:val="nil"/>
              <w:left w:val="nil"/>
              <w:bottom w:val="single" w:sz="8" w:space="0" w:color="000000"/>
              <w:right w:val="single" w:sz="8" w:space="0" w:color="000000"/>
            </w:tcBorders>
            <w:shd w:val="clear" w:color="auto" w:fill="auto"/>
            <w:vAlign w:val="center"/>
          </w:tcPr>
          <w:p w14:paraId="7DF0B55C" w14:textId="036E1A80" w:rsidR="00603B33" w:rsidRPr="0012521E" w:rsidRDefault="00603B33" w:rsidP="00EC78E4">
            <w:pPr>
              <w:pStyle w:val="Tablerightlarge"/>
              <w:rPr>
                <w:rFonts w:asciiTheme="majorHAnsi" w:hAnsiTheme="majorHAnsi" w:cstheme="majorHAnsi"/>
              </w:rPr>
            </w:pPr>
            <w:r>
              <w:t>0</w:t>
            </w:r>
            <w:r w:rsidR="00A75A08">
              <w:t> </w:t>
            </w:r>
          </w:p>
        </w:tc>
        <w:tc>
          <w:tcPr>
            <w:tcW w:w="1654" w:type="dxa"/>
            <w:tcBorders>
              <w:top w:val="nil"/>
              <w:left w:val="nil"/>
              <w:bottom w:val="single" w:sz="8" w:space="0" w:color="000000"/>
              <w:right w:val="single" w:sz="8" w:space="0" w:color="000000"/>
            </w:tcBorders>
            <w:shd w:val="clear" w:color="auto" w:fill="auto"/>
            <w:vAlign w:val="center"/>
          </w:tcPr>
          <w:p w14:paraId="166A8DD9" w14:textId="1047A137" w:rsidR="00603B33" w:rsidRPr="0012521E" w:rsidRDefault="00603B33" w:rsidP="00EC78E4">
            <w:pPr>
              <w:pStyle w:val="Tablerightlarge"/>
              <w:rPr>
                <w:rFonts w:asciiTheme="majorHAnsi" w:hAnsiTheme="majorHAnsi" w:cstheme="majorHAnsi"/>
              </w:rPr>
            </w:pPr>
            <w:r>
              <w:t>0</w:t>
            </w:r>
            <w:r w:rsidR="00A75A08">
              <w:t> </w:t>
            </w:r>
          </w:p>
        </w:tc>
        <w:tc>
          <w:tcPr>
            <w:tcW w:w="1293" w:type="dxa"/>
            <w:tcBorders>
              <w:top w:val="nil"/>
              <w:left w:val="nil"/>
              <w:bottom w:val="single" w:sz="8" w:space="0" w:color="000000"/>
              <w:right w:val="single" w:sz="4" w:space="0" w:color="000000"/>
            </w:tcBorders>
            <w:shd w:val="clear" w:color="auto" w:fill="auto"/>
            <w:vAlign w:val="center"/>
          </w:tcPr>
          <w:p w14:paraId="10D08864" w14:textId="54E843B4" w:rsidR="00603B33" w:rsidRPr="0012521E" w:rsidRDefault="00603B33" w:rsidP="00EC78E4">
            <w:pPr>
              <w:pStyle w:val="Tablerightlarge"/>
              <w:rPr>
                <w:rFonts w:asciiTheme="majorHAnsi" w:hAnsiTheme="majorHAnsi" w:cstheme="majorHAnsi"/>
              </w:rPr>
            </w:pPr>
            <w:r>
              <w:t>0</w:t>
            </w:r>
            <w:r w:rsidR="00A75A08">
              <w:t> </w:t>
            </w:r>
          </w:p>
        </w:tc>
      </w:tr>
      <w:tr w:rsidR="00603B33" w:rsidRPr="0012521E" w14:paraId="2B62A5F2" w14:textId="77777777" w:rsidTr="00944B14">
        <w:trPr>
          <w:trHeight w:val="20"/>
        </w:trPr>
        <w:tc>
          <w:tcPr>
            <w:tcW w:w="1980" w:type="dxa"/>
          </w:tcPr>
          <w:p w14:paraId="2ECD3D3A"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SES-1 (E0-3)</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12B2A899" w14:textId="03E67D46" w:rsidR="00603B33" w:rsidRPr="0012521E" w:rsidRDefault="00603B33" w:rsidP="00EC78E4">
            <w:pPr>
              <w:pStyle w:val="Tablerightlarge"/>
              <w:rPr>
                <w:rFonts w:asciiTheme="majorHAnsi" w:hAnsiTheme="majorHAnsi" w:cstheme="majorHAnsi"/>
              </w:rPr>
            </w:pPr>
            <w:r w:rsidDel="00C60FEC">
              <w:t>2</w:t>
            </w:r>
            <w:r w:rsidR="00A75A08">
              <w:t> </w:t>
            </w:r>
          </w:p>
        </w:tc>
        <w:tc>
          <w:tcPr>
            <w:tcW w:w="2104" w:type="dxa"/>
            <w:tcBorders>
              <w:top w:val="nil"/>
              <w:left w:val="nil"/>
              <w:bottom w:val="single" w:sz="8" w:space="0" w:color="000000"/>
              <w:right w:val="single" w:sz="8" w:space="0" w:color="000000"/>
            </w:tcBorders>
            <w:shd w:val="clear" w:color="auto" w:fill="auto"/>
            <w:vAlign w:val="center"/>
          </w:tcPr>
          <w:p w14:paraId="6AFAB6D8" w14:textId="5E178C51" w:rsidR="00603B33" w:rsidRPr="0012521E" w:rsidRDefault="00A75A08" w:rsidP="00EC78E4">
            <w:pPr>
              <w:pStyle w:val="Tablerightlarge"/>
              <w:rPr>
                <w:rFonts w:asciiTheme="majorHAnsi" w:hAnsiTheme="majorHAnsi" w:cstheme="majorHAnsi"/>
              </w:rPr>
            </w:pPr>
            <w:r>
              <w:t>5</w:t>
            </w:r>
          </w:p>
        </w:tc>
        <w:tc>
          <w:tcPr>
            <w:tcW w:w="1654" w:type="dxa"/>
            <w:tcBorders>
              <w:top w:val="nil"/>
              <w:left w:val="nil"/>
              <w:bottom w:val="single" w:sz="8" w:space="0" w:color="000000"/>
              <w:right w:val="single" w:sz="8" w:space="0" w:color="000000"/>
            </w:tcBorders>
            <w:shd w:val="clear" w:color="auto" w:fill="auto"/>
            <w:vAlign w:val="center"/>
          </w:tcPr>
          <w:p w14:paraId="2F455E54" w14:textId="639CA8D1" w:rsidR="00603B33" w:rsidRPr="0012521E" w:rsidRDefault="00603B33" w:rsidP="00EC78E4">
            <w:pPr>
              <w:pStyle w:val="Tablerightlarge"/>
              <w:rPr>
                <w:rFonts w:asciiTheme="majorHAnsi" w:hAnsiTheme="majorHAnsi" w:cstheme="majorHAnsi"/>
              </w:rPr>
            </w:pPr>
            <w:r>
              <w:t>0</w:t>
            </w:r>
            <w:r w:rsidR="00A75A08">
              <w:t> </w:t>
            </w:r>
          </w:p>
        </w:tc>
        <w:tc>
          <w:tcPr>
            <w:tcW w:w="1293" w:type="dxa"/>
            <w:tcBorders>
              <w:top w:val="nil"/>
              <w:left w:val="nil"/>
              <w:bottom w:val="single" w:sz="8" w:space="0" w:color="000000"/>
              <w:right w:val="single" w:sz="4" w:space="0" w:color="000000"/>
            </w:tcBorders>
            <w:shd w:val="clear" w:color="auto" w:fill="auto"/>
            <w:vAlign w:val="center"/>
          </w:tcPr>
          <w:p w14:paraId="134078B0" w14:textId="407162ED" w:rsidR="00603B33" w:rsidRPr="0012521E" w:rsidRDefault="00603B33" w:rsidP="00EC78E4">
            <w:pPr>
              <w:pStyle w:val="Tablerightlarge"/>
              <w:rPr>
                <w:rFonts w:asciiTheme="majorHAnsi" w:hAnsiTheme="majorHAnsi" w:cstheme="majorHAnsi"/>
              </w:rPr>
            </w:pPr>
            <w:r>
              <w:t>0</w:t>
            </w:r>
            <w:r w:rsidR="00A75A08">
              <w:t> </w:t>
            </w:r>
          </w:p>
        </w:tc>
      </w:tr>
      <w:tr w:rsidR="00603B33" w:rsidRPr="0012521E" w14:paraId="3F5416C1" w14:textId="77777777" w:rsidTr="00944B14">
        <w:trPr>
          <w:trHeight w:val="20"/>
        </w:trPr>
        <w:tc>
          <w:tcPr>
            <w:tcW w:w="1980" w:type="dxa"/>
          </w:tcPr>
          <w:p w14:paraId="0284FCA0"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STS (VPS-7)</w:t>
            </w:r>
          </w:p>
        </w:tc>
        <w:tc>
          <w:tcPr>
            <w:tcW w:w="1984" w:type="dxa"/>
            <w:tcBorders>
              <w:top w:val="nil"/>
              <w:left w:val="single" w:sz="8" w:space="0" w:color="000000"/>
              <w:bottom w:val="single" w:sz="8" w:space="0" w:color="000000"/>
              <w:right w:val="single" w:sz="8" w:space="0" w:color="000000"/>
            </w:tcBorders>
            <w:shd w:val="clear" w:color="auto" w:fill="auto"/>
            <w:vAlign w:val="center"/>
          </w:tcPr>
          <w:p w14:paraId="42DC3315" w14:textId="138F1F48" w:rsidR="00603B33" w:rsidRPr="0012521E" w:rsidRDefault="00603B33" w:rsidP="00EC78E4">
            <w:pPr>
              <w:pStyle w:val="Tablerightlarge"/>
              <w:rPr>
                <w:rFonts w:asciiTheme="majorHAnsi" w:hAnsiTheme="majorHAnsi" w:cstheme="majorHAnsi"/>
              </w:rPr>
            </w:pPr>
            <w:r>
              <w:t>1</w:t>
            </w:r>
            <w:r w:rsidR="00A75A08">
              <w:t> </w:t>
            </w:r>
          </w:p>
        </w:tc>
        <w:tc>
          <w:tcPr>
            <w:tcW w:w="2104" w:type="dxa"/>
            <w:tcBorders>
              <w:top w:val="nil"/>
              <w:left w:val="nil"/>
              <w:bottom w:val="single" w:sz="8" w:space="0" w:color="000000"/>
              <w:right w:val="single" w:sz="8" w:space="0" w:color="000000"/>
            </w:tcBorders>
            <w:shd w:val="clear" w:color="auto" w:fill="auto"/>
            <w:vAlign w:val="center"/>
          </w:tcPr>
          <w:p w14:paraId="14A085E0" w14:textId="77777777" w:rsidR="00603B33" w:rsidRPr="0012521E" w:rsidRDefault="00603B33" w:rsidP="00EC78E4">
            <w:pPr>
              <w:pStyle w:val="Tablerightlarge"/>
              <w:rPr>
                <w:rFonts w:asciiTheme="majorHAnsi" w:hAnsiTheme="majorHAnsi" w:cstheme="majorHAnsi"/>
              </w:rPr>
            </w:pPr>
            <w:r>
              <w:t>3</w:t>
            </w:r>
          </w:p>
        </w:tc>
        <w:tc>
          <w:tcPr>
            <w:tcW w:w="1654" w:type="dxa"/>
            <w:tcBorders>
              <w:top w:val="nil"/>
              <w:left w:val="nil"/>
              <w:bottom w:val="single" w:sz="8" w:space="0" w:color="000000"/>
              <w:right w:val="single" w:sz="8" w:space="0" w:color="000000"/>
            </w:tcBorders>
            <w:shd w:val="clear" w:color="auto" w:fill="auto"/>
            <w:vAlign w:val="center"/>
          </w:tcPr>
          <w:p w14:paraId="6D3C934D" w14:textId="37425607" w:rsidR="00603B33" w:rsidRPr="0012521E" w:rsidRDefault="00603B33" w:rsidP="00EC78E4">
            <w:pPr>
              <w:pStyle w:val="Tablerightlarge"/>
              <w:rPr>
                <w:rFonts w:asciiTheme="majorHAnsi" w:hAnsiTheme="majorHAnsi" w:cstheme="majorHAnsi"/>
              </w:rPr>
            </w:pPr>
            <w:r>
              <w:t>0</w:t>
            </w:r>
            <w:r w:rsidR="00A75A08">
              <w:t> </w:t>
            </w:r>
          </w:p>
        </w:tc>
        <w:tc>
          <w:tcPr>
            <w:tcW w:w="1293" w:type="dxa"/>
            <w:tcBorders>
              <w:top w:val="nil"/>
              <w:left w:val="nil"/>
              <w:bottom w:val="single" w:sz="8" w:space="0" w:color="000000"/>
              <w:right w:val="single" w:sz="4" w:space="0" w:color="000000"/>
            </w:tcBorders>
            <w:shd w:val="clear" w:color="auto" w:fill="auto"/>
            <w:vAlign w:val="center"/>
          </w:tcPr>
          <w:p w14:paraId="47EBE244" w14:textId="04E86066" w:rsidR="00603B33" w:rsidRPr="0012521E" w:rsidRDefault="00603B33" w:rsidP="00EC78E4">
            <w:pPr>
              <w:pStyle w:val="Tablerightlarge"/>
              <w:rPr>
                <w:rFonts w:asciiTheme="majorHAnsi" w:hAnsiTheme="majorHAnsi" w:cstheme="majorHAnsi"/>
              </w:rPr>
            </w:pPr>
            <w:r>
              <w:t>0</w:t>
            </w:r>
            <w:r w:rsidR="00A75A08">
              <w:t> </w:t>
            </w:r>
          </w:p>
        </w:tc>
      </w:tr>
      <w:tr w:rsidR="00603B33" w:rsidRPr="0012521E" w14:paraId="02086D67" w14:textId="77777777" w:rsidTr="00944B14">
        <w:trPr>
          <w:trHeight w:val="20"/>
        </w:trPr>
        <w:tc>
          <w:tcPr>
            <w:tcW w:w="1980" w:type="dxa"/>
            <w:shd w:val="clear" w:color="auto" w:fill="F4F9EE" w:themeFill="accent6" w:themeFillTint="33"/>
          </w:tcPr>
          <w:p w14:paraId="17F9D1F7" w14:textId="77777777" w:rsidR="00603B33" w:rsidRPr="0012521E" w:rsidRDefault="00603B33" w:rsidP="00EC78E4">
            <w:pPr>
              <w:pStyle w:val="TableText"/>
              <w:rPr>
                <w:rFonts w:asciiTheme="majorHAnsi" w:hAnsiTheme="majorHAnsi" w:cstheme="majorHAnsi"/>
              </w:rPr>
            </w:pPr>
            <w:r w:rsidRPr="0012521E">
              <w:rPr>
                <w:rFonts w:asciiTheme="majorHAnsi" w:hAnsiTheme="majorHAnsi" w:cstheme="majorHAnsi"/>
              </w:rPr>
              <w:t>Total</w:t>
            </w:r>
          </w:p>
        </w:tc>
        <w:tc>
          <w:tcPr>
            <w:tcW w:w="1984" w:type="dxa"/>
            <w:tcBorders>
              <w:top w:val="nil"/>
              <w:left w:val="single" w:sz="8" w:space="0" w:color="000000"/>
              <w:bottom w:val="single" w:sz="4" w:space="0" w:color="000000"/>
              <w:right w:val="single" w:sz="8" w:space="0" w:color="000000"/>
            </w:tcBorders>
            <w:shd w:val="clear" w:color="000000" w:fill="F4F9EE"/>
            <w:vAlign w:val="center"/>
          </w:tcPr>
          <w:p w14:paraId="65F8C120" w14:textId="26549014" w:rsidR="00603B33" w:rsidRPr="0012521E" w:rsidRDefault="00603B33" w:rsidP="00EC78E4">
            <w:pPr>
              <w:pStyle w:val="Tablerightlarge"/>
              <w:rPr>
                <w:rFonts w:asciiTheme="majorHAnsi" w:hAnsiTheme="majorHAnsi" w:cstheme="majorHAnsi"/>
                <w:highlight w:val="yellow"/>
              </w:rPr>
            </w:pPr>
            <w:r>
              <w:t>3</w:t>
            </w:r>
            <w:r w:rsidR="00A75A08">
              <w:t> </w:t>
            </w:r>
          </w:p>
        </w:tc>
        <w:tc>
          <w:tcPr>
            <w:tcW w:w="2104" w:type="dxa"/>
            <w:tcBorders>
              <w:top w:val="nil"/>
              <w:left w:val="nil"/>
              <w:bottom w:val="single" w:sz="4" w:space="0" w:color="000000"/>
              <w:right w:val="single" w:sz="8" w:space="0" w:color="000000"/>
            </w:tcBorders>
            <w:shd w:val="clear" w:color="000000" w:fill="F4F9EE"/>
            <w:vAlign w:val="center"/>
          </w:tcPr>
          <w:p w14:paraId="1315E502" w14:textId="3E0621C7" w:rsidR="00603B33" w:rsidRPr="0012521E" w:rsidRDefault="00A75A08" w:rsidP="00EC78E4">
            <w:pPr>
              <w:pStyle w:val="Tablerightlarge"/>
              <w:rPr>
                <w:rFonts w:asciiTheme="majorHAnsi" w:hAnsiTheme="majorHAnsi" w:cstheme="majorHAnsi"/>
                <w:highlight w:val="yellow"/>
              </w:rPr>
            </w:pPr>
            <w:r>
              <w:t>8</w:t>
            </w:r>
          </w:p>
        </w:tc>
        <w:tc>
          <w:tcPr>
            <w:tcW w:w="1654" w:type="dxa"/>
            <w:tcBorders>
              <w:top w:val="nil"/>
              <w:left w:val="nil"/>
              <w:bottom w:val="single" w:sz="4" w:space="0" w:color="000000"/>
              <w:right w:val="single" w:sz="8" w:space="0" w:color="000000"/>
            </w:tcBorders>
            <w:shd w:val="clear" w:color="000000" w:fill="F4F9EE"/>
            <w:vAlign w:val="center"/>
          </w:tcPr>
          <w:p w14:paraId="49FF4548" w14:textId="2730500F" w:rsidR="00603B33" w:rsidRPr="0012521E" w:rsidRDefault="00603B33" w:rsidP="00EC78E4">
            <w:pPr>
              <w:pStyle w:val="Tablerightlarge"/>
              <w:rPr>
                <w:rFonts w:asciiTheme="majorHAnsi" w:hAnsiTheme="majorHAnsi" w:cstheme="majorHAnsi"/>
                <w:highlight w:val="yellow"/>
              </w:rPr>
            </w:pPr>
            <w:r>
              <w:t>0</w:t>
            </w:r>
            <w:r w:rsidR="00A75A08">
              <w:t> </w:t>
            </w:r>
          </w:p>
        </w:tc>
        <w:tc>
          <w:tcPr>
            <w:tcW w:w="1293" w:type="dxa"/>
            <w:tcBorders>
              <w:top w:val="nil"/>
              <w:left w:val="nil"/>
              <w:bottom w:val="single" w:sz="4" w:space="0" w:color="000000"/>
              <w:right w:val="single" w:sz="4" w:space="0" w:color="000000"/>
            </w:tcBorders>
            <w:shd w:val="clear" w:color="000000" w:fill="F4F9EE"/>
            <w:vAlign w:val="center"/>
          </w:tcPr>
          <w:p w14:paraId="6111C6E7" w14:textId="4C6897A4" w:rsidR="00603B33" w:rsidRPr="0012521E" w:rsidRDefault="00603B33" w:rsidP="00EC78E4">
            <w:pPr>
              <w:pStyle w:val="Tablerightlarge"/>
              <w:rPr>
                <w:rFonts w:asciiTheme="majorHAnsi" w:hAnsiTheme="majorHAnsi" w:cstheme="majorHAnsi"/>
                <w:highlight w:val="yellow"/>
              </w:rPr>
            </w:pPr>
            <w:r>
              <w:t>0</w:t>
            </w:r>
            <w:r w:rsidR="00A75A08">
              <w:t> </w:t>
            </w:r>
          </w:p>
        </w:tc>
      </w:tr>
    </w:tbl>
    <w:p w14:paraId="1859C7F6" w14:textId="57B70B21" w:rsidR="00603B33" w:rsidRPr="0012521E" w:rsidRDefault="00603B33" w:rsidP="00603B33">
      <w:pPr>
        <w:pStyle w:val="Caption"/>
        <w:rPr>
          <w:rFonts w:asciiTheme="majorHAnsi" w:hAnsiTheme="majorHAnsi" w:cstheme="majorHAnsi"/>
        </w:rPr>
      </w:pPr>
      <w:bookmarkStart w:id="175" w:name="_Ref57545010"/>
      <w:r w:rsidRPr="0012521E">
        <w:rPr>
          <w:rFonts w:asciiTheme="majorHAnsi" w:hAnsiTheme="majorHAnsi" w:cstheme="majorHAnsi"/>
        </w:rPr>
        <w:lastRenderedPageBreak/>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16</w:t>
      </w:r>
      <w:r w:rsidRPr="0012521E">
        <w:rPr>
          <w:rFonts w:asciiTheme="majorHAnsi" w:hAnsiTheme="majorHAnsi" w:cstheme="majorHAnsi"/>
        </w:rPr>
        <w:fldChar w:fldCharType="end"/>
      </w:r>
      <w:bookmarkEnd w:id="175"/>
      <w:r w:rsidRPr="0012521E">
        <w:rPr>
          <w:rFonts w:asciiTheme="majorHAnsi" w:hAnsiTheme="majorHAnsi" w:cstheme="majorHAnsi"/>
        </w:rPr>
        <w:t>: Reconciliation of executive numbers from 202</w:t>
      </w:r>
      <w:r w:rsidR="00F04BC5" w:rsidRPr="0012521E">
        <w:rPr>
          <w:rFonts w:asciiTheme="majorHAnsi" w:hAnsiTheme="majorHAnsi" w:cstheme="majorHAnsi"/>
        </w:rPr>
        <w:t>1</w:t>
      </w:r>
      <w:r w:rsidRPr="0012521E">
        <w:rPr>
          <w:rFonts w:asciiTheme="majorHAnsi" w:hAnsiTheme="majorHAnsi" w:cstheme="majorHAnsi"/>
        </w:rPr>
        <w:t>–2</w:t>
      </w:r>
      <w:r w:rsidR="00F04BC5" w:rsidRPr="0012521E">
        <w:rPr>
          <w:rFonts w:asciiTheme="majorHAnsi" w:hAnsiTheme="majorHAnsi" w:cstheme="majorHAnsi"/>
        </w:rPr>
        <w:t>2</w:t>
      </w:r>
      <w:r w:rsidRPr="0012521E">
        <w:rPr>
          <w:rFonts w:asciiTheme="majorHAnsi" w:hAnsiTheme="majorHAnsi" w:cstheme="majorHAnsi"/>
        </w:rPr>
        <w:t xml:space="preserve"> to </w:t>
      </w:r>
      <w:r w:rsidR="007B4783">
        <w:rPr>
          <w:rFonts w:asciiTheme="majorHAnsi" w:hAnsiTheme="majorHAnsi" w:cstheme="majorHAnsi"/>
        </w:rPr>
        <w:t>2023–24</w:t>
      </w:r>
    </w:p>
    <w:tbl>
      <w:tblPr>
        <w:tblStyle w:val="TableGrid10"/>
        <w:tblW w:w="0" w:type="auto"/>
        <w:tblLook w:val="04A0" w:firstRow="1" w:lastRow="0" w:firstColumn="1" w:lastColumn="0" w:noHBand="0" w:noVBand="1"/>
      </w:tblPr>
      <w:tblGrid>
        <w:gridCol w:w="3702"/>
        <w:gridCol w:w="1073"/>
        <w:gridCol w:w="1073"/>
        <w:gridCol w:w="1073"/>
      </w:tblGrid>
      <w:tr w:rsidR="00603B33" w:rsidRPr="0012521E" w14:paraId="25E55632" w14:textId="77777777" w:rsidTr="00E159ED">
        <w:trPr>
          <w:trHeight w:val="424"/>
        </w:trPr>
        <w:tc>
          <w:tcPr>
            <w:tcW w:w="0" w:type="auto"/>
            <w:shd w:val="clear" w:color="auto" w:fill="D4DFA0" w:themeFill="accent3"/>
          </w:tcPr>
          <w:p w14:paraId="4758DD0B" w14:textId="77777777" w:rsidR="00603B33" w:rsidRPr="00E159ED" w:rsidRDefault="00603B33" w:rsidP="00EC78E4">
            <w:pPr>
              <w:pStyle w:val="tableheader0"/>
              <w:rPr>
                <w:rFonts w:cstheme="majorHAnsi"/>
                <w:color w:val="auto"/>
              </w:rPr>
            </w:pPr>
          </w:p>
        </w:tc>
        <w:tc>
          <w:tcPr>
            <w:tcW w:w="0" w:type="auto"/>
            <w:shd w:val="clear" w:color="auto" w:fill="D4DFA0" w:themeFill="accent3"/>
          </w:tcPr>
          <w:p w14:paraId="3724D413" w14:textId="320CF33A" w:rsidR="00603B33" w:rsidRPr="00E159ED" w:rsidRDefault="00603B33" w:rsidP="00EC78E4">
            <w:pPr>
              <w:pStyle w:val="tableheader0"/>
              <w:rPr>
                <w:rFonts w:cstheme="majorHAnsi"/>
                <w:color w:val="auto"/>
              </w:rPr>
            </w:pPr>
            <w:r w:rsidRPr="00E159ED">
              <w:rPr>
                <w:rFonts w:cstheme="majorHAnsi"/>
                <w:color w:val="auto"/>
              </w:rPr>
              <w:t>202</w:t>
            </w:r>
            <w:r w:rsidR="0069244D" w:rsidRPr="00E159ED">
              <w:rPr>
                <w:rFonts w:cstheme="majorHAnsi"/>
                <w:color w:val="auto"/>
              </w:rPr>
              <w:t>3</w:t>
            </w:r>
            <w:r w:rsidRPr="00E159ED">
              <w:rPr>
                <w:rFonts w:cstheme="majorHAnsi"/>
                <w:color w:val="auto"/>
              </w:rPr>
              <w:t>–2</w:t>
            </w:r>
            <w:r w:rsidR="0069244D" w:rsidRPr="00E159ED">
              <w:rPr>
                <w:rFonts w:cstheme="majorHAnsi"/>
                <w:color w:val="auto"/>
              </w:rPr>
              <w:t>4</w:t>
            </w:r>
          </w:p>
        </w:tc>
        <w:tc>
          <w:tcPr>
            <w:tcW w:w="0" w:type="auto"/>
            <w:shd w:val="clear" w:color="auto" w:fill="D4DFA0" w:themeFill="accent3"/>
          </w:tcPr>
          <w:p w14:paraId="1AE8B805" w14:textId="70FDC3FD" w:rsidR="00603B33" w:rsidRPr="00E159ED" w:rsidRDefault="00603B33" w:rsidP="00EC78E4">
            <w:pPr>
              <w:pStyle w:val="tableheader0"/>
              <w:rPr>
                <w:rFonts w:cstheme="majorHAnsi"/>
                <w:color w:val="auto"/>
              </w:rPr>
            </w:pPr>
            <w:r w:rsidRPr="00E159ED">
              <w:rPr>
                <w:rFonts w:cstheme="majorHAnsi"/>
                <w:color w:val="auto"/>
              </w:rPr>
              <w:t>202</w:t>
            </w:r>
            <w:r w:rsidR="0069244D" w:rsidRPr="00E159ED">
              <w:rPr>
                <w:rFonts w:cstheme="majorHAnsi"/>
                <w:color w:val="auto"/>
              </w:rPr>
              <w:t>2</w:t>
            </w:r>
            <w:r w:rsidRPr="00E159ED">
              <w:rPr>
                <w:rFonts w:cstheme="majorHAnsi"/>
                <w:color w:val="auto"/>
              </w:rPr>
              <w:t>–2</w:t>
            </w:r>
            <w:r w:rsidR="0069244D" w:rsidRPr="00E159ED">
              <w:rPr>
                <w:rFonts w:cstheme="majorHAnsi"/>
                <w:color w:val="auto"/>
              </w:rPr>
              <w:t>3</w:t>
            </w:r>
          </w:p>
        </w:tc>
        <w:tc>
          <w:tcPr>
            <w:tcW w:w="0" w:type="auto"/>
            <w:shd w:val="clear" w:color="auto" w:fill="D4DFA0" w:themeFill="accent3"/>
          </w:tcPr>
          <w:p w14:paraId="6CE8467F" w14:textId="5AD12D21" w:rsidR="00603B33" w:rsidRPr="00E159ED" w:rsidRDefault="00603B33" w:rsidP="00EC78E4">
            <w:pPr>
              <w:pStyle w:val="tableheader0"/>
              <w:rPr>
                <w:rFonts w:cstheme="majorHAnsi"/>
                <w:color w:val="auto"/>
              </w:rPr>
            </w:pPr>
            <w:r w:rsidRPr="00E159ED">
              <w:rPr>
                <w:rFonts w:cstheme="majorHAnsi"/>
                <w:color w:val="auto"/>
              </w:rPr>
              <w:t>202</w:t>
            </w:r>
            <w:r w:rsidR="0069244D" w:rsidRPr="00E159ED">
              <w:rPr>
                <w:rFonts w:cstheme="majorHAnsi"/>
                <w:color w:val="auto"/>
              </w:rPr>
              <w:t>1</w:t>
            </w:r>
            <w:r w:rsidRPr="00E159ED">
              <w:rPr>
                <w:rFonts w:cstheme="majorHAnsi"/>
                <w:color w:val="auto"/>
              </w:rPr>
              <w:t>–2</w:t>
            </w:r>
            <w:r w:rsidR="0069244D" w:rsidRPr="00E159ED">
              <w:rPr>
                <w:rFonts w:cstheme="majorHAnsi"/>
                <w:color w:val="auto"/>
              </w:rPr>
              <w:t>2</w:t>
            </w:r>
          </w:p>
        </w:tc>
      </w:tr>
      <w:tr w:rsidR="00081579" w:rsidRPr="0012521E" w14:paraId="35B7F76C" w14:textId="77777777" w:rsidTr="00EC78E4">
        <w:trPr>
          <w:trHeight w:val="20"/>
        </w:trPr>
        <w:tc>
          <w:tcPr>
            <w:tcW w:w="0" w:type="auto"/>
          </w:tcPr>
          <w:p w14:paraId="6A2890E8" w14:textId="77777777" w:rsidR="00081579" w:rsidRPr="0012521E" w:rsidRDefault="00081579" w:rsidP="00081579">
            <w:pPr>
              <w:pStyle w:val="TableText"/>
              <w:rPr>
                <w:rFonts w:asciiTheme="majorHAnsi" w:hAnsiTheme="majorHAnsi" w:cstheme="majorHAnsi"/>
              </w:rPr>
            </w:pPr>
            <w:r w:rsidRPr="0012521E">
              <w:rPr>
                <w:rFonts w:asciiTheme="majorHAnsi" w:hAnsiTheme="majorHAnsi" w:cstheme="majorHAnsi"/>
              </w:rPr>
              <w:t xml:space="preserve">Executives </w:t>
            </w:r>
          </w:p>
        </w:tc>
        <w:tc>
          <w:tcPr>
            <w:tcW w:w="0" w:type="auto"/>
          </w:tcPr>
          <w:p w14:paraId="314BFED5" w14:textId="10330802" w:rsidR="00081579" w:rsidRPr="00EF5485" w:rsidRDefault="4DBBFA9C" w:rsidP="00081579">
            <w:pPr>
              <w:pStyle w:val="Tablerightlarge"/>
              <w:rPr>
                <w:rFonts w:asciiTheme="majorHAnsi" w:hAnsiTheme="majorHAnsi" w:cstheme="majorBidi"/>
              </w:rPr>
            </w:pPr>
            <w:r w:rsidRPr="00EF5485">
              <w:rPr>
                <w:rFonts w:asciiTheme="majorHAnsi" w:hAnsiTheme="majorHAnsi" w:cstheme="majorBidi"/>
              </w:rPr>
              <w:t>7</w:t>
            </w:r>
          </w:p>
        </w:tc>
        <w:tc>
          <w:tcPr>
            <w:tcW w:w="0" w:type="auto"/>
          </w:tcPr>
          <w:p w14:paraId="4B7BF018" w14:textId="1D447B7D" w:rsidR="00081579" w:rsidRPr="0012521E" w:rsidRDefault="00081579" w:rsidP="00081579">
            <w:pPr>
              <w:pStyle w:val="Tablerightlarge"/>
              <w:rPr>
                <w:rFonts w:asciiTheme="majorHAnsi" w:hAnsiTheme="majorHAnsi" w:cstheme="majorHAnsi"/>
                <w:highlight w:val="yellow"/>
              </w:rPr>
            </w:pPr>
            <w:r>
              <w:t>7</w:t>
            </w:r>
          </w:p>
        </w:tc>
        <w:tc>
          <w:tcPr>
            <w:tcW w:w="0" w:type="auto"/>
          </w:tcPr>
          <w:p w14:paraId="6CB6A3D4" w14:textId="67423A48" w:rsidR="00081579" w:rsidRPr="0012521E" w:rsidRDefault="00081579" w:rsidP="00081579">
            <w:pPr>
              <w:pStyle w:val="Tablerightlarge"/>
              <w:rPr>
                <w:rFonts w:asciiTheme="majorHAnsi" w:hAnsiTheme="majorHAnsi" w:cstheme="majorHAnsi"/>
                <w:highlight w:val="yellow"/>
              </w:rPr>
            </w:pPr>
            <w:r>
              <w:t>9</w:t>
            </w:r>
          </w:p>
        </w:tc>
      </w:tr>
      <w:tr w:rsidR="00081579" w:rsidRPr="0012521E" w14:paraId="259685FD" w14:textId="77777777" w:rsidTr="00EC78E4">
        <w:trPr>
          <w:trHeight w:val="20"/>
        </w:trPr>
        <w:tc>
          <w:tcPr>
            <w:tcW w:w="0" w:type="auto"/>
          </w:tcPr>
          <w:p w14:paraId="6D9BCA5D" w14:textId="77777777" w:rsidR="00081579" w:rsidRPr="0012521E" w:rsidRDefault="00081579" w:rsidP="00081579">
            <w:pPr>
              <w:pStyle w:val="TableText"/>
              <w:rPr>
                <w:rFonts w:asciiTheme="majorHAnsi" w:hAnsiTheme="majorHAnsi" w:cstheme="majorHAnsi"/>
              </w:rPr>
            </w:pPr>
            <w:r w:rsidRPr="0012521E">
              <w:rPr>
                <w:rFonts w:asciiTheme="majorHAnsi" w:hAnsiTheme="majorHAnsi" w:cstheme="majorHAnsi"/>
              </w:rPr>
              <w:t xml:space="preserve">Less separations </w:t>
            </w:r>
          </w:p>
        </w:tc>
        <w:tc>
          <w:tcPr>
            <w:tcW w:w="0" w:type="auto"/>
          </w:tcPr>
          <w:p w14:paraId="0CAF53B7" w14:textId="60F36E4E" w:rsidR="00081579" w:rsidRPr="00EF5485" w:rsidRDefault="00EF5485" w:rsidP="00081579">
            <w:pPr>
              <w:pStyle w:val="Tablerightlarge"/>
              <w:rPr>
                <w:rFonts w:asciiTheme="majorHAnsi" w:hAnsiTheme="majorHAnsi" w:cstheme="majorHAnsi"/>
              </w:rPr>
            </w:pPr>
            <w:r>
              <w:rPr>
                <w:rFonts w:asciiTheme="majorHAnsi" w:hAnsiTheme="majorHAnsi" w:cstheme="majorHAnsi"/>
              </w:rPr>
              <w:t>0</w:t>
            </w:r>
          </w:p>
        </w:tc>
        <w:tc>
          <w:tcPr>
            <w:tcW w:w="0" w:type="auto"/>
          </w:tcPr>
          <w:p w14:paraId="3D2B45C2" w14:textId="72C2CE1F" w:rsidR="00081579" w:rsidRPr="0012521E" w:rsidRDefault="00081579" w:rsidP="00081579">
            <w:pPr>
              <w:pStyle w:val="Tablerightlarge"/>
              <w:rPr>
                <w:rFonts w:asciiTheme="majorHAnsi" w:hAnsiTheme="majorHAnsi" w:cstheme="majorHAnsi"/>
                <w:highlight w:val="yellow"/>
              </w:rPr>
            </w:pPr>
            <w:r>
              <w:t>2</w:t>
            </w:r>
          </w:p>
        </w:tc>
        <w:tc>
          <w:tcPr>
            <w:tcW w:w="0" w:type="auto"/>
          </w:tcPr>
          <w:p w14:paraId="401FF8BF" w14:textId="366A5FAB" w:rsidR="00081579" w:rsidRPr="0012521E" w:rsidRDefault="00081579" w:rsidP="00081579">
            <w:pPr>
              <w:pStyle w:val="Tablerightlarge"/>
              <w:rPr>
                <w:rFonts w:asciiTheme="majorHAnsi" w:hAnsiTheme="majorHAnsi" w:cstheme="majorHAnsi"/>
                <w:highlight w:val="yellow"/>
              </w:rPr>
            </w:pPr>
            <w:r>
              <w:t>1</w:t>
            </w:r>
          </w:p>
        </w:tc>
      </w:tr>
      <w:tr w:rsidR="00081579" w:rsidRPr="0012521E" w14:paraId="3FE7CBBC" w14:textId="77777777" w:rsidTr="00EC78E4">
        <w:trPr>
          <w:trHeight w:val="20"/>
        </w:trPr>
        <w:tc>
          <w:tcPr>
            <w:tcW w:w="0" w:type="auto"/>
          </w:tcPr>
          <w:p w14:paraId="1A9F0325" w14:textId="77777777" w:rsidR="00081579" w:rsidRPr="0012521E" w:rsidRDefault="00081579" w:rsidP="00081579">
            <w:pPr>
              <w:pStyle w:val="TableText"/>
              <w:rPr>
                <w:rFonts w:asciiTheme="majorHAnsi" w:hAnsiTheme="majorHAnsi" w:cstheme="majorHAnsi"/>
              </w:rPr>
            </w:pPr>
            <w:r w:rsidRPr="0012521E">
              <w:rPr>
                <w:rFonts w:asciiTheme="majorHAnsi" w:hAnsiTheme="majorHAnsi" w:cstheme="majorHAnsi"/>
              </w:rPr>
              <w:t xml:space="preserve">Leave without pay </w:t>
            </w:r>
          </w:p>
        </w:tc>
        <w:tc>
          <w:tcPr>
            <w:tcW w:w="0" w:type="auto"/>
          </w:tcPr>
          <w:p w14:paraId="614859D0" w14:textId="03943036" w:rsidR="00081579" w:rsidRPr="00EF5485" w:rsidRDefault="00EF5485" w:rsidP="00081579">
            <w:pPr>
              <w:pStyle w:val="Tablerightlarge"/>
              <w:rPr>
                <w:rFonts w:asciiTheme="majorHAnsi" w:hAnsiTheme="majorHAnsi" w:cstheme="majorHAnsi"/>
              </w:rPr>
            </w:pPr>
            <w:r>
              <w:rPr>
                <w:rFonts w:asciiTheme="majorHAnsi" w:hAnsiTheme="majorHAnsi" w:cstheme="majorHAnsi"/>
              </w:rPr>
              <w:t>0</w:t>
            </w:r>
          </w:p>
        </w:tc>
        <w:tc>
          <w:tcPr>
            <w:tcW w:w="0" w:type="auto"/>
          </w:tcPr>
          <w:p w14:paraId="2FAA6352" w14:textId="29E4E5E2" w:rsidR="00081579" w:rsidRPr="0012521E" w:rsidRDefault="00081579" w:rsidP="00081579">
            <w:pPr>
              <w:pStyle w:val="Tablerightlarge"/>
              <w:rPr>
                <w:rFonts w:asciiTheme="majorHAnsi" w:hAnsiTheme="majorHAnsi" w:cstheme="majorHAnsi"/>
                <w:highlight w:val="yellow"/>
              </w:rPr>
            </w:pPr>
            <w:r>
              <w:t>0</w:t>
            </w:r>
          </w:p>
        </w:tc>
        <w:tc>
          <w:tcPr>
            <w:tcW w:w="0" w:type="auto"/>
          </w:tcPr>
          <w:p w14:paraId="36B103B3" w14:textId="4D53E2DF" w:rsidR="00081579" w:rsidRPr="0012521E" w:rsidRDefault="00081579" w:rsidP="00081579">
            <w:pPr>
              <w:pStyle w:val="Tablerightlarge"/>
              <w:rPr>
                <w:rFonts w:asciiTheme="majorHAnsi" w:hAnsiTheme="majorHAnsi" w:cstheme="majorHAnsi"/>
                <w:highlight w:val="yellow"/>
              </w:rPr>
            </w:pPr>
            <w:r>
              <w:t>0</w:t>
            </w:r>
          </w:p>
        </w:tc>
      </w:tr>
      <w:tr w:rsidR="00081579" w:rsidRPr="0012521E" w14:paraId="6B98C2B4" w14:textId="77777777" w:rsidTr="00EC78E4">
        <w:trPr>
          <w:trHeight w:val="20"/>
        </w:trPr>
        <w:tc>
          <w:tcPr>
            <w:tcW w:w="0" w:type="auto"/>
          </w:tcPr>
          <w:p w14:paraId="3A7FBFBE" w14:textId="05CEEBE0" w:rsidR="00081579" w:rsidRPr="0012521E" w:rsidRDefault="00081579" w:rsidP="00081579">
            <w:pPr>
              <w:pStyle w:val="TableText"/>
              <w:rPr>
                <w:rFonts w:asciiTheme="majorHAnsi" w:hAnsiTheme="majorHAnsi" w:cstheme="majorHAnsi"/>
              </w:rPr>
            </w:pPr>
            <w:r w:rsidRPr="0012521E">
              <w:rPr>
                <w:rFonts w:asciiTheme="majorHAnsi" w:hAnsiTheme="majorHAnsi" w:cstheme="majorHAnsi"/>
              </w:rPr>
              <w:t>Long-term acting arrangements</w:t>
            </w:r>
          </w:p>
        </w:tc>
        <w:tc>
          <w:tcPr>
            <w:tcW w:w="0" w:type="auto"/>
          </w:tcPr>
          <w:p w14:paraId="51EBAAB3" w14:textId="0C05F65D" w:rsidR="00081579" w:rsidRPr="00EF5485" w:rsidRDefault="00EF5485" w:rsidP="00081579">
            <w:pPr>
              <w:pStyle w:val="Tablerightlarge"/>
              <w:rPr>
                <w:rFonts w:asciiTheme="majorHAnsi" w:hAnsiTheme="majorHAnsi" w:cstheme="majorHAnsi"/>
              </w:rPr>
            </w:pPr>
            <w:r>
              <w:rPr>
                <w:rFonts w:asciiTheme="majorHAnsi" w:hAnsiTheme="majorHAnsi" w:cstheme="majorHAnsi"/>
              </w:rPr>
              <w:t>0</w:t>
            </w:r>
          </w:p>
        </w:tc>
        <w:tc>
          <w:tcPr>
            <w:tcW w:w="0" w:type="auto"/>
          </w:tcPr>
          <w:p w14:paraId="5900643A" w14:textId="263361B3" w:rsidR="00081579" w:rsidRPr="0012521E" w:rsidRDefault="00081579" w:rsidP="00081579">
            <w:pPr>
              <w:pStyle w:val="Tablerightlarge"/>
              <w:rPr>
                <w:rFonts w:asciiTheme="majorHAnsi" w:hAnsiTheme="majorHAnsi" w:cstheme="majorHAnsi"/>
                <w:highlight w:val="yellow"/>
              </w:rPr>
            </w:pPr>
            <w:r>
              <w:t>0</w:t>
            </w:r>
          </w:p>
        </w:tc>
        <w:tc>
          <w:tcPr>
            <w:tcW w:w="0" w:type="auto"/>
          </w:tcPr>
          <w:p w14:paraId="7F11DEAE" w14:textId="1C37DDF5" w:rsidR="00081579" w:rsidRPr="0012521E" w:rsidRDefault="00081579" w:rsidP="00081579">
            <w:pPr>
              <w:pStyle w:val="Tablerightlarge"/>
              <w:rPr>
                <w:rFonts w:asciiTheme="majorHAnsi" w:hAnsiTheme="majorHAnsi" w:cstheme="majorHAnsi"/>
                <w:highlight w:val="yellow"/>
              </w:rPr>
            </w:pPr>
            <w:r>
              <w:t>2</w:t>
            </w:r>
          </w:p>
        </w:tc>
      </w:tr>
      <w:tr w:rsidR="00081579" w:rsidRPr="0012521E" w14:paraId="2D6B041C" w14:textId="77777777" w:rsidTr="00EC78E4">
        <w:trPr>
          <w:trHeight w:val="20"/>
        </w:trPr>
        <w:tc>
          <w:tcPr>
            <w:tcW w:w="0" w:type="auto"/>
          </w:tcPr>
          <w:p w14:paraId="5E725937" w14:textId="77777777" w:rsidR="00081579" w:rsidRPr="0012521E" w:rsidRDefault="00081579" w:rsidP="00081579">
            <w:pPr>
              <w:pStyle w:val="TableText"/>
              <w:rPr>
                <w:rFonts w:asciiTheme="majorHAnsi" w:hAnsiTheme="majorHAnsi" w:cstheme="majorHAnsi"/>
              </w:rPr>
            </w:pPr>
            <w:r w:rsidRPr="0012521E">
              <w:rPr>
                <w:rFonts w:asciiTheme="majorHAnsi" w:hAnsiTheme="majorHAnsi" w:cstheme="majorHAnsi"/>
              </w:rPr>
              <w:t xml:space="preserve">Total executive numbers </w:t>
            </w:r>
            <w:proofErr w:type="gramStart"/>
            <w:r w:rsidRPr="0012521E">
              <w:rPr>
                <w:rFonts w:asciiTheme="majorHAnsi" w:hAnsiTheme="majorHAnsi" w:cstheme="majorHAnsi"/>
              </w:rPr>
              <w:t>at</w:t>
            </w:r>
            <w:proofErr w:type="gramEnd"/>
            <w:r w:rsidRPr="0012521E">
              <w:rPr>
                <w:rFonts w:asciiTheme="majorHAnsi" w:hAnsiTheme="majorHAnsi" w:cstheme="majorHAnsi"/>
              </w:rPr>
              <w:t xml:space="preserve"> 30 June</w:t>
            </w:r>
          </w:p>
        </w:tc>
        <w:tc>
          <w:tcPr>
            <w:tcW w:w="0" w:type="auto"/>
          </w:tcPr>
          <w:p w14:paraId="63D58D7D" w14:textId="295C1207" w:rsidR="00081579" w:rsidRPr="00EF5485" w:rsidRDefault="00310D18" w:rsidP="00081579">
            <w:pPr>
              <w:pStyle w:val="Tablerightlarge"/>
              <w:rPr>
                <w:rFonts w:asciiTheme="majorHAnsi" w:hAnsiTheme="majorHAnsi" w:cstheme="majorBidi"/>
              </w:rPr>
            </w:pPr>
            <w:r>
              <w:rPr>
                <w:rFonts w:asciiTheme="majorHAnsi" w:hAnsiTheme="majorHAnsi" w:cstheme="majorBidi"/>
              </w:rPr>
              <w:t>7</w:t>
            </w:r>
          </w:p>
        </w:tc>
        <w:tc>
          <w:tcPr>
            <w:tcW w:w="0" w:type="auto"/>
          </w:tcPr>
          <w:p w14:paraId="12A1CD94" w14:textId="264AAFE3" w:rsidR="00081579" w:rsidRPr="0012521E" w:rsidRDefault="00081579" w:rsidP="00081579">
            <w:pPr>
              <w:pStyle w:val="Tablerightlarge"/>
              <w:rPr>
                <w:rFonts w:asciiTheme="majorHAnsi" w:hAnsiTheme="majorHAnsi" w:cstheme="majorHAnsi"/>
                <w:highlight w:val="yellow"/>
              </w:rPr>
            </w:pPr>
            <w:r w:rsidRPr="000B7CA0">
              <w:t>5</w:t>
            </w:r>
          </w:p>
        </w:tc>
        <w:tc>
          <w:tcPr>
            <w:tcW w:w="0" w:type="auto"/>
          </w:tcPr>
          <w:p w14:paraId="64586015" w14:textId="1A4A4D91" w:rsidR="00081579" w:rsidRPr="0012521E" w:rsidRDefault="00081579" w:rsidP="00081579">
            <w:pPr>
              <w:pStyle w:val="Tablerightlarge"/>
              <w:rPr>
                <w:rFonts w:asciiTheme="majorHAnsi" w:hAnsiTheme="majorHAnsi" w:cstheme="majorHAnsi"/>
                <w:highlight w:val="yellow"/>
              </w:rPr>
            </w:pPr>
            <w:r w:rsidRPr="000B7CA0">
              <w:t>8</w:t>
            </w:r>
          </w:p>
        </w:tc>
      </w:tr>
    </w:tbl>
    <w:p w14:paraId="226206D1" w14:textId="77777777" w:rsidR="00931CC3" w:rsidRDefault="00931CC3" w:rsidP="00105389">
      <w:pPr>
        <w:pStyle w:val="Body"/>
      </w:pPr>
      <w:bookmarkStart w:id="176" w:name="_Toc144883456"/>
      <w:bookmarkStart w:id="177" w:name="_Toc144884452"/>
      <w:bookmarkStart w:id="178" w:name="_Toc147395360"/>
      <w:bookmarkStart w:id="179" w:name="_Toc166585742"/>
    </w:p>
    <w:p w14:paraId="5CA10C8B" w14:textId="77777777" w:rsidR="00931CC3" w:rsidRDefault="00931CC3">
      <w:pPr>
        <w:spacing w:line="259" w:lineRule="auto"/>
        <w:rPr>
          <w:rFonts w:asciiTheme="majorHAnsi" w:eastAsiaTheme="majorEastAsia" w:hAnsiTheme="majorHAnsi" w:cstheme="majorHAnsi"/>
          <w:b/>
          <w:color w:val="174F37"/>
          <w:sz w:val="40"/>
          <w:szCs w:val="32"/>
        </w:rPr>
      </w:pPr>
      <w:r>
        <w:rPr>
          <w:rFonts w:asciiTheme="majorHAnsi" w:hAnsiTheme="majorHAnsi" w:cstheme="majorHAnsi"/>
        </w:rPr>
        <w:br w:type="page"/>
      </w:r>
    </w:p>
    <w:p w14:paraId="1CC1DEA1" w14:textId="77777777" w:rsidR="00603B33" w:rsidRPr="0012521E" w:rsidRDefault="00603B33" w:rsidP="00603B33">
      <w:pPr>
        <w:pStyle w:val="Heading1"/>
        <w:rPr>
          <w:rFonts w:asciiTheme="majorHAnsi" w:hAnsiTheme="majorHAnsi" w:cstheme="majorHAnsi"/>
        </w:rPr>
      </w:pPr>
      <w:bookmarkStart w:id="180" w:name="_Toc179469482"/>
      <w:r w:rsidRPr="0012521E">
        <w:rPr>
          <w:rFonts w:asciiTheme="majorHAnsi" w:hAnsiTheme="majorHAnsi" w:cstheme="majorHAnsi"/>
        </w:rPr>
        <w:lastRenderedPageBreak/>
        <w:t>Other disclosures</w:t>
      </w:r>
      <w:bookmarkEnd w:id="176"/>
      <w:bookmarkEnd w:id="177"/>
      <w:bookmarkEnd w:id="178"/>
      <w:bookmarkEnd w:id="179"/>
      <w:bookmarkEnd w:id="180"/>
    </w:p>
    <w:p w14:paraId="54868C3F" w14:textId="77777777" w:rsidR="00603B33" w:rsidRPr="0012521E" w:rsidRDefault="00603B33" w:rsidP="00603B33">
      <w:pPr>
        <w:pStyle w:val="Heading2"/>
      </w:pPr>
      <w:bookmarkStart w:id="181" w:name="_Toc56627343"/>
      <w:bookmarkStart w:id="182" w:name="_Toc57039878"/>
      <w:bookmarkStart w:id="183" w:name="_Ref85023275"/>
      <w:bookmarkStart w:id="184" w:name="_Ref139545453"/>
      <w:bookmarkStart w:id="185" w:name="_Ref139545570"/>
      <w:bookmarkStart w:id="186" w:name="_Toc144884453"/>
      <w:bookmarkStart w:id="187" w:name="_Toc166585743"/>
      <w:r w:rsidRPr="0012521E">
        <w:t>Local Jobs First</w:t>
      </w:r>
      <w:bookmarkEnd w:id="181"/>
      <w:bookmarkEnd w:id="182"/>
      <w:bookmarkEnd w:id="183"/>
      <w:bookmarkEnd w:id="184"/>
      <w:bookmarkEnd w:id="185"/>
      <w:bookmarkEnd w:id="186"/>
      <w:bookmarkEnd w:id="187"/>
    </w:p>
    <w:p w14:paraId="48BF2AD9" w14:textId="77777777" w:rsidR="00603B33" w:rsidRPr="0012521E" w:rsidRDefault="00603B33" w:rsidP="00603B33">
      <w:pPr>
        <w:rPr>
          <w:rFonts w:asciiTheme="majorHAnsi" w:hAnsiTheme="majorHAnsi" w:cstheme="majorHAnsi"/>
        </w:rPr>
      </w:pPr>
      <w:r w:rsidRPr="0012521E">
        <w:rPr>
          <w:rFonts w:asciiTheme="majorHAnsi" w:hAnsiTheme="majorHAnsi" w:cstheme="majorHAnsi"/>
        </w:rPr>
        <w:t xml:space="preserve">The </w:t>
      </w:r>
      <w:r w:rsidRPr="0012521E">
        <w:rPr>
          <w:rFonts w:asciiTheme="majorHAnsi" w:hAnsiTheme="majorHAnsi" w:cstheme="majorHAnsi"/>
          <w:i/>
        </w:rPr>
        <w:t>Local Jobs First</w:t>
      </w:r>
      <w:r w:rsidRPr="0012521E">
        <w:rPr>
          <w:rFonts w:asciiTheme="majorHAnsi" w:hAnsiTheme="majorHAnsi" w:cstheme="majorHAnsi"/>
        </w:rPr>
        <w:t xml:space="preserve"> </w:t>
      </w:r>
      <w:r w:rsidRPr="0012521E">
        <w:rPr>
          <w:rFonts w:asciiTheme="majorHAnsi" w:hAnsiTheme="majorHAnsi" w:cstheme="majorHAnsi"/>
          <w:i/>
        </w:rPr>
        <w:t xml:space="preserve">Act 2003 </w:t>
      </w:r>
      <w:r w:rsidRPr="0012521E">
        <w:rPr>
          <w:rFonts w:asciiTheme="majorHAnsi" w:hAnsiTheme="majorHAnsi" w:cstheme="majorHAnsi"/>
          <w:iCs/>
        </w:rPr>
        <w:t xml:space="preserve">was strengthened in </w:t>
      </w:r>
      <w:r w:rsidRPr="0012521E">
        <w:rPr>
          <w:rFonts w:asciiTheme="majorHAnsi" w:hAnsiTheme="majorHAnsi" w:cstheme="majorHAnsi"/>
        </w:rPr>
        <w:t>August 2018 to bring together the Victorian Industry Participation Policy (VIPP) and Major Project Skills Guarantee (MPSG) policy which were previously administered separately.</w:t>
      </w:r>
    </w:p>
    <w:p w14:paraId="68DB9821" w14:textId="77777777" w:rsidR="00603B33" w:rsidRPr="0012521E" w:rsidRDefault="00603B33" w:rsidP="00603B33">
      <w:pPr>
        <w:rPr>
          <w:rFonts w:asciiTheme="majorHAnsi" w:hAnsiTheme="majorHAnsi" w:cstheme="majorHAnsi"/>
        </w:rPr>
      </w:pPr>
      <w:r w:rsidRPr="0012521E">
        <w:rPr>
          <w:rFonts w:asciiTheme="majorHAnsi" w:hAnsiTheme="majorHAnsi" w:cstheme="majorHAnsi"/>
        </w:rPr>
        <w:t>Departments and public sector bodies are required to apply the Local Jobs First policy in all projects valued at $3 million or more in metropolitan Melbourne or for statewide projects, or $1 million or more for projects in regional Victoria.</w:t>
      </w:r>
    </w:p>
    <w:p w14:paraId="4B6806E6" w14:textId="77777777" w:rsidR="00603B33" w:rsidRPr="0012521E" w:rsidRDefault="00603B33" w:rsidP="00603B33">
      <w:pPr>
        <w:rPr>
          <w:rFonts w:asciiTheme="majorHAnsi" w:hAnsiTheme="majorHAnsi" w:cstheme="majorHAnsi"/>
        </w:rPr>
      </w:pPr>
      <w:r w:rsidRPr="0012521E">
        <w:rPr>
          <w:rFonts w:asciiTheme="majorHAnsi" w:hAnsiTheme="majorHAnsi" w:cstheme="majorHAnsi"/>
        </w:rPr>
        <w:t>MPSG applies to all construction projects valued at $20 million or more.</w:t>
      </w:r>
    </w:p>
    <w:p w14:paraId="70DD8862" w14:textId="77777777" w:rsidR="00603B33" w:rsidRPr="0012521E" w:rsidRDefault="00603B33" w:rsidP="00603B33">
      <w:pPr>
        <w:rPr>
          <w:rFonts w:asciiTheme="majorHAnsi" w:hAnsiTheme="majorHAnsi" w:cstheme="majorHAnsi"/>
        </w:rPr>
      </w:pPr>
      <w:r w:rsidRPr="0012521E">
        <w:rPr>
          <w:rFonts w:asciiTheme="majorHAnsi" w:hAnsiTheme="majorHAnsi" w:cstheme="majorHAnsi"/>
        </w:rPr>
        <w:t>The MPSG guidelines and VIPP guidelines will continue to apply to MPSG applicable and VIPP applicable projects respectively where contracts have been entered into before 15 August 2018.</w:t>
      </w:r>
    </w:p>
    <w:p w14:paraId="7DC607D7" w14:textId="77777777" w:rsidR="00603B33" w:rsidRPr="0012521E" w:rsidRDefault="00603B33" w:rsidP="00126908">
      <w:pPr>
        <w:pStyle w:val="Heading3"/>
      </w:pPr>
      <w:bookmarkStart w:id="188" w:name="_Toc144884454"/>
      <w:bookmarkStart w:id="189" w:name="_Toc166585744"/>
      <w:bookmarkStart w:id="190" w:name="_Hlk43988184"/>
      <w:r w:rsidRPr="0012521E">
        <w:t>Projects commenced – Local Jobs First Standard</w:t>
      </w:r>
      <w:bookmarkEnd w:id="188"/>
      <w:bookmarkEnd w:id="189"/>
    </w:p>
    <w:p w14:paraId="3127C735" w14:textId="0205A9A0" w:rsidR="00603B33" w:rsidRPr="0012521E" w:rsidRDefault="00603B33" w:rsidP="00603B33">
      <w:pPr>
        <w:rPr>
          <w:rFonts w:asciiTheme="majorHAnsi" w:hAnsiTheme="majorHAnsi" w:cstheme="majorHAnsi"/>
        </w:rPr>
      </w:pPr>
      <w:r w:rsidRPr="002E47D7">
        <w:rPr>
          <w:rFonts w:asciiTheme="majorHAnsi" w:hAnsiTheme="majorHAnsi" w:cstheme="majorHAnsi"/>
        </w:rPr>
        <w:t>In 202</w:t>
      </w:r>
      <w:r w:rsidR="0069244D" w:rsidRPr="002E47D7">
        <w:rPr>
          <w:rFonts w:asciiTheme="majorHAnsi" w:hAnsiTheme="majorHAnsi" w:cstheme="majorHAnsi"/>
        </w:rPr>
        <w:t>3</w:t>
      </w:r>
      <w:r w:rsidRPr="002E47D7">
        <w:rPr>
          <w:rFonts w:asciiTheme="majorHAnsi" w:hAnsiTheme="majorHAnsi" w:cstheme="majorHAnsi"/>
        </w:rPr>
        <w:t>–2</w:t>
      </w:r>
      <w:r w:rsidR="0069244D" w:rsidRPr="002E47D7">
        <w:rPr>
          <w:rFonts w:asciiTheme="majorHAnsi" w:hAnsiTheme="majorHAnsi" w:cstheme="majorHAnsi"/>
        </w:rPr>
        <w:t>4</w:t>
      </w:r>
      <w:r w:rsidRPr="002E47D7">
        <w:rPr>
          <w:rFonts w:asciiTheme="majorHAnsi" w:hAnsiTheme="majorHAnsi" w:cstheme="majorHAnsi"/>
        </w:rPr>
        <w:t>, SV did not start any Local Jobs First Standard projects.</w:t>
      </w:r>
    </w:p>
    <w:p w14:paraId="5E11F8B8" w14:textId="77777777" w:rsidR="00603B33" w:rsidRPr="0012521E" w:rsidRDefault="00603B33" w:rsidP="00126908">
      <w:pPr>
        <w:pStyle w:val="Heading3"/>
      </w:pPr>
      <w:bookmarkStart w:id="191" w:name="_Toc144884455"/>
      <w:bookmarkStart w:id="192" w:name="_Toc166585745"/>
      <w:r w:rsidRPr="0012521E">
        <w:t>Projects completed – Local Jobs First Standard</w:t>
      </w:r>
      <w:bookmarkEnd w:id="191"/>
      <w:bookmarkEnd w:id="192"/>
    </w:p>
    <w:p w14:paraId="727F9B15" w14:textId="330AADDD" w:rsidR="00603B33" w:rsidRPr="0012521E" w:rsidRDefault="00603B33" w:rsidP="00603B33">
      <w:pPr>
        <w:rPr>
          <w:rFonts w:asciiTheme="majorHAnsi" w:hAnsiTheme="majorHAnsi" w:cstheme="majorHAnsi"/>
        </w:rPr>
      </w:pPr>
      <w:r w:rsidRPr="002E47D7">
        <w:rPr>
          <w:rFonts w:asciiTheme="majorHAnsi" w:hAnsiTheme="majorHAnsi" w:cstheme="majorHAnsi"/>
        </w:rPr>
        <w:t>In 202</w:t>
      </w:r>
      <w:r w:rsidR="0069244D" w:rsidRPr="002E47D7">
        <w:rPr>
          <w:rFonts w:asciiTheme="majorHAnsi" w:hAnsiTheme="majorHAnsi" w:cstheme="majorHAnsi"/>
        </w:rPr>
        <w:t>3</w:t>
      </w:r>
      <w:r w:rsidRPr="002E47D7">
        <w:rPr>
          <w:rFonts w:asciiTheme="majorHAnsi" w:hAnsiTheme="majorHAnsi" w:cstheme="majorHAnsi"/>
        </w:rPr>
        <w:t>–2</w:t>
      </w:r>
      <w:r w:rsidR="0069244D" w:rsidRPr="002E47D7">
        <w:rPr>
          <w:rFonts w:asciiTheme="majorHAnsi" w:hAnsiTheme="majorHAnsi" w:cstheme="majorHAnsi"/>
        </w:rPr>
        <w:t>4</w:t>
      </w:r>
      <w:r w:rsidRPr="002E47D7">
        <w:rPr>
          <w:rFonts w:asciiTheme="majorHAnsi" w:hAnsiTheme="majorHAnsi" w:cstheme="majorHAnsi"/>
        </w:rPr>
        <w:t>, SV did not complete any Local Jobs First Standard projects.</w:t>
      </w:r>
    </w:p>
    <w:p w14:paraId="246D7894" w14:textId="77777777" w:rsidR="00603B33" w:rsidRPr="0012521E" w:rsidRDefault="00603B33" w:rsidP="00603B33">
      <w:pPr>
        <w:pStyle w:val="Heading2"/>
      </w:pPr>
      <w:bookmarkStart w:id="193" w:name="_Toc144884456"/>
      <w:bookmarkStart w:id="194" w:name="_Toc166585746"/>
      <w:r w:rsidRPr="0012521E">
        <w:t>Social Procurement Framework</w:t>
      </w:r>
      <w:bookmarkEnd w:id="193"/>
      <w:bookmarkEnd w:id="194"/>
    </w:p>
    <w:p w14:paraId="16B79AAA" w14:textId="77777777" w:rsidR="00603B33" w:rsidRPr="00997176" w:rsidRDefault="00603B33" w:rsidP="00603B33">
      <w:pPr>
        <w:rPr>
          <w:rFonts w:asciiTheme="majorHAnsi" w:hAnsiTheme="majorHAnsi" w:cstheme="majorHAnsi"/>
          <w:szCs w:val="20"/>
        </w:rPr>
      </w:pPr>
      <w:r w:rsidRPr="00997176">
        <w:rPr>
          <w:rFonts w:asciiTheme="majorHAnsi" w:hAnsiTheme="majorHAnsi" w:cstheme="majorHAnsi"/>
          <w:szCs w:val="20"/>
        </w:rPr>
        <w:t>SV is fully committed to supporting the Government’s directions under the Social Procurement Framework and recognises that we play a key role in advancing social and sustainable outcomes for Victorians.</w:t>
      </w:r>
    </w:p>
    <w:p w14:paraId="1CB51785" w14:textId="77777777" w:rsidR="00603B33" w:rsidRPr="00997176" w:rsidRDefault="00603B33" w:rsidP="00603B33">
      <w:pPr>
        <w:rPr>
          <w:rFonts w:asciiTheme="majorHAnsi" w:hAnsiTheme="majorHAnsi" w:cstheme="majorHAnsi"/>
          <w:szCs w:val="20"/>
        </w:rPr>
      </w:pPr>
      <w:r w:rsidRPr="00997176">
        <w:rPr>
          <w:rFonts w:asciiTheme="majorHAnsi" w:hAnsiTheme="majorHAnsi" w:cstheme="majorHAnsi"/>
          <w:szCs w:val="20"/>
        </w:rPr>
        <w:t>SV’s Social Procurement Strategy enables a strategic, agency-wide approach to delivering social and sustainable outcomes through our procurement in accordance with the framework and beyond.</w:t>
      </w:r>
    </w:p>
    <w:p w14:paraId="6A53FFC9" w14:textId="77777777" w:rsidR="00603B33" w:rsidRPr="00B41171" w:rsidRDefault="00603B33" w:rsidP="00C75D63">
      <w:pPr>
        <w:pStyle w:val="ListBullet"/>
        <w:numPr>
          <w:ilvl w:val="0"/>
          <w:numId w:val="0"/>
        </w:numPr>
        <w:rPr>
          <w:rFonts w:asciiTheme="majorHAnsi" w:hAnsiTheme="majorHAnsi" w:cstheme="majorBidi"/>
        </w:rPr>
      </w:pPr>
      <w:r w:rsidRPr="00B41171">
        <w:rPr>
          <w:rFonts w:asciiTheme="majorHAnsi" w:hAnsiTheme="majorHAnsi" w:cstheme="majorBidi"/>
        </w:rPr>
        <w:t>SV’s Social Procurement Strategy prioritises the following policy objectives:</w:t>
      </w:r>
    </w:p>
    <w:p w14:paraId="3388C43F" w14:textId="77777777" w:rsidR="00603B33" w:rsidRPr="00B41171" w:rsidRDefault="00603B33" w:rsidP="00603B33">
      <w:pPr>
        <w:pStyle w:val="ListBullet"/>
        <w:rPr>
          <w:rFonts w:asciiTheme="majorHAnsi" w:hAnsiTheme="majorHAnsi" w:cstheme="majorBidi"/>
        </w:rPr>
      </w:pPr>
      <w:r w:rsidRPr="00B41171">
        <w:rPr>
          <w:rFonts w:asciiTheme="majorHAnsi" w:hAnsiTheme="majorHAnsi" w:cstheme="majorBidi"/>
        </w:rPr>
        <w:t>Environmentally sustainable business practices</w:t>
      </w:r>
      <w:r w:rsidRPr="00B41171">
        <w:br/>
      </w:r>
      <w:r w:rsidRPr="00B41171">
        <w:rPr>
          <w:rFonts w:asciiTheme="majorHAnsi" w:hAnsiTheme="majorHAnsi" w:cstheme="majorBidi"/>
        </w:rPr>
        <w:t xml:space="preserve">Outcome </w:t>
      </w:r>
      <w:proofErr w:type="gramStart"/>
      <w:r w:rsidRPr="00B41171">
        <w:rPr>
          <w:rFonts w:asciiTheme="majorHAnsi" w:hAnsiTheme="majorHAnsi" w:cstheme="majorBidi"/>
        </w:rPr>
        <w:t>sought:</w:t>
      </w:r>
      <w:proofErr w:type="gramEnd"/>
      <w:r w:rsidRPr="00B41171">
        <w:rPr>
          <w:rFonts w:asciiTheme="majorHAnsi" w:hAnsiTheme="majorHAnsi" w:cstheme="majorBidi"/>
        </w:rPr>
        <w:t xml:space="preserve"> adoption of sustainable business practices by suppliers to the Victorian Government.</w:t>
      </w:r>
    </w:p>
    <w:p w14:paraId="20DD72E4" w14:textId="77777777" w:rsidR="00603B33" w:rsidRPr="00B41171" w:rsidRDefault="00603B33" w:rsidP="00603B33">
      <w:pPr>
        <w:pStyle w:val="ListBullet"/>
        <w:rPr>
          <w:rFonts w:asciiTheme="majorHAnsi" w:hAnsiTheme="majorHAnsi" w:cstheme="majorBidi"/>
        </w:rPr>
      </w:pPr>
      <w:r w:rsidRPr="00B41171">
        <w:rPr>
          <w:rFonts w:asciiTheme="majorHAnsi" w:hAnsiTheme="majorHAnsi" w:cstheme="majorBidi"/>
        </w:rPr>
        <w:t>Sustainable Victorian social enterprises and Aboriginal business sectors</w:t>
      </w:r>
      <w:r w:rsidRPr="00B41171">
        <w:br/>
      </w:r>
      <w:r w:rsidRPr="00B41171">
        <w:rPr>
          <w:rFonts w:asciiTheme="majorHAnsi" w:hAnsiTheme="majorHAnsi" w:cstheme="majorBidi"/>
        </w:rPr>
        <w:t xml:space="preserve">Outcome </w:t>
      </w:r>
      <w:proofErr w:type="gramStart"/>
      <w:r w:rsidRPr="00B41171">
        <w:rPr>
          <w:rFonts w:asciiTheme="majorHAnsi" w:hAnsiTheme="majorHAnsi" w:cstheme="majorBidi"/>
        </w:rPr>
        <w:t>sought:</w:t>
      </w:r>
      <w:proofErr w:type="gramEnd"/>
      <w:r w:rsidRPr="00B41171">
        <w:rPr>
          <w:rFonts w:asciiTheme="majorHAnsi" w:hAnsiTheme="majorHAnsi" w:cstheme="majorBidi"/>
        </w:rPr>
        <w:t xml:space="preserve"> purchasing from Victorian social enterprises and Aboriginal businesses.</w:t>
      </w:r>
    </w:p>
    <w:p w14:paraId="6A8D4BAC" w14:textId="77777777" w:rsidR="00603B33" w:rsidRPr="00B41171" w:rsidRDefault="00603B33" w:rsidP="00603B33">
      <w:pPr>
        <w:pStyle w:val="ListBullet"/>
        <w:rPr>
          <w:rFonts w:asciiTheme="majorHAnsi" w:hAnsiTheme="majorHAnsi" w:cstheme="majorBidi"/>
        </w:rPr>
      </w:pPr>
      <w:r w:rsidRPr="00B41171">
        <w:rPr>
          <w:rFonts w:asciiTheme="majorHAnsi" w:hAnsiTheme="majorHAnsi" w:cstheme="majorBidi"/>
        </w:rPr>
        <w:t>Women's equality and safety</w:t>
      </w:r>
      <w:r w:rsidRPr="00B41171">
        <w:br/>
      </w:r>
      <w:r w:rsidRPr="00B41171">
        <w:rPr>
          <w:rFonts w:asciiTheme="majorHAnsi" w:hAnsiTheme="majorHAnsi" w:cstheme="majorBidi"/>
        </w:rPr>
        <w:t xml:space="preserve">Outcome </w:t>
      </w:r>
      <w:proofErr w:type="gramStart"/>
      <w:r w:rsidRPr="00B41171">
        <w:rPr>
          <w:rFonts w:asciiTheme="majorHAnsi" w:hAnsiTheme="majorHAnsi" w:cstheme="majorBidi"/>
        </w:rPr>
        <w:t>sought:</w:t>
      </w:r>
      <w:proofErr w:type="gramEnd"/>
      <w:r w:rsidRPr="00B41171">
        <w:rPr>
          <w:rFonts w:asciiTheme="majorHAnsi" w:hAnsiTheme="majorHAnsi" w:cstheme="majorBidi"/>
        </w:rPr>
        <w:t xml:space="preserve"> gender equality within Victorian government suppliers.</w:t>
      </w:r>
    </w:p>
    <w:p w14:paraId="499D0430" w14:textId="77777777" w:rsidR="00603B33" w:rsidRPr="00997176" w:rsidRDefault="00603B33" w:rsidP="00603B33">
      <w:pPr>
        <w:rPr>
          <w:rFonts w:asciiTheme="majorHAnsi" w:hAnsiTheme="majorHAnsi" w:cstheme="majorHAnsi"/>
          <w:szCs w:val="20"/>
        </w:rPr>
      </w:pPr>
      <w:r w:rsidRPr="00997176">
        <w:rPr>
          <w:rFonts w:asciiTheme="majorHAnsi" w:hAnsiTheme="majorHAnsi" w:cstheme="majorHAnsi"/>
          <w:szCs w:val="20"/>
        </w:rPr>
        <w:t>These objectives were chosen based on their high degree of alignment with SV’s strategic direction and values as well as being best positioned to advance our identified social procurement opportunities.</w:t>
      </w:r>
    </w:p>
    <w:p w14:paraId="27B68533" w14:textId="77777777" w:rsidR="00603B33" w:rsidRPr="00997176" w:rsidRDefault="00603B33" w:rsidP="00603B33">
      <w:pPr>
        <w:rPr>
          <w:rFonts w:asciiTheme="majorHAnsi" w:hAnsiTheme="majorHAnsi" w:cstheme="majorHAnsi"/>
          <w:szCs w:val="20"/>
        </w:rPr>
      </w:pPr>
      <w:r w:rsidRPr="00997176">
        <w:rPr>
          <w:rFonts w:asciiTheme="majorHAnsi" w:hAnsiTheme="majorHAnsi" w:cstheme="majorHAnsi"/>
          <w:szCs w:val="20"/>
        </w:rPr>
        <w:t>While these priority social and sustainable objectives guide our procurement delivery, SV is committed to pursuing any opportunities to advance social and sustainable outcomes for Victorians.</w:t>
      </w:r>
    </w:p>
    <w:p w14:paraId="2020AE40" w14:textId="6F7B03E5" w:rsidR="00603B33" w:rsidRPr="00997176" w:rsidRDefault="00BC1375" w:rsidP="00603B33">
      <w:pPr>
        <w:rPr>
          <w:rFonts w:asciiTheme="majorHAnsi" w:hAnsiTheme="majorHAnsi" w:cstheme="majorHAnsi"/>
          <w:szCs w:val="20"/>
        </w:rPr>
      </w:pPr>
      <w:r>
        <w:rPr>
          <w:rFonts w:asciiTheme="majorHAnsi" w:hAnsiTheme="majorHAnsi" w:cstheme="majorHAnsi"/>
          <w:szCs w:val="20"/>
        </w:rPr>
        <w:t xml:space="preserve">To support </w:t>
      </w:r>
      <w:r w:rsidR="00770879">
        <w:rPr>
          <w:rFonts w:asciiTheme="majorHAnsi" w:hAnsiTheme="majorHAnsi" w:cstheme="majorHAnsi"/>
          <w:szCs w:val="20"/>
        </w:rPr>
        <w:t xml:space="preserve">SV’s Social Procurement Strategy, </w:t>
      </w:r>
      <w:r w:rsidR="00603B33" w:rsidRPr="00997176">
        <w:rPr>
          <w:rFonts w:asciiTheme="majorHAnsi" w:hAnsiTheme="majorHAnsi" w:cstheme="majorHAnsi"/>
          <w:szCs w:val="20"/>
        </w:rPr>
        <w:t>SV’s procurement documentation mandates potential suppliers to outline:</w:t>
      </w:r>
    </w:p>
    <w:p w14:paraId="20C993FC" w14:textId="77777777" w:rsidR="00603B33" w:rsidRPr="00997176" w:rsidRDefault="00603B33" w:rsidP="00603B33">
      <w:pPr>
        <w:pStyle w:val="ListBullet"/>
        <w:rPr>
          <w:rFonts w:asciiTheme="majorHAnsi" w:hAnsiTheme="majorHAnsi" w:cstheme="majorHAnsi"/>
          <w:szCs w:val="20"/>
        </w:rPr>
      </w:pPr>
      <w:r w:rsidRPr="11A9BA11">
        <w:rPr>
          <w:rFonts w:asciiTheme="majorHAnsi" w:hAnsiTheme="majorHAnsi" w:cstheme="majorBidi"/>
        </w:rPr>
        <w:lastRenderedPageBreak/>
        <w:t>their Environmental Management System (EMS) polices, practices and targets</w:t>
      </w:r>
    </w:p>
    <w:p w14:paraId="703EF001" w14:textId="77777777" w:rsidR="00603B33" w:rsidRPr="00997176" w:rsidRDefault="00603B33" w:rsidP="00603B33">
      <w:pPr>
        <w:pStyle w:val="ListBullet"/>
        <w:rPr>
          <w:rFonts w:asciiTheme="majorHAnsi" w:hAnsiTheme="majorHAnsi" w:cstheme="majorHAnsi"/>
          <w:szCs w:val="20"/>
        </w:rPr>
      </w:pPr>
      <w:r w:rsidRPr="11A9BA11">
        <w:rPr>
          <w:rFonts w:asciiTheme="majorHAnsi" w:hAnsiTheme="majorHAnsi" w:cstheme="majorBidi"/>
        </w:rPr>
        <w:t>gender equitable business practices</w:t>
      </w:r>
    </w:p>
    <w:p w14:paraId="398A3ED0" w14:textId="77777777" w:rsidR="00603B33" w:rsidRPr="00997176" w:rsidRDefault="00603B33" w:rsidP="00603B33">
      <w:pPr>
        <w:pStyle w:val="ListBullet"/>
        <w:rPr>
          <w:rFonts w:asciiTheme="majorHAnsi" w:hAnsiTheme="majorHAnsi" w:cstheme="majorHAnsi"/>
          <w:szCs w:val="20"/>
        </w:rPr>
      </w:pPr>
      <w:r w:rsidRPr="11A9BA11">
        <w:rPr>
          <w:rFonts w:asciiTheme="majorHAnsi" w:hAnsiTheme="majorHAnsi" w:cstheme="majorBidi"/>
        </w:rPr>
        <w:t>social procurement policy and practices (where applicable).</w:t>
      </w:r>
    </w:p>
    <w:p w14:paraId="0798937F" w14:textId="77777777" w:rsidR="00603B33" w:rsidRDefault="00603B33" w:rsidP="00603B33">
      <w:pPr>
        <w:rPr>
          <w:rFonts w:asciiTheme="majorHAnsi" w:hAnsiTheme="majorHAnsi" w:cstheme="majorHAnsi"/>
          <w:szCs w:val="20"/>
        </w:rPr>
      </w:pPr>
      <w:r w:rsidRPr="00997176">
        <w:rPr>
          <w:rFonts w:asciiTheme="majorHAnsi" w:hAnsiTheme="majorHAnsi" w:cstheme="majorHAnsi"/>
          <w:szCs w:val="20"/>
        </w:rPr>
        <w:t>At a minimum, 10% of the total weighted evaluation criteria is assigned to social value and/or environmentally sustainable business practices.</w:t>
      </w:r>
    </w:p>
    <w:p w14:paraId="43E1FCF6" w14:textId="10BA7063" w:rsidR="00D11183" w:rsidRPr="00997176" w:rsidRDefault="00D11183" w:rsidP="00603B33">
      <w:pPr>
        <w:rPr>
          <w:rFonts w:asciiTheme="majorHAnsi" w:hAnsiTheme="majorHAnsi" w:cstheme="majorHAnsi"/>
          <w:szCs w:val="20"/>
        </w:rPr>
      </w:pPr>
      <w:r w:rsidRPr="00D11183">
        <w:rPr>
          <w:rFonts w:asciiTheme="majorHAnsi" w:hAnsiTheme="majorHAnsi" w:cstheme="majorHAnsi"/>
          <w:szCs w:val="20"/>
        </w:rPr>
        <w:t>This year, SV engaged with 24 suppliers with a total spend of roughly $786,089.92.</w:t>
      </w:r>
    </w:p>
    <w:p w14:paraId="7612B7EF" w14:textId="77777777" w:rsidR="00603B33" w:rsidRPr="0012521E" w:rsidRDefault="00603B33" w:rsidP="00126908">
      <w:pPr>
        <w:pStyle w:val="Heading3"/>
      </w:pPr>
      <w:bookmarkStart w:id="195" w:name="_Toc144884457"/>
      <w:bookmarkStart w:id="196" w:name="_Toc166585747"/>
      <w:r w:rsidRPr="0012521E">
        <w:t>Sustainable Victorian social enterprises and Aboriginal business sectors</w:t>
      </w:r>
      <w:bookmarkEnd w:id="195"/>
      <w:bookmarkEnd w:id="196"/>
    </w:p>
    <w:p w14:paraId="47274283" w14:textId="77777777" w:rsidR="00603B33" w:rsidRDefault="00603B33" w:rsidP="00105389">
      <w:pPr>
        <w:pStyle w:val="Body"/>
      </w:pPr>
      <w:r w:rsidRPr="00997176">
        <w:t>SV tracks expenditure with Victorian social enterprises and Aboriginal business sectors and has a mandatory social procurement opportunity assessment as part of all procurement planning.</w:t>
      </w:r>
    </w:p>
    <w:p w14:paraId="482F6AA4" w14:textId="2432E282" w:rsidR="00603B33" w:rsidRPr="00997176" w:rsidRDefault="00603B33" w:rsidP="00105389">
      <w:pPr>
        <w:pStyle w:val="Body"/>
      </w:pPr>
      <w:r>
        <w:t xml:space="preserve">This year, SV engaged with </w:t>
      </w:r>
      <w:r w:rsidR="477F919B">
        <w:t>24</w:t>
      </w:r>
      <w:r>
        <w:t xml:space="preserve"> suppliers that were listed on either the Social Traders or </w:t>
      </w:r>
      <w:proofErr w:type="spellStart"/>
      <w:r>
        <w:t>Kinaway</w:t>
      </w:r>
      <w:proofErr w:type="spellEnd"/>
      <w:r>
        <w:t xml:space="preserve"> traders list, with a total spend of roughly $</w:t>
      </w:r>
      <w:r w:rsidR="1D3D075E">
        <w:t>786,089.92</w:t>
      </w:r>
      <w:r>
        <w:t>. SV’s procurement policy mandates all catering be sourced from a social benefit supplier where possible. Venue hire, gifts and stationery are also strongly encouraged to be sourced from social benefit suppliers.</w:t>
      </w:r>
    </w:p>
    <w:p w14:paraId="21994A5F" w14:textId="77777777" w:rsidR="00603B33" w:rsidRPr="0012521E" w:rsidRDefault="00603B33" w:rsidP="00603B33">
      <w:pPr>
        <w:pStyle w:val="Heading2"/>
      </w:pPr>
      <w:bookmarkStart w:id="197" w:name="_Toc56627344"/>
      <w:bookmarkStart w:id="198" w:name="_Toc57039879"/>
      <w:bookmarkStart w:id="199" w:name="_Toc144884458"/>
      <w:bookmarkStart w:id="200" w:name="_Toc166585748"/>
      <w:bookmarkEnd w:id="190"/>
      <w:r w:rsidRPr="0012521E">
        <w:t>Reporting requirements – grants</w:t>
      </w:r>
      <w:bookmarkEnd w:id="197"/>
      <w:bookmarkEnd w:id="198"/>
      <w:bookmarkEnd w:id="199"/>
      <w:bookmarkEnd w:id="200"/>
    </w:p>
    <w:p w14:paraId="10C6D151" w14:textId="49ACA9AA" w:rsidR="00603B33" w:rsidRPr="0012521E" w:rsidRDefault="00603B33" w:rsidP="00603B33">
      <w:pPr>
        <w:rPr>
          <w:rFonts w:asciiTheme="majorHAnsi" w:hAnsiTheme="majorHAnsi" w:cstheme="majorHAnsi"/>
        </w:rPr>
      </w:pPr>
      <w:r w:rsidRPr="0012521E">
        <w:rPr>
          <w:rFonts w:asciiTheme="majorHAnsi" w:hAnsiTheme="majorHAnsi" w:cstheme="majorHAnsi"/>
        </w:rPr>
        <w:t>For grants provided during 202</w:t>
      </w:r>
      <w:r w:rsidR="005F227C" w:rsidRPr="0012521E">
        <w:rPr>
          <w:rFonts w:asciiTheme="majorHAnsi" w:hAnsiTheme="majorHAnsi" w:cstheme="majorHAnsi"/>
        </w:rPr>
        <w:t>3</w:t>
      </w:r>
      <w:r w:rsidRPr="0012521E">
        <w:rPr>
          <w:rFonts w:asciiTheme="majorHAnsi" w:hAnsiTheme="majorHAnsi" w:cstheme="majorHAnsi"/>
        </w:rPr>
        <w:t>–2</w:t>
      </w:r>
      <w:r w:rsidR="005F227C" w:rsidRPr="0012521E">
        <w:rPr>
          <w:rFonts w:asciiTheme="majorHAnsi" w:hAnsiTheme="majorHAnsi" w:cstheme="majorHAnsi"/>
        </w:rPr>
        <w:t>4</w:t>
      </w:r>
      <w:r w:rsidRPr="0012521E">
        <w:rPr>
          <w:rFonts w:asciiTheme="majorHAnsi" w:hAnsiTheme="majorHAnsi" w:cstheme="majorHAnsi"/>
        </w:rPr>
        <w:t xml:space="preserve">, </w:t>
      </w:r>
      <w:r w:rsidR="00972DAB">
        <w:rPr>
          <w:rFonts w:asciiTheme="majorHAnsi" w:hAnsiTheme="majorHAnsi" w:cstheme="majorHAnsi"/>
        </w:rPr>
        <w:t>one</w:t>
      </w:r>
      <w:r w:rsidRPr="00956A6E">
        <w:rPr>
          <w:rFonts w:asciiTheme="majorHAnsi" w:hAnsiTheme="majorHAnsi" w:cstheme="majorHAnsi"/>
        </w:rPr>
        <w:t xml:space="preserve"> interaction</w:t>
      </w:r>
      <w:r w:rsidRPr="0012521E">
        <w:rPr>
          <w:rFonts w:asciiTheme="majorHAnsi" w:hAnsiTheme="majorHAnsi" w:cstheme="majorHAnsi"/>
        </w:rPr>
        <w:t xml:space="preserve"> reference number </w:t>
      </w:r>
      <w:r w:rsidR="00972DAB">
        <w:rPr>
          <w:rFonts w:asciiTheme="majorHAnsi" w:hAnsiTheme="majorHAnsi" w:cstheme="majorHAnsi"/>
        </w:rPr>
        <w:t>was</w:t>
      </w:r>
      <w:r w:rsidRPr="0012521E">
        <w:rPr>
          <w:rFonts w:asciiTheme="majorHAnsi" w:hAnsiTheme="majorHAnsi" w:cstheme="majorHAnsi"/>
        </w:rPr>
        <w:t xml:space="preserve"> required, which entailed a conversation with the Industry Capability Network (Victoria).</w:t>
      </w:r>
    </w:p>
    <w:p w14:paraId="3658C9BF" w14:textId="4433449F" w:rsidR="00603B33" w:rsidRPr="0012521E" w:rsidRDefault="00603B33" w:rsidP="00603B33">
      <w:pPr>
        <w:pStyle w:val="Heading2"/>
      </w:pPr>
      <w:bookmarkStart w:id="201" w:name="_Ref139545422"/>
      <w:bookmarkStart w:id="202" w:name="_Toc144884459"/>
      <w:bookmarkStart w:id="203" w:name="_Toc166585749"/>
      <w:r w:rsidRPr="0012521E">
        <w:t>Government advertising expenditure</w:t>
      </w:r>
      <w:bookmarkEnd w:id="201"/>
      <w:bookmarkEnd w:id="202"/>
      <w:bookmarkEnd w:id="203"/>
    </w:p>
    <w:p w14:paraId="5885EE05" w14:textId="3334469A" w:rsidR="00BC497B" w:rsidRDefault="00BC497B" w:rsidP="00603B33">
      <w:pPr>
        <w:rPr>
          <w:rFonts w:asciiTheme="majorHAnsi" w:hAnsiTheme="majorHAnsi" w:cstheme="majorBidi"/>
        </w:rPr>
      </w:pPr>
      <w:r>
        <w:rPr>
          <w:rFonts w:asciiTheme="majorHAnsi" w:hAnsiTheme="majorHAnsi" w:cstheme="majorBidi"/>
        </w:rPr>
        <w:t>Nil reports.</w:t>
      </w:r>
    </w:p>
    <w:p w14:paraId="07407C82" w14:textId="27829B20" w:rsidR="00603B33" w:rsidRPr="0012521E" w:rsidRDefault="00603B33" w:rsidP="00603B33">
      <w:pPr>
        <w:rPr>
          <w:rFonts w:asciiTheme="majorHAnsi" w:hAnsiTheme="majorHAnsi" w:cstheme="majorBidi"/>
        </w:rPr>
      </w:pPr>
      <w:r w:rsidRPr="6273EE51">
        <w:rPr>
          <w:rFonts w:asciiTheme="majorHAnsi" w:hAnsiTheme="majorHAnsi" w:cstheme="majorBidi"/>
        </w:rPr>
        <w:t>In 202</w:t>
      </w:r>
      <w:r w:rsidR="005F227C" w:rsidRPr="6273EE51">
        <w:rPr>
          <w:rFonts w:asciiTheme="majorHAnsi" w:hAnsiTheme="majorHAnsi" w:cstheme="majorBidi"/>
        </w:rPr>
        <w:t>3</w:t>
      </w:r>
      <w:r w:rsidRPr="6273EE51">
        <w:rPr>
          <w:rFonts w:asciiTheme="majorHAnsi" w:hAnsiTheme="majorHAnsi" w:cstheme="majorBidi"/>
        </w:rPr>
        <w:t>–2</w:t>
      </w:r>
      <w:r w:rsidR="005F227C" w:rsidRPr="6273EE51">
        <w:rPr>
          <w:rFonts w:asciiTheme="majorHAnsi" w:hAnsiTheme="majorHAnsi" w:cstheme="majorBidi"/>
        </w:rPr>
        <w:t>4</w:t>
      </w:r>
      <w:r w:rsidRPr="6273EE51">
        <w:rPr>
          <w:rFonts w:asciiTheme="majorHAnsi" w:hAnsiTheme="majorHAnsi" w:cstheme="majorBidi"/>
        </w:rPr>
        <w:t>, SV</w:t>
      </w:r>
      <w:r w:rsidR="006C4947" w:rsidRPr="6273EE51">
        <w:rPr>
          <w:rFonts w:asciiTheme="majorHAnsi" w:hAnsiTheme="majorHAnsi" w:cstheme="majorBidi"/>
        </w:rPr>
        <w:t xml:space="preserve"> was not included in the Victorian Government’s </w:t>
      </w:r>
      <w:r w:rsidR="76FAE063" w:rsidRPr="53E2DE39">
        <w:rPr>
          <w:rFonts w:asciiTheme="majorHAnsi" w:hAnsiTheme="majorHAnsi" w:cstheme="majorBidi"/>
        </w:rPr>
        <w:t>A</w:t>
      </w:r>
      <w:r w:rsidR="006C4947" w:rsidRPr="53E2DE39">
        <w:rPr>
          <w:rFonts w:asciiTheme="majorHAnsi" w:hAnsiTheme="majorHAnsi" w:cstheme="majorBidi"/>
        </w:rPr>
        <w:t xml:space="preserve">nnual </w:t>
      </w:r>
      <w:r w:rsidR="1F38357D" w:rsidRPr="53E2DE39">
        <w:rPr>
          <w:rFonts w:asciiTheme="majorHAnsi" w:hAnsiTheme="majorHAnsi" w:cstheme="majorBidi"/>
        </w:rPr>
        <w:t>A</w:t>
      </w:r>
      <w:r w:rsidR="006C4947" w:rsidRPr="53E2DE39">
        <w:rPr>
          <w:rFonts w:asciiTheme="majorHAnsi" w:hAnsiTheme="majorHAnsi" w:cstheme="majorBidi"/>
        </w:rPr>
        <w:t xml:space="preserve">dvertising </w:t>
      </w:r>
      <w:r w:rsidR="1D6C6830" w:rsidRPr="357F1B05">
        <w:rPr>
          <w:rFonts w:asciiTheme="majorHAnsi" w:hAnsiTheme="majorHAnsi" w:cstheme="majorBidi"/>
        </w:rPr>
        <w:t>P</w:t>
      </w:r>
      <w:r w:rsidR="006C4947" w:rsidRPr="357F1B05">
        <w:rPr>
          <w:rFonts w:asciiTheme="majorHAnsi" w:hAnsiTheme="majorHAnsi" w:cstheme="majorBidi"/>
        </w:rPr>
        <w:t>lan</w:t>
      </w:r>
      <w:r w:rsidR="004C461A" w:rsidRPr="357F1B05">
        <w:rPr>
          <w:rFonts w:asciiTheme="majorHAnsi" w:hAnsiTheme="majorHAnsi" w:cstheme="majorBidi"/>
        </w:rPr>
        <w:t>.</w:t>
      </w:r>
      <w:r w:rsidR="004C461A" w:rsidRPr="6273EE51">
        <w:rPr>
          <w:rFonts w:asciiTheme="majorHAnsi" w:hAnsiTheme="majorHAnsi" w:cstheme="majorBidi"/>
        </w:rPr>
        <w:t xml:space="preserve"> </w:t>
      </w:r>
      <w:r w:rsidR="004F7630" w:rsidRPr="6273EE51">
        <w:rPr>
          <w:rFonts w:asciiTheme="majorHAnsi" w:hAnsiTheme="majorHAnsi" w:cstheme="majorBidi"/>
        </w:rPr>
        <w:t xml:space="preserve">This means there was no government advertising expenditure </w:t>
      </w:r>
      <w:r w:rsidRPr="6273EE51">
        <w:rPr>
          <w:rFonts w:asciiTheme="majorHAnsi" w:hAnsiTheme="majorHAnsi" w:cstheme="majorBidi"/>
        </w:rPr>
        <w:t>with total media spend of $100,000 or greater (exclusive of GST)</w:t>
      </w:r>
      <w:r w:rsidR="00821A80" w:rsidRPr="6273EE51">
        <w:rPr>
          <w:rFonts w:asciiTheme="majorHAnsi" w:hAnsiTheme="majorHAnsi" w:cstheme="majorBidi"/>
        </w:rPr>
        <w:t>.</w:t>
      </w:r>
    </w:p>
    <w:p w14:paraId="4FF52BB7" w14:textId="77777777" w:rsidR="00D536C9" w:rsidRPr="0012521E" w:rsidDel="004D01BF" w:rsidRDefault="00D536C9" w:rsidP="00603B33">
      <w:pPr>
        <w:rPr>
          <w:rFonts w:asciiTheme="majorHAnsi" w:hAnsiTheme="majorHAnsi" w:cstheme="majorHAnsi"/>
        </w:rPr>
        <w:sectPr w:rsidR="00D536C9" w:rsidRPr="0012521E" w:rsidDel="004D01BF" w:rsidSect="00D36FDD">
          <w:pgSz w:w="11906" w:h="16838" w:code="9"/>
          <w:pgMar w:top="1702" w:right="1440" w:bottom="993" w:left="1440" w:header="851" w:footer="369" w:gutter="0"/>
          <w:cols w:space="708"/>
          <w:titlePg/>
          <w:docGrid w:linePitch="360"/>
        </w:sectPr>
      </w:pPr>
      <w:bookmarkStart w:id="204" w:name="_Toc56627345"/>
      <w:bookmarkStart w:id="205" w:name="_Toc57039880"/>
      <w:bookmarkStart w:id="206" w:name="_Ref85023241"/>
    </w:p>
    <w:p w14:paraId="0CB825A9" w14:textId="22F3B216" w:rsidR="00453857" w:rsidRDefault="00BB6476" w:rsidP="003F324A">
      <w:pPr>
        <w:pStyle w:val="Heading2"/>
      </w:pPr>
      <w:bookmarkStart w:id="207" w:name="_Toc56627346"/>
      <w:bookmarkStart w:id="208" w:name="_Toc57039881"/>
      <w:bookmarkStart w:id="209" w:name="_Toc144884460"/>
      <w:bookmarkStart w:id="210" w:name="_Toc166585750"/>
      <w:bookmarkEnd w:id="204"/>
      <w:bookmarkEnd w:id="205"/>
      <w:bookmarkEnd w:id="206"/>
      <w:r w:rsidRPr="0012521E">
        <w:lastRenderedPageBreak/>
        <w:t>Consultancy expenditure</w:t>
      </w:r>
      <w:bookmarkEnd w:id="207"/>
      <w:bookmarkEnd w:id="208"/>
      <w:bookmarkEnd w:id="209"/>
      <w:bookmarkEnd w:id="210"/>
    </w:p>
    <w:p w14:paraId="16290FCC" w14:textId="77777777" w:rsidR="00BB6476" w:rsidRPr="0012521E" w:rsidRDefault="00BB6476" w:rsidP="00126908">
      <w:pPr>
        <w:pStyle w:val="Heading3"/>
      </w:pPr>
      <w:bookmarkStart w:id="211" w:name="_Toc56627347"/>
      <w:bookmarkStart w:id="212" w:name="_Toc57039882"/>
      <w:bookmarkStart w:id="213" w:name="_Ref85023166"/>
      <w:bookmarkStart w:id="214" w:name="_Ref139545413"/>
      <w:bookmarkStart w:id="215" w:name="_Toc144884461"/>
      <w:bookmarkStart w:id="216" w:name="_Toc166585751"/>
      <w:r w:rsidRPr="0012521E">
        <w:t>Details of consultancies under $10,000</w:t>
      </w:r>
      <w:bookmarkEnd w:id="211"/>
      <w:bookmarkEnd w:id="212"/>
      <w:bookmarkEnd w:id="213"/>
      <w:bookmarkEnd w:id="214"/>
      <w:bookmarkEnd w:id="215"/>
      <w:bookmarkEnd w:id="216"/>
    </w:p>
    <w:p w14:paraId="404FC745" w14:textId="4E45D5F1" w:rsidR="00BB6476" w:rsidRPr="00BC4AA6" w:rsidRDefault="00BB6476" w:rsidP="00BB6476">
      <w:pPr>
        <w:rPr>
          <w:rFonts w:asciiTheme="majorHAnsi" w:hAnsiTheme="majorHAnsi" w:cstheme="majorHAnsi"/>
        </w:rPr>
      </w:pPr>
      <w:r w:rsidRPr="00BC4AA6">
        <w:rPr>
          <w:rFonts w:asciiTheme="majorHAnsi" w:hAnsiTheme="majorHAnsi" w:cstheme="majorHAnsi"/>
        </w:rPr>
        <w:t>In 202</w:t>
      </w:r>
      <w:r w:rsidR="005F227C" w:rsidRPr="00BC4AA6">
        <w:rPr>
          <w:rFonts w:asciiTheme="majorHAnsi" w:hAnsiTheme="majorHAnsi" w:cstheme="majorHAnsi"/>
        </w:rPr>
        <w:t>3</w:t>
      </w:r>
      <w:r w:rsidRPr="00BC4AA6">
        <w:rPr>
          <w:rFonts w:asciiTheme="majorHAnsi" w:hAnsiTheme="majorHAnsi" w:cstheme="majorHAnsi"/>
        </w:rPr>
        <w:t>–2</w:t>
      </w:r>
      <w:r w:rsidR="005F227C" w:rsidRPr="00BC4AA6">
        <w:rPr>
          <w:rFonts w:asciiTheme="majorHAnsi" w:hAnsiTheme="majorHAnsi" w:cstheme="majorHAnsi"/>
        </w:rPr>
        <w:t>4</w:t>
      </w:r>
      <w:r w:rsidRPr="00BC4AA6">
        <w:rPr>
          <w:rFonts w:asciiTheme="majorHAnsi" w:hAnsiTheme="majorHAnsi" w:cstheme="majorHAnsi"/>
        </w:rPr>
        <w:t xml:space="preserve">, </w:t>
      </w:r>
      <w:r w:rsidR="0071003D">
        <w:rPr>
          <w:rFonts w:asciiTheme="majorHAnsi" w:hAnsiTheme="majorHAnsi" w:cstheme="majorHAnsi"/>
        </w:rPr>
        <w:t>no</w:t>
      </w:r>
      <w:r w:rsidR="00184002">
        <w:rPr>
          <w:rFonts w:asciiTheme="majorHAnsi" w:hAnsiTheme="majorHAnsi" w:cstheme="majorHAnsi"/>
        </w:rPr>
        <w:t xml:space="preserve"> </w:t>
      </w:r>
      <w:r w:rsidRPr="00BC4AA6">
        <w:rPr>
          <w:rFonts w:asciiTheme="majorHAnsi" w:hAnsiTheme="majorHAnsi" w:cstheme="majorHAnsi"/>
        </w:rPr>
        <w:t xml:space="preserve">consultancies were engaged during the year, where the total fees payable to the individual consultants were less than $10,000. </w:t>
      </w:r>
    </w:p>
    <w:p w14:paraId="4F9C8AD1" w14:textId="77777777" w:rsidR="00BB6476" w:rsidRPr="00BC4AA6" w:rsidRDefault="00BB6476" w:rsidP="00126908">
      <w:pPr>
        <w:pStyle w:val="Heading3"/>
      </w:pPr>
      <w:bookmarkStart w:id="217" w:name="_Ref85023203"/>
      <w:bookmarkStart w:id="218" w:name="_Toc144884462"/>
      <w:bookmarkStart w:id="219" w:name="_Toc166585752"/>
      <w:r w:rsidRPr="00BC4AA6">
        <w:t>Details of consultancies valued at $10,000 or greater</w:t>
      </w:r>
      <w:bookmarkEnd w:id="217"/>
      <w:bookmarkEnd w:id="218"/>
      <w:bookmarkEnd w:id="219"/>
    </w:p>
    <w:p w14:paraId="41FCC3EE" w14:textId="1B6EC71E" w:rsidR="00EB70DF" w:rsidRPr="0012521E" w:rsidRDefault="00BB6476" w:rsidP="2499661A">
      <w:pPr>
        <w:rPr>
          <w:rFonts w:asciiTheme="majorHAnsi" w:hAnsiTheme="majorHAnsi" w:cstheme="majorBidi"/>
        </w:rPr>
      </w:pPr>
      <w:r w:rsidRPr="2499661A">
        <w:rPr>
          <w:rFonts w:asciiTheme="majorHAnsi" w:hAnsiTheme="majorHAnsi" w:cstheme="majorBidi"/>
        </w:rPr>
        <w:t>In 202</w:t>
      </w:r>
      <w:r w:rsidR="005F227C" w:rsidRPr="2499661A">
        <w:rPr>
          <w:rFonts w:asciiTheme="majorHAnsi" w:hAnsiTheme="majorHAnsi" w:cstheme="majorBidi"/>
        </w:rPr>
        <w:t>3</w:t>
      </w:r>
      <w:r w:rsidRPr="2499661A">
        <w:rPr>
          <w:rFonts w:asciiTheme="majorHAnsi" w:hAnsiTheme="majorHAnsi" w:cstheme="majorBidi"/>
        </w:rPr>
        <w:t>–2</w:t>
      </w:r>
      <w:r w:rsidR="005F227C" w:rsidRPr="2499661A">
        <w:rPr>
          <w:rFonts w:asciiTheme="majorHAnsi" w:hAnsiTheme="majorHAnsi" w:cstheme="majorBidi"/>
        </w:rPr>
        <w:t>4</w:t>
      </w:r>
      <w:r w:rsidRPr="2499661A">
        <w:rPr>
          <w:rFonts w:asciiTheme="majorHAnsi" w:hAnsiTheme="majorHAnsi" w:cstheme="majorBidi"/>
        </w:rPr>
        <w:t xml:space="preserve">, there were </w:t>
      </w:r>
      <w:r w:rsidR="000F204F" w:rsidRPr="2499661A">
        <w:rPr>
          <w:rFonts w:asciiTheme="majorHAnsi" w:hAnsiTheme="majorHAnsi" w:cstheme="majorBidi"/>
        </w:rPr>
        <w:t>5</w:t>
      </w:r>
      <w:r w:rsidRPr="2499661A">
        <w:rPr>
          <w:rFonts w:asciiTheme="majorHAnsi" w:hAnsiTheme="majorHAnsi" w:cstheme="majorBidi"/>
        </w:rPr>
        <w:t xml:space="preserve"> consultancies costing </w:t>
      </w:r>
      <w:proofErr w:type="gramStart"/>
      <w:r w:rsidRPr="2499661A">
        <w:rPr>
          <w:rFonts w:asciiTheme="majorHAnsi" w:hAnsiTheme="majorHAnsi" w:cstheme="majorBidi"/>
        </w:rPr>
        <w:t>in excess of</w:t>
      </w:r>
      <w:proofErr w:type="gramEnd"/>
      <w:r w:rsidRPr="2499661A">
        <w:rPr>
          <w:rFonts w:asciiTheme="majorHAnsi" w:hAnsiTheme="majorHAnsi" w:cstheme="majorBidi"/>
        </w:rPr>
        <w:t xml:space="preserve"> $10,000 at a total cost of </w:t>
      </w:r>
      <w:r w:rsidR="00843BCB" w:rsidRPr="2499661A">
        <w:rPr>
          <w:rFonts w:asciiTheme="majorHAnsi" w:hAnsiTheme="majorHAnsi" w:cstheme="majorBidi"/>
        </w:rPr>
        <w:t>$129,054.97</w:t>
      </w:r>
      <w:r w:rsidRPr="2499661A">
        <w:rPr>
          <w:rFonts w:asciiTheme="majorHAnsi" w:hAnsiTheme="majorHAnsi" w:cstheme="majorBidi"/>
        </w:rPr>
        <w:t xml:space="preserve"> (excl</w:t>
      </w:r>
      <w:r w:rsidR="00202709">
        <w:rPr>
          <w:rFonts w:asciiTheme="majorHAnsi" w:hAnsiTheme="majorHAnsi" w:cstheme="majorBidi"/>
        </w:rPr>
        <w:t>uding</w:t>
      </w:r>
      <w:r w:rsidRPr="2499661A">
        <w:rPr>
          <w:rFonts w:asciiTheme="majorHAnsi" w:hAnsiTheme="majorHAnsi" w:cstheme="majorBidi"/>
        </w:rPr>
        <w:t xml:space="preserve">. GST). </w:t>
      </w:r>
      <w:r w:rsidRPr="00BC4AA6">
        <w:rPr>
          <w:rFonts w:asciiTheme="majorHAnsi" w:hAnsiTheme="majorHAnsi" w:cstheme="majorBidi"/>
        </w:rPr>
        <w:fldChar w:fldCharType="begin"/>
      </w:r>
      <w:r w:rsidRPr="2499661A">
        <w:rPr>
          <w:rFonts w:asciiTheme="majorHAnsi" w:hAnsiTheme="majorHAnsi" w:cstheme="majorBidi"/>
        </w:rPr>
        <w:instrText xml:space="preserve"> REF _Ref57545112 \h  \* MERGEFORMAT </w:instrText>
      </w:r>
      <w:r w:rsidRPr="00BC4AA6">
        <w:rPr>
          <w:rFonts w:asciiTheme="majorHAnsi" w:hAnsiTheme="majorHAnsi" w:cstheme="majorBidi"/>
        </w:rPr>
      </w:r>
      <w:r w:rsidRPr="00BC4AA6">
        <w:rPr>
          <w:rFonts w:asciiTheme="majorHAnsi" w:hAnsiTheme="majorHAnsi" w:cstheme="majorBidi"/>
        </w:rPr>
        <w:fldChar w:fldCharType="separate"/>
      </w:r>
    </w:p>
    <w:p w14:paraId="12006E46" w14:textId="169457F8" w:rsidR="00BB6476" w:rsidRPr="0012521E" w:rsidRDefault="00EB70DF" w:rsidP="00BB6476">
      <w:pPr>
        <w:rPr>
          <w:rFonts w:asciiTheme="majorHAnsi" w:hAnsiTheme="majorHAnsi" w:cstheme="majorHAnsi"/>
        </w:rPr>
      </w:pPr>
      <w:r w:rsidRPr="0012521E">
        <w:rPr>
          <w:rFonts w:asciiTheme="majorHAnsi" w:hAnsiTheme="majorHAnsi" w:cstheme="majorHAnsi"/>
        </w:rPr>
        <w:t xml:space="preserve">Table </w:t>
      </w:r>
      <w:r>
        <w:rPr>
          <w:rFonts w:asciiTheme="majorHAnsi" w:hAnsiTheme="majorHAnsi" w:cstheme="majorHAnsi"/>
        </w:rPr>
        <w:t>17</w:t>
      </w:r>
      <w:r w:rsidR="00BB6476" w:rsidRPr="00BC4AA6">
        <w:rPr>
          <w:rFonts w:asciiTheme="majorHAnsi" w:hAnsiTheme="majorHAnsi" w:cstheme="majorHAnsi"/>
        </w:rPr>
        <w:fldChar w:fldCharType="end"/>
      </w:r>
      <w:r w:rsidR="00BB6476" w:rsidRPr="00BC4AA6">
        <w:rPr>
          <w:rFonts w:asciiTheme="majorHAnsi" w:hAnsiTheme="majorHAnsi" w:cstheme="majorHAnsi"/>
        </w:rPr>
        <w:t xml:space="preserve"> lists details of these individual consultancies</w:t>
      </w:r>
      <w:bookmarkStart w:id="220" w:name="_Hlk57545134"/>
      <w:r w:rsidR="00BB6476" w:rsidRPr="00BC4AA6">
        <w:rPr>
          <w:rFonts w:asciiTheme="majorHAnsi" w:hAnsiTheme="majorHAnsi" w:cstheme="majorHAnsi"/>
        </w:rPr>
        <w:t>.</w:t>
      </w:r>
      <w:bookmarkEnd w:id="220"/>
      <w:r w:rsidR="00BB6476" w:rsidRPr="00BC4AA6">
        <w:rPr>
          <w:rFonts w:asciiTheme="majorHAnsi" w:hAnsiTheme="majorHAnsi" w:cstheme="majorHAnsi"/>
        </w:rPr>
        <w:t xml:space="preserve"> The details of all consultancies</w:t>
      </w:r>
      <w:r w:rsidR="00BB6476" w:rsidRPr="0012521E">
        <w:rPr>
          <w:rFonts w:asciiTheme="majorHAnsi" w:hAnsiTheme="majorHAnsi" w:cstheme="majorHAnsi"/>
        </w:rPr>
        <w:t xml:space="preserve"> are made available on SV’s website through the publication of our annual report.</w:t>
      </w:r>
      <w:bookmarkStart w:id="221" w:name="_Ref57545112"/>
    </w:p>
    <w:p w14:paraId="35933F7C" w14:textId="29C15C4F" w:rsidR="00BB6476" w:rsidRPr="0012521E" w:rsidRDefault="00BB6476" w:rsidP="00BB6476">
      <w:pPr>
        <w:pStyle w:val="Caption"/>
        <w:rPr>
          <w:rFonts w:asciiTheme="majorHAnsi" w:hAnsiTheme="majorHAnsi" w:cstheme="majorHAnsi"/>
        </w:rPr>
      </w:pPr>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17</w:t>
      </w:r>
      <w:r w:rsidRPr="0012521E">
        <w:rPr>
          <w:rFonts w:asciiTheme="majorHAnsi" w:hAnsiTheme="majorHAnsi" w:cstheme="majorHAnsi"/>
        </w:rPr>
        <w:fldChar w:fldCharType="end"/>
      </w:r>
      <w:bookmarkEnd w:id="221"/>
      <w:r w:rsidRPr="0012521E">
        <w:rPr>
          <w:rFonts w:asciiTheme="majorHAnsi" w:hAnsiTheme="majorHAnsi" w:cstheme="majorHAnsi"/>
        </w:rPr>
        <w:t>: Consultancies valued at $10,000 or greater in 202</w:t>
      </w:r>
      <w:r w:rsidR="005F227C" w:rsidRPr="0012521E">
        <w:rPr>
          <w:rFonts w:asciiTheme="majorHAnsi" w:hAnsiTheme="majorHAnsi" w:cstheme="majorHAnsi"/>
        </w:rPr>
        <w:t>3</w:t>
      </w:r>
      <w:r w:rsidRPr="0012521E">
        <w:rPr>
          <w:rFonts w:asciiTheme="majorHAnsi" w:hAnsiTheme="majorHAnsi" w:cstheme="majorHAnsi"/>
        </w:rPr>
        <w:t>–2</w:t>
      </w:r>
      <w:r w:rsidR="005F227C" w:rsidRPr="0012521E">
        <w:rPr>
          <w:rFonts w:asciiTheme="majorHAnsi" w:hAnsiTheme="majorHAnsi" w:cstheme="majorHAnsi"/>
        </w:rPr>
        <w:t>4</w:t>
      </w:r>
    </w:p>
    <w:tbl>
      <w:tblPr>
        <w:tblStyle w:val="TableGrid"/>
        <w:tblW w:w="14810" w:type="dxa"/>
        <w:tblLayout w:type="fixed"/>
        <w:tblLook w:val="04A0" w:firstRow="1" w:lastRow="0" w:firstColumn="1" w:lastColumn="0" w:noHBand="0" w:noVBand="1"/>
      </w:tblPr>
      <w:tblGrid>
        <w:gridCol w:w="1141"/>
        <w:gridCol w:w="1418"/>
        <w:gridCol w:w="4853"/>
        <w:gridCol w:w="1429"/>
        <w:gridCol w:w="1328"/>
        <w:gridCol w:w="1380"/>
        <w:gridCol w:w="1544"/>
        <w:gridCol w:w="1717"/>
      </w:tblGrid>
      <w:tr w:rsidR="00BB6476" w:rsidRPr="0012521E" w14:paraId="24BCD00C" w14:textId="77777777" w:rsidTr="00E159ED">
        <w:trPr>
          <w:trHeight w:val="765"/>
          <w:tblHeader/>
        </w:trPr>
        <w:tc>
          <w:tcPr>
            <w:tcW w:w="1141" w:type="dxa"/>
            <w:shd w:val="clear" w:color="auto" w:fill="D4DFA0" w:themeFill="accent3"/>
          </w:tcPr>
          <w:p w14:paraId="6CF73988" w14:textId="77777777" w:rsidR="00BB6476" w:rsidRPr="00E159ED" w:rsidRDefault="00BB6476" w:rsidP="00EC78E4">
            <w:pPr>
              <w:pStyle w:val="tableheader0"/>
              <w:rPr>
                <w:rFonts w:cstheme="majorHAnsi"/>
                <w:color w:val="auto"/>
              </w:rPr>
            </w:pPr>
            <w:r w:rsidRPr="00E159ED">
              <w:rPr>
                <w:rFonts w:cstheme="majorHAnsi"/>
                <w:color w:val="auto"/>
              </w:rPr>
              <w:t>Contract ID</w:t>
            </w:r>
          </w:p>
        </w:tc>
        <w:tc>
          <w:tcPr>
            <w:tcW w:w="1418" w:type="dxa"/>
            <w:shd w:val="clear" w:color="auto" w:fill="D4DFA0" w:themeFill="accent3"/>
          </w:tcPr>
          <w:p w14:paraId="63670D2A" w14:textId="77777777" w:rsidR="00BB6476" w:rsidRPr="00E159ED" w:rsidRDefault="00BB6476" w:rsidP="00EC78E4">
            <w:pPr>
              <w:pStyle w:val="tableheader0"/>
              <w:rPr>
                <w:rFonts w:cstheme="majorHAnsi"/>
                <w:color w:val="auto"/>
              </w:rPr>
            </w:pPr>
            <w:r w:rsidRPr="00E159ED">
              <w:rPr>
                <w:rFonts w:cstheme="majorHAnsi"/>
                <w:color w:val="auto"/>
              </w:rPr>
              <w:t>Consultant</w:t>
            </w:r>
          </w:p>
        </w:tc>
        <w:tc>
          <w:tcPr>
            <w:tcW w:w="4853" w:type="dxa"/>
            <w:shd w:val="clear" w:color="auto" w:fill="D4DFA0" w:themeFill="accent3"/>
          </w:tcPr>
          <w:p w14:paraId="037100B8" w14:textId="77777777" w:rsidR="00BB6476" w:rsidRPr="00E159ED" w:rsidRDefault="00BB6476" w:rsidP="00EC78E4">
            <w:pPr>
              <w:pStyle w:val="tableheader0"/>
              <w:rPr>
                <w:rFonts w:cstheme="majorHAnsi"/>
                <w:color w:val="auto"/>
              </w:rPr>
            </w:pPr>
            <w:r w:rsidRPr="00E159ED">
              <w:rPr>
                <w:rFonts w:cstheme="majorHAnsi"/>
                <w:color w:val="auto"/>
              </w:rPr>
              <w:t>Title and description</w:t>
            </w:r>
          </w:p>
        </w:tc>
        <w:tc>
          <w:tcPr>
            <w:tcW w:w="1429" w:type="dxa"/>
            <w:shd w:val="clear" w:color="auto" w:fill="D4DFA0" w:themeFill="accent3"/>
          </w:tcPr>
          <w:p w14:paraId="21353B02" w14:textId="77777777" w:rsidR="00BB6476" w:rsidRPr="00E159ED" w:rsidRDefault="00BB6476" w:rsidP="00EC78E4">
            <w:pPr>
              <w:pStyle w:val="tableheader0"/>
              <w:rPr>
                <w:rFonts w:cstheme="majorHAnsi"/>
                <w:color w:val="auto"/>
              </w:rPr>
            </w:pPr>
            <w:r w:rsidRPr="00E159ED">
              <w:rPr>
                <w:rFonts w:cstheme="majorHAnsi"/>
                <w:color w:val="auto"/>
              </w:rPr>
              <w:t>Start date</w:t>
            </w:r>
          </w:p>
        </w:tc>
        <w:tc>
          <w:tcPr>
            <w:tcW w:w="1328" w:type="dxa"/>
            <w:shd w:val="clear" w:color="auto" w:fill="D4DFA0" w:themeFill="accent3"/>
          </w:tcPr>
          <w:p w14:paraId="12257CFE" w14:textId="77777777" w:rsidR="00BB6476" w:rsidRPr="00E159ED" w:rsidRDefault="00BB6476" w:rsidP="00EC78E4">
            <w:pPr>
              <w:pStyle w:val="tableheader0"/>
              <w:rPr>
                <w:rFonts w:cstheme="majorHAnsi"/>
                <w:color w:val="auto"/>
              </w:rPr>
            </w:pPr>
            <w:r w:rsidRPr="00E159ED">
              <w:rPr>
                <w:rFonts w:cstheme="majorHAnsi"/>
                <w:color w:val="auto"/>
              </w:rPr>
              <w:t>End date</w:t>
            </w:r>
          </w:p>
        </w:tc>
        <w:tc>
          <w:tcPr>
            <w:tcW w:w="1380" w:type="dxa"/>
            <w:shd w:val="clear" w:color="auto" w:fill="D4DFA0" w:themeFill="accent3"/>
          </w:tcPr>
          <w:p w14:paraId="4338D7C4" w14:textId="77777777" w:rsidR="00BB6476" w:rsidRPr="00E159ED" w:rsidRDefault="00BB6476" w:rsidP="00EC78E4">
            <w:pPr>
              <w:pStyle w:val="tableheader0"/>
              <w:rPr>
                <w:rFonts w:cstheme="majorHAnsi"/>
                <w:color w:val="auto"/>
              </w:rPr>
            </w:pPr>
            <w:r w:rsidRPr="00E159ED">
              <w:rPr>
                <w:rFonts w:cstheme="majorHAnsi"/>
                <w:color w:val="auto"/>
              </w:rPr>
              <w:t xml:space="preserve">Total fees </w:t>
            </w:r>
          </w:p>
        </w:tc>
        <w:tc>
          <w:tcPr>
            <w:tcW w:w="1544" w:type="dxa"/>
            <w:shd w:val="clear" w:color="auto" w:fill="D4DFA0" w:themeFill="accent3"/>
          </w:tcPr>
          <w:p w14:paraId="76BA5C95" w14:textId="77777777" w:rsidR="00BB6476" w:rsidRPr="00E159ED" w:rsidRDefault="00BB6476" w:rsidP="00EC78E4">
            <w:pPr>
              <w:pStyle w:val="tableheader0"/>
              <w:rPr>
                <w:rFonts w:cstheme="majorHAnsi"/>
                <w:color w:val="auto"/>
              </w:rPr>
            </w:pPr>
            <w:r w:rsidRPr="00E159ED">
              <w:rPr>
                <w:rFonts w:cstheme="majorHAnsi"/>
                <w:color w:val="auto"/>
              </w:rPr>
              <w:t xml:space="preserve">Expenditure this year </w:t>
            </w:r>
          </w:p>
        </w:tc>
        <w:tc>
          <w:tcPr>
            <w:tcW w:w="1717" w:type="dxa"/>
            <w:shd w:val="clear" w:color="auto" w:fill="D4DFA0" w:themeFill="accent3"/>
          </w:tcPr>
          <w:p w14:paraId="667EACEC" w14:textId="77777777" w:rsidR="00BB6476" w:rsidRPr="00E159ED" w:rsidRDefault="00BB6476" w:rsidP="00EC78E4">
            <w:pPr>
              <w:pStyle w:val="tableheader0"/>
              <w:rPr>
                <w:rFonts w:cstheme="majorHAnsi"/>
                <w:color w:val="auto"/>
              </w:rPr>
            </w:pPr>
            <w:r w:rsidRPr="00E159ED">
              <w:rPr>
                <w:rFonts w:cstheme="majorHAnsi"/>
                <w:color w:val="auto"/>
              </w:rPr>
              <w:t xml:space="preserve">Future commitments </w:t>
            </w:r>
          </w:p>
        </w:tc>
      </w:tr>
      <w:tr w:rsidR="00BB6476" w:rsidRPr="0012521E" w14:paraId="2B2A482F" w14:textId="77777777" w:rsidTr="00EC78E4">
        <w:trPr>
          <w:trHeight w:val="529"/>
        </w:trPr>
        <w:tc>
          <w:tcPr>
            <w:tcW w:w="1141" w:type="dxa"/>
          </w:tcPr>
          <w:p w14:paraId="7A862EED" w14:textId="2FEEB3D6" w:rsidR="00BB6476" w:rsidRPr="0012521E" w:rsidRDefault="00973A34" w:rsidP="00EC78E4">
            <w:pPr>
              <w:pStyle w:val="TableText"/>
              <w:rPr>
                <w:rFonts w:asciiTheme="majorHAnsi" w:hAnsiTheme="majorHAnsi" w:cstheme="majorHAnsi"/>
              </w:rPr>
            </w:pPr>
            <w:r w:rsidRPr="00973A34">
              <w:rPr>
                <w:rFonts w:asciiTheme="majorHAnsi" w:hAnsiTheme="majorHAnsi" w:cstheme="majorHAnsi"/>
              </w:rPr>
              <w:t>C-13157</w:t>
            </w:r>
          </w:p>
        </w:tc>
        <w:tc>
          <w:tcPr>
            <w:tcW w:w="1418" w:type="dxa"/>
          </w:tcPr>
          <w:p w14:paraId="08C340BF" w14:textId="7C375EC4" w:rsidR="00BB6476" w:rsidRPr="0012521E" w:rsidRDefault="00874F91" w:rsidP="00EC78E4">
            <w:pPr>
              <w:pStyle w:val="TableText"/>
              <w:rPr>
                <w:rFonts w:asciiTheme="majorHAnsi" w:hAnsiTheme="majorHAnsi" w:cstheme="majorHAnsi"/>
              </w:rPr>
            </w:pPr>
            <w:r w:rsidRPr="00874F91">
              <w:rPr>
                <w:rFonts w:asciiTheme="majorHAnsi" w:hAnsiTheme="majorHAnsi" w:cstheme="majorHAnsi"/>
              </w:rPr>
              <w:t>Harford Consulting</w:t>
            </w:r>
          </w:p>
        </w:tc>
        <w:tc>
          <w:tcPr>
            <w:tcW w:w="4853" w:type="dxa"/>
          </w:tcPr>
          <w:p w14:paraId="65459ECC" w14:textId="086418E9" w:rsidR="00BB6476" w:rsidRPr="0012521E" w:rsidRDefault="00097054" w:rsidP="00EC78E4">
            <w:pPr>
              <w:pStyle w:val="TableText"/>
              <w:rPr>
                <w:rFonts w:asciiTheme="majorHAnsi" w:hAnsiTheme="majorHAnsi" w:cstheme="majorHAnsi"/>
              </w:rPr>
            </w:pPr>
            <w:r w:rsidRPr="00097054">
              <w:rPr>
                <w:rFonts w:asciiTheme="majorHAnsi" w:hAnsiTheme="majorHAnsi" w:cstheme="majorHAnsi"/>
              </w:rPr>
              <w:t>Product Stewardship Strategic Framework: To provide a product stewardship strategic framework, delivered as a written report with supporting visual model.</w:t>
            </w:r>
          </w:p>
        </w:tc>
        <w:tc>
          <w:tcPr>
            <w:tcW w:w="1429" w:type="dxa"/>
          </w:tcPr>
          <w:p w14:paraId="39A08C80" w14:textId="79EC0A07" w:rsidR="00BB6476" w:rsidRPr="0012521E" w:rsidRDefault="00491DD8" w:rsidP="00EC78E4">
            <w:pPr>
              <w:pStyle w:val="Tablerightlarge"/>
              <w:rPr>
                <w:rFonts w:asciiTheme="majorHAnsi" w:hAnsiTheme="majorHAnsi" w:cstheme="majorHAnsi"/>
              </w:rPr>
            </w:pPr>
            <w:r>
              <w:rPr>
                <w:rFonts w:asciiTheme="majorHAnsi" w:hAnsiTheme="majorHAnsi" w:cstheme="majorHAnsi"/>
              </w:rPr>
              <w:t>22 May 2024</w:t>
            </w:r>
          </w:p>
        </w:tc>
        <w:tc>
          <w:tcPr>
            <w:tcW w:w="1328" w:type="dxa"/>
          </w:tcPr>
          <w:p w14:paraId="5F3ACB9C" w14:textId="7B292601" w:rsidR="00BB6476" w:rsidRPr="0012521E" w:rsidRDefault="00AD7EE0" w:rsidP="00EC78E4">
            <w:pPr>
              <w:pStyle w:val="Tablerightlarge"/>
              <w:rPr>
                <w:rFonts w:asciiTheme="majorHAnsi" w:hAnsiTheme="majorHAnsi" w:cstheme="majorHAnsi"/>
              </w:rPr>
            </w:pPr>
            <w:r>
              <w:rPr>
                <w:rFonts w:asciiTheme="majorHAnsi" w:hAnsiTheme="majorHAnsi" w:cstheme="majorHAnsi"/>
              </w:rPr>
              <w:t>15 November 2024</w:t>
            </w:r>
          </w:p>
        </w:tc>
        <w:tc>
          <w:tcPr>
            <w:tcW w:w="1380" w:type="dxa"/>
          </w:tcPr>
          <w:p w14:paraId="7ECA9043" w14:textId="6F153DEC" w:rsidR="00BB6476" w:rsidRPr="0012521E" w:rsidRDefault="000C4BA5" w:rsidP="00EC78E4">
            <w:pPr>
              <w:pStyle w:val="Tablerightlarge"/>
              <w:rPr>
                <w:rFonts w:asciiTheme="majorHAnsi" w:hAnsiTheme="majorHAnsi" w:cstheme="majorHAnsi"/>
              </w:rPr>
            </w:pPr>
            <w:r>
              <w:rPr>
                <w:rFonts w:asciiTheme="majorHAnsi" w:hAnsiTheme="majorHAnsi" w:cstheme="majorHAnsi"/>
              </w:rPr>
              <w:t>$39,070.00</w:t>
            </w:r>
          </w:p>
        </w:tc>
        <w:tc>
          <w:tcPr>
            <w:tcW w:w="1544" w:type="dxa"/>
          </w:tcPr>
          <w:p w14:paraId="3C0D4676" w14:textId="1E1F562E" w:rsidR="00BB6476" w:rsidRPr="0012521E" w:rsidRDefault="00800B4D" w:rsidP="00EC78E4">
            <w:pPr>
              <w:pStyle w:val="Tablerightlarge"/>
              <w:rPr>
                <w:rFonts w:asciiTheme="majorHAnsi" w:hAnsiTheme="majorHAnsi" w:cstheme="majorHAnsi"/>
              </w:rPr>
            </w:pPr>
            <w:r>
              <w:rPr>
                <w:rFonts w:asciiTheme="majorHAnsi" w:hAnsiTheme="majorHAnsi" w:cstheme="majorHAnsi"/>
              </w:rPr>
              <w:t>$0.00</w:t>
            </w:r>
          </w:p>
        </w:tc>
        <w:tc>
          <w:tcPr>
            <w:tcW w:w="1717" w:type="dxa"/>
          </w:tcPr>
          <w:p w14:paraId="6454FAE6" w14:textId="0FE9BEC8" w:rsidR="00BB6476" w:rsidRPr="0012521E" w:rsidRDefault="00800B4D" w:rsidP="00EC78E4">
            <w:pPr>
              <w:pStyle w:val="Tablerightlarge"/>
              <w:rPr>
                <w:rFonts w:asciiTheme="majorHAnsi" w:hAnsiTheme="majorHAnsi" w:cstheme="majorHAnsi"/>
              </w:rPr>
            </w:pPr>
            <w:r>
              <w:rPr>
                <w:rFonts w:asciiTheme="majorHAnsi" w:hAnsiTheme="majorHAnsi" w:cstheme="majorHAnsi"/>
              </w:rPr>
              <w:t>$39,070.00</w:t>
            </w:r>
          </w:p>
        </w:tc>
      </w:tr>
      <w:tr w:rsidR="00800B4D" w:rsidRPr="0012521E" w14:paraId="58EEF0CB" w14:textId="77777777" w:rsidTr="00EC78E4">
        <w:trPr>
          <w:trHeight w:val="529"/>
        </w:trPr>
        <w:tc>
          <w:tcPr>
            <w:tcW w:w="1141" w:type="dxa"/>
          </w:tcPr>
          <w:p w14:paraId="1EB21BA6" w14:textId="591B5D2B" w:rsidR="00800B4D" w:rsidRPr="00973A34" w:rsidRDefault="00693DDF" w:rsidP="00EC78E4">
            <w:pPr>
              <w:pStyle w:val="TableText"/>
              <w:rPr>
                <w:rFonts w:asciiTheme="majorHAnsi" w:hAnsiTheme="majorHAnsi" w:cstheme="majorHAnsi"/>
              </w:rPr>
            </w:pPr>
            <w:r w:rsidRPr="00693DDF">
              <w:rPr>
                <w:rFonts w:asciiTheme="majorHAnsi" w:hAnsiTheme="majorHAnsi" w:cstheme="majorHAnsi"/>
              </w:rPr>
              <w:t>C-13136/V1</w:t>
            </w:r>
          </w:p>
        </w:tc>
        <w:tc>
          <w:tcPr>
            <w:tcW w:w="1418" w:type="dxa"/>
          </w:tcPr>
          <w:p w14:paraId="31DB80C1" w14:textId="4A0986E0" w:rsidR="00800B4D" w:rsidRPr="00874F91" w:rsidRDefault="00007E12" w:rsidP="00EC78E4">
            <w:pPr>
              <w:pStyle w:val="TableText"/>
              <w:rPr>
                <w:rFonts w:asciiTheme="majorHAnsi" w:hAnsiTheme="majorHAnsi" w:cstheme="majorHAnsi"/>
              </w:rPr>
            </w:pPr>
            <w:r w:rsidRPr="00007E12">
              <w:rPr>
                <w:rFonts w:asciiTheme="majorHAnsi" w:hAnsiTheme="majorHAnsi" w:cstheme="majorHAnsi"/>
              </w:rPr>
              <w:t>Randell Environmental Consulting Pty Ltd</w:t>
            </w:r>
          </w:p>
        </w:tc>
        <w:tc>
          <w:tcPr>
            <w:tcW w:w="4853" w:type="dxa"/>
          </w:tcPr>
          <w:p w14:paraId="4CE73099" w14:textId="595C13AA" w:rsidR="00800B4D" w:rsidRPr="00097054" w:rsidRDefault="008401F1" w:rsidP="00EC78E4">
            <w:pPr>
              <w:pStyle w:val="TableText"/>
              <w:rPr>
                <w:rFonts w:asciiTheme="majorHAnsi" w:hAnsiTheme="majorHAnsi" w:cstheme="majorHAnsi"/>
              </w:rPr>
            </w:pPr>
            <w:r w:rsidRPr="008401F1">
              <w:rPr>
                <w:rFonts w:asciiTheme="majorHAnsi" w:hAnsiTheme="majorHAnsi" w:cstheme="majorHAnsi"/>
              </w:rPr>
              <w:t>APCURS Quality assurance and Strategic Advisory Services: To provide project direction and documentation review in the Analysis of Potential Compliant Uses of Recovered Soil (APCURS) phase and assist with early Roadmap planning for recovered spoil market development project.</w:t>
            </w:r>
          </w:p>
        </w:tc>
        <w:tc>
          <w:tcPr>
            <w:tcW w:w="1429" w:type="dxa"/>
          </w:tcPr>
          <w:p w14:paraId="5C40382B" w14:textId="48595515" w:rsidR="00800B4D" w:rsidRDefault="00ED49D4" w:rsidP="00EC78E4">
            <w:pPr>
              <w:pStyle w:val="Tablerightlarge"/>
              <w:rPr>
                <w:rFonts w:asciiTheme="majorHAnsi" w:hAnsiTheme="majorHAnsi" w:cstheme="majorHAnsi"/>
              </w:rPr>
            </w:pPr>
            <w:r>
              <w:rPr>
                <w:rFonts w:asciiTheme="majorHAnsi" w:hAnsiTheme="majorHAnsi" w:cstheme="majorHAnsi"/>
              </w:rPr>
              <w:t>19 March 2023</w:t>
            </w:r>
          </w:p>
        </w:tc>
        <w:tc>
          <w:tcPr>
            <w:tcW w:w="1328" w:type="dxa"/>
          </w:tcPr>
          <w:p w14:paraId="26B7BA9D" w14:textId="79EC0A11" w:rsidR="00800B4D" w:rsidRDefault="009E0E42" w:rsidP="00EC78E4">
            <w:pPr>
              <w:pStyle w:val="Tablerightlarge"/>
              <w:rPr>
                <w:rFonts w:asciiTheme="majorHAnsi" w:hAnsiTheme="majorHAnsi" w:cstheme="majorHAnsi"/>
              </w:rPr>
            </w:pPr>
            <w:r>
              <w:rPr>
                <w:rFonts w:asciiTheme="majorHAnsi" w:hAnsiTheme="majorHAnsi" w:cstheme="majorHAnsi"/>
              </w:rPr>
              <w:t xml:space="preserve">30 </w:t>
            </w:r>
            <w:r w:rsidR="008E50D0">
              <w:rPr>
                <w:rFonts w:asciiTheme="majorHAnsi" w:hAnsiTheme="majorHAnsi" w:cstheme="majorHAnsi"/>
              </w:rPr>
              <w:t>October 2024</w:t>
            </w:r>
          </w:p>
        </w:tc>
        <w:tc>
          <w:tcPr>
            <w:tcW w:w="1380" w:type="dxa"/>
          </w:tcPr>
          <w:p w14:paraId="717EEF93" w14:textId="2FACDA11" w:rsidR="00800B4D" w:rsidRDefault="008E50D0" w:rsidP="00EC78E4">
            <w:pPr>
              <w:pStyle w:val="Tablerightlarge"/>
              <w:rPr>
                <w:rFonts w:asciiTheme="majorHAnsi" w:hAnsiTheme="majorHAnsi" w:cstheme="majorHAnsi"/>
              </w:rPr>
            </w:pPr>
            <w:r>
              <w:rPr>
                <w:rFonts w:asciiTheme="majorHAnsi" w:hAnsiTheme="majorHAnsi" w:cstheme="majorHAnsi"/>
              </w:rPr>
              <w:t>$</w:t>
            </w:r>
            <w:r w:rsidR="006F0FB6">
              <w:rPr>
                <w:rFonts w:asciiTheme="majorHAnsi" w:hAnsiTheme="majorHAnsi" w:cstheme="majorHAnsi"/>
              </w:rPr>
              <w:t>35,840.00</w:t>
            </w:r>
          </w:p>
        </w:tc>
        <w:tc>
          <w:tcPr>
            <w:tcW w:w="1544" w:type="dxa"/>
          </w:tcPr>
          <w:p w14:paraId="2DB9D2BD" w14:textId="48209DBC" w:rsidR="00800B4D" w:rsidRDefault="00047816" w:rsidP="00EC78E4">
            <w:pPr>
              <w:pStyle w:val="Tablerightlarge"/>
              <w:rPr>
                <w:rFonts w:asciiTheme="majorHAnsi" w:hAnsiTheme="majorHAnsi" w:cstheme="majorHAnsi"/>
              </w:rPr>
            </w:pPr>
            <w:r>
              <w:rPr>
                <w:rFonts w:asciiTheme="majorHAnsi" w:hAnsiTheme="majorHAnsi" w:cstheme="majorHAnsi"/>
              </w:rPr>
              <w:t>$</w:t>
            </w:r>
            <w:r w:rsidR="00275E8E">
              <w:rPr>
                <w:rFonts w:asciiTheme="majorHAnsi" w:hAnsiTheme="majorHAnsi" w:cstheme="majorHAnsi"/>
              </w:rPr>
              <w:t>5,720.00</w:t>
            </w:r>
          </w:p>
        </w:tc>
        <w:tc>
          <w:tcPr>
            <w:tcW w:w="1717" w:type="dxa"/>
          </w:tcPr>
          <w:p w14:paraId="4CD66BB6" w14:textId="258DFF05" w:rsidR="00800B4D" w:rsidRDefault="004237A6" w:rsidP="00EC78E4">
            <w:pPr>
              <w:pStyle w:val="Tablerightlarge"/>
              <w:rPr>
                <w:rFonts w:asciiTheme="majorHAnsi" w:hAnsiTheme="majorHAnsi" w:cstheme="majorHAnsi"/>
              </w:rPr>
            </w:pPr>
            <w:r>
              <w:rPr>
                <w:rFonts w:asciiTheme="majorHAnsi" w:hAnsiTheme="majorHAnsi" w:cstheme="majorHAnsi"/>
              </w:rPr>
              <w:t>$</w:t>
            </w:r>
            <w:r w:rsidR="003D5F89">
              <w:rPr>
                <w:rFonts w:asciiTheme="majorHAnsi" w:hAnsiTheme="majorHAnsi" w:cstheme="majorHAnsi"/>
              </w:rPr>
              <w:t>30,120.00</w:t>
            </w:r>
          </w:p>
        </w:tc>
      </w:tr>
      <w:tr w:rsidR="003D5F89" w:rsidRPr="0012521E" w14:paraId="6D9B940E" w14:textId="77777777" w:rsidTr="00EC78E4">
        <w:trPr>
          <w:trHeight w:val="529"/>
        </w:trPr>
        <w:tc>
          <w:tcPr>
            <w:tcW w:w="1141" w:type="dxa"/>
          </w:tcPr>
          <w:p w14:paraId="4168FD3C" w14:textId="77777777" w:rsidR="00916318" w:rsidRDefault="00916318" w:rsidP="00916318">
            <w:pPr>
              <w:spacing w:line="240" w:lineRule="auto"/>
              <w:rPr>
                <w:rFonts w:ascii="Aptos Narrow" w:hAnsi="Aptos Narrow"/>
                <w:color w:val="000000"/>
                <w:sz w:val="22"/>
              </w:rPr>
            </w:pPr>
            <w:r>
              <w:rPr>
                <w:rFonts w:ascii="Aptos Narrow" w:hAnsi="Aptos Narrow"/>
                <w:color w:val="000000"/>
                <w:sz w:val="22"/>
              </w:rPr>
              <w:t>C-13097/V2</w:t>
            </w:r>
          </w:p>
          <w:p w14:paraId="699A483F" w14:textId="77777777" w:rsidR="003D5F89" w:rsidRPr="00693DDF" w:rsidRDefault="003D5F89" w:rsidP="00EC78E4">
            <w:pPr>
              <w:pStyle w:val="TableText"/>
              <w:rPr>
                <w:rFonts w:asciiTheme="majorHAnsi" w:hAnsiTheme="majorHAnsi" w:cstheme="majorHAnsi"/>
              </w:rPr>
            </w:pPr>
          </w:p>
        </w:tc>
        <w:tc>
          <w:tcPr>
            <w:tcW w:w="1418" w:type="dxa"/>
          </w:tcPr>
          <w:p w14:paraId="5ED288C1" w14:textId="5360162D" w:rsidR="003D5F89" w:rsidRPr="00007E12" w:rsidRDefault="004A3FB6" w:rsidP="00EC78E4">
            <w:pPr>
              <w:pStyle w:val="TableText"/>
              <w:rPr>
                <w:rFonts w:asciiTheme="majorHAnsi" w:hAnsiTheme="majorHAnsi" w:cstheme="majorHAnsi"/>
              </w:rPr>
            </w:pPr>
            <w:r w:rsidRPr="004A3FB6">
              <w:rPr>
                <w:rFonts w:asciiTheme="majorHAnsi" w:hAnsiTheme="majorHAnsi" w:cstheme="majorHAnsi"/>
              </w:rPr>
              <w:t>Blue Environment</w:t>
            </w:r>
          </w:p>
        </w:tc>
        <w:tc>
          <w:tcPr>
            <w:tcW w:w="4853" w:type="dxa"/>
          </w:tcPr>
          <w:p w14:paraId="4DD53538" w14:textId="523F4A84" w:rsidR="003D5F89" w:rsidRPr="008401F1" w:rsidRDefault="00FF1742" w:rsidP="00EC78E4">
            <w:pPr>
              <w:pStyle w:val="TableText"/>
              <w:rPr>
                <w:rFonts w:asciiTheme="majorHAnsi" w:hAnsiTheme="majorHAnsi" w:cstheme="majorHAnsi"/>
              </w:rPr>
            </w:pPr>
            <w:r w:rsidRPr="00FF1742">
              <w:rPr>
                <w:rFonts w:asciiTheme="majorHAnsi" w:hAnsiTheme="majorHAnsi" w:cstheme="majorHAnsi"/>
              </w:rPr>
              <w:t xml:space="preserve">Analysis of Potential Compliant Uses of Recovered Soils Report: To undertake research and consultation to provide a summary of the current end fate for spoil post treatment/processing including detail on </w:t>
            </w:r>
            <w:r w:rsidRPr="00FF1742">
              <w:rPr>
                <w:rFonts w:asciiTheme="majorHAnsi" w:hAnsiTheme="majorHAnsi" w:cstheme="majorHAnsi"/>
              </w:rPr>
              <w:lastRenderedPageBreak/>
              <w:t>destination and end market application/use for the various spoil categories.</w:t>
            </w:r>
          </w:p>
        </w:tc>
        <w:tc>
          <w:tcPr>
            <w:tcW w:w="1429" w:type="dxa"/>
          </w:tcPr>
          <w:p w14:paraId="07678EC6" w14:textId="3D619A92" w:rsidR="003D5F89" w:rsidRDefault="00B605DF" w:rsidP="00EC78E4">
            <w:pPr>
              <w:pStyle w:val="Tablerightlarge"/>
              <w:rPr>
                <w:rFonts w:asciiTheme="majorHAnsi" w:hAnsiTheme="majorHAnsi" w:cstheme="majorHAnsi"/>
              </w:rPr>
            </w:pPr>
            <w:r>
              <w:rPr>
                <w:rFonts w:asciiTheme="majorHAnsi" w:hAnsiTheme="majorHAnsi" w:cstheme="majorHAnsi"/>
              </w:rPr>
              <w:lastRenderedPageBreak/>
              <w:t>18 Dec</w:t>
            </w:r>
            <w:r w:rsidR="008455A7">
              <w:rPr>
                <w:rFonts w:asciiTheme="majorHAnsi" w:hAnsiTheme="majorHAnsi" w:cstheme="majorHAnsi"/>
              </w:rPr>
              <w:t>ember 2023</w:t>
            </w:r>
          </w:p>
        </w:tc>
        <w:tc>
          <w:tcPr>
            <w:tcW w:w="1328" w:type="dxa"/>
          </w:tcPr>
          <w:p w14:paraId="2ADCE4D9" w14:textId="1733F1D6" w:rsidR="003D5F89" w:rsidRDefault="00857BEE" w:rsidP="00EC78E4">
            <w:pPr>
              <w:pStyle w:val="Tablerightlarge"/>
              <w:rPr>
                <w:rFonts w:asciiTheme="majorHAnsi" w:hAnsiTheme="majorHAnsi" w:cstheme="majorHAnsi"/>
              </w:rPr>
            </w:pPr>
            <w:r>
              <w:rPr>
                <w:rFonts w:asciiTheme="majorHAnsi" w:hAnsiTheme="majorHAnsi" w:cstheme="majorHAnsi"/>
              </w:rPr>
              <w:t>11 July 202</w:t>
            </w:r>
            <w:r w:rsidR="008E50D0">
              <w:rPr>
                <w:rFonts w:asciiTheme="majorHAnsi" w:hAnsiTheme="majorHAnsi" w:cstheme="majorHAnsi"/>
              </w:rPr>
              <w:t>4</w:t>
            </w:r>
          </w:p>
        </w:tc>
        <w:tc>
          <w:tcPr>
            <w:tcW w:w="1380" w:type="dxa"/>
          </w:tcPr>
          <w:p w14:paraId="77442508" w14:textId="2AC0F5EA" w:rsidR="003D5F89" w:rsidRDefault="004C4150" w:rsidP="00EC78E4">
            <w:pPr>
              <w:pStyle w:val="Tablerightlarge"/>
              <w:rPr>
                <w:rFonts w:asciiTheme="majorHAnsi" w:hAnsiTheme="majorHAnsi" w:cstheme="majorHAnsi"/>
              </w:rPr>
            </w:pPr>
            <w:r>
              <w:rPr>
                <w:rFonts w:asciiTheme="majorHAnsi" w:hAnsiTheme="majorHAnsi" w:cstheme="majorHAnsi"/>
              </w:rPr>
              <w:t>$90</w:t>
            </w:r>
            <w:r w:rsidR="00146C55">
              <w:rPr>
                <w:rFonts w:asciiTheme="majorHAnsi" w:hAnsiTheme="majorHAnsi" w:cstheme="majorHAnsi"/>
              </w:rPr>
              <w:t>,342.50</w:t>
            </w:r>
          </w:p>
        </w:tc>
        <w:tc>
          <w:tcPr>
            <w:tcW w:w="1544" w:type="dxa"/>
          </w:tcPr>
          <w:p w14:paraId="0C4D99B2" w14:textId="5771BD0E" w:rsidR="003D5F89" w:rsidRDefault="00B45AF8" w:rsidP="00EC78E4">
            <w:pPr>
              <w:pStyle w:val="Tablerightlarge"/>
              <w:rPr>
                <w:rFonts w:asciiTheme="majorHAnsi" w:hAnsiTheme="majorHAnsi" w:cstheme="majorHAnsi"/>
              </w:rPr>
            </w:pPr>
            <w:r>
              <w:rPr>
                <w:rFonts w:asciiTheme="majorHAnsi" w:hAnsiTheme="majorHAnsi" w:cstheme="majorHAnsi"/>
              </w:rPr>
              <w:t>$65,</w:t>
            </w:r>
            <w:r w:rsidR="00743AF6">
              <w:rPr>
                <w:rFonts w:asciiTheme="majorHAnsi" w:hAnsiTheme="majorHAnsi" w:cstheme="majorHAnsi"/>
              </w:rPr>
              <w:t>852.50</w:t>
            </w:r>
          </w:p>
        </w:tc>
        <w:tc>
          <w:tcPr>
            <w:tcW w:w="1717" w:type="dxa"/>
          </w:tcPr>
          <w:p w14:paraId="180E09D3" w14:textId="02E15330" w:rsidR="003D5F89" w:rsidRDefault="00743AF6" w:rsidP="00EC78E4">
            <w:pPr>
              <w:pStyle w:val="Tablerightlarge"/>
              <w:rPr>
                <w:rFonts w:asciiTheme="majorHAnsi" w:hAnsiTheme="majorHAnsi" w:cstheme="majorHAnsi"/>
              </w:rPr>
            </w:pPr>
            <w:r>
              <w:rPr>
                <w:rFonts w:asciiTheme="majorHAnsi" w:hAnsiTheme="majorHAnsi" w:cstheme="majorHAnsi"/>
              </w:rPr>
              <w:t>$</w:t>
            </w:r>
            <w:r w:rsidR="00275EA7">
              <w:rPr>
                <w:rFonts w:asciiTheme="majorHAnsi" w:hAnsiTheme="majorHAnsi" w:cstheme="majorHAnsi"/>
              </w:rPr>
              <w:t>24,490.00</w:t>
            </w:r>
          </w:p>
        </w:tc>
      </w:tr>
      <w:tr w:rsidR="00037773" w:rsidRPr="0012521E" w14:paraId="05D9700E" w14:textId="77777777" w:rsidTr="00EC78E4">
        <w:trPr>
          <w:trHeight w:val="529"/>
        </w:trPr>
        <w:tc>
          <w:tcPr>
            <w:tcW w:w="1141" w:type="dxa"/>
          </w:tcPr>
          <w:p w14:paraId="30537DD9" w14:textId="705A08FD" w:rsidR="00037773" w:rsidRDefault="007944DA" w:rsidP="00916318">
            <w:pPr>
              <w:spacing w:line="240" w:lineRule="auto"/>
              <w:rPr>
                <w:rFonts w:ascii="Aptos Narrow" w:hAnsi="Aptos Narrow"/>
                <w:color w:val="000000"/>
                <w:sz w:val="22"/>
              </w:rPr>
            </w:pPr>
            <w:r w:rsidRPr="007944DA">
              <w:rPr>
                <w:rFonts w:ascii="Aptos Narrow" w:hAnsi="Aptos Narrow"/>
                <w:color w:val="000000"/>
                <w:sz w:val="22"/>
              </w:rPr>
              <w:t>C-13096/V1</w:t>
            </w:r>
          </w:p>
        </w:tc>
        <w:tc>
          <w:tcPr>
            <w:tcW w:w="1418" w:type="dxa"/>
          </w:tcPr>
          <w:p w14:paraId="0E0FC055" w14:textId="14A25BAE" w:rsidR="00037773" w:rsidRPr="004A3FB6" w:rsidRDefault="00371593" w:rsidP="00EC78E4">
            <w:pPr>
              <w:pStyle w:val="TableText"/>
              <w:rPr>
                <w:rFonts w:asciiTheme="majorHAnsi" w:hAnsiTheme="majorHAnsi" w:cstheme="majorHAnsi"/>
              </w:rPr>
            </w:pPr>
            <w:r w:rsidRPr="00371593">
              <w:rPr>
                <w:rFonts w:asciiTheme="majorHAnsi" w:hAnsiTheme="majorHAnsi" w:cstheme="majorHAnsi"/>
              </w:rPr>
              <w:t>ARUP</w:t>
            </w:r>
          </w:p>
        </w:tc>
        <w:tc>
          <w:tcPr>
            <w:tcW w:w="4853" w:type="dxa"/>
          </w:tcPr>
          <w:p w14:paraId="7D1FED37" w14:textId="77777777" w:rsidR="007470BE" w:rsidRPr="007470BE" w:rsidRDefault="007470BE" w:rsidP="007470BE">
            <w:pPr>
              <w:rPr>
                <w:rFonts w:asciiTheme="majorHAnsi" w:eastAsiaTheme="minorEastAsia" w:hAnsiTheme="majorHAnsi" w:cstheme="majorHAnsi"/>
                <w:bCs/>
                <w:sz w:val="22"/>
                <w:lang w:eastAsia="en-AU"/>
              </w:rPr>
            </w:pPr>
            <w:r w:rsidRPr="007470BE">
              <w:rPr>
                <w:rFonts w:asciiTheme="majorHAnsi" w:eastAsiaTheme="minorEastAsia" w:hAnsiTheme="majorHAnsi" w:cstheme="majorHAnsi"/>
                <w:bCs/>
                <w:sz w:val="22"/>
                <w:lang w:eastAsia="en-AU"/>
              </w:rPr>
              <w:t xml:space="preserve">Buy Recycled Directory strategy and evaluation: To development of a </w:t>
            </w:r>
            <w:proofErr w:type="gramStart"/>
            <w:r w:rsidRPr="007470BE">
              <w:rPr>
                <w:rFonts w:asciiTheme="majorHAnsi" w:eastAsiaTheme="minorEastAsia" w:hAnsiTheme="majorHAnsi" w:cstheme="majorHAnsi"/>
                <w:bCs/>
                <w:sz w:val="22"/>
                <w:lang w:eastAsia="en-AU"/>
              </w:rPr>
              <w:t>high level</w:t>
            </w:r>
            <w:proofErr w:type="gramEnd"/>
            <w:r w:rsidRPr="007470BE">
              <w:rPr>
                <w:rFonts w:asciiTheme="majorHAnsi" w:eastAsiaTheme="minorEastAsia" w:hAnsiTheme="majorHAnsi" w:cstheme="majorHAnsi"/>
                <w:bCs/>
                <w:sz w:val="22"/>
                <w:lang w:eastAsia="en-AU"/>
              </w:rPr>
              <w:t xml:space="preserve"> evaluation and a three-year strategy for the Buy Recycled Directory. </w:t>
            </w:r>
          </w:p>
          <w:p w14:paraId="0D522FD5" w14:textId="77777777" w:rsidR="00037773" w:rsidRPr="00FF1742" w:rsidRDefault="00037773" w:rsidP="00EC78E4">
            <w:pPr>
              <w:pStyle w:val="TableText"/>
              <w:rPr>
                <w:rFonts w:asciiTheme="majorHAnsi" w:hAnsiTheme="majorHAnsi" w:cstheme="majorHAnsi"/>
              </w:rPr>
            </w:pPr>
          </w:p>
        </w:tc>
        <w:tc>
          <w:tcPr>
            <w:tcW w:w="1429" w:type="dxa"/>
          </w:tcPr>
          <w:p w14:paraId="2501C5A3" w14:textId="12A99378" w:rsidR="00037773" w:rsidRDefault="004D4738" w:rsidP="00EC78E4">
            <w:pPr>
              <w:pStyle w:val="Tablerightlarge"/>
              <w:rPr>
                <w:rFonts w:asciiTheme="majorHAnsi" w:hAnsiTheme="majorHAnsi" w:cstheme="majorHAnsi"/>
              </w:rPr>
            </w:pPr>
            <w:r>
              <w:rPr>
                <w:rFonts w:asciiTheme="majorHAnsi" w:hAnsiTheme="majorHAnsi" w:cstheme="majorHAnsi"/>
              </w:rPr>
              <w:t>15 December 2023</w:t>
            </w:r>
          </w:p>
        </w:tc>
        <w:tc>
          <w:tcPr>
            <w:tcW w:w="1328" w:type="dxa"/>
          </w:tcPr>
          <w:p w14:paraId="5007CE16" w14:textId="0C23AA9A" w:rsidR="00037773" w:rsidRDefault="002C6439" w:rsidP="00EC78E4">
            <w:pPr>
              <w:pStyle w:val="Tablerightlarge"/>
              <w:rPr>
                <w:rFonts w:asciiTheme="majorHAnsi" w:hAnsiTheme="majorHAnsi" w:cstheme="majorHAnsi"/>
              </w:rPr>
            </w:pPr>
            <w:r>
              <w:rPr>
                <w:rFonts w:asciiTheme="majorHAnsi" w:hAnsiTheme="majorHAnsi" w:cstheme="majorHAnsi"/>
              </w:rPr>
              <w:t>30 April 2024</w:t>
            </w:r>
          </w:p>
        </w:tc>
        <w:tc>
          <w:tcPr>
            <w:tcW w:w="1380" w:type="dxa"/>
          </w:tcPr>
          <w:p w14:paraId="567A13F5" w14:textId="24DB7CE4" w:rsidR="00037773" w:rsidRDefault="00D672DB" w:rsidP="00EC78E4">
            <w:pPr>
              <w:pStyle w:val="Tablerightlarge"/>
              <w:rPr>
                <w:rFonts w:asciiTheme="majorHAnsi" w:hAnsiTheme="majorHAnsi" w:cstheme="majorHAnsi"/>
              </w:rPr>
            </w:pPr>
            <w:r>
              <w:rPr>
                <w:rFonts w:asciiTheme="majorHAnsi" w:hAnsiTheme="majorHAnsi" w:cstheme="majorHAnsi"/>
              </w:rPr>
              <w:t>$52</w:t>
            </w:r>
            <w:r w:rsidR="00D84C95">
              <w:rPr>
                <w:rFonts w:asciiTheme="majorHAnsi" w:hAnsiTheme="majorHAnsi" w:cstheme="majorHAnsi"/>
              </w:rPr>
              <w:t>,905.00</w:t>
            </w:r>
          </w:p>
        </w:tc>
        <w:tc>
          <w:tcPr>
            <w:tcW w:w="1544" w:type="dxa"/>
          </w:tcPr>
          <w:p w14:paraId="245C8269" w14:textId="0ABD20C2" w:rsidR="00037773" w:rsidRDefault="00235E66" w:rsidP="00EC78E4">
            <w:pPr>
              <w:pStyle w:val="Tablerightlarge"/>
              <w:rPr>
                <w:rFonts w:asciiTheme="majorHAnsi" w:hAnsiTheme="majorHAnsi" w:cstheme="majorHAnsi"/>
              </w:rPr>
            </w:pPr>
            <w:r>
              <w:rPr>
                <w:rFonts w:asciiTheme="majorHAnsi" w:hAnsiTheme="majorHAnsi" w:cstheme="majorHAnsi"/>
              </w:rPr>
              <w:t>$</w:t>
            </w:r>
            <w:r w:rsidR="00606C48">
              <w:rPr>
                <w:rFonts w:asciiTheme="majorHAnsi" w:hAnsiTheme="majorHAnsi" w:cstheme="majorHAnsi"/>
              </w:rPr>
              <w:t>52,</w:t>
            </w:r>
            <w:r w:rsidR="00317AE4">
              <w:rPr>
                <w:rFonts w:asciiTheme="majorHAnsi" w:hAnsiTheme="majorHAnsi" w:cstheme="majorHAnsi"/>
              </w:rPr>
              <w:t>485.00</w:t>
            </w:r>
          </w:p>
        </w:tc>
        <w:tc>
          <w:tcPr>
            <w:tcW w:w="1717" w:type="dxa"/>
          </w:tcPr>
          <w:p w14:paraId="0C03B8E9" w14:textId="1B05707F" w:rsidR="00037773" w:rsidRDefault="00837E55" w:rsidP="00EC78E4">
            <w:pPr>
              <w:pStyle w:val="Tablerightlarge"/>
              <w:rPr>
                <w:rFonts w:asciiTheme="majorHAnsi" w:hAnsiTheme="majorHAnsi" w:cstheme="majorHAnsi"/>
              </w:rPr>
            </w:pPr>
            <w:r>
              <w:rPr>
                <w:rFonts w:asciiTheme="majorHAnsi" w:hAnsiTheme="majorHAnsi" w:cstheme="majorHAnsi"/>
              </w:rPr>
              <w:t>$0.00</w:t>
            </w:r>
          </w:p>
        </w:tc>
      </w:tr>
      <w:tr w:rsidR="00DE5BC9" w:rsidRPr="0012521E" w14:paraId="6390FA3C" w14:textId="77777777" w:rsidTr="00EC78E4">
        <w:trPr>
          <w:trHeight w:val="529"/>
        </w:trPr>
        <w:tc>
          <w:tcPr>
            <w:tcW w:w="1141" w:type="dxa"/>
          </w:tcPr>
          <w:p w14:paraId="0746E8F9" w14:textId="3C7FF367" w:rsidR="00DE5BC9" w:rsidRPr="007944DA" w:rsidRDefault="00E25F9A" w:rsidP="00916318">
            <w:pPr>
              <w:spacing w:line="240" w:lineRule="auto"/>
              <w:rPr>
                <w:rFonts w:ascii="Aptos Narrow" w:hAnsi="Aptos Narrow"/>
                <w:color w:val="000000"/>
                <w:sz w:val="22"/>
              </w:rPr>
            </w:pPr>
            <w:r w:rsidRPr="00E25F9A">
              <w:rPr>
                <w:rFonts w:ascii="Aptos Narrow" w:hAnsi="Aptos Narrow"/>
                <w:color w:val="000000"/>
                <w:sz w:val="22"/>
              </w:rPr>
              <w:t>C-13072</w:t>
            </w:r>
          </w:p>
        </w:tc>
        <w:tc>
          <w:tcPr>
            <w:tcW w:w="1418" w:type="dxa"/>
          </w:tcPr>
          <w:p w14:paraId="46643F0C" w14:textId="249D28FF" w:rsidR="00DE5BC9" w:rsidRPr="00371593" w:rsidRDefault="00D84AE0" w:rsidP="00EC78E4">
            <w:pPr>
              <w:pStyle w:val="TableText"/>
              <w:rPr>
                <w:rFonts w:asciiTheme="majorHAnsi" w:hAnsiTheme="majorHAnsi" w:cstheme="majorHAnsi"/>
              </w:rPr>
            </w:pPr>
            <w:r w:rsidRPr="00D84AE0">
              <w:rPr>
                <w:rFonts w:asciiTheme="majorHAnsi" w:hAnsiTheme="majorHAnsi" w:cstheme="majorHAnsi"/>
              </w:rPr>
              <w:t>RMIT Australia</w:t>
            </w:r>
          </w:p>
        </w:tc>
        <w:tc>
          <w:tcPr>
            <w:tcW w:w="4853" w:type="dxa"/>
          </w:tcPr>
          <w:p w14:paraId="0ED377BE" w14:textId="226A3D21" w:rsidR="00DE5BC9" w:rsidRPr="007470BE" w:rsidRDefault="00930B11" w:rsidP="007470BE">
            <w:pPr>
              <w:rPr>
                <w:rFonts w:asciiTheme="majorHAnsi" w:eastAsiaTheme="minorEastAsia" w:hAnsiTheme="majorHAnsi" w:cstheme="majorHAnsi"/>
                <w:bCs/>
                <w:sz w:val="22"/>
                <w:lang w:eastAsia="en-AU"/>
              </w:rPr>
            </w:pPr>
            <w:r w:rsidRPr="00930B11">
              <w:rPr>
                <w:rFonts w:asciiTheme="majorHAnsi" w:eastAsiaTheme="minorEastAsia" w:hAnsiTheme="majorHAnsi" w:cstheme="majorHAnsi"/>
                <w:bCs/>
                <w:sz w:val="22"/>
                <w:lang w:eastAsia="en-AU"/>
              </w:rPr>
              <w:t>Nightingale Village post-occupancy evaluation: To undertake a post-occupancy evaluation of Nightingale Village. Identify policy implications for Class 2 developments</w:t>
            </w:r>
          </w:p>
        </w:tc>
        <w:tc>
          <w:tcPr>
            <w:tcW w:w="1429" w:type="dxa"/>
          </w:tcPr>
          <w:p w14:paraId="61A57955" w14:textId="595F4FD5" w:rsidR="00DE5BC9" w:rsidRDefault="005E4299" w:rsidP="00EC78E4">
            <w:pPr>
              <w:pStyle w:val="Tablerightlarge"/>
              <w:rPr>
                <w:rFonts w:asciiTheme="majorHAnsi" w:hAnsiTheme="majorHAnsi" w:cstheme="majorHAnsi"/>
              </w:rPr>
            </w:pPr>
            <w:r>
              <w:rPr>
                <w:rFonts w:asciiTheme="majorHAnsi" w:hAnsiTheme="majorHAnsi" w:cstheme="majorHAnsi"/>
              </w:rPr>
              <w:t>5 October 2023</w:t>
            </w:r>
          </w:p>
        </w:tc>
        <w:tc>
          <w:tcPr>
            <w:tcW w:w="1328" w:type="dxa"/>
          </w:tcPr>
          <w:p w14:paraId="242C8C65" w14:textId="76846BC8" w:rsidR="00DE5BC9" w:rsidRDefault="00083420" w:rsidP="00EC78E4">
            <w:pPr>
              <w:pStyle w:val="Tablerightlarge"/>
              <w:rPr>
                <w:rFonts w:asciiTheme="majorHAnsi" w:hAnsiTheme="majorHAnsi" w:cstheme="majorHAnsi"/>
              </w:rPr>
            </w:pPr>
            <w:r>
              <w:rPr>
                <w:rFonts w:asciiTheme="majorHAnsi" w:hAnsiTheme="majorHAnsi" w:cstheme="majorHAnsi"/>
              </w:rPr>
              <w:t>30 October 2024</w:t>
            </w:r>
          </w:p>
        </w:tc>
        <w:tc>
          <w:tcPr>
            <w:tcW w:w="1380" w:type="dxa"/>
          </w:tcPr>
          <w:p w14:paraId="5C12C25A" w14:textId="312739A6" w:rsidR="00DE5BC9" w:rsidRDefault="00E06174" w:rsidP="00EC78E4">
            <w:pPr>
              <w:pStyle w:val="Tablerightlarge"/>
              <w:rPr>
                <w:rFonts w:asciiTheme="majorHAnsi" w:hAnsiTheme="majorHAnsi" w:cstheme="majorHAnsi"/>
              </w:rPr>
            </w:pPr>
            <w:r>
              <w:rPr>
                <w:rFonts w:asciiTheme="majorHAnsi" w:hAnsiTheme="majorHAnsi" w:cstheme="majorHAnsi"/>
              </w:rPr>
              <w:t>$49,</w:t>
            </w:r>
            <w:r w:rsidR="00D067EF">
              <w:rPr>
                <w:rFonts w:asciiTheme="majorHAnsi" w:hAnsiTheme="majorHAnsi" w:cstheme="majorHAnsi"/>
              </w:rPr>
              <w:t>974.</w:t>
            </w:r>
            <w:r w:rsidR="00CE32F5">
              <w:rPr>
                <w:rFonts w:asciiTheme="majorHAnsi" w:hAnsiTheme="majorHAnsi" w:cstheme="majorHAnsi"/>
              </w:rPr>
              <w:t>72</w:t>
            </w:r>
          </w:p>
        </w:tc>
        <w:tc>
          <w:tcPr>
            <w:tcW w:w="1544" w:type="dxa"/>
          </w:tcPr>
          <w:p w14:paraId="56B6D15C" w14:textId="758BC3A5" w:rsidR="00DE5BC9" w:rsidRDefault="00AD17FB" w:rsidP="00EC78E4">
            <w:pPr>
              <w:pStyle w:val="Tablerightlarge"/>
              <w:rPr>
                <w:rFonts w:asciiTheme="majorHAnsi" w:hAnsiTheme="majorHAnsi" w:cstheme="majorHAnsi"/>
              </w:rPr>
            </w:pPr>
            <w:r>
              <w:rPr>
                <w:rFonts w:asciiTheme="majorHAnsi" w:hAnsiTheme="majorHAnsi" w:cstheme="majorHAnsi"/>
              </w:rPr>
              <w:t>$</w:t>
            </w:r>
            <w:r w:rsidR="00F4099C">
              <w:rPr>
                <w:rFonts w:asciiTheme="majorHAnsi" w:hAnsiTheme="majorHAnsi" w:cstheme="majorHAnsi"/>
              </w:rPr>
              <w:t>4,</w:t>
            </w:r>
            <w:r>
              <w:rPr>
                <w:rFonts w:asciiTheme="majorHAnsi" w:hAnsiTheme="majorHAnsi" w:cstheme="majorHAnsi"/>
              </w:rPr>
              <w:t>997.47</w:t>
            </w:r>
          </w:p>
        </w:tc>
        <w:tc>
          <w:tcPr>
            <w:tcW w:w="1717" w:type="dxa"/>
          </w:tcPr>
          <w:p w14:paraId="3E8A8805" w14:textId="42AACDC0" w:rsidR="00DE5BC9" w:rsidRDefault="00AD17FB" w:rsidP="00EC78E4">
            <w:pPr>
              <w:pStyle w:val="Tablerightlarge"/>
              <w:rPr>
                <w:rFonts w:asciiTheme="majorHAnsi" w:hAnsiTheme="majorHAnsi" w:cstheme="majorHAnsi"/>
              </w:rPr>
            </w:pPr>
            <w:r>
              <w:rPr>
                <w:rFonts w:asciiTheme="majorHAnsi" w:hAnsiTheme="majorHAnsi" w:cstheme="majorHAnsi"/>
              </w:rPr>
              <w:t>$</w:t>
            </w:r>
            <w:r w:rsidR="00D47D1F">
              <w:rPr>
                <w:rFonts w:asciiTheme="majorHAnsi" w:hAnsiTheme="majorHAnsi" w:cstheme="majorHAnsi"/>
              </w:rPr>
              <w:t>44,977</w:t>
            </w:r>
            <w:r w:rsidR="00231FC9">
              <w:rPr>
                <w:rFonts w:asciiTheme="majorHAnsi" w:hAnsiTheme="majorHAnsi" w:cstheme="majorHAnsi"/>
              </w:rPr>
              <w:t>.25</w:t>
            </w:r>
          </w:p>
        </w:tc>
      </w:tr>
    </w:tbl>
    <w:p w14:paraId="59C128EB" w14:textId="77777777" w:rsidR="00BB6476" w:rsidRPr="0012521E" w:rsidRDefault="00BB6476" w:rsidP="00BB6476">
      <w:pPr>
        <w:rPr>
          <w:rFonts w:asciiTheme="majorHAnsi" w:hAnsiTheme="majorHAnsi" w:cstheme="majorHAnsi"/>
          <w:highlight w:val="yellow"/>
        </w:rPr>
        <w:sectPr w:rsidR="00BB6476" w:rsidRPr="0012521E" w:rsidSect="00D36FDD">
          <w:pgSz w:w="16838" w:h="11906" w:orient="landscape" w:code="9"/>
          <w:pgMar w:top="1440" w:right="1702" w:bottom="1440" w:left="993" w:header="851" w:footer="369" w:gutter="0"/>
          <w:cols w:space="708"/>
          <w:titlePg/>
          <w:docGrid w:linePitch="360"/>
        </w:sectPr>
      </w:pPr>
    </w:p>
    <w:p w14:paraId="4A7D0BF0" w14:textId="2F58B242" w:rsidR="00510071" w:rsidRPr="00654718" w:rsidRDefault="00416B6F" w:rsidP="00654718">
      <w:pPr>
        <w:pStyle w:val="Heading2"/>
      </w:pPr>
      <w:bookmarkStart w:id="222" w:name="_Toc56627348"/>
      <w:bookmarkStart w:id="223" w:name="_Toc57039883"/>
      <w:bookmarkStart w:id="224" w:name="_Ref84946433"/>
      <w:bookmarkStart w:id="225" w:name="_Ref139545426"/>
      <w:bookmarkStart w:id="226" w:name="_Ref144879854"/>
      <w:bookmarkStart w:id="227" w:name="_Toc144884463"/>
      <w:bookmarkStart w:id="228" w:name="_Toc166585753"/>
      <w:r>
        <w:lastRenderedPageBreak/>
        <w:t>Reviews and studies expenditure disclosure</w:t>
      </w:r>
    </w:p>
    <w:p w14:paraId="358DFBE2" w14:textId="04D2BB1B" w:rsidR="00A0517F" w:rsidRPr="00BE0D76" w:rsidRDefault="00A0517F" w:rsidP="00A0517F">
      <w:pPr>
        <w:spacing w:after="0" w:line="240" w:lineRule="auto"/>
        <w:rPr>
          <w:rFonts w:eastAsia="Aptos" w:cs="Arial"/>
          <w:color w:val="000000"/>
          <w:szCs w:val="20"/>
          <w14:ligatures w14:val="standardContextual"/>
        </w:rPr>
      </w:pPr>
      <w:r w:rsidRPr="00BE0D76">
        <w:rPr>
          <w:rFonts w:eastAsia="Aptos" w:cs="Arial"/>
          <w:color w:val="000000"/>
          <w:szCs w:val="20"/>
          <w14:ligatures w14:val="standardContextual"/>
        </w:rPr>
        <w:t xml:space="preserve">In 2023–24, there were </w:t>
      </w:r>
      <w:r w:rsidR="002A284B">
        <w:rPr>
          <w:rFonts w:eastAsia="Aptos" w:cs="Arial"/>
          <w:color w:val="000000"/>
          <w:szCs w:val="20"/>
          <w14:ligatures w14:val="standardContextual"/>
        </w:rPr>
        <w:t>nine</w:t>
      </w:r>
      <w:r w:rsidR="00BE0D76" w:rsidRPr="00BE0D76">
        <w:rPr>
          <w:rFonts w:eastAsia="Aptos" w:cs="Arial"/>
          <w:color w:val="000000"/>
          <w:szCs w:val="20"/>
          <w14:ligatures w14:val="standardContextual"/>
        </w:rPr>
        <w:t xml:space="preserve"> </w:t>
      </w:r>
      <w:r w:rsidRPr="00BE0D76">
        <w:rPr>
          <w:rFonts w:eastAsia="Aptos" w:cs="Arial"/>
          <w:color w:val="000000"/>
          <w:szCs w:val="20"/>
          <w14:ligatures w14:val="standardContextual"/>
        </w:rPr>
        <w:t>reviews and studies undertaken which were not commercially sensitive with the total cost of</w:t>
      </w:r>
      <w:r w:rsidR="008511FD">
        <w:rPr>
          <w:rFonts w:eastAsia="Aptos" w:cs="Arial"/>
          <w:color w:val="000000"/>
          <w:szCs w:val="20"/>
          <w14:ligatures w14:val="standardContextual"/>
        </w:rPr>
        <w:t xml:space="preserve"> $</w:t>
      </w:r>
      <w:r w:rsidR="00454317">
        <w:rPr>
          <w:rFonts w:eastAsia="Aptos" w:cs="Arial"/>
          <w:color w:val="000000"/>
          <w:szCs w:val="20"/>
          <w14:ligatures w14:val="standardContextual"/>
        </w:rPr>
        <w:t>580</w:t>
      </w:r>
      <w:r w:rsidR="008511FD">
        <w:rPr>
          <w:rFonts w:eastAsia="Aptos" w:cs="Arial"/>
          <w:color w:val="000000"/>
          <w:szCs w:val="20"/>
          <w14:ligatures w14:val="standardContextual"/>
        </w:rPr>
        <w:t xml:space="preserve">,000. </w:t>
      </w:r>
      <w:r w:rsidRPr="00BE0D76">
        <w:rPr>
          <w:rFonts w:eastAsia="Aptos" w:cs="Arial"/>
          <w:color w:val="000000"/>
          <w:szCs w:val="20"/>
          <w14:ligatures w14:val="standardContextual"/>
        </w:rPr>
        <w:t>Details of individual reviews and studies are outlined below.</w:t>
      </w:r>
    </w:p>
    <w:p w14:paraId="2304E0A6" w14:textId="4662B9BD" w:rsidR="00A0517F" w:rsidRPr="00A0517F" w:rsidRDefault="00A0517F" w:rsidP="00A0517F">
      <w:pPr>
        <w:spacing w:after="0" w:line="240" w:lineRule="auto"/>
        <w:rPr>
          <w:rFonts w:eastAsia="Aptos" w:cs="Arial"/>
          <w:b/>
          <w:bCs/>
          <w:color w:val="000000"/>
          <w:szCs w:val="20"/>
          <w14:ligatures w14:val="standardContextual"/>
        </w:rPr>
      </w:pPr>
    </w:p>
    <w:tbl>
      <w:tblPr>
        <w:tblW w:w="14440" w:type="dxa"/>
        <w:tblInd w:w="3" w:type="dxa"/>
        <w:tblLayout w:type="fixed"/>
        <w:tblCellMar>
          <w:left w:w="0" w:type="dxa"/>
          <w:right w:w="0" w:type="dxa"/>
        </w:tblCellMar>
        <w:tblLook w:val="04A0" w:firstRow="1" w:lastRow="0" w:firstColumn="1" w:lastColumn="0" w:noHBand="0" w:noVBand="1"/>
      </w:tblPr>
      <w:tblGrid>
        <w:gridCol w:w="1806"/>
        <w:gridCol w:w="3427"/>
        <w:gridCol w:w="2267"/>
        <w:gridCol w:w="2126"/>
        <w:gridCol w:w="1701"/>
        <w:gridCol w:w="1402"/>
        <w:gridCol w:w="1711"/>
      </w:tblGrid>
      <w:tr w:rsidR="00642A0F" w:rsidRPr="00A0517F" w14:paraId="6DD5C6C0" w14:textId="77777777" w:rsidTr="009E3FDF">
        <w:trPr>
          <w:trHeight w:val="412"/>
          <w:tblHeader/>
        </w:trPr>
        <w:tc>
          <w:tcPr>
            <w:tcW w:w="1806" w:type="dxa"/>
            <w:tcBorders>
              <w:top w:val="single" w:sz="8" w:space="0" w:color="auto"/>
              <w:left w:val="single" w:sz="8" w:space="0" w:color="auto"/>
              <w:bottom w:val="single" w:sz="8" w:space="0" w:color="auto"/>
              <w:right w:val="single" w:sz="8" w:space="0" w:color="auto"/>
            </w:tcBorders>
            <w:shd w:val="clear" w:color="auto" w:fill="CBE3AE" w:themeFill="accent6"/>
            <w:tcMar>
              <w:top w:w="0" w:type="dxa"/>
              <w:left w:w="108" w:type="dxa"/>
              <w:bottom w:w="0" w:type="dxa"/>
              <w:right w:w="108" w:type="dxa"/>
            </w:tcMar>
            <w:hideMark/>
          </w:tcPr>
          <w:p w14:paraId="0D2B0817" w14:textId="3EB3039B" w:rsidR="00A0517F" w:rsidRPr="00A0517F" w:rsidRDefault="00A0517F" w:rsidP="00A0517F">
            <w:pPr>
              <w:spacing w:after="0" w:line="240" w:lineRule="auto"/>
              <w:rPr>
                <w:rFonts w:eastAsia="Aptos" w:cs="Arial"/>
                <w:b/>
                <w:bCs/>
                <w:color w:val="auto"/>
                <w:szCs w:val="20"/>
                <w14:ligatures w14:val="standardContextual"/>
              </w:rPr>
            </w:pPr>
            <w:r w:rsidRPr="00A0517F">
              <w:rPr>
                <w:rFonts w:eastAsia="Aptos" w:cs="Arial"/>
                <w:b/>
                <w:bCs/>
                <w:color w:val="auto"/>
                <w:szCs w:val="20"/>
                <w14:ligatures w14:val="standardContextual"/>
              </w:rPr>
              <w:t>Name of the review (portfolio(s) and output(s)</w:t>
            </w:r>
            <w:r>
              <w:rPr>
                <w:rFonts w:eastAsia="Aptos" w:cs="Arial"/>
                <w:b/>
                <w:bCs/>
                <w:color w:val="auto"/>
                <w:szCs w:val="20"/>
                <w14:ligatures w14:val="standardContextual"/>
              </w:rPr>
              <w:t xml:space="preserve"> </w:t>
            </w:r>
            <w:r w:rsidRPr="00A0517F">
              <w:rPr>
                <w:rFonts w:eastAsia="Aptos" w:cs="Arial"/>
                <w:b/>
                <w:bCs/>
                <w:color w:val="auto"/>
                <w:szCs w:val="20"/>
                <w14:ligatures w14:val="standardContextual"/>
              </w:rPr>
              <w:t>/</w:t>
            </w:r>
            <w:r>
              <w:rPr>
                <w:rFonts w:eastAsia="Aptos" w:cs="Arial"/>
                <w:b/>
                <w:bCs/>
                <w:color w:val="auto"/>
                <w:szCs w:val="20"/>
                <w14:ligatures w14:val="standardContextual"/>
              </w:rPr>
              <w:t xml:space="preserve"> </w:t>
            </w:r>
            <w:r w:rsidRPr="00A0517F">
              <w:rPr>
                <w:rFonts w:eastAsia="Aptos" w:cs="Arial"/>
                <w:b/>
                <w:bCs/>
                <w:color w:val="auto"/>
                <w:szCs w:val="20"/>
                <w14:ligatures w14:val="standardContextual"/>
              </w:rPr>
              <w:t>agency responsible)</w:t>
            </w:r>
          </w:p>
        </w:tc>
        <w:tc>
          <w:tcPr>
            <w:tcW w:w="3427" w:type="dxa"/>
            <w:tcBorders>
              <w:top w:val="single" w:sz="8" w:space="0" w:color="auto"/>
              <w:left w:val="single" w:sz="8" w:space="0" w:color="auto"/>
              <w:bottom w:val="single" w:sz="8" w:space="0" w:color="auto"/>
              <w:right w:val="single" w:sz="8" w:space="0" w:color="auto"/>
            </w:tcBorders>
            <w:shd w:val="clear" w:color="auto" w:fill="CBE3AE" w:themeFill="accent6"/>
            <w:tcMar>
              <w:top w:w="0" w:type="dxa"/>
              <w:left w:w="108" w:type="dxa"/>
              <w:bottom w:w="0" w:type="dxa"/>
              <w:right w:w="108" w:type="dxa"/>
            </w:tcMar>
            <w:hideMark/>
          </w:tcPr>
          <w:p w14:paraId="46E20E48" w14:textId="752628BD" w:rsidR="00A0517F" w:rsidRPr="00A0517F" w:rsidRDefault="00A0517F" w:rsidP="00A0517F">
            <w:pPr>
              <w:spacing w:after="0" w:line="240" w:lineRule="auto"/>
              <w:rPr>
                <w:rFonts w:eastAsia="Aptos" w:cs="Arial"/>
                <w:b/>
                <w:bCs/>
                <w:color w:val="auto"/>
                <w:szCs w:val="20"/>
                <w14:ligatures w14:val="standardContextual"/>
              </w:rPr>
            </w:pPr>
            <w:r w:rsidRPr="00A0517F">
              <w:rPr>
                <w:rFonts w:eastAsia="Aptos" w:cs="Arial"/>
                <w:b/>
                <w:bCs/>
                <w:color w:val="auto"/>
                <w:szCs w:val="20"/>
                <w14:ligatures w14:val="standardContextual"/>
              </w:rPr>
              <w:t>Reasons for review</w:t>
            </w:r>
            <w:r>
              <w:rPr>
                <w:rFonts w:eastAsia="Aptos" w:cs="Arial"/>
                <w:b/>
                <w:bCs/>
                <w:color w:val="auto"/>
                <w:szCs w:val="20"/>
                <w14:ligatures w14:val="standardContextual"/>
              </w:rPr>
              <w:t xml:space="preserve"> </w:t>
            </w:r>
            <w:r w:rsidRPr="00A0517F">
              <w:rPr>
                <w:rFonts w:eastAsia="Aptos" w:cs="Arial"/>
                <w:b/>
                <w:bCs/>
                <w:color w:val="auto"/>
                <w:szCs w:val="20"/>
                <w14:ligatures w14:val="standardContextual"/>
              </w:rPr>
              <w:t>/</w:t>
            </w:r>
            <w:r>
              <w:rPr>
                <w:rFonts w:eastAsia="Aptos" w:cs="Arial"/>
                <w:b/>
                <w:bCs/>
                <w:color w:val="auto"/>
                <w:szCs w:val="20"/>
                <w14:ligatures w14:val="standardContextual"/>
              </w:rPr>
              <w:t xml:space="preserve"> </w:t>
            </w:r>
            <w:r w:rsidRPr="00A0517F">
              <w:rPr>
                <w:rFonts w:eastAsia="Aptos" w:cs="Arial"/>
                <w:b/>
                <w:bCs/>
                <w:color w:val="auto"/>
                <w:szCs w:val="20"/>
                <w14:ligatures w14:val="standardContextual"/>
              </w:rPr>
              <w:t>study</w:t>
            </w:r>
          </w:p>
        </w:tc>
        <w:tc>
          <w:tcPr>
            <w:tcW w:w="2267" w:type="dxa"/>
            <w:tcBorders>
              <w:top w:val="single" w:sz="8" w:space="0" w:color="auto"/>
              <w:left w:val="single" w:sz="8" w:space="0" w:color="auto"/>
              <w:bottom w:val="single" w:sz="8" w:space="0" w:color="auto"/>
              <w:right w:val="single" w:sz="8" w:space="0" w:color="auto"/>
            </w:tcBorders>
            <w:shd w:val="clear" w:color="auto" w:fill="CBE3AE" w:themeFill="accent6"/>
            <w:tcMar>
              <w:top w:w="0" w:type="dxa"/>
              <w:left w:w="108" w:type="dxa"/>
              <w:bottom w:w="0" w:type="dxa"/>
              <w:right w:w="108" w:type="dxa"/>
            </w:tcMar>
            <w:hideMark/>
          </w:tcPr>
          <w:p w14:paraId="694AB546" w14:textId="17A0FBA4" w:rsidR="00A0517F" w:rsidRPr="00A0517F" w:rsidRDefault="00A0517F" w:rsidP="00A0517F">
            <w:pPr>
              <w:spacing w:after="0" w:line="240" w:lineRule="auto"/>
              <w:rPr>
                <w:rFonts w:eastAsia="Aptos" w:cs="Arial"/>
                <w:b/>
                <w:bCs/>
                <w:color w:val="auto"/>
                <w:szCs w:val="20"/>
                <w14:ligatures w14:val="standardContextual"/>
              </w:rPr>
            </w:pPr>
            <w:r w:rsidRPr="00A0517F">
              <w:rPr>
                <w:rFonts w:eastAsia="Aptos" w:cs="Arial"/>
                <w:b/>
                <w:bCs/>
                <w:color w:val="auto"/>
                <w:szCs w:val="20"/>
                <w14:ligatures w14:val="standardContextual"/>
              </w:rPr>
              <w:t>Terms of reference</w:t>
            </w:r>
            <w:r>
              <w:rPr>
                <w:rFonts w:eastAsia="Aptos" w:cs="Arial"/>
                <w:b/>
                <w:bCs/>
                <w:color w:val="auto"/>
                <w:szCs w:val="20"/>
                <w14:ligatures w14:val="standardContextual"/>
              </w:rPr>
              <w:t xml:space="preserve"> </w:t>
            </w:r>
            <w:r w:rsidRPr="00A0517F">
              <w:rPr>
                <w:rFonts w:eastAsia="Aptos" w:cs="Arial"/>
                <w:b/>
                <w:bCs/>
                <w:color w:val="auto"/>
                <w:szCs w:val="20"/>
                <w14:ligatures w14:val="standardContextual"/>
              </w:rPr>
              <w:t>/</w:t>
            </w:r>
            <w:r>
              <w:rPr>
                <w:rFonts w:eastAsia="Aptos" w:cs="Arial"/>
                <w:b/>
                <w:bCs/>
                <w:color w:val="auto"/>
                <w:szCs w:val="20"/>
                <w14:ligatures w14:val="standardContextual"/>
              </w:rPr>
              <w:t xml:space="preserve"> </w:t>
            </w:r>
            <w:r w:rsidRPr="00A0517F">
              <w:rPr>
                <w:rFonts w:eastAsia="Aptos" w:cs="Arial"/>
                <w:b/>
                <w:bCs/>
                <w:color w:val="auto"/>
                <w:szCs w:val="20"/>
                <w14:ligatures w14:val="standardContextual"/>
              </w:rPr>
              <w:t>scope</w:t>
            </w:r>
          </w:p>
        </w:tc>
        <w:tc>
          <w:tcPr>
            <w:tcW w:w="2126" w:type="dxa"/>
            <w:tcBorders>
              <w:top w:val="single" w:sz="8" w:space="0" w:color="auto"/>
              <w:left w:val="single" w:sz="8" w:space="0" w:color="auto"/>
              <w:bottom w:val="single" w:sz="8" w:space="0" w:color="auto"/>
              <w:right w:val="single" w:sz="8" w:space="0" w:color="auto"/>
            </w:tcBorders>
            <w:shd w:val="clear" w:color="auto" w:fill="CBE3AE" w:themeFill="accent6"/>
            <w:tcMar>
              <w:top w:w="0" w:type="dxa"/>
              <w:left w:w="108" w:type="dxa"/>
              <w:bottom w:w="0" w:type="dxa"/>
              <w:right w:w="108" w:type="dxa"/>
            </w:tcMar>
            <w:hideMark/>
          </w:tcPr>
          <w:p w14:paraId="72192574" w14:textId="77777777" w:rsidR="00A0517F" w:rsidRPr="00A0517F" w:rsidRDefault="00A0517F" w:rsidP="00A0517F">
            <w:pPr>
              <w:spacing w:after="0" w:line="240" w:lineRule="auto"/>
              <w:rPr>
                <w:rFonts w:eastAsia="Aptos" w:cs="Arial"/>
                <w:b/>
                <w:bCs/>
                <w:color w:val="auto"/>
                <w:szCs w:val="20"/>
                <w14:ligatures w14:val="standardContextual"/>
              </w:rPr>
            </w:pPr>
            <w:r w:rsidRPr="00A0517F">
              <w:rPr>
                <w:rFonts w:eastAsia="Aptos" w:cs="Arial"/>
                <w:b/>
                <w:bCs/>
                <w:color w:val="auto"/>
                <w:szCs w:val="20"/>
                <w14:ligatures w14:val="standardContextual"/>
              </w:rPr>
              <w:t>Anticipated outcomes</w:t>
            </w:r>
          </w:p>
        </w:tc>
        <w:tc>
          <w:tcPr>
            <w:tcW w:w="1701" w:type="dxa"/>
            <w:tcBorders>
              <w:top w:val="single" w:sz="8" w:space="0" w:color="auto"/>
              <w:left w:val="single" w:sz="8" w:space="0" w:color="auto"/>
              <w:bottom w:val="single" w:sz="8" w:space="0" w:color="auto"/>
              <w:right w:val="single" w:sz="8" w:space="0" w:color="auto"/>
            </w:tcBorders>
            <w:shd w:val="clear" w:color="auto" w:fill="CBE3AE" w:themeFill="accent6"/>
            <w:tcMar>
              <w:top w:w="0" w:type="dxa"/>
              <w:left w:w="108" w:type="dxa"/>
              <w:bottom w:w="0" w:type="dxa"/>
              <w:right w:w="108" w:type="dxa"/>
            </w:tcMar>
            <w:hideMark/>
          </w:tcPr>
          <w:p w14:paraId="49BEC9FA" w14:textId="77777777" w:rsidR="00A0517F" w:rsidRPr="00A0517F" w:rsidRDefault="00A0517F" w:rsidP="00A0517F">
            <w:pPr>
              <w:spacing w:after="0" w:line="240" w:lineRule="auto"/>
              <w:rPr>
                <w:rFonts w:eastAsia="Aptos" w:cs="Arial"/>
                <w:b/>
                <w:bCs/>
                <w:color w:val="auto"/>
                <w:szCs w:val="20"/>
                <w14:ligatures w14:val="standardContextual"/>
              </w:rPr>
            </w:pPr>
            <w:r w:rsidRPr="00A0517F">
              <w:rPr>
                <w:rFonts w:eastAsia="Aptos" w:cs="Arial"/>
                <w:b/>
                <w:bCs/>
                <w:color w:val="auto"/>
                <w:szCs w:val="20"/>
                <w14:ligatures w14:val="standardContextual"/>
              </w:rPr>
              <w:t>Estimated cost for the year (excl. GST)</w:t>
            </w:r>
          </w:p>
        </w:tc>
        <w:tc>
          <w:tcPr>
            <w:tcW w:w="1402" w:type="dxa"/>
            <w:tcBorders>
              <w:top w:val="single" w:sz="8" w:space="0" w:color="auto"/>
              <w:left w:val="single" w:sz="8" w:space="0" w:color="auto"/>
              <w:bottom w:val="single" w:sz="8" w:space="0" w:color="auto"/>
              <w:right w:val="single" w:sz="8" w:space="0" w:color="auto"/>
            </w:tcBorders>
            <w:shd w:val="clear" w:color="auto" w:fill="CBE3AE" w:themeFill="accent6"/>
            <w:tcMar>
              <w:top w:w="0" w:type="dxa"/>
              <w:left w:w="108" w:type="dxa"/>
              <w:bottom w:w="0" w:type="dxa"/>
              <w:right w:w="108" w:type="dxa"/>
            </w:tcMar>
            <w:hideMark/>
          </w:tcPr>
          <w:p w14:paraId="375758F5" w14:textId="77777777" w:rsidR="00A0517F" w:rsidRPr="00A0517F" w:rsidRDefault="00A0517F" w:rsidP="00A0517F">
            <w:pPr>
              <w:spacing w:after="0" w:line="240" w:lineRule="auto"/>
              <w:rPr>
                <w:rFonts w:eastAsia="Aptos" w:cs="Arial"/>
                <w:b/>
                <w:bCs/>
                <w:color w:val="auto"/>
                <w:szCs w:val="20"/>
                <w14:ligatures w14:val="standardContextual"/>
              </w:rPr>
            </w:pPr>
            <w:r w:rsidRPr="00A0517F">
              <w:rPr>
                <w:rFonts w:eastAsia="Aptos" w:cs="Arial"/>
                <w:b/>
                <w:bCs/>
                <w:color w:val="auto"/>
                <w:szCs w:val="20"/>
                <w14:ligatures w14:val="standardContextual"/>
              </w:rPr>
              <w:t>Final cost if completed (excl. GST)</w:t>
            </w:r>
          </w:p>
        </w:tc>
        <w:tc>
          <w:tcPr>
            <w:tcW w:w="1711" w:type="dxa"/>
            <w:tcBorders>
              <w:top w:val="single" w:sz="8" w:space="0" w:color="auto"/>
              <w:left w:val="single" w:sz="8" w:space="0" w:color="auto"/>
              <w:bottom w:val="single" w:sz="8" w:space="0" w:color="auto"/>
              <w:right w:val="single" w:sz="8" w:space="0" w:color="auto"/>
            </w:tcBorders>
            <w:shd w:val="clear" w:color="auto" w:fill="CBE3AE" w:themeFill="accent6"/>
            <w:tcMar>
              <w:top w:w="0" w:type="dxa"/>
              <w:left w:w="108" w:type="dxa"/>
              <w:bottom w:w="0" w:type="dxa"/>
              <w:right w:w="108" w:type="dxa"/>
            </w:tcMar>
            <w:hideMark/>
          </w:tcPr>
          <w:p w14:paraId="2CFC8061" w14:textId="77777777" w:rsidR="00A0517F" w:rsidRPr="00A0517F" w:rsidRDefault="00A0517F" w:rsidP="00A0517F">
            <w:pPr>
              <w:spacing w:after="0" w:line="240" w:lineRule="auto"/>
              <w:rPr>
                <w:rFonts w:eastAsia="Aptos" w:cs="Arial"/>
                <w:b/>
                <w:bCs/>
                <w:color w:val="auto"/>
                <w:szCs w:val="20"/>
                <w14:ligatures w14:val="standardContextual"/>
              </w:rPr>
            </w:pPr>
            <w:r w:rsidRPr="00A0517F">
              <w:rPr>
                <w:rFonts w:eastAsia="Aptos" w:cs="Arial"/>
                <w:b/>
                <w:bCs/>
                <w:color w:val="auto"/>
                <w:szCs w:val="20"/>
                <w14:ligatures w14:val="standardContextual"/>
              </w:rPr>
              <w:t>Publicly available (Y/N) and URL</w:t>
            </w:r>
          </w:p>
        </w:tc>
      </w:tr>
      <w:tr w:rsidR="00A0517F" w:rsidRPr="00A0517F" w14:paraId="676BE5E9" w14:textId="77777777" w:rsidTr="009E3FDF">
        <w:trPr>
          <w:trHeight w:val="309"/>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5D40E7" w14:textId="1467B1F0" w:rsidR="00A0517F" w:rsidRPr="00EE230C" w:rsidRDefault="00EE230C" w:rsidP="00A0517F">
            <w:pPr>
              <w:spacing w:after="0" w:line="240" w:lineRule="auto"/>
              <w:rPr>
                <w:rFonts w:eastAsia="Aptos" w:cs="Arial"/>
                <w:color w:val="000000"/>
                <w:szCs w:val="20"/>
                <w14:ligatures w14:val="standardContextual"/>
              </w:rPr>
            </w:pPr>
            <w:r w:rsidRPr="00EE230C">
              <w:rPr>
                <w:rFonts w:eastAsia="Aptos" w:cs="Arial"/>
                <w:color w:val="000000"/>
                <w:szCs w:val="20"/>
                <w14:ligatures w14:val="standardContextual"/>
              </w:rPr>
              <w:t>State of Sustainability (SOS) Report</w:t>
            </w:r>
            <w:r w:rsidR="009E3FDF">
              <w:rPr>
                <w:rFonts w:eastAsia="Aptos" w:cs="Arial"/>
                <w:color w:val="000000"/>
                <w:szCs w:val="20"/>
                <w14:ligatures w14:val="standardContextual"/>
              </w:rPr>
              <w:t xml:space="preserve"> (Social research)</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838E99" w14:textId="1915C0CE" w:rsidR="00A0517F" w:rsidRPr="00F8625A" w:rsidRDefault="009E3FDF" w:rsidP="00A0517F">
            <w:pPr>
              <w:spacing w:after="0" w:line="240" w:lineRule="auto"/>
              <w:rPr>
                <w:rFonts w:eastAsia="Aptos" w:cs="Arial"/>
                <w:color w:val="000000"/>
                <w:szCs w:val="20"/>
                <w14:ligatures w14:val="standardContextual"/>
              </w:rPr>
            </w:pPr>
            <w:r w:rsidRPr="009E3FDF">
              <w:rPr>
                <w:rFonts w:eastAsia="Aptos" w:cs="Arial"/>
                <w:color w:val="000000"/>
                <w:szCs w:val="20"/>
                <w14:ligatures w14:val="standardContextual"/>
              </w:rPr>
              <w:t>To gather information/insights from the Victorian community. The research records attitudes, beliefs and behaviours on a range of topics related to sustainable living. Year on year, the data provides an evidence base to inform policy, programs and education/behaviour change campaigns.  </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217E2E" w14:textId="62CE7974" w:rsidR="00A0517F" w:rsidRPr="00F8625A" w:rsidRDefault="002119C6" w:rsidP="00A0517F">
            <w:pPr>
              <w:spacing w:after="0" w:line="240" w:lineRule="auto"/>
              <w:rPr>
                <w:rFonts w:eastAsia="Aptos" w:cs="Arial"/>
                <w:color w:val="000000"/>
                <w:szCs w:val="20"/>
                <w14:ligatures w14:val="standardContextual"/>
              </w:rPr>
            </w:pPr>
            <w:r w:rsidRPr="002119C6">
              <w:rPr>
                <w:rFonts w:eastAsia="Aptos" w:cs="Arial"/>
                <w:color w:val="000000"/>
                <w:szCs w:val="20"/>
                <w14:ligatures w14:val="standardContextual"/>
              </w:rPr>
              <w:t>An annual online survey among a sample of 2500 Victorians, aged 16 years and above.  The questionnaire is provided to stakeholder (DEECA etc) for input</w:t>
            </w:r>
            <w:r w:rsidR="00EB24DE">
              <w:rPr>
                <w:rFonts w:eastAsia="Aptos" w:cs="Arial"/>
                <w:color w:val="000000"/>
                <w:szCs w:val="20"/>
                <w14:ligatures w14:val="standardContextual"/>
              </w:rPr>
              <w:t>.</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59691E" w14:textId="77777777" w:rsidR="002119C6" w:rsidRPr="002119C6" w:rsidRDefault="002119C6" w:rsidP="002119C6">
            <w:pPr>
              <w:spacing w:after="0" w:line="240" w:lineRule="auto"/>
              <w:rPr>
                <w:rFonts w:eastAsia="Aptos" w:cs="Arial"/>
                <w:color w:val="000000"/>
                <w:szCs w:val="20"/>
                <w14:ligatures w14:val="standardContextual"/>
              </w:rPr>
            </w:pPr>
            <w:r w:rsidRPr="002119C6">
              <w:rPr>
                <w:rFonts w:eastAsia="Aptos" w:cs="Arial"/>
                <w:color w:val="000000"/>
                <w:szCs w:val="20"/>
                <w14:ligatures w14:val="standardContextual"/>
              </w:rPr>
              <w:t>A report on the SV website/slide deck/other materials for stakeholder showing results and insights from the data.</w:t>
            </w:r>
          </w:p>
          <w:p w14:paraId="4C1580D1" w14:textId="780666A2" w:rsidR="00A0517F" w:rsidRPr="00F8625A" w:rsidRDefault="00A0517F" w:rsidP="00A0517F">
            <w:pPr>
              <w:spacing w:after="0" w:line="240" w:lineRule="auto"/>
              <w:rPr>
                <w:rFonts w:eastAsia="Aptos" w:cs="Arial"/>
                <w:color w:val="000000"/>
                <w:szCs w:val="20"/>
                <w14:ligatures w14:val="standardContextual"/>
              </w:rPr>
            </w:pP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480668" w14:textId="492F2847" w:rsidR="00A0517F" w:rsidRPr="00F8625A" w:rsidRDefault="001A6A1C" w:rsidP="00A0517F">
            <w:pPr>
              <w:spacing w:after="0" w:line="240" w:lineRule="auto"/>
              <w:rPr>
                <w:rFonts w:eastAsia="Aptos" w:cs="Arial"/>
                <w:color w:val="000000"/>
                <w:szCs w:val="20"/>
                <w14:ligatures w14:val="standardContextual"/>
              </w:rPr>
            </w:pPr>
            <w:r>
              <w:rPr>
                <w:rFonts w:eastAsia="Aptos" w:cs="Arial"/>
                <w:color w:val="000000"/>
                <w:szCs w:val="20"/>
                <w14:ligatures w14:val="standardContextual"/>
              </w:rPr>
              <w:t>$65,000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B3A38" w14:textId="076C944F" w:rsidR="00A0517F" w:rsidRPr="00F8625A" w:rsidRDefault="001A6A1C" w:rsidP="00A0517F">
            <w:pPr>
              <w:spacing w:after="0" w:line="240" w:lineRule="auto"/>
              <w:rPr>
                <w:rFonts w:eastAsia="Aptos" w:cs="Arial"/>
                <w:color w:val="000000"/>
                <w:szCs w:val="20"/>
                <w14:ligatures w14:val="standardContextual"/>
              </w:rPr>
            </w:pPr>
            <w:r>
              <w:rPr>
                <w:rFonts w:eastAsia="Aptos" w:cs="Arial"/>
                <w:color w:val="000000"/>
                <w:szCs w:val="20"/>
                <w14:ligatures w14:val="standardContextual"/>
              </w:rPr>
              <w:t>$</w:t>
            </w:r>
            <w:r w:rsidR="007A054F">
              <w:rPr>
                <w:rFonts w:eastAsia="Aptos" w:cs="Arial"/>
                <w:color w:val="000000"/>
                <w:szCs w:val="20"/>
                <w14:ligatures w14:val="standardContextual"/>
              </w:rPr>
              <w:t>1</w:t>
            </w:r>
            <w:r>
              <w:rPr>
                <w:rFonts w:eastAsia="Aptos" w:cs="Arial"/>
                <w:color w:val="000000"/>
                <w:szCs w:val="20"/>
                <w14:ligatures w14:val="standardContextual"/>
              </w:rPr>
              <w:t>6</w:t>
            </w:r>
            <w:r w:rsidR="007A054F">
              <w:rPr>
                <w:rFonts w:eastAsia="Aptos" w:cs="Arial"/>
                <w:color w:val="000000"/>
                <w:szCs w:val="20"/>
                <w14:ligatures w14:val="standardContextual"/>
              </w:rPr>
              <w:t>0</w:t>
            </w:r>
            <w:r>
              <w:rPr>
                <w:rFonts w:eastAsia="Aptos" w:cs="Arial"/>
                <w:color w:val="000000"/>
                <w:szCs w:val="20"/>
                <w14:ligatures w14:val="standardContextual"/>
              </w:rPr>
              <w:t>,000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21D819" w14:textId="54AE043C" w:rsidR="00810A7A" w:rsidRPr="00F8625A" w:rsidRDefault="00921364" w:rsidP="00A0517F">
            <w:pPr>
              <w:spacing w:after="0" w:line="240" w:lineRule="auto"/>
              <w:rPr>
                <w:rFonts w:eastAsia="Aptos" w:cs="Arial"/>
                <w:color w:val="000000"/>
                <w:szCs w:val="20"/>
                <w14:ligatures w14:val="standardContextual"/>
              </w:rPr>
            </w:pPr>
            <w:r>
              <w:rPr>
                <w:rFonts w:eastAsia="Aptos" w:cs="Arial"/>
                <w:color w:val="000000"/>
                <w:szCs w:val="20"/>
                <w14:ligatures w14:val="standardContextual"/>
              </w:rPr>
              <w:t xml:space="preserve">Y - </w:t>
            </w:r>
            <w:hyperlink r:id="rId56" w:history="1">
              <w:r w:rsidR="00810A7A" w:rsidRPr="005B4D92">
                <w:rPr>
                  <w:rStyle w:val="Hyperlink"/>
                  <w:rFonts w:eastAsia="Aptos" w:cs="Arial"/>
                  <w:szCs w:val="20"/>
                  <w14:ligatures w14:val="standardContextual"/>
                </w:rPr>
                <w:t>https://www.sustainability.vic.gov.au/research-data-and-insights/research/state-of-sustainability-report-2023</w:t>
              </w:r>
            </w:hyperlink>
          </w:p>
        </w:tc>
      </w:tr>
      <w:tr w:rsidR="0036747F" w:rsidRPr="00A0517F" w14:paraId="7AF65548" w14:textId="77777777" w:rsidTr="009E3FDF">
        <w:trPr>
          <w:trHeight w:val="309"/>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D78CB2F" w14:textId="066B04CA" w:rsidR="0036747F" w:rsidRPr="00A0517F" w:rsidRDefault="00D83908" w:rsidP="00A0517F">
            <w:pPr>
              <w:spacing w:after="0" w:line="240" w:lineRule="auto"/>
              <w:rPr>
                <w:rFonts w:eastAsia="Aptos" w:cs="Arial"/>
                <w:color w:val="000000"/>
                <w:szCs w:val="20"/>
                <w:highlight w:val="yellow"/>
                <w14:ligatures w14:val="standardContextual"/>
              </w:rPr>
            </w:pPr>
            <w:r w:rsidRPr="00D83908">
              <w:rPr>
                <w:rFonts w:eastAsia="Aptos" w:cs="Arial"/>
                <w:color w:val="000000"/>
                <w:szCs w:val="20"/>
                <w14:ligatures w14:val="standardContextual"/>
              </w:rPr>
              <w:t>Resource Recovery Infrastructure Fund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177C94" w14:textId="3EBEDC10" w:rsidR="0036747F" w:rsidRPr="00A0517F" w:rsidRDefault="00EE230C" w:rsidP="00A0517F">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Sustainability Fund requirements.</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131495" w14:textId="7FDEF052" w:rsidR="0036747F" w:rsidRPr="00A0517F" w:rsidRDefault="00D11648" w:rsidP="00A0517F">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its broader impact on Victoria's resource recovery rates.</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09514D" w14:textId="2F0E3190" w:rsidR="0036747F" w:rsidRPr="00A0517F" w:rsidRDefault="00BA27D6" w:rsidP="00A0517F">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80C128" w14:textId="1CAC7A14" w:rsidR="0036747F" w:rsidRPr="00A0517F" w:rsidRDefault="00BA27D6" w:rsidP="00A0517F">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$110,000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7EC844" w14:textId="61E8789E" w:rsidR="0036747F" w:rsidRPr="00A0517F" w:rsidRDefault="00642A0F" w:rsidP="00A0517F">
            <w:pPr>
              <w:spacing w:after="0" w:line="240" w:lineRule="auto"/>
              <w:rPr>
                <w:rFonts w:eastAsia="Aptos" w:cs="Arial"/>
                <w:color w:val="000000"/>
                <w:szCs w:val="20"/>
                <w:highlight w:val="yellow"/>
                <w14:ligatures w14:val="standardContextual"/>
              </w:rPr>
            </w:pPr>
            <w:r w:rsidRPr="00642A0F">
              <w:rPr>
                <w:rFonts w:eastAsia="Aptos" w:cs="Arial"/>
                <w:color w:val="000000"/>
                <w:szCs w:val="20"/>
                <w14:ligatures w14:val="standardContextual"/>
              </w:rPr>
              <w:t>$110,000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D59D0B" w14:textId="4CDAED3A" w:rsidR="0036747F" w:rsidRPr="00642A0F" w:rsidRDefault="00642A0F" w:rsidP="00A0517F">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r w:rsidR="00EE230C" w:rsidRPr="00A0517F" w14:paraId="2FBF2EC7" w14:textId="77777777" w:rsidTr="009E3FDF">
        <w:trPr>
          <w:trHeight w:val="309"/>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C132EA" w14:textId="7C522E87"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Accelerating Government Public Procurement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9CAFC46" w14:textId="480548A1"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Sustainability Fund requirements.</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3CC4EC" w14:textId="7EF83B27" w:rsidR="00EE230C" w:rsidRPr="00A0517F" w:rsidRDefault="00D11648" w:rsidP="00EE230C">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its broader impact on the market for recycled products.</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5B741D" w14:textId="521AC0DF" w:rsidR="00EE230C" w:rsidRPr="00A0517F" w:rsidRDefault="00BA27D6" w:rsidP="00EE230C">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826955" w14:textId="7A927FB2" w:rsidR="00EE230C" w:rsidRPr="00A0517F" w:rsidRDefault="00382A6F" w:rsidP="00EE230C">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$30,000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0FB1D4" w14:textId="62F39A31" w:rsidR="00EE230C" w:rsidRPr="00A0517F" w:rsidRDefault="00642A0F" w:rsidP="00EE230C">
            <w:pPr>
              <w:spacing w:after="0" w:line="240" w:lineRule="auto"/>
              <w:rPr>
                <w:rFonts w:eastAsia="Aptos" w:cs="Arial"/>
                <w:color w:val="000000"/>
                <w:szCs w:val="20"/>
                <w:highlight w:val="yellow"/>
                <w14:ligatures w14:val="standardContextual"/>
              </w:rPr>
            </w:pPr>
            <w:r w:rsidRPr="00642A0F">
              <w:rPr>
                <w:rFonts w:eastAsia="Aptos" w:cs="Arial"/>
                <w:color w:val="000000"/>
                <w:szCs w:val="20"/>
                <w14:ligatures w14:val="standardContextual"/>
              </w:rPr>
              <w:t>$30,000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25E497" w14:textId="05CB9D65" w:rsidR="00EE230C" w:rsidRPr="00642A0F" w:rsidRDefault="00642A0F" w:rsidP="00EE230C">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r w:rsidR="00EE230C" w:rsidRPr="00A0517F" w14:paraId="101E68C1" w14:textId="77777777" w:rsidTr="009E3FDF">
        <w:trPr>
          <w:trHeight w:val="309"/>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41DD8C" w14:textId="52D37BF5"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Single Use Plastics Program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DD244B" w14:textId="5C3EB4AE"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Sustainability Fund requirements.</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C62253" w14:textId="11EA828C" w:rsidR="00EE230C" w:rsidRPr="00A0517F" w:rsidRDefault="00D11648" w:rsidP="00EE230C">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how it supported the single-use plastics ban.</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1F6BCC" w14:textId="0C5EB7D7" w:rsidR="00EE230C" w:rsidRPr="00A0517F" w:rsidRDefault="00BA27D6" w:rsidP="00EE230C">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57739F1" w14:textId="0B8AEF11" w:rsidR="00EE230C" w:rsidRPr="00A0517F" w:rsidRDefault="00382A6F" w:rsidP="00EE230C">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$20,000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F6B24F" w14:textId="04FA54AB" w:rsidR="00EE230C" w:rsidRPr="00A0517F" w:rsidRDefault="00642A0F" w:rsidP="00EE230C">
            <w:pPr>
              <w:spacing w:after="0" w:line="240" w:lineRule="auto"/>
              <w:rPr>
                <w:rFonts w:eastAsia="Aptos" w:cs="Arial"/>
                <w:color w:val="000000"/>
                <w:szCs w:val="20"/>
                <w:highlight w:val="yellow"/>
                <w14:ligatures w14:val="standardContextual"/>
              </w:rPr>
            </w:pPr>
            <w:r w:rsidRPr="00642A0F">
              <w:rPr>
                <w:rFonts w:eastAsia="Aptos" w:cs="Arial"/>
                <w:color w:val="000000"/>
                <w:szCs w:val="20"/>
                <w14:ligatures w14:val="standardContextual"/>
              </w:rPr>
              <w:t>$20,000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235FC8" w14:textId="6F61DE91" w:rsidR="00EE230C" w:rsidRPr="00642A0F" w:rsidRDefault="00642A0F" w:rsidP="00EE230C">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r w:rsidR="00EE230C" w:rsidRPr="00A0517F" w14:paraId="46C355DC" w14:textId="77777777" w:rsidTr="009E3FDF">
        <w:trPr>
          <w:trHeight w:val="309"/>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C7BE2D" w14:textId="2143D29A"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lastRenderedPageBreak/>
              <w:t>Resource Smart Schools (2020-2023)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1D79BCA" w14:textId="339A8F46"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Sustainability Fund requirements.</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806D40" w14:textId="08BD3A02" w:rsidR="00EE230C" w:rsidRPr="00A0517F" w:rsidRDefault="00D11648" w:rsidP="00EE230C">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how it influenced sustainability in schools.</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EBF40F" w14:textId="0FED818B" w:rsidR="00EE230C" w:rsidRPr="00A0517F" w:rsidRDefault="00BA27D6" w:rsidP="00EE230C">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FECC0C" w14:textId="769FFA25" w:rsidR="00EE230C" w:rsidRPr="00A0517F" w:rsidRDefault="00382A6F" w:rsidP="00EE230C">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$80,000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E6D814" w14:textId="34FBF161" w:rsidR="00EE230C" w:rsidRPr="00A0517F" w:rsidRDefault="00642A0F" w:rsidP="00EE230C">
            <w:pPr>
              <w:spacing w:after="0" w:line="240" w:lineRule="auto"/>
              <w:rPr>
                <w:rFonts w:eastAsia="Aptos" w:cs="Arial"/>
                <w:color w:val="000000"/>
                <w:szCs w:val="20"/>
                <w:highlight w:val="yellow"/>
                <w14:ligatures w14:val="standardContextual"/>
              </w:rPr>
            </w:pPr>
            <w:r w:rsidRPr="00642A0F">
              <w:rPr>
                <w:rFonts w:eastAsia="Aptos" w:cs="Arial"/>
                <w:color w:val="000000"/>
                <w:szCs w:val="20"/>
                <w14:ligatures w14:val="standardContextual"/>
              </w:rPr>
              <w:t>$80,000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FC4A84" w14:textId="18A44755" w:rsidR="00EE230C" w:rsidRPr="00642A0F" w:rsidRDefault="00642A0F" w:rsidP="00EE230C">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r w:rsidR="00EE230C" w:rsidRPr="00A0517F" w14:paraId="3734011A" w14:textId="77777777" w:rsidTr="009E3FDF">
        <w:trPr>
          <w:trHeight w:val="309"/>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11EBBC" w14:textId="7F7773B5"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Community Climate Change and Energy Action Program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8D5B66" w14:textId="278EF296"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Sustainability Fund requirements.</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F81234" w14:textId="4690B1F5" w:rsidR="00EE230C" w:rsidRPr="00A0517F" w:rsidRDefault="00D11648" w:rsidP="00EE230C">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its impact on the energy transition.</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DF0692" w14:textId="119F9221" w:rsidR="00EE230C" w:rsidRPr="00A0517F" w:rsidRDefault="00BA27D6" w:rsidP="00EE230C">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0BE9EB" w14:textId="20000659" w:rsidR="00EE230C" w:rsidRPr="00A0517F" w:rsidRDefault="00382A6F" w:rsidP="00EE230C">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$40,000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19B397" w14:textId="7782C5FD" w:rsidR="00EE230C" w:rsidRPr="00A0517F" w:rsidRDefault="00642A0F" w:rsidP="00EE230C">
            <w:pPr>
              <w:spacing w:after="0" w:line="240" w:lineRule="auto"/>
              <w:rPr>
                <w:rFonts w:eastAsia="Aptos" w:cs="Arial"/>
                <w:color w:val="000000"/>
                <w:szCs w:val="20"/>
                <w:highlight w:val="yellow"/>
                <w14:ligatures w14:val="standardContextual"/>
              </w:rPr>
            </w:pPr>
            <w:r w:rsidRPr="00642A0F">
              <w:rPr>
                <w:rFonts w:eastAsia="Aptos" w:cs="Arial"/>
                <w:color w:val="000000"/>
                <w:szCs w:val="20"/>
                <w14:ligatures w14:val="standardContextual"/>
              </w:rPr>
              <w:t>$40,000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0B6BD1" w14:textId="715135A8" w:rsidR="00EE230C" w:rsidRPr="00642A0F" w:rsidRDefault="00642A0F" w:rsidP="00EE230C">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r w:rsidR="00642A0F" w:rsidRPr="00A0517F" w14:paraId="5993052D" w14:textId="77777777" w:rsidTr="009E3FDF">
        <w:trPr>
          <w:trHeight w:val="238"/>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07EB01" w14:textId="5BDA7EA8"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7-star Homes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422E0C" w14:textId="2DB3975F"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requirements</w:t>
            </w:r>
            <w:r w:rsidR="00FE0144">
              <w:rPr>
                <w:rFonts w:eastAsia="Aptos" w:cs="Arial"/>
                <w:color w:val="000000"/>
                <w:szCs w:val="20"/>
                <w14:ligatures w14:val="standardContextual"/>
              </w:rPr>
              <w:t xml:space="preserve"> as under a TPA with DEECA</w:t>
            </w:r>
            <w:r w:rsidRPr="00EE230C">
              <w:rPr>
                <w:rFonts w:eastAsia="Aptos" w:cs="Arial"/>
                <w:color w:val="000000"/>
                <w:szCs w:val="20"/>
                <w14:ligatures w14:val="standardContextual"/>
              </w:rPr>
              <w:t>.</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ED5CF2" w14:textId="310473C6" w:rsidR="00EE230C" w:rsidRPr="00A0517F" w:rsidRDefault="00D11648" w:rsidP="00EE230C">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its broader impact on the building industry.</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10BAD2" w14:textId="2E3F456E" w:rsidR="00EE230C" w:rsidRPr="00A0517F" w:rsidRDefault="00BA27D6" w:rsidP="00EE230C">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C5CE8E" w14:textId="6183292A" w:rsidR="00EE230C" w:rsidRPr="00A0517F" w:rsidRDefault="00382A6F" w:rsidP="00EE230C">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$50,000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F57F46" w14:textId="111FDD04" w:rsidR="00EE230C" w:rsidRPr="00A0517F" w:rsidRDefault="00642A0F" w:rsidP="00EE230C">
            <w:pPr>
              <w:spacing w:after="0" w:line="240" w:lineRule="auto"/>
              <w:rPr>
                <w:rFonts w:eastAsia="Aptos" w:cs="Arial"/>
                <w:color w:val="000000"/>
                <w:szCs w:val="20"/>
                <w:highlight w:val="yellow"/>
                <w14:ligatures w14:val="standardContextual"/>
              </w:rPr>
            </w:pPr>
            <w:r w:rsidRPr="00642A0F">
              <w:rPr>
                <w:rFonts w:eastAsia="Aptos" w:cs="Arial"/>
                <w:color w:val="000000"/>
                <w:szCs w:val="20"/>
                <w14:ligatures w14:val="standardContextual"/>
              </w:rPr>
              <w:t>$50,000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CB97FF" w14:textId="53846D8F" w:rsidR="00EE230C" w:rsidRPr="00642A0F" w:rsidRDefault="00642A0F" w:rsidP="00EE230C">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r w:rsidR="00EE230C" w:rsidRPr="00A0517F" w14:paraId="6950E2C3" w14:textId="77777777" w:rsidTr="009E3FDF">
        <w:trPr>
          <w:trHeight w:val="238"/>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DDEF01" w14:textId="363B68F4"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Non-regulatory Support for E-waste Ban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26D081" w14:textId="47E0E45F" w:rsidR="00EE230C" w:rsidRPr="00A0517F" w:rsidRDefault="00EE230C" w:rsidP="00EE230C">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Sustainability Fund requirements.</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B19C838" w14:textId="0CD61223" w:rsidR="00EE230C" w:rsidRPr="00A0517F" w:rsidRDefault="00D11648" w:rsidP="00EE230C">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how it supported councils with the e-waste landfill ban.</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22E0A4" w14:textId="7792DF5D" w:rsidR="00EE230C" w:rsidRPr="00A0517F" w:rsidRDefault="00BA27D6" w:rsidP="00EE230C">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10B451" w14:textId="052A0C10" w:rsidR="00EE230C" w:rsidRPr="00A0517F" w:rsidRDefault="00382A6F" w:rsidP="00EE230C">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$70,000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E25EDF" w14:textId="3FF5DFB1" w:rsidR="00EE230C" w:rsidRPr="00A0517F" w:rsidRDefault="00642A0F" w:rsidP="00EE230C">
            <w:pPr>
              <w:spacing w:after="0" w:line="240" w:lineRule="auto"/>
              <w:rPr>
                <w:rFonts w:eastAsia="Aptos" w:cs="Arial"/>
                <w:color w:val="000000"/>
                <w:szCs w:val="20"/>
                <w:highlight w:val="yellow"/>
                <w14:ligatures w14:val="standardContextual"/>
              </w:rPr>
            </w:pPr>
            <w:r w:rsidRPr="00642A0F">
              <w:rPr>
                <w:rFonts w:eastAsia="Aptos" w:cs="Arial"/>
                <w:color w:val="000000"/>
                <w:szCs w:val="20"/>
                <w14:ligatures w14:val="standardContextual"/>
              </w:rPr>
              <w:t>$70,000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5E4384" w14:textId="1A6BE6C9" w:rsidR="00EE230C" w:rsidRPr="00642A0F" w:rsidRDefault="00642A0F" w:rsidP="00EE230C">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r w:rsidR="00642A0F" w:rsidRPr="00A0517F" w14:paraId="595875C7" w14:textId="77777777" w:rsidTr="009E3FDF">
        <w:trPr>
          <w:trHeight w:val="238"/>
        </w:trPr>
        <w:tc>
          <w:tcPr>
            <w:tcW w:w="18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476B3D" w14:textId="6A0DF2CC" w:rsidR="00642A0F" w:rsidRPr="00A0517F" w:rsidRDefault="00642A0F" w:rsidP="00642A0F">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Community Organisation Capability Building Program - Final evaluation report</w:t>
            </w:r>
          </w:p>
        </w:tc>
        <w:tc>
          <w:tcPr>
            <w:tcW w:w="34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E9D967" w14:textId="253C7C68" w:rsidR="00642A0F" w:rsidRPr="00A0517F" w:rsidRDefault="00642A0F" w:rsidP="00642A0F">
            <w:pPr>
              <w:spacing w:after="0" w:line="240" w:lineRule="auto"/>
              <w:rPr>
                <w:rFonts w:eastAsia="Aptos" w:cs="Arial"/>
                <w:color w:val="000000"/>
                <w:szCs w:val="20"/>
                <w:highlight w:val="yellow"/>
                <w14:ligatures w14:val="standardContextual"/>
              </w:rPr>
            </w:pPr>
            <w:r w:rsidRPr="00EE230C">
              <w:rPr>
                <w:rFonts w:eastAsia="Aptos" w:cs="Arial"/>
                <w:color w:val="000000"/>
                <w:szCs w:val="20"/>
                <w14:ligatures w14:val="standardContextual"/>
              </w:rPr>
              <w:t>To assess program impact and meet Sustainability Fund requirements.</w:t>
            </w:r>
          </w:p>
        </w:tc>
        <w:tc>
          <w:tcPr>
            <w:tcW w:w="22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4620E2" w14:textId="4DC8F23E" w:rsidR="00642A0F" w:rsidRPr="00A0517F" w:rsidRDefault="00642A0F" w:rsidP="00642A0F">
            <w:pPr>
              <w:spacing w:after="0" w:line="240" w:lineRule="auto"/>
              <w:rPr>
                <w:rFonts w:eastAsia="Aptos" w:cs="Arial"/>
                <w:color w:val="000000"/>
                <w:szCs w:val="20"/>
                <w:highlight w:val="yellow"/>
                <w14:ligatures w14:val="standardContextual"/>
              </w:rPr>
            </w:pPr>
            <w:r w:rsidRPr="00D11648">
              <w:rPr>
                <w:rFonts w:eastAsia="Aptos" w:cs="Arial"/>
                <w:color w:val="000000"/>
                <w:szCs w:val="20"/>
                <w14:ligatures w14:val="standardContextual"/>
              </w:rPr>
              <w:t>Evaluate program performance and its impact on participation in sustainability initiatives.</w:t>
            </w:r>
          </w:p>
        </w:tc>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68371F" w14:textId="6EECEC42" w:rsidR="00642A0F" w:rsidRPr="00A0517F" w:rsidRDefault="00642A0F" w:rsidP="00642A0F">
            <w:pPr>
              <w:spacing w:after="0" w:line="240" w:lineRule="auto"/>
              <w:rPr>
                <w:rFonts w:eastAsia="Aptos" w:cs="Arial"/>
                <w:color w:val="000000"/>
                <w:szCs w:val="20"/>
                <w:highlight w:val="yellow"/>
                <w14:ligatures w14:val="standardContextual"/>
              </w:rPr>
            </w:pPr>
            <w:r w:rsidRPr="00BA27D6">
              <w:rPr>
                <w:rFonts w:eastAsia="Aptos" w:cs="Arial"/>
                <w:color w:val="000000"/>
                <w:szCs w:val="20"/>
                <w14:ligatures w14:val="standardContextual"/>
              </w:rPr>
              <w:t>Inform future investment and program design.</w:t>
            </w:r>
          </w:p>
        </w:tc>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1782DD" w14:textId="1400C538" w:rsidR="00642A0F" w:rsidRPr="00A0517F" w:rsidRDefault="00642A0F" w:rsidP="00642A0F">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$20,000</w:t>
            </w:r>
          </w:p>
        </w:tc>
        <w:tc>
          <w:tcPr>
            <w:tcW w:w="1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0459FC" w14:textId="64CC6CC1" w:rsidR="00642A0F" w:rsidRPr="00A0517F" w:rsidRDefault="00642A0F" w:rsidP="00642A0F">
            <w:pPr>
              <w:spacing w:after="0" w:line="240" w:lineRule="auto"/>
              <w:rPr>
                <w:rFonts w:eastAsia="Aptos" w:cs="Arial"/>
                <w:color w:val="000000"/>
                <w:szCs w:val="20"/>
                <w:highlight w:val="yellow"/>
                <w14:ligatures w14:val="standardContextual"/>
              </w:rPr>
            </w:pPr>
            <w:r w:rsidRPr="00382A6F">
              <w:rPr>
                <w:rFonts w:eastAsia="Aptos" w:cs="Arial"/>
                <w:color w:val="000000"/>
                <w:szCs w:val="20"/>
                <w14:ligatures w14:val="standardContextual"/>
              </w:rPr>
              <w:t>$20,000</w:t>
            </w:r>
          </w:p>
        </w:tc>
        <w:tc>
          <w:tcPr>
            <w:tcW w:w="17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FD0292" w14:textId="38816CB6" w:rsidR="00642A0F" w:rsidRPr="00642A0F" w:rsidRDefault="00642A0F" w:rsidP="00642A0F">
            <w:pPr>
              <w:spacing w:after="0" w:line="240" w:lineRule="auto"/>
              <w:rPr>
                <w:rFonts w:eastAsia="Aptos" w:cs="Arial"/>
                <w:color w:val="000000"/>
                <w:szCs w:val="20"/>
                <w14:ligatures w14:val="standardContextual"/>
              </w:rPr>
            </w:pPr>
            <w:r w:rsidRPr="00642A0F">
              <w:rPr>
                <w:rFonts w:eastAsia="Aptos" w:cs="Arial"/>
                <w:color w:val="000000"/>
                <w:szCs w:val="20"/>
                <w14:ligatures w14:val="standardContextual"/>
              </w:rPr>
              <w:t>N</w:t>
            </w:r>
          </w:p>
        </w:tc>
      </w:tr>
    </w:tbl>
    <w:p w14:paraId="6B62A314" w14:textId="46F78B55" w:rsidR="009E3FDF" w:rsidRPr="00654718" w:rsidRDefault="009E3FDF" w:rsidP="00654718">
      <w:pPr>
        <w:spacing w:line="259" w:lineRule="auto"/>
        <w:rPr>
          <w:rFonts w:eastAsiaTheme="majorEastAsia" w:cstheme="majorBidi"/>
          <w:b/>
          <w:color w:val="595959" w:themeColor="text1" w:themeTint="A6"/>
          <w:sz w:val="32"/>
          <w:szCs w:val="26"/>
        </w:rPr>
        <w:sectPr w:rsidR="009E3FDF" w:rsidRPr="00654718" w:rsidSect="009E3FDF">
          <w:pgSz w:w="16820" w:h="11900" w:orient="landscape" w:code="9"/>
          <w:pgMar w:top="1582" w:right="1174" w:bottom="1298" w:left="1298" w:header="0" w:footer="862" w:gutter="0"/>
          <w:cols w:space="720"/>
          <w:docGrid w:linePitch="360"/>
        </w:sectPr>
      </w:pPr>
    </w:p>
    <w:p w14:paraId="4C25BFF2" w14:textId="56B08005" w:rsidR="003A694A" w:rsidRPr="0012521E" w:rsidRDefault="003A694A" w:rsidP="003A694A">
      <w:pPr>
        <w:pStyle w:val="Heading2"/>
      </w:pPr>
      <w:r w:rsidRPr="0012521E">
        <w:lastRenderedPageBreak/>
        <w:t>ICT expenditure</w:t>
      </w:r>
      <w:bookmarkEnd w:id="222"/>
      <w:bookmarkEnd w:id="223"/>
      <w:bookmarkEnd w:id="224"/>
      <w:bookmarkEnd w:id="225"/>
      <w:bookmarkEnd w:id="226"/>
      <w:bookmarkEnd w:id="227"/>
      <w:bookmarkEnd w:id="228"/>
    </w:p>
    <w:p w14:paraId="5F418AA4" w14:textId="0A7A2431" w:rsidR="003A694A" w:rsidRPr="001F5D08" w:rsidRDefault="003A694A" w:rsidP="003A694A">
      <w:pPr>
        <w:rPr>
          <w:rFonts w:asciiTheme="majorHAnsi" w:hAnsiTheme="majorHAnsi" w:cstheme="majorHAnsi"/>
        </w:rPr>
      </w:pPr>
      <w:bookmarkStart w:id="229" w:name="_Hlk48123415"/>
      <w:r w:rsidRPr="0012521E">
        <w:rPr>
          <w:rFonts w:asciiTheme="majorHAnsi" w:hAnsiTheme="majorHAnsi" w:cstheme="majorHAnsi"/>
        </w:rPr>
        <w:t xml:space="preserve">For </w:t>
      </w:r>
      <w:r w:rsidRPr="001F5D08">
        <w:rPr>
          <w:rFonts w:asciiTheme="majorHAnsi" w:hAnsiTheme="majorHAnsi" w:cstheme="majorHAnsi"/>
        </w:rPr>
        <w:t>the 202</w:t>
      </w:r>
      <w:r w:rsidR="003C17ED" w:rsidRPr="001F5D08">
        <w:rPr>
          <w:rFonts w:asciiTheme="majorHAnsi" w:hAnsiTheme="majorHAnsi" w:cstheme="majorHAnsi"/>
        </w:rPr>
        <w:t>3</w:t>
      </w:r>
      <w:r w:rsidRPr="001F5D08">
        <w:rPr>
          <w:rFonts w:asciiTheme="majorHAnsi" w:hAnsiTheme="majorHAnsi" w:cstheme="majorHAnsi"/>
        </w:rPr>
        <w:t>–2</w:t>
      </w:r>
      <w:r w:rsidR="003C17ED" w:rsidRPr="001F5D08">
        <w:rPr>
          <w:rFonts w:asciiTheme="majorHAnsi" w:hAnsiTheme="majorHAnsi" w:cstheme="majorHAnsi"/>
        </w:rPr>
        <w:t>4</w:t>
      </w:r>
      <w:r w:rsidRPr="001F5D08">
        <w:rPr>
          <w:rFonts w:asciiTheme="majorHAnsi" w:hAnsiTheme="majorHAnsi" w:cstheme="majorHAnsi"/>
        </w:rPr>
        <w:t xml:space="preserve"> reporting period, SV had an approximate ICT expenditure of $</w:t>
      </w:r>
      <w:r w:rsidR="003B4D87" w:rsidRPr="003B4D87">
        <w:rPr>
          <w:rFonts w:asciiTheme="majorHAnsi" w:hAnsiTheme="majorHAnsi" w:cstheme="majorHAnsi"/>
        </w:rPr>
        <w:t>4</w:t>
      </w:r>
      <w:r w:rsidR="00C94F61">
        <w:rPr>
          <w:rFonts w:asciiTheme="majorHAnsi" w:hAnsiTheme="majorHAnsi" w:cstheme="majorHAnsi"/>
        </w:rPr>
        <w:t>.</w:t>
      </w:r>
      <w:r w:rsidR="003B4D87" w:rsidRPr="003B4D87">
        <w:rPr>
          <w:rFonts w:asciiTheme="majorHAnsi" w:hAnsiTheme="majorHAnsi" w:cstheme="majorHAnsi"/>
        </w:rPr>
        <w:t>2</w:t>
      </w:r>
      <w:r w:rsidRPr="001F5D08" w:rsidDel="00A21B1E">
        <w:rPr>
          <w:rFonts w:asciiTheme="majorHAnsi" w:hAnsiTheme="majorHAnsi" w:cstheme="majorHAnsi"/>
        </w:rPr>
        <w:t xml:space="preserve"> </w:t>
      </w:r>
      <w:r w:rsidRPr="001F5D08">
        <w:rPr>
          <w:rFonts w:asciiTheme="majorHAnsi" w:hAnsiTheme="majorHAnsi" w:cstheme="majorHAnsi"/>
        </w:rPr>
        <w:t xml:space="preserve">million, as shown in </w:t>
      </w:r>
      <w:r w:rsidRPr="001F5D08">
        <w:rPr>
          <w:rFonts w:asciiTheme="majorHAnsi" w:hAnsiTheme="majorHAnsi" w:cstheme="majorHAnsi"/>
        </w:rPr>
        <w:fldChar w:fldCharType="begin"/>
      </w:r>
      <w:r w:rsidRPr="001F5D08">
        <w:rPr>
          <w:rFonts w:asciiTheme="majorHAnsi" w:hAnsiTheme="majorHAnsi" w:cstheme="majorHAnsi"/>
        </w:rPr>
        <w:instrText xml:space="preserve"> REF _Ref108466308 \h  \* MERGEFORMAT </w:instrText>
      </w:r>
      <w:r w:rsidRPr="001F5D08">
        <w:rPr>
          <w:rFonts w:asciiTheme="majorHAnsi" w:hAnsiTheme="majorHAnsi" w:cstheme="majorHAnsi"/>
        </w:rPr>
      </w:r>
      <w:r w:rsidRPr="001F5D08">
        <w:rPr>
          <w:rFonts w:asciiTheme="majorHAnsi" w:hAnsiTheme="majorHAnsi" w:cstheme="majorHAnsi"/>
        </w:rPr>
        <w:fldChar w:fldCharType="separate"/>
      </w:r>
      <w:r w:rsidR="00EB70DF" w:rsidRPr="001F5D08">
        <w:rPr>
          <w:rFonts w:asciiTheme="majorHAnsi" w:hAnsiTheme="majorHAnsi" w:cstheme="majorHAnsi"/>
        </w:rPr>
        <w:t xml:space="preserve">Table </w:t>
      </w:r>
      <w:r w:rsidR="00EB70DF">
        <w:rPr>
          <w:rFonts w:asciiTheme="majorHAnsi" w:hAnsiTheme="majorHAnsi" w:cstheme="majorHAnsi"/>
          <w:noProof/>
        </w:rPr>
        <w:t>18</w:t>
      </w:r>
      <w:r w:rsidRPr="001F5D08">
        <w:rPr>
          <w:rFonts w:asciiTheme="majorHAnsi" w:hAnsiTheme="majorHAnsi" w:cstheme="majorHAnsi"/>
        </w:rPr>
        <w:fldChar w:fldCharType="end"/>
      </w:r>
      <w:r w:rsidRPr="001F5D08">
        <w:rPr>
          <w:rFonts w:asciiTheme="majorHAnsi" w:hAnsiTheme="majorHAnsi" w:cstheme="majorHAnsi"/>
        </w:rPr>
        <w:t>.</w:t>
      </w:r>
    </w:p>
    <w:p w14:paraId="7070ACB6" w14:textId="229C506A" w:rsidR="003A694A" w:rsidRPr="001F5D08" w:rsidRDefault="003A694A" w:rsidP="003A694A">
      <w:pPr>
        <w:pStyle w:val="Caption"/>
        <w:rPr>
          <w:rFonts w:asciiTheme="majorHAnsi" w:hAnsiTheme="majorHAnsi" w:cstheme="majorHAnsi"/>
        </w:rPr>
      </w:pPr>
      <w:bookmarkStart w:id="230" w:name="_Ref108466308"/>
      <w:r w:rsidRPr="001F5D08">
        <w:rPr>
          <w:rFonts w:asciiTheme="majorHAnsi" w:hAnsiTheme="majorHAnsi" w:cstheme="majorHAnsi"/>
        </w:rPr>
        <w:t xml:space="preserve">Table </w:t>
      </w:r>
      <w:r w:rsidRPr="001F5D08">
        <w:rPr>
          <w:rFonts w:asciiTheme="majorHAnsi" w:hAnsiTheme="majorHAnsi" w:cstheme="majorHAnsi"/>
        </w:rPr>
        <w:fldChar w:fldCharType="begin"/>
      </w:r>
      <w:r w:rsidRPr="001F5D08">
        <w:rPr>
          <w:rFonts w:asciiTheme="majorHAnsi" w:hAnsiTheme="majorHAnsi" w:cstheme="majorHAnsi"/>
        </w:rPr>
        <w:instrText>SEQ Table \* ARABIC</w:instrText>
      </w:r>
      <w:r w:rsidRPr="001F5D08">
        <w:rPr>
          <w:rFonts w:asciiTheme="majorHAnsi" w:hAnsiTheme="majorHAnsi" w:cstheme="majorHAnsi"/>
        </w:rPr>
        <w:fldChar w:fldCharType="separate"/>
      </w:r>
      <w:r w:rsidR="00EB70DF">
        <w:rPr>
          <w:rFonts w:asciiTheme="majorHAnsi" w:hAnsiTheme="majorHAnsi" w:cstheme="majorHAnsi"/>
          <w:noProof/>
        </w:rPr>
        <w:t>18</w:t>
      </w:r>
      <w:r w:rsidRPr="001F5D08">
        <w:rPr>
          <w:rFonts w:asciiTheme="majorHAnsi" w:hAnsiTheme="majorHAnsi" w:cstheme="majorHAnsi"/>
        </w:rPr>
        <w:fldChar w:fldCharType="end"/>
      </w:r>
      <w:bookmarkEnd w:id="230"/>
      <w:r w:rsidRPr="001F5D08">
        <w:rPr>
          <w:rFonts w:asciiTheme="majorHAnsi" w:hAnsiTheme="majorHAnsi" w:cstheme="majorHAnsi"/>
        </w:rPr>
        <w:t>: Information and communication technology expenditure</w:t>
      </w:r>
    </w:p>
    <w:tbl>
      <w:tblPr>
        <w:tblStyle w:val="TableGrid"/>
        <w:tblW w:w="8789" w:type="dxa"/>
        <w:tblInd w:w="-5" w:type="dxa"/>
        <w:tblLook w:val="04A0" w:firstRow="1" w:lastRow="0" w:firstColumn="1" w:lastColumn="0" w:noHBand="0" w:noVBand="1"/>
      </w:tblPr>
      <w:tblGrid>
        <w:gridCol w:w="2127"/>
        <w:gridCol w:w="2409"/>
        <w:gridCol w:w="2388"/>
        <w:gridCol w:w="1865"/>
      </w:tblGrid>
      <w:tr w:rsidR="00FE0786" w:rsidRPr="001F5D08" w14:paraId="5C19CFAF" w14:textId="77777777" w:rsidTr="00E159ED">
        <w:trPr>
          <w:trHeight w:val="380"/>
        </w:trPr>
        <w:tc>
          <w:tcPr>
            <w:tcW w:w="2127" w:type="dxa"/>
            <w:shd w:val="clear" w:color="auto" w:fill="D4DFA0" w:themeFill="accent3"/>
            <w:hideMark/>
          </w:tcPr>
          <w:p w14:paraId="2D9EBAFA" w14:textId="77777777" w:rsidR="003A694A" w:rsidRPr="00B54839" w:rsidRDefault="003A694A" w:rsidP="00EC78E4">
            <w:pPr>
              <w:pStyle w:val="Tablehead10"/>
              <w:rPr>
                <w:rFonts w:cstheme="majorHAnsi"/>
                <w:color w:val="auto"/>
                <w:sz w:val="20"/>
                <w:szCs w:val="20"/>
              </w:rPr>
            </w:pPr>
            <w:r w:rsidRPr="00B54839">
              <w:rPr>
                <w:rFonts w:cstheme="majorHAnsi"/>
                <w:color w:val="auto"/>
                <w:sz w:val="20"/>
                <w:szCs w:val="20"/>
              </w:rPr>
              <w:t>All operational ICT expenditure</w:t>
            </w:r>
          </w:p>
        </w:tc>
        <w:tc>
          <w:tcPr>
            <w:tcW w:w="2409" w:type="dxa"/>
            <w:shd w:val="clear" w:color="auto" w:fill="D4DFA0" w:themeFill="accent3"/>
            <w:hideMark/>
          </w:tcPr>
          <w:p w14:paraId="3D77E236" w14:textId="77777777" w:rsidR="003A694A" w:rsidRPr="00B54839" w:rsidRDefault="003A694A" w:rsidP="00EC78E4">
            <w:pPr>
              <w:pStyle w:val="Tablehead10"/>
              <w:rPr>
                <w:rFonts w:cstheme="majorHAnsi"/>
                <w:color w:val="auto"/>
                <w:sz w:val="20"/>
                <w:szCs w:val="20"/>
              </w:rPr>
            </w:pPr>
            <w:r w:rsidRPr="00B54839">
              <w:rPr>
                <w:rFonts w:cstheme="majorHAnsi"/>
                <w:color w:val="auto"/>
                <w:sz w:val="20"/>
                <w:szCs w:val="20"/>
              </w:rPr>
              <w:t>ICT expenditure relating to projects to create or enhance ICT capabilities</w:t>
            </w:r>
          </w:p>
        </w:tc>
        <w:tc>
          <w:tcPr>
            <w:tcW w:w="2388" w:type="dxa"/>
            <w:shd w:val="clear" w:color="auto" w:fill="D4DFA0" w:themeFill="accent3"/>
          </w:tcPr>
          <w:p w14:paraId="3B2DFFD8" w14:textId="77777777" w:rsidR="003A694A" w:rsidRPr="00B54839" w:rsidRDefault="003A694A" w:rsidP="00EC78E4">
            <w:pPr>
              <w:pStyle w:val="Tablehead10"/>
              <w:rPr>
                <w:rFonts w:cstheme="majorHAnsi"/>
                <w:color w:val="auto"/>
                <w:sz w:val="20"/>
                <w:szCs w:val="20"/>
              </w:rPr>
            </w:pPr>
            <w:r w:rsidRPr="00B54839">
              <w:rPr>
                <w:rFonts w:cstheme="majorHAnsi"/>
                <w:color w:val="auto"/>
                <w:sz w:val="20"/>
                <w:szCs w:val="20"/>
              </w:rPr>
              <w:t>ICT expenditure relating to projects to create or enhance ICT capabilities</w:t>
            </w:r>
          </w:p>
        </w:tc>
        <w:tc>
          <w:tcPr>
            <w:tcW w:w="1865" w:type="dxa"/>
            <w:shd w:val="clear" w:color="auto" w:fill="D4DFA0" w:themeFill="accent3"/>
          </w:tcPr>
          <w:p w14:paraId="6EBCCD38" w14:textId="77777777" w:rsidR="003A694A" w:rsidRPr="00B54839" w:rsidRDefault="003A694A" w:rsidP="00EC78E4">
            <w:pPr>
              <w:pStyle w:val="Tablehead10"/>
              <w:rPr>
                <w:rFonts w:cstheme="majorHAnsi"/>
                <w:color w:val="auto"/>
                <w:sz w:val="20"/>
                <w:szCs w:val="20"/>
              </w:rPr>
            </w:pPr>
            <w:r w:rsidRPr="00B54839">
              <w:rPr>
                <w:rFonts w:cstheme="majorHAnsi"/>
                <w:color w:val="auto"/>
                <w:sz w:val="20"/>
                <w:szCs w:val="20"/>
              </w:rPr>
              <w:t>ICT expenditure relating to projects to create or enhance ICT capabilities</w:t>
            </w:r>
          </w:p>
        </w:tc>
      </w:tr>
      <w:tr w:rsidR="00733981" w:rsidRPr="001F5D08" w14:paraId="7C8434A8" w14:textId="77777777" w:rsidTr="00EC78E4">
        <w:trPr>
          <w:trHeight w:val="951"/>
        </w:trPr>
        <w:tc>
          <w:tcPr>
            <w:tcW w:w="2127" w:type="dxa"/>
            <w:noWrap/>
            <w:hideMark/>
          </w:tcPr>
          <w:p w14:paraId="65414D9B" w14:textId="77777777" w:rsidR="003A694A" w:rsidRPr="00B54839" w:rsidRDefault="003A694A" w:rsidP="00EC78E4">
            <w:pPr>
              <w:pStyle w:val="TableText"/>
              <w:rPr>
                <w:rFonts w:asciiTheme="majorHAnsi" w:hAnsiTheme="majorHAnsi" w:cstheme="majorHAnsi"/>
                <w:sz w:val="20"/>
                <w:szCs w:val="20"/>
              </w:rPr>
            </w:pPr>
            <w:r w:rsidRPr="00B54839">
              <w:rPr>
                <w:rFonts w:asciiTheme="majorHAnsi" w:hAnsiTheme="majorHAnsi" w:cstheme="majorHAnsi"/>
                <w:sz w:val="20"/>
                <w:szCs w:val="20"/>
              </w:rPr>
              <w:t>Business as Usual (BAU) ICT expenditure</w:t>
            </w:r>
          </w:p>
        </w:tc>
        <w:tc>
          <w:tcPr>
            <w:tcW w:w="2409" w:type="dxa"/>
            <w:hideMark/>
          </w:tcPr>
          <w:p w14:paraId="154B15C4" w14:textId="77777777" w:rsidR="003A694A" w:rsidRPr="00B54839" w:rsidRDefault="003A694A" w:rsidP="00EC78E4">
            <w:pPr>
              <w:pStyle w:val="TableText"/>
              <w:rPr>
                <w:rFonts w:asciiTheme="majorHAnsi" w:hAnsiTheme="majorHAnsi" w:cstheme="majorHAnsi"/>
                <w:sz w:val="20"/>
                <w:szCs w:val="20"/>
              </w:rPr>
            </w:pPr>
            <w:r w:rsidRPr="00B54839">
              <w:rPr>
                <w:rFonts w:asciiTheme="majorHAnsi" w:hAnsiTheme="majorHAnsi" w:cstheme="majorHAnsi"/>
                <w:sz w:val="20"/>
                <w:szCs w:val="20"/>
              </w:rPr>
              <w:t xml:space="preserve">Non-Business as usual (Non-BAU) ICT expenditure Total = </w:t>
            </w:r>
            <w:proofErr w:type="spellStart"/>
            <w:r w:rsidRPr="00B54839">
              <w:rPr>
                <w:rFonts w:asciiTheme="majorHAnsi" w:hAnsiTheme="majorHAnsi" w:cstheme="majorHAnsi"/>
                <w:sz w:val="20"/>
                <w:szCs w:val="20"/>
              </w:rPr>
              <w:t>Opex</w:t>
            </w:r>
            <w:proofErr w:type="spellEnd"/>
            <w:r w:rsidRPr="00B54839">
              <w:rPr>
                <w:rFonts w:asciiTheme="majorHAnsi" w:hAnsiTheme="majorHAnsi" w:cstheme="majorHAnsi"/>
                <w:sz w:val="20"/>
                <w:szCs w:val="20"/>
              </w:rPr>
              <w:t xml:space="preserve"> and Capex expenditure</w:t>
            </w:r>
          </w:p>
        </w:tc>
        <w:tc>
          <w:tcPr>
            <w:tcW w:w="2388" w:type="dxa"/>
            <w:hideMark/>
          </w:tcPr>
          <w:p w14:paraId="7C8ECD9A" w14:textId="77777777" w:rsidR="003A694A" w:rsidRPr="00B54839" w:rsidRDefault="003A694A" w:rsidP="00EC78E4">
            <w:pPr>
              <w:pStyle w:val="TableText"/>
              <w:rPr>
                <w:rFonts w:asciiTheme="majorHAnsi" w:hAnsiTheme="majorHAnsi" w:cstheme="majorHAnsi"/>
                <w:sz w:val="20"/>
                <w:szCs w:val="20"/>
              </w:rPr>
            </w:pPr>
            <w:r w:rsidRPr="00B54839">
              <w:rPr>
                <w:rFonts w:asciiTheme="majorHAnsi" w:hAnsiTheme="majorHAnsi" w:cstheme="majorHAnsi"/>
                <w:sz w:val="20"/>
                <w:szCs w:val="20"/>
              </w:rPr>
              <w:t>Operational (</w:t>
            </w:r>
            <w:proofErr w:type="spellStart"/>
            <w:r w:rsidRPr="00B54839">
              <w:rPr>
                <w:rFonts w:asciiTheme="majorHAnsi" w:hAnsiTheme="majorHAnsi" w:cstheme="majorHAnsi"/>
                <w:sz w:val="20"/>
                <w:szCs w:val="20"/>
              </w:rPr>
              <w:t>Opex</w:t>
            </w:r>
            <w:proofErr w:type="spellEnd"/>
            <w:r w:rsidRPr="00B54839">
              <w:rPr>
                <w:rFonts w:asciiTheme="majorHAnsi" w:hAnsiTheme="majorHAnsi" w:cstheme="majorHAnsi"/>
                <w:sz w:val="20"/>
                <w:szCs w:val="20"/>
              </w:rPr>
              <w:t>) expenditure</w:t>
            </w:r>
          </w:p>
        </w:tc>
        <w:tc>
          <w:tcPr>
            <w:tcW w:w="1865" w:type="dxa"/>
            <w:hideMark/>
          </w:tcPr>
          <w:p w14:paraId="0D727F24" w14:textId="77777777" w:rsidR="003A694A" w:rsidRPr="00B54839" w:rsidRDefault="003A694A" w:rsidP="00EC78E4">
            <w:pPr>
              <w:pStyle w:val="TableText"/>
              <w:rPr>
                <w:rFonts w:asciiTheme="majorHAnsi" w:hAnsiTheme="majorHAnsi" w:cstheme="majorHAnsi"/>
                <w:sz w:val="20"/>
                <w:szCs w:val="20"/>
              </w:rPr>
            </w:pPr>
            <w:r w:rsidRPr="00B54839">
              <w:rPr>
                <w:rFonts w:asciiTheme="majorHAnsi" w:hAnsiTheme="majorHAnsi" w:cstheme="majorHAnsi"/>
                <w:sz w:val="20"/>
                <w:szCs w:val="20"/>
              </w:rPr>
              <w:t>Capital (Capex) expenditure</w:t>
            </w:r>
          </w:p>
        </w:tc>
      </w:tr>
      <w:tr w:rsidR="00733981" w:rsidRPr="0012521E" w14:paraId="38265E5F" w14:textId="77777777" w:rsidTr="00636629">
        <w:trPr>
          <w:trHeight w:val="70"/>
        </w:trPr>
        <w:tc>
          <w:tcPr>
            <w:tcW w:w="2127" w:type="dxa"/>
            <w:noWrap/>
          </w:tcPr>
          <w:p w14:paraId="76E51427" w14:textId="6D94A638" w:rsidR="003A694A" w:rsidRPr="00B54839" w:rsidRDefault="00E31304" w:rsidP="00EC78E4">
            <w:pPr>
              <w:pStyle w:val="TableText"/>
              <w:rPr>
                <w:rFonts w:asciiTheme="majorHAnsi" w:hAnsiTheme="majorHAnsi" w:cstheme="majorHAnsi"/>
                <w:color w:val="000000"/>
                <w:sz w:val="20"/>
                <w:szCs w:val="20"/>
              </w:rPr>
            </w:pPr>
            <w:r w:rsidRPr="00E31304">
              <w:rPr>
                <w:rFonts w:asciiTheme="majorHAnsi" w:hAnsiTheme="majorHAnsi" w:cstheme="majorHAnsi"/>
                <w:sz w:val="20"/>
                <w:szCs w:val="20"/>
              </w:rPr>
              <w:t>$3,108,029</w:t>
            </w:r>
          </w:p>
        </w:tc>
        <w:tc>
          <w:tcPr>
            <w:tcW w:w="2409" w:type="dxa"/>
            <w:noWrap/>
          </w:tcPr>
          <w:p w14:paraId="4D431793" w14:textId="4DF195A8" w:rsidR="003A694A" w:rsidRPr="00B54839" w:rsidRDefault="003A694A" w:rsidP="00EC78E4">
            <w:pPr>
              <w:pStyle w:val="TableText"/>
              <w:rPr>
                <w:rFonts w:asciiTheme="majorHAnsi" w:hAnsiTheme="majorHAnsi" w:cstheme="majorHAnsi"/>
                <w:sz w:val="20"/>
                <w:szCs w:val="20"/>
              </w:rPr>
            </w:pPr>
            <w:r w:rsidRPr="00B54839">
              <w:rPr>
                <w:rFonts w:asciiTheme="majorHAnsi" w:hAnsiTheme="majorHAnsi" w:cstheme="majorHAnsi"/>
                <w:sz w:val="20"/>
                <w:szCs w:val="20"/>
              </w:rPr>
              <w:t>$</w:t>
            </w:r>
            <w:r w:rsidR="00975FFA" w:rsidRPr="00975FFA">
              <w:rPr>
                <w:rFonts w:asciiTheme="majorHAnsi" w:hAnsiTheme="majorHAnsi" w:cstheme="majorHAnsi"/>
                <w:sz w:val="20"/>
                <w:szCs w:val="20"/>
              </w:rPr>
              <w:t>1</w:t>
            </w:r>
            <w:r w:rsidR="00A74882">
              <w:rPr>
                <w:rFonts w:asciiTheme="majorHAnsi" w:hAnsiTheme="majorHAnsi" w:cstheme="majorHAnsi"/>
                <w:sz w:val="20"/>
                <w:szCs w:val="20"/>
              </w:rPr>
              <w:t>,</w:t>
            </w:r>
            <w:r w:rsidR="00975FFA" w:rsidRPr="00975FFA">
              <w:rPr>
                <w:rFonts w:asciiTheme="majorHAnsi" w:hAnsiTheme="majorHAnsi" w:cstheme="majorHAnsi"/>
                <w:sz w:val="20"/>
                <w:szCs w:val="20"/>
              </w:rPr>
              <w:t>092</w:t>
            </w:r>
            <w:r w:rsidR="00A74882">
              <w:rPr>
                <w:rFonts w:asciiTheme="majorHAnsi" w:hAnsiTheme="majorHAnsi" w:cstheme="majorHAnsi"/>
                <w:sz w:val="20"/>
                <w:szCs w:val="20"/>
              </w:rPr>
              <w:t>,</w:t>
            </w:r>
            <w:r w:rsidR="00975FFA" w:rsidRPr="00975FFA">
              <w:rPr>
                <w:rFonts w:asciiTheme="majorHAnsi" w:hAnsiTheme="majorHAnsi" w:cstheme="majorHAnsi"/>
                <w:sz w:val="20"/>
                <w:szCs w:val="20"/>
              </w:rPr>
              <w:t>170</w:t>
            </w:r>
          </w:p>
        </w:tc>
        <w:tc>
          <w:tcPr>
            <w:tcW w:w="2388" w:type="dxa"/>
            <w:noWrap/>
          </w:tcPr>
          <w:p w14:paraId="21EC428A" w14:textId="4F87B812" w:rsidR="003A694A" w:rsidRPr="00B54839" w:rsidRDefault="003A694A" w:rsidP="00EC78E4">
            <w:pPr>
              <w:pStyle w:val="TableText"/>
              <w:rPr>
                <w:rFonts w:asciiTheme="majorHAnsi" w:hAnsiTheme="majorHAnsi" w:cstheme="majorHAnsi"/>
                <w:sz w:val="20"/>
                <w:szCs w:val="20"/>
              </w:rPr>
            </w:pPr>
            <w:r w:rsidRPr="00B54839">
              <w:rPr>
                <w:rFonts w:asciiTheme="majorHAnsi" w:hAnsiTheme="majorHAnsi" w:cstheme="majorHAnsi"/>
                <w:sz w:val="20"/>
                <w:szCs w:val="20"/>
              </w:rPr>
              <w:t>$</w:t>
            </w:r>
            <w:r w:rsidR="008817FB" w:rsidRPr="008817FB">
              <w:rPr>
                <w:rFonts w:asciiTheme="majorHAnsi" w:hAnsiTheme="majorHAnsi" w:cstheme="majorHAnsi"/>
                <w:sz w:val="20"/>
                <w:szCs w:val="20"/>
              </w:rPr>
              <w:t>1,036,554 </w:t>
            </w:r>
          </w:p>
        </w:tc>
        <w:tc>
          <w:tcPr>
            <w:tcW w:w="1865" w:type="dxa"/>
            <w:noWrap/>
          </w:tcPr>
          <w:p w14:paraId="7FC15D54" w14:textId="5F89675A" w:rsidR="003A694A" w:rsidRPr="00B54839" w:rsidRDefault="00A41DCA" w:rsidP="00EC78E4">
            <w:pPr>
              <w:pStyle w:val="TableText"/>
              <w:rPr>
                <w:rFonts w:asciiTheme="majorHAnsi" w:hAnsiTheme="majorHAnsi" w:cstheme="majorHAnsi"/>
                <w:sz w:val="20"/>
                <w:szCs w:val="20"/>
              </w:rPr>
            </w:pPr>
            <w:r w:rsidRPr="00A41DCA">
              <w:rPr>
                <w:rFonts w:asciiTheme="majorHAnsi" w:hAnsiTheme="majorHAnsi" w:cstheme="majorHAnsi"/>
                <w:sz w:val="20"/>
                <w:szCs w:val="20"/>
              </w:rPr>
              <w:t>$55,617</w:t>
            </w:r>
          </w:p>
        </w:tc>
      </w:tr>
    </w:tbl>
    <w:p w14:paraId="32FF29EB" w14:textId="22184017" w:rsidR="003A694A" w:rsidRPr="0012521E" w:rsidRDefault="003A694A" w:rsidP="003A694A">
      <w:pPr>
        <w:rPr>
          <w:rFonts w:asciiTheme="majorHAnsi" w:hAnsiTheme="majorHAnsi" w:cstheme="majorHAnsi"/>
        </w:rPr>
      </w:pPr>
      <w:r w:rsidRPr="0012521E">
        <w:rPr>
          <w:rFonts w:asciiTheme="majorHAnsi" w:hAnsiTheme="majorHAnsi" w:cstheme="majorHAnsi"/>
        </w:rPr>
        <w:t>ICT expenditure refers to SV’s costs in providing business enabling ICT services in the current reporting period. It comprises business as usual (BAU) ICT expenditure and non-business as usual (Non-BAU) ICT expenditure.</w:t>
      </w:r>
    </w:p>
    <w:p w14:paraId="01F7FA2F"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Non-BAU ICT expenditure relates to extending or enhancing SV’s current ICT capabilities.</w:t>
      </w:r>
    </w:p>
    <w:p w14:paraId="2145A070"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BAU ICT expenditure is all remaining ICT expenditure which primarily relates to ongoing activities to operate and maintain the current ICT capability.</w:t>
      </w:r>
    </w:p>
    <w:p w14:paraId="0728A77C" w14:textId="59035C37" w:rsidR="003A694A" w:rsidRPr="0012521E" w:rsidRDefault="003A694A" w:rsidP="003A694A">
      <w:pPr>
        <w:rPr>
          <w:rFonts w:asciiTheme="majorHAnsi" w:hAnsiTheme="majorHAnsi" w:cstheme="majorBidi"/>
        </w:rPr>
      </w:pPr>
      <w:r w:rsidRPr="62920468">
        <w:rPr>
          <w:rFonts w:asciiTheme="majorHAnsi" w:hAnsiTheme="majorHAnsi" w:cstheme="majorBidi"/>
        </w:rPr>
        <w:t>SV’s IT capability was enhanced in 202</w:t>
      </w:r>
      <w:r w:rsidR="00636629" w:rsidRPr="62920468">
        <w:rPr>
          <w:rFonts w:asciiTheme="majorHAnsi" w:hAnsiTheme="majorHAnsi" w:cstheme="majorBidi"/>
        </w:rPr>
        <w:t>3</w:t>
      </w:r>
      <w:r w:rsidRPr="62920468">
        <w:rPr>
          <w:rFonts w:asciiTheme="majorHAnsi" w:hAnsiTheme="majorHAnsi" w:cstheme="majorBidi"/>
        </w:rPr>
        <w:t>–2</w:t>
      </w:r>
      <w:r w:rsidR="00636629" w:rsidRPr="62920468">
        <w:rPr>
          <w:rFonts w:asciiTheme="majorHAnsi" w:hAnsiTheme="majorHAnsi" w:cstheme="majorBidi"/>
        </w:rPr>
        <w:t>4</w:t>
      </w:r>
      <w:r w:rsidRPr="62920468">
        <w:rPr>
          <w:rFonts w:asciiTheme="majorHAnsi" w:hAnsiTheme="majorHAnsi" w:cstheme="majorBidi"/>
        </w:rPr>
        <w:t xml:space="preserve"> through:</w:t>
      </w:r>
    </w:p>
    <w:p w14:paraId="788E26FC" w14:textId="37520ECC" w:rsidR="0F20E9F4" w:rsidRPr="002E4B2B" w:rsidRDefault="0F20E9F4" w:rsidP="00C356CE">
      <w:pPr>
        <w:pStyle w:val="ListBullet"/>
        <w:numPr>
          <w:ilvl w:val="0"/>
          <w:numId w:val="1"/>
        </w:numPr>
        <w:spacing w:after="120" w:line="259" w:lineRule="auto"/>
        <w:rPr>
          <w:rFonts w:asciiTheme="majorHAnsi" w:hAnsiTheme="majorHAnsi" w:cstheme="majorHAnsi"/>
        </w:rPr>
      </w:pPr>
      <w:r w:rsidRPr="002E4B2B">
        <w:rPr>
          <w:rFonts w:asciiTheme="majorHAnsi" w:hAnsiTheme="majorHAnsi" w:cstheme="majorHAnsi"/>
        </w:rPr>
        <w:t>establish</w:t>
      </w:r>
      <w:r w:rsidR="001B6CE3">
        <w:rPr>
          <w:rFonts w:asciiTheme="majorHAnsi" w:hAnsiTheme="majorHAnsi" w:cstheme="majorHAnsi"/>
        </w:rPr>
        <w:t xml:space="preserve">ing </w:t>
      </w:r>
      <w:r w:rsidRPr="002E4B2B">
        <w:rPr>
          <w:rFonts w:asciiTheme="majorHAnsi" w:hAnsiTheme="majorHAnsi" w:cstheme="majorHAnsi"/>
        </w:rPr>
        <w:t>an enterprise data architecture and platform to modernise our approach to data management</w:t>
      </w:r>
    </w:p>
    <w:p w14:paraId="796538EC" w14:textId="24AA620C" w:rsidR="0F20E9F4" w:rsidRPr="002E4B2B" w:rsidRDefault="00D509F9" w:rsidP="00C356CE">
      <w:pPr>
        <w:pStyle w:val="ListBullet"/>
        <w:numPr>
          <w:ilvl w:val="0"/>
          <w:numId w:val="1"/>
        </w:numPr>
        <w:spacing w:after="120" w:line="259" w:lineRule="auto"/>
        <w:rPr>
          <w:rFonts w:asciiTheme="majorHAnsi" w:hAnsiTheme="majorHAnsi" w:cstheme="majorHAnsi"/>
        </w:rPr>
      </w:pPr>
      <w:r>
        <w:rPr>
          <w:rFonts w:asciiTheme="majorHAnsi" w:hAnsiTheme="majorHAnsi" w:cstheme="majorHAnsi"/>
        </w:rPr>
        <w:t>pilot</w:t>
      </w:r>
      <w:r w:rsidR="001B6CE3">
        <w:rPr>
          <w:rFonts w:asciiTheme="majorHAnsi" w:hAnsiTheme="majorHAnsi" w:cstheme="majorHAnsi"/>
        </w:rPr>
        <w:t xml:space="preserve">ing </w:t>
      </w:r>
      <w:r w:rsidR="0F20E9F4" w:rsidRPr="002E4B2B">
        <w:rPr>
          <w:rFonts w:asciiTheme="majorHAnsi" w:hAnsiTheme="majorHAnsi" w:cstheme="majorHAnsi"/>
        </w:rPr>
        <w:t>modern AI-based productivity tools to support staff in offloading low-value, manual tasks</w:t>
      </w:r>
    </w:p>
    <w:p w14:paraId="14BE4153" w14:textId="3589B6BD" w:rsidR="0F20E9F4" w:rsidRPr="002E4B2B" w:rsidRDefault="0F20E9F4" w:rsidP="00C356CE">
      <w:pPr>
        <w:pStyle w:val="ListBullet"/>
        <w:numPr>
          <w:ilvl w:val="0"/>
          <w:numId w:val="1"/>
        </w:numPr>
        <w:spacing w:after="120" w:line="259" w:lineRule="auto"/>
        <w:rPr>
          <w:rFonts w:asciiTheme="majorHAnsi" w:hAnsiTheme="majorHAnsi" w:cstheme="majorHAnsi"/>
        </w:rPr>
      </w:pPr>
      <w:r w:rsidRPr="002E4B2B">
        <w:rPr>
          <w:rFonts w:asciiTheme="majorHAnsi" w:hAnsiTheme="majorHAnsi" w:cstheme="majorHAnsi"/>
        </w:rPr>
        <w:t>develop</w:t>
      </w:r>
      <w:r w:rsidR="001B6CE3">
        <w:rPr>
          <w:rFonts w:asciiTheme="majorHAnsi" w:hAnsiTheme="majorHAnsi" w:cstheme="majorHAnsi"/>
        </w:rPr>
        <w:t xml:space="preserve">ing </w:t>
      </w:r>
      <w:r w:rsidRPr="002E4B2B">
        <w:rPr>
          <w:rFonts w:asciiTheme="majorHAnsi" w:hAnsiTheme="majorHAnsi" w:cstheme="majorHAnsi"/>
        </w:rPr>
        <w:t>business process automation solutions to digitise key processes such as on</w:t>
      </w:r>
      <w:r w:rsidR="008D0835">
        <w:rPr>
          <w:rFonts w:asciiTheme="majorHAnsi" w:hAnsiTheme="majorHAnsi" w:cstheme="majorHAnsi"/>
        </w:rPr>
        <w:t>boarding</w:t>
      </w:r>
      <w:r w:rsidRPr="002E4B2B">
        <w:rPr>
          <w:rFonts w:asciiTheme="majorHAnsi" w:hAnsiTheme="majorHAnsi" w:cstheme="majorHAnsi"/>
        </w:rPr>
        <w:t xml:space="preserve"> and recruitment</w:t>
      </w:r>
    </w:p>
    <w:p w14:paraId="2B7CECED" w14:textId="269B5A2B" w:rsidR="008D1272" w:rsidRPr="002E4B2B" w:rsidRDefault="00DD12B8" w:rsidP="00C356CE">
      <w:pPr>
        <w:pStyle w:val="ListBullet"/>
        <w:numPr>
          <w:ilvl w:val="0"/>
          <w:numId w:val="1"/>
        </w:numPr>
        <w:spacing w:after="120" w:line="259" w:lineRule="auto"/>
        <w:rPr>
          <w:rFonts w:asciiTheme="majorHAnsi" w:hAnsiTheme="majorHAnsi" w:cstheme="majorHAnsi"/>
        </w:rPr>
      </w:pPr>
      <w:r>
        <w:rPr>
          <w:rFonts w:asciiTheme="majorHAnsi" w:hAnsiTheme="majorHAnsi" w:cstheme="majorHAnsi"/>
        </w:rPr>
        <w:t>l</w:t>
      </w:r>
      <w:r w:rsidR="00D509F9">
        <w:rPr>
          <w:rFonts w:asciiTheme="majorHAnsi" w:hAnsiTheme="majorHAnsi" w:cstheme="majorHAnsi"/>
        </w:rPr>
        <w:t>aunch</w:t>
      </w:r>
      <w:r w:rsidR="001B6CE3">
        <w:rPr>
          <w:rFonts w:asciiTheme="majorHAnsi" w:hAnsiTheme="majorHAnsi" w:cstheme="majorHAnsi"/>
        </w:rPr>
        <w:t>ing o</w:t>
      </w:r>
      <w:r w:rsidR="00DA63C8" w:rsidRPr="002E4B2B">
        <w:rPr>
          <w:rFonts w:asciiTheme="majorHAnsi" w:hAnsiTheme="majorHAnsi" w:cstheme="majorHAnsi"/>
        </w:rPr>
        <w:t>ur</w:t>
      </w:r>
      <w:r w:rsidR="000D1BBC" w:rsidRPr="002E4B2B">
        <w:rPr>
          <w:rFonts w:asciiTheme="majorHAnsi" w:hAnsiTheme="majorHAnsi" w:cstheme="majorHAnsi"/>
        </w:rPr>
        <w:t xml:space="preserve"> new </w:t>
      </w:r>
      <w:r w:rsidR="00D67242">
        <w:rPr>
          <w:rFonts w:asciiTheme="majorHAnsi" w:hAnsiTheme="majorHAnsi" w:cstheme="majorHAnsi"/>
        </w:rPr>
        <w:t>human resources</w:t>
      </w:r>
      <w:r w:rsidR="000D1BBC" w:rsidRPr="002E4B2B">
        <w:rPr>
          <w:rFonts w:asciiTheme="majorHAnsi" w:hAnsiTheme="majorHAnsi" w:cstheme="majorHAnsi"/>
        </w:rPr>
        <w:t xml:space="preserve"> </w:t>
      </w:r>
      <w:r w:rsidR="000A1D7F" w:rsidRPr="002E4B2B">
        <w:rPr>
          <w:rFonts w:asciiTheme="majorHAnsi" w:hAnsiTheme="majorHAnsi" w:cstheme="majorHAnsi"/>
        </w:rPr>
        <w:t xml:space="preserve">performance planning </w:t>
      </w:r>
      <w:r w:rsidR="00080321" w:rsidRPr="002E4B2B">
        <w:rPr>
          <w:rFonts w:asciiTheme="majorHAnsi" w:hAnsiTheme="majorHAnsi" w:cstheme="majorHAnsi"/>
        </w:rPr>
        <w:t>module</w:t>
      </w:r>
      <w:r w:rsidR="00DC6196" w:rsidRPr="002E4B2B">
        <w:rPr>
          <w:rFonts w:asciiTheme="majorHAnsi" w:hAnsiTheme="majorHAnsi" w:cstheme="majorHAnsi"/>
        </w:rPr>
        <w:t xml:space="preserve"> to streamline </w:t>
      </w:r>
      <w:r w:rsidR="0050535F" w:rsidRPr="002E4B2B">
        <w:rPr>
          <w:rFonts w:asciiTheme="majorHAnsi" w:hAnsiTheme="majorHAnsi" w:cstheme="majorHAnsi"/>
        </w:rPr>
        <w:t>staff experience</w:t>
      </w:r>
    </w:p>
    <w:p w14:paraId="07974EA4" w14:textId="70396864" w:rsidR="0F20E9F4" w:rsidRPr="002E4B2B" w:rsidRDefault="0F20E9F4" w:rsidP="00C356CE">
      <w:pPr>
        <w:pStyle w:val="ListBullet"/>
        <w:numPr>
          <w:ilvl w:val="0"/>
          <w:numId w:val="1"/>
        </w:numPr>
        <w:spacing w:after="120" w:line="259" w:lineRule="auto"/>
        <w:rPr>
          <w:rFonts w:asciiTheme="majorHAnsi" w:hAnsiTheme="majorHAnsi" w:cstheme="majorHAnsi"/>
        </w:rPr>
      </w:pPr>
      <w:r w:rsidRPr="002E4B2B">
        <w:rPr>
          <w:rFonts w:asciiTheme="majorHAnsi" w:hAnsiTheme="majorHAnsi" w:cstheme="majorHAnsi"/>
        </w:rPr>
        <w:t>continu</w:t>
      </w:r>
      <w:r w:rsidR="001B6CE3">
        <w:rPr>
          <w:rFonts w:asciiTheme="majorHAnsi" w:hAnsiTheme="majorHAnsi" w:cstheme="majorHAnsi"/>
        </w:rPr>
        <w:t xml:space="preserve">ing </w:t>
      </w:r>
      <w:r w:rsidRPr="002E4B2B">
        <w:rPr>
          <w:rFonts w:asciiTheme="majorHAnsi" w:hAnsiTheme="majorHAnsi" w:cstheme="majorHAnsi"/>
        </w:rPr>
        <w:t>investment in process improvements, training materials and usability enhancements relating to our Customer Relationship Management platform to better serve our stakeholders</w:t>
      </w:r>
    </w:p>
    <w:p w14:paraId="32C30536" w14:textId="2DEE1C70" w:rsidR="0F20E9F4" w:rsidRPr="002E4B2B" w:rsidRDefault="0F20E9F4" w:rsidP="00C356CE">
      <w:pPr>
        <w:pStyle w:val="ListBullet"/>
        <w:numPr>
          <w:ilvl w:val="0"/>
          <w:numId w:val="1"/>
        </w:numPr>
        <w:spacing w:after="120" w:line="259" w:lineRule="auto"/>
        <w:rPr>
          <w:rFonts w:asciiTheme="majorHAnsi" w:hAnsiTheme="majorHAnsi" w:cstheme="majorHAnsi"/>
        </w:rPr>
      </w:pPr>
      <w:r w:rsidRPr="002E4B2B">
        <w:rPr>
          <w:rFonts w:asciiTheme="majorHAnsi" w:hAnsiTheme="majorHAnsi" w:cstheme="majorHAnsi"/>
        </w:rPr>
        <w:t>decommission</w:t>
      </w:r>
      <w:r w:rsidR="00AE45FE">
        <w:rPr>
          <w:rFonts w:asciiTheme="majorHAnsi" w:hAnsiTheme="majorHAnsi" w:cstheme="majorHAnsi"/>
        </w:rPr>
        <w:t xml:space="preserve">ing </w:t>
      </w:r>
      <w:r w:rsidRPr="002E4B2B">
        <w:rPr>
          <w:rFonts w:asciiTheme="majorHAnsi" w:hAnsiTheme="majorHAnsi" w:cstheme="majorHAnsi"/>
        </w:rPr>
        <w:t>legacy architecture solutions to reduce complexity of our technology estate</w:t>
      </w:r>
    </w:p>
    <w:p w14:paraId="172D3191" w14:textId="2FBF2DE8" w:rsidR="0F20E9F4" w:rsidRPr="002E4B2B" w:rsidRDefault="0F20E9F4" w:rsidP="00C356CE">
      <w:pPr>
        <w:pStyle w:val="ListBullet"/>
        <w:numPr>
          <w:ilvl w:val="0"/>
          <w:numId w:val="1"/>
        </w:numPr>
        <w:spacing w:after="120" w:line="259" w:lineRule="auto"/>
        <w:rPr>
          <w:rFonts w:asciiTheme="majorHAnsi" w:hAnsiTheme="majorHAnsi" w:cstheme="majorHAnsi"/>
        </w:rPr>
      </w:pPr>
      <w:r w:rsidRPr="002E4B2B">
        <w:rPr>
          <w:rFonts w:asciiTheme="majorHAnsi" w:hAnsiTheme="majorHAnsi" w:cstheme="majorHAnsi"/>
        </w:rPr>
        <w:t>updat</w:t>
      </w:r>
      <w:r w:rsidR="00AE45FE">
        <w:rPr>
          <w:rFonts w:asciiTheme="majorHAnsi" w:hAnsiTheme="majorHAnsi" w:cstheme="majorHAnsi"/>
        </w:rPr>
        <w:t xml:space="preserve">ing </w:t>
      </w:r>
      <w:r w:rsidRPr="002E4B2B">
        <w:rPr>
          <w:rFonts w:asciiTheme="majorHAnsi" w:hAnsiTheme="majorHAnsi" w:cstheme="majorHAnsi"/>
        </w:rPr>
        <w:t xml:space="preserve">in-office </w:t>
      </w:r>
      <w:r w:rsidR="00D67242">
        <w:rPr>
          <w:rFonts w:asciiTheme="majorHAnsi" w:hAnsiTheme="majorHAnsi" w:cstheme="majorHAnsi"/>
        </w:rPr>
        <w:t>audiovisual</w:t>
      </w:r>
      <w:r w:rsidRPr="002E4B2B">
        <w:rPr>
          <w:rFonts w:asciiTheme="majorHAnsi" w:hAnsiTheme="majorHAnsi" w:cstheme="majorHAnsi"/>
        </w:rPr>
        <w:t xml:space="preserve"> services to continuously improve our in-office hybrid working experience</w:t>
      </w:r>
    </w:p>
    <w:p w14:paraId="54B00AFD" w14:textId="4033BCCC" w:rsidR="0F20E9F4" w:rsidRPr="002E4B2B" w:rsidRDefault="0F20E9F4" w:rsidP="00C356CE">
      <w:pPr>
        <w:pStyle w:val="ListBullet"/>
        <w:numPr>
          <w:ilvl w:val="0"/>
          <w:numId w:val="1"/>
        </w:numPr>
        <w:spacing w:after="120" w:line="259" w:lineRule="auto"/>
        <w:rPr>
          <w:rFonts w:asciiTheme="majorHAnsi" w:hAnsiTheme="majorHAnsi" w:cstheme="majorHAnsi"/>
        </w:rPr>
      </w:pPr>
      <w:r w:rsidRPr="002E4B2B">
        <w:rPr>
          <w:rFonts w:asciiTheme="majorHAnsi" w:hAnsiTheme="majorHAnsi" w:cstheme="majorHAnsi"/>
        </w:rPr>
        <w:t>continu</w:t>
      </w:r>
      <w:r w:rsidR="00AE45FE">
        <w:rPr>
          <w:rFonts w:asciiTheme="majorHAnsi" w:hAnsiTheme="majorHAnsi" w:cstheme="majorHAnsi"/>
        </w:rPr>
        <w:t xml:space="preserve">ing </w:t>
      </w:r>
      <w:r w:rsidRPr="002E4B2B">
        <w:rPr>
          <w:rFonts w:asciiTheme="majorHAnsi" w:hAnsiTheme="majorHAnsi" w:cstheme="majorHAnsi"/>
        </w:rPr>
        <w:t>investment in increasing our information security maturity levels in accordance with the Essential 8 framework</w:t>
      </w:r>
    </w:p>
    <w:p w14:paraId="64AB419E" w14:textId="3874DD03" w:rsidR="256DE4E1" w:rsidRPr="002E4B2B" w:rsidRDefault="00AE45FE" w:rsidP="00C356CE">
      <w:pPr>
        <w:pStyle w:val="ListBullet"/>
        <w:numPr>
          <w:ilvl w:val="0"/>
          <w:numId w:val="1"/>
        </w:numPr>
        <w:spacing w:after="120" w:line="259" w:lineRule="auto"/>
        <w:rPr>
          <w:rFonts w:asciiTheme="majorHAnsi" w:hAnsiTheme="majorHAnsi" w:cstheme="majorHAnsi"/>
        </w:rPr>
      </w:pPr>
      <w:r>
        <w:rPr>
          <w:rFonts w:asciiTheme="majorHAnsi" w:hAnsiTheme="majorHAnsi" w:cstheme="majorHAnsi"/>
        </w:rPr>
        <w:t>continuing to</w:t>
      </w:r>
      <w:r w:rsidRPr="002E4B2B">
        <w:rPr>
          <w:rFonts w:asciiTheme="majorHAnsi" w:hAnsiTheme="majorHAnsi" w:cstheme="majorHAnsi"/>
        </w:rPr>
        <w:t xml:space="preserve"> </w:t>
      </w:r>
      <w:r w:rsidR="0F20E9F4" w:rsidRPr="002E4B2B">
        <w:rPr>
          <w:rFonts w:asciiTheme="majorHAnsi" w:hAnsiTheme="majorHAnsi" w:cstheme="majorHAnsi"/>
        </w:rPr>
        <w:t>implement</w:t>
      </w:r>
      <w:r>
        <w:rPr>
          <w:rFonts w:asciiTheme="majorHAnsi" w:hAnsiTheme="majorHAnsi" w:cstheme="majorHAnsi"/>
        </w:rPr>
        <w:t xml:space="preserve"> </w:t>
      </w:r>
      <w:r w:rsidR="0F20E9F4" w:rsidRPr="002E4B2B">
        <w:rPr>
          <w:rFonts w:asciiTheme="majorHAnsi" w:hAnsiTheme="majorHAnsi" w:cstheme="majorHAnsi"/>
        </w:rPr>
        <w:t>recommendations from the Cyber Hygiene Improvement Program.</w:t>
      </w:r>
    </w:p>
    <w:p w14:paraId="47D8C230" w14:textId="77777777" w:rsidR="003A694A" w:rsidRPr="0012521E" w:rsidRDefault="003A694A" w:rsidP="003A694A">
      <w:pPr>
        <w:pStyle w:val="Heading2"/>
      </w:pPr>
      <w:bookmarkStart w:id="231" w:name="_Toc56627349"/>
      <w:bookmarkStart w:id="232" w:name="_Toc57039884"/>
      <w:bookmarkStart w:id="233" w:name="_Ref84946370"/>
      <w:bookmarkStart w:id="234" w:name="_Ref141114348"/>
      <w:bookmarkStart w:id="235" w:name="_Toc144884464"/>
      <w:bookmarkStart w:id="236" w:name="_Toc166585754"/>
      <w:bookmarkEnd w:id="229"/>
      <w:r w:rsidRPr="0012521E">
        <w:t>Major contracts</w:t>
      </w:r>
      <w:bookmarkEnd w:id="231"/>
      <w:bookmarkEnd w:id="232"/>
      <w:bookmarkEnd w:id="233"/>
      <w:bookmarkEnd w:id="234"/>
      <w:bookmarkEnd w:id="235"/>
      <w:bookmarkEnd w:id="236"/>
    </w:p>
    <w:p w14:paraId="619E7DC8" w14:textId="1C70C996" w:rsidR="003A694A" w:rsidRPr="0012521E" w:rsidRDefault="003A694A" w:rsidP="003A694A">
      <w:pPr>
        <w:rPr>
          <w:rFonts w:asciiTheme="majorHAnsi" w:hAnsiTheme="majorHAnsi" w:cstheme="majorHAnsi"/>
        </w:rPr>
      </w:pPr>
      <w:r w:rsidRPr="0012521E">
        <w:rPr>
          <w:rFonts w:asciiTheme="majorHAnsi" w:hAnsiTheme="majorHAnsi" w:cstheme="majorHAnsi"/>
        </w:rPr>
        <w:t>A ‘major contract’ is a contract entered into during the reporting period valued at $10 million or more. SV did not award any major contracts during 202</w:t>
      </w:r>
      <w:r w:rsidR="00636629" w:rsidRPr="0012521E">
        <w:rPr>
          <w:rFonts w:asciiTheme="majorHAnsi" w:hAnsiTheme="majorHAnsi" w:cstheme="majorHAnsi"/>
        </w:rPr>
        <w:t>3</w:t>
      </w:r>
      <w:r w:rsidRPr="0012521E">
        <w:rPr>
          <w:rFonts w:asciiTheme="majorHAnsi" w:hAnsiTheme="majorHAnsi" w:cstheme="majorHAnsi"/>
        </w:rPr>
        <w:t>–2</w:t>
      </w:r>
      <w:r w:rsidR="00636629" w:rsidRPr="0012521E">
        <w:rPr>
          <w:rFonts w:asciiTheme="majorHAnsi" w:hAnsiTheme="majorHAnsi" w:cstheme="majorHAnsi"/>
        </w:rPr>
        <w:t>4</w:t>
      </w:r>
      <w:r w:rsidRPr="0012521E">
        <w:rPr>
          <w:rFonts w:asciiTheme="majorHAnsi" w:hAnsiTheme="majorHAnsi" w:cstheme="majorHAnsi"/>
        </w:rPr>
        <w:t>.</w:t>
      </w:r>
    </w:p>
    <w:p w14:paraId="184C5366" w14:textId="77777777" w:rsidR="003A694A" w:rsidRPr="0012521E" w:rsidRDefault="003A694A" w:rsidP="003A694A">
      <w:pPr>
        <w:pStyle w:val="Heading2"/>
      </w:pPr>
      <w:bookmarkStart w:id="237" w:name="_Toc57039885"/>
      <w:bookmarkStart w:id="238" w:name="_Toc56627350"/>
      <w:bookmarkStart w:id="239" w:name="_Ref85023015"/>
      <w:bookmarkStart w:id="240" w:name="_Ref139545339"/>
      <w:bookmarkStart w:id="241" w:name="_Ref139545541"/>
      <w:bookmarkStart w:id="242" w:name="_Toc144884465"/>
      <w:bookmarkStart w:id="243" w:name="_Toc166585755"/>
      <w:r w:rsidRPr="0012521E">
        <w:t>Freedom of information</w:t>
      </w:r>
      <w:bookmarkEnd w:id="237"/>
      <w:bookmarkEnd w:id="238"/>
      <w:bookmarkEnd w:id="239"/>
      <w:bookmarkEnd w:id="240"/>
      <w:bookmarkEnd w:id="241"/>
      <w:bookmarkEnd w:id="242"/>
      <w:bookmarkEnd w:id="243"/>
    </w:p>
    <w:p w14:paraId="43283F8E"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 xml:space="preserve">The </w:t>
      </w:r>
      <w:r w:rsidRPr="0012521E">
        <w:rPr>
          <w:rFonts w:asciiTheme="majorHAnsi" w:hAnsiTheme="majorHAnsi" w:cstheme="majorHAnsi"/>
          <w:i/>
        </w:rPr>
        <w:t>Freedom of Information Act 1982</w:t>
      </w:r>
      <w:r w:rsidRPr="0012521E">
        <w:rPr>
          <w:rFonts w:asciiTheme="majorHAnsi" w:hAnsiTheme="majorHAnsi" w:cstheme="majorHAnsi"/>
        </w:rPr>
        <w:t xml:space="preserve"> (the FOI Act) allows the public a right of access to documents held by SV. The purpose of the FOI Act is to extend as far as possible the right of the community to </w:t>
      </w:r>
      <w:r w:rsidRPr="0012521E">
        <w:rPr>
          <w:rFonts w:asciiTheme="majorHAnsi" w:hAnsiTheme="majorHAnsi" w:cstheme="majorHAnsi"/>
        </w:rPr>
        <w:lastRenderedPageBreak/>
        <w:t>access information held by government departments, local councils, ministers and other bodies subject to the FOI Act.</w:t>
      </w:r>
    </w:p>
    <w:p w14:paraId="7A1AF9B5"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An applicant has a right to apply for access to documents held by SV. This includes documents both created by SV or supplied to SV by an external organisation or individual, and may also include maps, films, microfiche, photographs, computer printouts, computer discs, tape recordings and videotapes.</w:t>
      </w:r>
    </w:p>
    <w:p w14:paraId="77EA8DC3"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The FOI Act allows SV to refuse access, either fully or partially, to certain documents or information. Examples of documents that may not be accessed include:</w:t>
      </w:r>
    </w:p>
    <w:p w14:paraId="7C4D592A" w14:textId="7777777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cabinet documents</w:t>
      </w:r>
    </w:p>
    <w:p w14:paraId="3E628CAE" w14:textId="7777777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some internal working documents</w:t>
      </w:r>
    </w:p>
    <w:p w14:paraId="65BBC2C1" w14:textId="7777777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law enforcement documents</w:t>
      </w:r>
    </w:p>
    <w:p w14:paraId="6F2B5441" w14:textId="7777777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documents covered by legal professional privilege, such as legal advice</w:t>
      </w:r>
    </w:p>
    <w:p w14:paraId="6C4C4243" w14:textId="7777777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personal information about other people</w:t>
      </w:r>
    </w:p>
    <w:p w14:paraId="4496FFE6" w14:textId="7777777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information provided to us in confidence</w:t>
      </w:r>
    </w:p>
    <w:p w14:paraId="6FE3E242" w14:textId="7777777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information that is confidential under another Act.</w:t>
      </w:r>
    </w:p>
    <w:p w14:paraId="146BF7AA"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Under the FOI Act, the allowable processing time for FOI requests is 30 days. However, when external consultation is required, the processing time is 45 days. Processing time may also be extended by periods of 30 days, in consultation with the applicant. With the applicant’s agreement, this may occur any number of times. However, obtaining an applicant’s agreement for an extension cannot occur after the expiry of the timeframe for deciding a request.</w:t>
      </w:r>
    </w:p>
    <w:p w14:paraId="0D08E7A3" w14:textId="77777777" w:rsidR="003A694A" w:rsidRPr="0012521E" w:rsidRDefault="003A694A" w:rsidP="00105389">
      <w:pPr>
        <w:pStyle w:val="Body"/>
      </w:pPr>
      <w:r w:rsidRPr="00C75D63">
        <w:t>If an applicant is not satisfied with a decision made by us, under section 49A of the FOI Act, they have the right to seek a review by the Office of the Victorian Information Commissioner (OVIC) within 28 days of receiving a decision letter.</w:t>
      </w:r>
    </w:p>
    <w:p w14:paraId="29AB1881" w14:textId="77777777" w:rsidR="003A694A" w:rsidRPr="0012521E" w:rsidRDefault="003A694A" w:rsidP="00126908">
      <w:pPr>
        <w:pStyle w:val="Heading3"/>
      </w:pPr>
      <w:bookmarkStart w:id="244" w:name="_Toc144884466"/>
      <w:bookmarkStart w:id="245" w:name="_Toc166585756"/>
      <w:r w:rsidRPr="0012521E">
        <w:t>Making a request</w:t>
      </w:r>
      <w:bookmarkEnd w:id="244"/>
      <w:bookmarkEnd w:id="245"/>
    </w:p>
    <w:p w14:paraId="23D7E0DC" w14:textId="1EA72B19" w:rsidR="003A694A" w:rsidRPr="0012521E" w:rsidRDefault="003A694A" w:rsidP="003A694A">
      <w:pPr>
        <w:rPr>
          <w:rFonts w:asciiTheme="majorHAnsi" w:hAnsiTheme="majorHAnsi" w:cstheme="majorHAnsi"/>
        </w:rPr>
      </w:pPr>
      <w:r w:rsidRPr="0012521E">
        <w:rPr>
          <w:rFonts w:asciiTheme="majorHAnsi" w:hAnsiTheme="majorHAnsi" w:cstheme="majorHAnsi"/>
        </w:rPr>
        <w:t xml:space="preserve">FOI requests can be lodged online at </w:t>
      </w:r>
      <w:hyperlink r:id="rId57">
        <w:r w:rsidRPr="0012521E">
          <w:rPr>
            <w:rStyle w:val="Hyperlink"/>
            <w:rFonts w:asciiTheme="majorHAnsi" w:hAnsiTheme="majorHAnsi" w:cstheme="majorHAnsi"/>
          </w:rPr>
          <w:t>ovic.vic.gov.au</w:t>
        </w:r>
      </w:hyperlink>
      <w:r w:rsidRPr="0012521E">
        <w:rPr>
          <w:rFonts w:asciiTheme="majorHAnsi" w:hAnsiTheme="majorHAnsi" w:cstheme="majorHAnsi"/>
        </w:rPr>
        <w:t xml:space="preserve">. An application fee </w:t>
      </w:r>
      <w:r w:rsidRPr="006737CB">
        <w:rPr>
          <w:rFonts w:asciiTheme="majorHAnsi" w:hAnsiTheme="majorHAnsi" w:cstheme="majorHAnsi"/>
        </w:rPr>
        <w:t xml:space="preserve">of </w:t>
      </w:r>
      <w:r w:rsidRPr="006A60FF">
        <w:rPr>
          <w:rFonts w:asciiTheme="majorHAnsi" w:hAnsiTheme="majorHAnsi" w:cstheme="majorHAnsi"/>
          <w:color w:val="auto"/>
        </w:rPr>
        <w:t>$3</w:t>
      </w:r>
      <w:r w:rsidR="00322FF5" w:rsidRPr="006A60FF">
        <w:rPr>
          <w:rFonts w:asciiTheme="majorHAnsi" w:hAnsiTheme="majorHAnsi" w:cstheme="majorHAnsi"/>
          <w:color w:val="auto"/>
        </w:rPr>
        <w:t>2</w:t>
      </w:r>
      <w:r w:rsidRPr="006A60FF">
        <w:rPr>
          <w:rFonts w:asciiTheme="majorHAnsi" w:hAnsiTheme="majorHAnsi" w:cstheme="majorHAnsi"/>
          <w:color w:val="auto"/>
        </w:rPr>
        <w:t>.</w:t>
      </w:r>
      <w:r w:rsidR="00322FF5" w:rsidRPr="006A60FF">
        <w:rPr>
          <w:rFonts w:asciiTheme="majorHAnsi" w:hAnsiTheme="majorHAnsi" w:cstheme="majorHAnsi"/>
          <w:color w:val="auto"/>
        </w:rPr>
        <w:t>7</w:t>
      </w:r>
      <w:r w:rsidRPr="006A60FF">
        <w:rPr>
          <w:rFonts w:asciiTheme="majorHAnsi" w:hAnsiTheme="majorHAnsi" w:cstheme="majorHAnsi"/>
          <w:color w:val="auto"/>
        </w:rPr>
        <w:t xml:space="preserve">0 </w:t>
      </w:r>
      <w:r w:rsidRPr="006A60FF">
        <w:rPr>
          <w:rFonts w:asciiTheme="majorHAnsi" w:hAnsiTheme="majorHAnsi" w:cstheme="majorHAnsi"/>
        </w:rPr>
        <w:t>applies.</w:t>
      </w:r>
      <w:r w:rsidRPr="006737CB">
        <w:rPr>
          <w:rFonts w:asciiTheme="majorHAnsi" w:hAnsiTheme="majorHAnsi" w:cstheme="majorHAnsi"/>
        </w:rPr>
        <w:t xml:space="preserve"> Access</w:t>
      </w:r>
      <w:r w:rsidRPr="0012521E">
        <w:rPr>
          <w:rFonts w:asciiTheme="majorHAnsi" w:hAnsiTheme="majorHAnsi" w:cstheme="majorHAnsi"/>
        </w:rPr>
        <w:t xml:space="preserve"> charges may also be payable if the document pool is large and the search for material time consuming.</w:t>
      </w:r>
    </w:p>
    <w:p w14:paraId="2BDA2327" w14:textId="2A7C4387" w:rsidR="003A694A" w:rsidRPr="0012521E" w:rsidRDefault="003A694A" w:rsidP="003A694A">
      <w:pPr>
        <w:rPr>
          <w:rFonts w:asciiTheme="majorHAnsi" w:hAnsiTheme="majorHAnsi" w:cstheme="majorBidi"/>
        </w:rPr>
      </w:pPr>
      <w:r w:rsidRPr="6B8A8730">
        <w:rPr>
          <w:rFonts w:asciiTheme="majorHAnsi" w:hAnsiTheme="majorHAnsi" w:cstheme="majorBidi"/>
        </w:rPr>
        <w:t xml:space="preserve">Access to documents can also be obtained through a written request to SV’s Freedom of Information Officer, as detailed in s17 of the </w:t>
      </w:r>
      <w:r w:rsidR="6B0A09FB" w:rsidRPr="6B8A8730">
        <w:rPr>
          <w:rFonts w:asciiTheme="majorHAnsi" w:hAnsiTheme="majorHAnsi" w:cstheme="majorBidi"/>
        </w:rPr>
        <w:t xml:space="preserve">FOI </w:t>
      </w:r>
      <w:r w:rsidRPr="6B8A8730">
        <w:rPr>
          <w:rFonts w:asciiTheme="majorHAnsi" w:hAnsiTheme="majorHAnsi" w:cstheme="majorBidi"/>
        </w:rPr>
        <w:t>Act.</w:t>
      </w:r>
    </w:p>
    <w:p w14:paraId="6A8350BA"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When making an FOI request, applicants should ensure requests are in writing, and clearly identify what types of material/documents are being sought.</w:t>
      </w:r>
    </w:p>
    <w:p w14:paraId="4ABCED4D"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Requests for documents in the possession of SV should be addressed to:</w:t>
      </w:r>
    </w:p>
    <w:p w14:paraId="4CE874DE" w14:textId="77777777" w:rsidR="003A694A" w:rsidRPr="0012521E" w:rsidRDefault="003A694A" w:rsidP="003A694A">
      <w:pPr>
        <w:pStyle w:val="NoSpacing"/>
        <w:rPr>
          <w:rFonts w:asciiTheme="majorHAnsi" w:hAnsiTheme="majorHAnsi" w:cstheme="majorHAnsi"/>
        </w:rPr>
      </w:pPr>
      <w:r w:rsidRPr="0012521E">
        <w:rPr>
          <w:rFonts w:asciiTheme="majorHAnsi" w:hAnsiTheme="majorHAnsi" w:cstheme="majorHAnsi"/>
        </w:rPr>
        <w:t>Freedom of Information Officer</w:t>
      </w:r>
    </w:p>
    <w:p w14:paraId="0CD856F2" w14:textId="77777777" w:rsidR="003A694A" w:rsidRPr="0012521E" w:rsidRDefault="003A694A" w:rsidP="003A694A">
      <w:pPr>
        <w:pStyle w:val="NoSpacing"/>
        <w:rPr>
          <w:rFonts w:asciiTheme="majorHAnsi" w:hAnsiTheme="majorHAnsi" w:cstheme="majorHAnsi"/>
        </w:rPr>
      </w:pPr>
      <w:r w:rsidRPr="0012521E">
        <w:rPr>
          <w:rFonts w:asciiTheme="majorHAnsi" w:hAnsiTheme="majorHAnsi" w:cstheme="majorHAnsi"/>
        </w:rPr>
        <w:t>Sustainability Victoria</w:t>
      </w:r>
    </w:p>
    <w:p w14:paraId="628C43C6" w14:textId="77777777" w:rsidR="003A694A" w:rsidRPr="0012521E" w:rsidRDefault="003A694A" w:rsidP="003A694A">
      <w:pPr>
        <w:pStyle w:val="NoSpacing"/>
        <w:rPr>
          <w:rFonts w:asciiTheme="majorHAnsi" w:hAnsiTheme="majorHAnsi" w:cstheme="majorHAnsi"/>
        </w:rPr>
      </w:pPr>
      <w:r w:rsidRPr="0012521E">
        <w:rPr>
          <w:rFonts w:asciiTheme="majorHAnsi" w:hAnsiTheme="majorHAnsi" w:cstheme="majorHAnsi"/>
        </w:rPr>
        <w:t>Level 12, 321 Exhibition Street Melbourne Victoria 3000</w:t>
      </w:r>
    </w:p>
    <w:p w14:paraId="3A10F62C" w14:textId="77777777" w:rsidR="003A694A" w:rsidRPr="0012521E" w:rsidRDefault="003A694A" w:rsidP="003A694A">
      <w:pPr>
        <w:pStyle w:val="NoSpacing"/>
        <w:rPr>
          <w:rFonts w:asciiTheme="majorHAnsi" w:hAnsiTheme="majorHAnsi" w:cstheme="majorHAnsi"/>
        </w:rPr>
      </w:pPr>
      <w:r w:rsidRPr="0012521E">
        <w:rPr>
          <w:rFonts w:asciiTheme="majorHAnsi" w:hAnsiTheme="majorHAnsi" w:cstheme="majorHAnsi"/>
        </w:rPr>
        <w:t>Telephone (03) 8626 8700</w:t>
      </w:r>
    </w:p>
    <w:p w14:paraId="37C0B766" w14:textId="42676195" w:rsidR="003A694A" w:rsidRDefault="003A694A" w:rsidP="003A694A">
      <w:pPr>
        <w:pStyle w:val="NoSpacing"/>
        <w:rPr>
          <w:rFonts w:asciiTheme="majorHAnsi" w:hAnsiTheme="majorHAnsi" w:cstheme="majorHAnsi"/>
        </w:rPr>
      </w:pPr>
      <w:r w:rsidRPr="0012521E">
        <w:rPr>
          <w:rFonts w:asciiTheme="majorHAnsi" w:hAnsiTheme="majorHAnsi" w:cstheme="majorHAnsi"/>
        </w:rPr>
        <w:t xml:space="preserve">Email: </w:t>
      </w:r>
      <w:hyperlink r:id="rId58" w:history="1">
        <w:r w:rsidR="00EF1259" w:rsidRPr="004E6AAC">
          <w:rPr>
            <w:rStyle w:val="Hyperlink"/>
            <w:rFonts w:asciiTheme="majorHAnsi" w:hAnsiTheme="majorHAnsi" w:cstheme="majorHAnsi"/>
          </w:rPr>
          <w:t>FOI@sustainability.vic.gov.au</w:t>
        </w:r>
      </w:hyperlink>
    </w:p>
    <w:p w14:paraId="2B822A7E" w14:textId="77777777" w:rsidR="00EF1259" w:rsidRDefault="00EF1259" w:rsidP="003A694A">
      <w:pPr>
        <w:pStyle w:val="NoSpacing"/>
        <w:rPr>
          <w:rFonts w:asciiTheme="majorHAnsi" w:hAnsiTheme="majorHAnsi" w:cstheme="majorHAnsi"/>
        </w:rPr>
      </w:pPr>
    </w:p>
    <w:p w14:paraId="7FBDA587" w14:textId="77777777" w:rsidR="00EF1259" w:rsidRPr="0012521E" w:rsidRDefault="00EF1259" w:rsidP="003A694A">
      <w:pPr>
        <w:pStyle w:val="NoSpacing"/>
        <w:rPr>
          <w:rFonts w:asciiTheme="majorHAnsi" w:hAnsiTheme="majorHAnsi" w:cstheme="majorHAnsi"/>
        </w:rPr>
      </w:pPr>
    </w:p>
    <w:p w14:paraId="77488D7B" w14:textId="77777777" w:rsidR="003A694A" w:rsidRDefault="003A694A" w:rsidP="00126908">
      <w:pPr>
        <w:pStyle w:val="Heading3"/>
      </w:pPr>
      <w:bookmarkStart w:id="246" w:name="_Toc144884467"/>
      <w:bookmarkStart w:id="247" w:name="_Toc166585757"/>
      <w:r w:rsidRPr="0012521E">
        <w:t>FOI statistics/timeliness</w:t>
      </w:r>
      <w:bookmarkEnd w:id="246"/>
      <w:bookmarkEnd w:id="247"/>
    </w:p>
    <w:p w14:paraId="4E763106" w14:textId="641FF5BF" w:rsidR="003B4AB4" w:rsidRPr="004446B1" w:rsidRDefault="381CBF2B" w:rsidP="00105389">
      <w:pPr>
        <w:pStyle w:val="Body"/>
      </w:pPr>
      <w:bookmarkStart w:id="248" w:name="_Toc144884468"/>
      <w:bookmarkStart w:id="249" w:name="_Toc166585758"/>
      <w:r>
        <w:t>In</w:t>
      </w:r>
      <w:r w:rsidR="003B4AB4">
        <w:t xml:space="preserve"> 2023–24, SV received one FOI application by direct request from the </w:t>
      </w:r>
      <w:proofErr w:type="gramStart"/>
      <w:r w:rsidR="003B4AB4">
        <w:t>general public</w:t>
      </w:r>
      <w:proofErr w:type="gramEnd"/>
      <w:r w:rsidR="003B4AB4">
        <w:t xml:space="preserve"> and one request referred from </w:t>
      </w:r>
      <w:r w:rsidR="05AFF2E6">
        <w:t>DEECA</w:t>
      </w:r>
      <w:r w:rsidR="003B4AB4">
        <w:t xml:space="preserve"> from a </w:t>
      </w:r>
      <w:r w:rsidR="1C8CA2BC">
        <w:t>s</w:t>
      </w:r>
      <w:r w:rsidR="003B4AB4">
        <w:t xml:space="preserve">tate </w:t>
      </w:r>
      <w:r w:rsidR="0CE1330E">
        <w:t>m</w:t>
      </w:r>
      <w:r w:rsidR="003B4AB4">
        <w:t>ember of Parliament. For the first request, all 14 documents relevant to the request were released to the applicant. For the referred request, one document was located and SV decided to withhold the document from disclosure.</w:t>
      </w:r>
    </w:p>
    <w:p w14:paraId="27439F87" w14:textId="77777777" w:rsidR="003B4AB4" w:rsidRPr="004446B1" w:rsidRDefault="003B4AB4" w:rsidP="00105389">
      <w:pPr>
        <w:pStyle w:val="Body"/>
      </w:pPr>
      <w:r>
        <w:lastRenderedPageBreak/>
        <w:t>Both decisions were made within the statutory time frame of 30 days. The average time taken to finalise requests in 2023–24 was 30 days.</w:t>
      </w:r>
    </w:p>
    <w:p w14:paraId="684BCA8B" w14:textId="77777777" w:rsidR="003B4AB4" w:rsidRPr="0012521E" w:rsidRDefault="003B4AB4" w:rsidP="00105389">
      <w:pPr>
        <w:pStyle w:val="Body"/>
      </w:pPr>
      <w:r>
        <w:t xml:space="preserve">One request made during 2023–24 was subject to further review by OVIC. As </w:t>
      </w:r>
      <w:proofErr w:type="gramStart"/>
      <w:r>
        <w:t>at</w:t>
      </w:r>
      <w:proofErr w:type="gramEnd"/>
      <w:r>
        <w:t xml:space="preserve"> 30 June 2024, OVIC had not yet made a decision. No requests were subject to appeal to VCAT.</w:t>
      </w:r>
    </w:p>
    <w:p w14:paraId="23F285BD" w14:textId="77777777" w:rsidR="003A694A" w:rsidRPr="0012521E" w:rsidRDefault="003A694A" w:rsidP="00126908">
      <w:pPr>
        <w:pStyle w:val="Heading3"/>
      </w:pPr>
      <w:r w:rsidRPr="0012521E">
        <w:t>Further information</w:t>
      </w:r>
      <w:bookmarkEnd w:id="248"/>
      <w:bookmarkEnd w:id="249"/>
    </w:p>
    <w:p w14:paraId="2A0161C7" w14:textId="03F5CEE3" w:rsidR="003A694A" w:rsidRPr="0012521E" w:rsidRDefault="003A694A" w:rsidP="003A694A">
      <w:pPr>
        <w:rPr>
          <w:rFonts w:asciiTheme="majorHAnsi" w:hAnsiTheme="majorHAnsi" w:cstheme="majorBidi"/>
        </w:rPr>
      </w:pPr>
      <w:r w:rsidRPr="6B8A8730">
        <w:rPr>
          <w:rFonts w:asciiTheme="majorHAnsi" w:hAnsiTheme="majorHAnsi" w:cstheme="majorBidi"/>
        </w:rPr>
        <w:t xml:space="preserve">Further information </w:t>
      </w:r>
      <w:r w:rsidR="0B48B54F" w:rsidRPr="6B8A8730">
        <w:rPr>
          <w:rFonts w:asciiTheme="majorHAnsi" w:hAnsiTheme="majorHAnsi" w:cstheme="majorBidi"/>
        </w:rPr>
        <w:t>on</w:t>
      </w:r>
      <w:r w:rsidRPr="6B8A8730">
        <w:rPr>
          <w:rFonts w:asciiTheme="majorHAnsi" w:hAnsiTheme="majorHAnsi" w:cstheme="majorBidi"/>
        </w:rPr>
        <w:t xml:space="preserve"> the operation and scope of FOI can be obtained from the FOI Act, regulations made under the FOI Act and </w:t>
      </w:r>
      <w:hyperlink r:id="rId59">
        <w:r w:rsidRPr="6B8A8730">
          <w:rPr>
            <w:rStyle w:val="Hyperlink"/>
            <w:rFonts w:asciiTheme="majorHAnsi" w:hAnsiTheme="majorHAnsi" w:cstheme="majorBidi"/>
          </w:rPr>
          <w:t>ovic.vic.gov.au</w:t>
        </w:r>
      </w:hyperlink>
      <w:r w:rsidRPr="6B8A8730">
        <w:rPr>
          <w:rStyle w:val="Hyperlink"/>
          <w:rFonts w:asciiTheme="majorHAnsi" w:hAnsiTheme="majorHAnsi" w:cstheme="majorBidi"/>
        </w:rPr>
        <w:t>.</w:t>
      </w:r>
    </w:p>
    <w:p w14:paraId="1210D907" w14:textId="77777777" w:rsidR="003A694A" w:rsidRPr="0012521E" w:rsidRDefault="003A694A" w:rsidP="00126908">
      <w:pPr>
        <w:pStyle w:val="Heading3"/>
      </w:pPr>
      <w:bookmarkStart w:id="250" w:name="_Ref139545434"/>
      <w:bookmarkStart w:id="251" w:name="_Toc144884469"/>
      <w:bookmarkStart w:id="252" w:name="_Toc166585759"/>
      <w:r w:rsidRPr="0012521E">
        <w:t xml:space="preserve">Additional </w:t>
      </w:r>
      <w:bookmarkStart w:id="253" w:name="_Ref85023260"/>
      <w:r w:rsidRPr="0012521E">
        <w:t>information</w:t>
      </w:r>
      <w:bookmarkEnd w:id="253"/>
      <w:r w:rsidRPr="0012521E">
        <w:t xml:space="preserve"> available on request</w:t>
      </w:r>
      <w:bookmarkEnd w:id="250"/>
      <w:bookmarkEnd w:id="251"/>
      <w:bookmarkEnd w:id="252"/>
    </w:p>
    <w:p w14:paraId="2B628AD4"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In compliance with the requirements of the Standing Directions 2018 under the F</w:t>
      </w:r>
      <w:r w:rsidRPr="0012521E">
        <w:rPr>
          <w:rFonts w:asciiTheme="majorHAnsi" w:hAnsiTheme="majorHAnsi" w:cstheme="majorHAnsi"/>
          <w:i/>
        </w:rPr>
        <w:t>inancial Management Act 1994</w:t>
      </w:r>
      <w:r w:rsidRPr="0012521E">
        <w:rPr>
          <w:rFonts w:asciiTheme="majorHAnsi" w:hAnsiTheme="majorHAnsi" w:cstheme="majorHAnsi"/>
        </w:rPr>
        <w:t>, details in respect of the items listed below have been retained by SV and are available on request, subject to the provisions of the FOI Act:</w:t>
      </w:r>
    </w:p>
    <w:p w14:paraId="7E74C413"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A statement that declarations of pecuniary interests have been duly completed by all relevant officers.</w:t>
      </w:r>
    </w:p>
    <w:p w14:paraId="6092FDAB"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shares held by a senior officer as nominee or held beneficially in a statutory authority or subsidiary.</w:t>
      </w:r>
    </w:p>
    <w:p w14:paraId="021A7133"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publications produced by SV about itself, and how these can be obtained.</w:t>
      </w:r>
    </w:p>
    <w:p w14:paraId="4B757077"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any major reviews carried out in respect of the operation of SV.</w:t>
      </w:r>
    </w:p>
    <w:p w14:paraId="7368753F"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major research and development activities undertaken by SV.</w:t>
      </w:r>
    </w:p>
    <w:p w14:paraId="0966F7F0"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major promotional, public relations and marketing activities undertaken by SV to develop community awareness of us and our services.</w:t>
      </w:r>
    </w:p>
    <w:p w14:paraId="4E426404"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assessments and measures undertaken to improve the occupational health and safety of employees.</w:t>
      </w:r>
    </w:p>
    <w:p w14:paraId="6403BF46"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A general statement on industrial relations within SV and details of time lost through industrial accidents and disputes.</w:t>
      </w:r>
    </w:p>
    <w:p w14:paraId="7ECDC7C1"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A list of major committees sponsored by SV, the purposes of each committee and the extent to which the purposes have been achieved.</w:t>
      </w:r>
    </w:p>
    <w:p w14:paraId="37752376"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overseas visits undertaken.</w:t>
      </w:r>
    </w:p>
    <w:p w14:paraId="23DE3285"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changes in prices, fees, charges, rates and levies charged for our services.</w:t>
      </w:r>
    </w:p>
    <w:p w14:paraId="1E44EB31" w14:textId="77777777" w:rsidR="003A694A" w:rsidRPr="0012521E" w:rsidRDefault="003A694A" w:rsidP="00C356CE">
      <w:pPr>
        <w:pStyle w:val="ListParagraph"/>
        <w:numPr>
          <w:ilvl w:val="0"/>
          <w:numId w:val="13"/>
        </w:numPr>
        <w:spacing w:after="120" w:line="259" w:lineRule="auto"/>
        <w:rPr>
          <w:rFonts w:asciiTheme="majorHAnsi" w:hAnsiTheme="majorHAnsi" w:cstheme="majorHAnsi"/>
        </w:rPr>
      </w:pPr>
      <w:r w:rsidRPr="0012521E">
        <w:rPr>
          <w:rFonts w:asciiTheme="majorHAnsi" w:hAnsiTheme="majorHAnsi" w:cstheme="majorHAnsi"/>
        </w:rPr>
        <w:t>Details of all consultancies and contractors including consultants/contractors engaged; services provided; and expenditure committed to for each engagement.</w:t>
      </w:r>
    </w:p>
    <w:p w14:paraId="54FF663B" w14:textId="080E80E8" w:rsidR="003A694A" w:rsidRPr="0012521E" w:rsidRDefault="003A694A" w:rsidP="003A694A">
      <w:pPr>
        <w:rPr>
          <w:rFonts w:asciiTheme="majorHAnsi" w:eastAsiaTheme="majorEastAsia" w:hAnsiTheme="majorHAnsi" w:cstheme="majorBidi"/>
          <w:color w:val="174F37"/>
          <w:sz w:val="34"/>
          <w:szCs w:val="34"/>
        </w:rPr>
      </w:pPr>
      <w:r w:rsidRPr="6B8A8730">
        <w:rPr>
          <w:rFonts w:asciiTheme="majorHAnsi" w:hAnsiTheme="majorHAnsi" w:cstheme="majorBidi"/>
        </w:rPr>
        <w:t xml:space="preserve">The information is available on request from our </w:t>
      </w:r>
      <w:r w:rsidR="5423AA3C" w:rsidRPr="6B8A8730">
        <w:rPr>
          <w:rFonts w:asciiTheme="majorHAnsi" w:hAnsiTheme="majorHAnsi" w:cstheme="majorBidi"/>
        </w:rPr>
        <w:t>FOI</w:t>
      </w:r>
      <w:r w:rsidRPr="6B8A8730">
        <w:rPr>
          <w:rFonts w:asciiTheme="majorHAnsi" w:hAnsiTheme="majorHAnsi" w:cstheme="majorBidi"/>
        </w:rPr>
        <w:t xml:space="preserve"> Officer (identified above).</w:t>
      </w:r>
      <w:bookmarkStart w:id="254" w:name="_Toc56627351"/>
      <w:bookmarkStart w:id="255" w:name="_Toc57039886"/>
      <w:bookmarkStart w:id="256" w:name="_Ref84950241"/>
      <w:r w:rsidRPr="6B8A8730">
        <w:rPr>
          <w:rFonts w:asciiTheme="majorHAnsi" w:hAnsiTheme="majorHAnsi" w:cstheme="majorBidi"/>
        </w:rPr>
        <w:br w:type="page"/>
      </w:r>
    </w:p>
    <w:p w14:paraId="6501BE72" w14:textId="77777777" w:rsidR="003A694A" w:rsidRPr="0012521E" w:rsidRDefault="003A694A" w:rsidP="003A694A">
      <w:pPr>
        <w:pStyle w:val="Heading2"/>
      </w:pPr>
      <w:bookmarkStart w:id="257" w:name="_Ref139545370"/>
      <w:bookmarkStart w:id="258" w:name="_Toc144884470"/>
      <w:bookmarkStart w:id="259" w:name="_Toc166585760"/>
      <w:r w:rsidRPr="0012521E">
        <w:lastRenderedPageBreak/>
        <w:t>Building Act compliance</w:t>
      </w:r>
      <w:bookmarkEnd w:id="254"/>
      <w:bookmarkEnd w:id="255"/>
      <w:bookmarkEnd w:id="256"/>
      <w:bookmarkEnd w:id="257"/>
      <w:bookmarkEnd w:id="258"/>
      <w:bookmarkEnd w:id="259"/>
    </w:p>
    <w:p w14:paraId="0EF41387"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Nil disclosure.</w:t>
      </w:r>
    </w:p>
    <w:p w14:paraId="449DDC0A"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 xml:space="preserve">SV does not own or control any government buildings and consequently is exempt from notifying our compliance with the building and maintenance provisions of the </w:t>
      </w:r>
      <w:r w:rsidRPr="0012521E">
        <w:rPr>
          <w:rFonts w:asciiTheme="majorHAnsi" w:hAnsiTheme="majorHAnsi" w:cstheme="majorHAnsi"/>
          <w:i/>
        </w:rPr>
        <w:t>Building Act 1993</w:t>
      </w:r>
      <w:r w:rsidRPr="0012521E">
        <w:rPr>
          <w:rFonts w:asciiTheme="majorHAnsi" w:hAnsiTheme="majorHAnsi" w:cstheme="majorHAnsi"/>
        </w:rPr>
        <w:t>.</w:t>
      </w:r>
    </w:p>
    <w:p w14:paraId="770F35BC" w14:textId="77777777" w:rsidR="003A694A" w:rsidRPr="0012521E" w:rsidRDefault="003A694A" w:rsidP="003A694A">
      <w:pPr>
        <w:pStyle w:val="Heading2"/>
        <w:rPr>
          <w:color w:val="FF0000"/>
          <w:szCs w:val="32"/>
        </w:rPr>
      </w:pPr>
      <w:bookmarkStart w:id="260" w:name="_Toc56627353"/>
      <w:bookmarkStart w:id="261" w:name="_Toc57039888"/>
      <w:bookmarkStart w:id="262" w:name="_Ref85023042"/>
      <w:bookmarkStart w:id="263" w:name="_Ref139545379"/>
      <w:bookmarkStart w:id="264" w:name="_Toc144884471"/>
      <w:bookmarkStart w:id="265" w:name="_Toc166585761"/>
      <w:bookmarkStart w:id="266" w:name="_Toc56627352"/>
      <w:bookmarkStart w:id="267" w:name="_Toc57039887"/>
      <w:r w:rsidRPr="0012521E">
        <w:t>Competitive Neutrality Policy Victoria</w:t>
      </w:r>
      <w:bookmarkEnd w:id="260"/>
      <w:bookmarkEnd w:id="261"/>
      <w:bookmarkEnd w:id="262"/>
      <w:bookmarkEnd w:id="263"/>
      <w:bookmarkEnd w:id="264"/>
      <w:bookmarkEnd w:id="265"/>
    </w:p>
    <w:p w14:paraId="1D8D5FCA"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decisions on resource allocation. This policy does not override other policy objectives of government and focuses on efficiency in the provision of service.</w:t>
      </w:r>
    </w:p>
    <w:p w14:paraId="53A090D6" w14:textId="2F67FAE6" w:rsidR="003A694A" w:rsidRPr="0012521E" w:rsidRDefault="003A694A" w:rsidP="003A694A">
      <w:pPr>
        <w:rPr>
          <w:rFonts w:asciiTheme="majorHAnsi" w:hAnsiTheme="majorHAnsi" w:cstheme="majorHAnsi"/>
        </w:rPr>
      </w:pPr>
      <w:r w:rsidRPr="0012521E">
        <w:rPr>
          <w:rFonts w:asciiTheme="majorHAnsi" w:hAnsiTheme="majorHAnsi" w:cstheme="majorHAnsi"/>
        </w:rPr>
        <w:t xml:space="preserve">SV </w:t>
      </w:r>
      <w:r w:rsidR="00D74843">
        <w:rPr>
          <w:rFonts w:asciiTheme="majorHAnsi" w:hAnsiTheme="majorHAnsi" w:cstheme="majorHAnsi"/>
        </w:rPr>
        <w:t xml:space="preserve">continues to </w:t>
      </w:r>
      <w:proofErr w:type="gramStart"/>
      <w:r w:rsidRPr="0012521E">
        <w:rPr>
          <w:rFonts w:asciiTheme="majorHAnsi" w:hAnsiTheme="majorHAnsi" w:cstheme="majorHAnsi"/>
        </w:rPr>
        <w:t>complies</w:t>
      </w:r>
      <w:proofErr w:type="gramEnd"/>
      <w:r w:rsidRPr="0012521E">
        <w:rPr>
          <w:rFonts w:asciiTheme="majorHAnsi" w:hAnsiTheme="majorHAnsi" w:cstheme="majorHAnsi"/>
        </w:rPr>
        <w:t xml:space="preserve"> with the Competitive Neutrality Policy in respect of its significant business activities. SV is working to ensure Victoria fulfils its requirements on competitive neutrality reporting for technological based businesses against the enhanced principles as required under the Competition Principles Agreement and Competition and Infrastructure Reform Agreement.</w:t>
      </w:r>
    </w:p>
    <w:p w14:paraId="51E15462" w14:textId="77777777" w:rsidR="003A694A" w:rsidRPr="0012521E" w:rsidRDefault="003A694A" w:rsidP="003A694A">
      <w:pPr>
        <w:pStyle w:val="Heading2"/>
      </w:pPr>
      <w:bookmarkStart w:id="268" w:name="_Toc56627354"/>
      <w:bookmarkStart w:id="269" w:name="_Toc57039889"/>
      <w:bookmarkStart w:id="270" w:name="_Ref85023076"/>
      <w:bookmarkStart w:id="271" w:name="_Ref139545384"/>
      <w:bookmarkStart w:id="272" w:name="_Ref139545552"/>
      <w:bookmarkStart w:id="273" w:name="_Toc144884472"/>
      <w:bookmarkStart w:id="274" w:name="_Toc166585762"/>
      <w:r w:rsidRPr="0012521E">
        <w:t>Public interest disclosures compliance</w:t>
      </w:r>
      <w:bookmarkEnd w:id="268"/>
      <w:bookmarkEnd w:id="269"/>
      <w:bookmarkEnd w:id="270"/>
      <w:bookmarkEnd w:id="271"/>
      <w:bookmarkEnd w:id="272"/>
      <w:bookmarkEnd w:id="273"/>
      <w:bookmarkEnd w:id="274"/>
    </w:p>
    <w:p w14:paraId="4C6F09FE"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 xml:space="preserve">The </w:t>
      </w:r>
      <w:r w:rsidRPr="0012521E">
        <w:rPr>
          <w:rFonts w:asciiTheme="majorHAnsi" w:hAnsiTheme="majorHAnsi" w:cstheme="majorHAnsi"/>
          <w:i/>
        </w:rPr>
        <w:t>Public Interest</w:t>
      </w:r>
      <w:r w:rsidRPr="0012521E">
        <w:rPr>
          <w:rFonts w:asciiTheme="majorHAnsi" w:hAnsiTheme="majorHAnsi" w:cstheme="majorHAnsi"/>
        </w:rPr>
        <w:t xml:space="preserve"> </w:t>
      </w:r>
      <w:r w:rsidRPr="0012521E">
        <w:rPr>
          <w:rFonts w:asciiTheme="majorHAnsi" w:hAnsiTheme="majorHAnsi" w:cstheme="majorHAnsi"/>
          <w:i/>
        </w:rPr>
        <w:t>Disclosures Act 2012</w:t>
      </w:r>
      <w:r w:rsidRPr="0012521E">
        <w:rPr>
          <w:rFonts w:asciiTheme="majorHAnsi" w:hAnsiTheme="majorHAnsi" w:cstheme="majorHAnsi"/>
        </w:rPr>
        <w:t xml:space="preserve"> (PID Act) encourages and assists people in making disclosures of improper conduct by public officers and public bodies. The PID Act provides protection to people who make disclosures in accordance with the PID Act and establishes a system for the matters disclosed to be investigated and rectifying action to be taken.</w:t>
      </w:r>
    </w:p>
    <w:p w14:paraId="5ADF3FAC"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SV does not tolerate improper employee conduct, nor taking reprisals against those who come forward to disclose such conduct. SV is committed to transparency and accountability in our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419A80A0"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SV will take all reasonable steps to protect people who make such disclosures from any detrimental action in reprisal for making the disclosure. SV will also afford natural justice to the person who is the subject of the disclosure to the extent to which it is legally possible.</w:t>
      </w:r>
    </w:p>
    <w:p w14:paraId="5F455D7A" w14:textId="77777777" w:rsidR="003A694A" w:rsidRPr="0012521E" w:rsidRDefault="003A694A" w:rsidP="00126908">
      <w:pPr>
        <w:pStyle w:val="Heading3"/>
      </w:pPr>
      <w:bookmarkStart w:id="275" w:name="_Toc144884473"/>
      <w:bookmarkStart w:id="276" w:name="_Toc166585763"/>
      <w:r w:rsidRPr="0012521E">
        <w:t>Reporting procedures</w:t>
      </w:r>
      <w:bookmarkEnd w:id="275"/>
      <w:bookmarkEnd w:id="276"/>
    </w:p>
    <w:p w14:paraId="03200BFB" w14:textId="2F73FEBA" w:rsidR="003A694A" w:rsidRPr="0012521E" w:rsidRDefault="003A694A" w:rsidP="003A694A">
      <w:pPr>
        <w:rPr>
          <w:rFonts w:asciiTheme="majorHAnsi" w:hAnsiTheme="majorHAnsi" w:cstheme="majorBidi"/>
        </w:rPr>
      </w:pPr>
      <w:r w:rsidRPr="6B8A8730">
        <w:rPr>
          <w:rFonts w:asciiTheme="majorHAnsi" w:hAnsiTheme="majorHAnsi" w:cstheme="majorBidi"/>
        </w:rPr>
        <w:t xml:space="preserve">SV is not able to receive protected disclosures. However, you can make a protected disclosure about us or our </w:t>
      </w:r>
      <w:r w:rsidR="5AC30BFA" w:rsidRPr="6B8A8730">
        <w:rPr>
          <w:rFonts w:asciiTheme="majorHAnsi" w:hAnsiTheme="majorHAnsi" w:cstheme="majorBidi"/>
        </w:rPr>
        <w:t>B</w:t>
      </w:r>
      <w:r w:rsidRPr="6B8A8730">
        <w:rPr>
          <w:rFonts w:asciiTheme="majorHAnsi" w:hAnsiTheme="majorHAnsi" w:cstheme="majorBidi"/>
        </w:rPr>
        <w:t>oard members, officers or employees by contacting the Independent Broad-based Anti-</w:t>
      </w:r>
      <w:proofErr w:type="gramStart"/>
      <w:r w:rsidRPr="6B8A8730">
        <w:rPr>
          <w:rFonts w:asciiTheme="majorHAnsi" w:hAnsiTheme="majorHAnsi" w:cstheme="majorBidi"/>
        </w:rPr>
        <w:t>corruption</w:t>
      </w:r>
      <w:proofErr w:type="gramEnd"/>
      <w:r w:rsidRPr="6B8A8730">
        <w:rPr>
          <w:rFonts w:asciiTheme="majorHAnsi" w:hAnsiTheme="majorHAnsi" w:cstheme="majorBidi"/>
        </w:rPr>
        <w:t xml:space="preserve"> Commission (IBAC) as follows:</w:t>
      </w:r>
    </w:p>
    <w:p w14:paraId="4791A12E" w14:textId="785EDF65" w:rsidR="003A694A" w:rsidRPr="0012521E" w:rsidRDefault="003A694A" w:rsidP="003A694A">
      <w:pPr>
        <w:pStyle w:val="NoSpacing"/>
        <w:rPr>
          <w:rFonts w:asciiTheme="majorHAnsi" w:hAnsiTheme="majorHAnsi" w:cstheme="majorHAnsi"/>
        </w:rPr>
      </w:pPr>
      <w:r w:rsidRPr="6B8A8730">
        <w:rPr>
          <w:rFonts w:asciiTheme="majorHAnsi" w:hAnsiTheme="majorHAnsi" w:cstheme="majorBidi"/>
        </w:rPr>
        <w:t>Independent Broad-based Anti-</w:t>
      </w:r>
      <w:proofErr w:type="gramStart"/>
      <w:r w:rsidRPr="6B8A8730">
        <w:rPr>
          <w:rFonts w:asciiTheme="majorHAnsi" w:hAnsiTheme="majorHAnsi" w:cstheme="majorBidi"/>
        </w:rPr>
        <w:t>corruption</w:t>
      </w:r>
      <w:proofErr w:type="gramEnd"/>
      <w:r w:rsidRPr="6B8A8730">
        <w:rPr>
          <w:rFonts w:asciiTheme="majorHAnsi" w:hAnsiTheme="majorHAnsi" w:cstheme="majorBidi"/>
        </w:rPr>
        <w:t xml:space="preserve"> Commission (IBAC)</w:t>
      </w:r>
      <w:r w:rsidRPr="0012521E">
        <w:rPr>
          <w:rFonts w:asciiTheme="majorHAnsi" w:hAnsiTheme="majorHAnsi" w:cstheme="majorHAnsi"/>
        </w:rPr>
        <w:t>Address: Level 1, North Tower, 459 Collins Street, Melbourne Victoria 3000</w:t>
      </w:r>
    </w:p>
    <w:p w14:paraId="38E12B37" w14:textId="34B119B1" w:rsidR="003A694A" w:rsidRPr="0012521E" w:rsidRDefault="003A694A" w:rsidP="003A694A">
      <w:pPr>
        <w:pStyle w:val="NoSpacing"/>
        <w:rPr>
          <w:rFonts w:asciiTheme="majorHAnsi" w:hAnsiTheme="majorHAnsi" w:cstheme="majorHAnsi"/>
        </w:rPr>
      </w:pPr>
      <w:r w:rsidRPr="0012521E">
        <w:rPr>
          <w:rFonts w:asciiTheme="majorHAnsi" w:hAnsiTheme="majorHAnsi" w:cstheme="majorHAnsi"/>
        </w:rPr>
        <w:t xml:space="preserve">Website: </w:t>
      </w:r>
      <w:hyperlink r:id="rId60">
        <w:r w:rsidRPr="0012521E">
          <w:rPr>
            <w:rStyle w:val="Hyperlink"/>
            <w:rFonts w:asciiTheme="majorHAnsi" w:hAnsiTheme="majorHAnsi" w:cstheme="majorHAnsi"/>
            <w:color w:val="auto"/>
          </w:rPr>
          <w:t>www.ibac.vic.gov.au</w:t>
        </w:r>
      </w:hyperlink>
    </w:p>
    <w:p w14:paraId="3143BE17" w14:textId="77777777" w:rsidR="003A694A" w:rsidRPr="0012521E" w:rsidRDefault="003A694A" w:rsidP="003A694A">
      <w:pPr>
        <w:pStyle w:val="NoSpacing"/>
        <w:rPr>
          <w:rFonts w:asciiTheme="majorHAnsi" w:hAnsiTheme="majorHAnsi" w:cstheme="majorHAnsi"/>
        </w:rPr>
      </w:pPr>
      <w:r w:rsidRPr="0012521E">
        <w:rPr>
          <w:rFonts w:asciiTheme="majorHAnsi" w:hAnsiTheme="majorHAnsi" w:cstheme="majorHAnsi"/>
        </w:rPr>
        <w:t>Phone: 1300 735 135</w:t>
      </w:r>
    </w:p>
    <w:p w14:paraId="0EE03B6B" w14:textId="77777777" w:rsidR="003A694A" w:rsidRPr="0012521E" w:rsidRDefault="003A694A" w:rsidP="003A694A">
      <w:pPr>
        <w:pStyle w:val="NoSpacing"/>
        <w:rPr>
          <w:rFonts w:asciiTheme="majorHAnsi" w:hAnsiTheme="majorHAnsi" w:cstheme="majorHAnsi"/>
        </w:rPr>
      </w:pPr>
      <w:r w:rsidRPr="0012521E">
        <w:rPr>
          <w:rFonts w:asciiTheme="majorHAnsi" w:hAnsiTheme="majorHAnsi" w:cstheme="majorHAnsi"/>
        </w:rPr>
        <w:t>Email: See website above for the secure email disclosure process, which also provides for anonymous disclosures.</w:t>
      </w:r>
    </w:p>
    <w:p w14:paraId="4B544127" w14:textId="77777777" w:rsidR="003A694A" w:rsidRPr="0012521E" w:rsidRDefault="003A694A" w:rsidP="00126908">
      <w:pPr>
        <w:pStyle w:val="Heading3"/>
      </w:pPr>
      <w:bookmarkStart w:id="277" w:name="_Toc144884474"/>
      <w:bookmarkStart w:id="278" w:name="_Toc166585764"/>
      <w:r w:rsidRPr="0012521E">
        <w:lastRenderedPageBreak/>
        <w:t>Further information</w:t>
      </w:r>
      <w:bookmarkEnd w:id="277"/>
      <w:bookmarkEnd w:id="278"/>
    </w:p>
    <w:p w14:paraId="7A54415E" w14:textId="14500CB4" w:rsidR="003A694A" w:rsidRPr="0012521E" w:rsidRDefault="003A694A" w:rsidP="003A694A">
      <w:pPr>
        <w:rPr>
          <w:rStyle w:val="Hyperlink"/>
          <w:rFonts w:asciiTheme="majorHAnsi" w:hAnsiTheme="majorHAnsi" w:cstheme="majorHAnsi"/>
        </w:rPr>
      </w:pPr>
      <w:r w:rsidRPr="0012521E">
        <w:rPr>
          <w:rFonts w:asciiTheme="majorHAnsi" w:hAnsiTheme="majorHAnsi" w:cstheme="majorHAnsi"/>
        </w:rPr>
        <w:t xml:space="preserve">Our Public Interest Disclosure Policy and Procedures, which outline the system for reporting disclosures of improper conduct or detrimental action by us or any of our employees and/or officers, are available on our website at </w:t>
      </w:r>
      <w:hyperlink r:id="rId61">
        <w:r w:rsidRPr="0012521E">
          <w:rPr>
            <w:rStyle w:val="Hyperlink"/>
            <w:rFonts w:asciiTheme="majorHAnsi" w:hAnsiTheme="majorHAnsi" w:cstheme="majorHAnsi"/>
          </w:rPr>
          <w:t>sustainability.vic.gov.au</w:t>
        </w:r>
      </w:hyperlink>
      <w:r w:rsidRPr="0012521E">
        <w:rPr>
          <w:rStyle w:val="Hyperlink"/>
          <w:rFonts w:asciiTheme="majorHAnsi" w:hAnsiTheme="majorHAnsi" w:cstheme="majorHAnsi"/>
        </w:rPr>
        <w:t>.</w:t>
      </w:r>
    </w:p>
    <w:p w14:paraId="75F151BC" w14:textId="77777777" w:rsidR="003A694A" w:rsidRPr="0012521E" w:rsidRDefault="003A694A" w:rsidP="003A694A">
      <w:pPr>
        <w:pStyle w:val="Heading2"/>
      </w:pPr>
      <w:bookmarkStart w:id="279" w:name="_Ref86840774"/>
      <w:bookmarkStart w:id="280" w:name="_Toc144884476"/>
      <w:bookmarkStart w:id="281" w:name="_Toc166585766"/>
      <w:bookmarkStart w:id="282" w:name="_Ref85010034"/>
      <w:bookmarkStart w:id="283" w:name="_Hlk43733606"/>
      <w:r w:rsidRPr="6B8A8730">
        <w:t xml:space="preserve">Compliance with the </w:t>
      </w:r>
      <w:r w:rsidRPr="00C75D63">
        <w:rPr>
          <w:i/>
        </w:rPr>
        <w:t>Disability Act 2006</w:t>
      </w:r>
      <w:bookmarkEnd w:id="279"/>
      <w:bookmarkEnd w:id="280"/>
      <w:bookmarkEnd w:id="281"/>
    </w:p>
    <w:p w14:paraId="45D9802C" w14:textId="77777777" w:rsidR="003A694A" w:rsidRPr="0012521E" w:rsidRDefault="003A694A" w:rsidP="00105389">
      <w:pPr>
        <w:pStyle w:val="Body"/>
      </w:pPr>
      <w:r w:rsidRPr="0012521E">
        <w:t xml:space="preserve">The </w:t>
      </w:r>
      <w:r w:rsidRPr="0012521E">
        <w:rPr>
          <w:i/>
        </w:rPr>
        <w:t>Disability Act 2006</w:t>
      </w:r>
      <w:r w:rsidRPr="0012521E">
        <w:t xml:space="preserve"> reaffirms and strengthens the rights of people with a disability and recognises that this requires support across the government sector and within the community.</w:t>
      </w:r>
    </w:p>
    <w:p w14:paraId="441700F6" w14:textId="77777777" w:rsidR="003A694A" w:rsidRPr="0012521E" w:rsidRDefault="003A694A" w:rsidP="00105389">
      <w:pPr>
        <w:pStyle w:val="Body"/>
      </w:pPr>
      <w:r w:rsidRPr="0012521E">
        <w:t>SV is taking all practical measures to comply with its obligations under the Act. This includes reducing barriers to accessibility of</w:t>
      </w:r>
      <w:r w:rsidRPr="0012521E">
        <w:rPr>
          <w:b/>
        </w:rPr>
        <w:t xml:space="preserve"> </w:t>
      </w:r>
      <w:r w:rsidRPr="0012521E">
        <w:t>our publications, services and facilities, obtaining and maintaining employment, promoting inclusion and participation and achieving tangible changes in attitudes and practices that discriminate against people with a disability.</w:t>
      </w:r>
    </w:p>
    <w:p w14:paraId="3B2ED475" w14:textId="77777777" w:rsidR="004E6F71" w:rsidRPr="0012521E" w:rsidRDefault="004E6F71" w:rsidP="004E6F71">
      <w:pPr>
        <w:pStyle w:val="Heading2"/>
      </w:pPr>
      <w:bookmarkStart w:id="284" w:name="_Ref144879984"/>
      <w:bookmarkStart w:id="285" w:name="_Toc144884478"/>
      <w:bookmarkStart w:id="286" w:name="_Toc166585767"/>
      <w:bookmarkStart w:id="287" w:name="_Ref139545444"/>
      <w:bookmarkStart w:id="288" w:name="_Toc144884479"/>
      <w:bookmarkStart w:id="289" w:name="_Toc166585768"/>
      <w:r w:rsidRPr="0012521E">
        <w:t>Disclosure of emergency procurement</w:t>
      </w:r>
      <w:bookmarkEnd w:id="284"/>
      <w:bookmarkEnd w:id="285"/>
      <w:bookmarkEnd w:id="286"/>
    </w:p>
    <w:p w14:paraId="555925FF" w14:textId="11CCCF56" w:rsidR="000D6E96" w:rsidRDefault="000D6E96" w:rsidP="004E6F71">
      <w:pPr>
        <w:rPr>
          <w:rFonts w:asciiTheme="majorHAnsi" w:hAnsiTheme="majorHAnsi" w:cstheme="majorHAnsi"/>
        </w:rPr>
      </w:pPr>
      <w:r>
        <w:rPr>
          <w:rFonts w:asciiTheme="majorHAnsi" w:hAnsiTheme="majorHAnsi" w:cstheme="majorHAnsi"/>
        </w:rPr>
        <w:t>Nil reports.</w:t>
      </w:r>
    </w:p>
    <w:p w14:paraId="0E996EE3" w14:textId="4C4D87A2" w:rsidR="004E6F71" w:rsidRDefault="004E6F71" w:rsidP="004E6F71">
      <w:pPr>
        <w:rPr>
          <w:rFonts w:asciiTheme="majorHAnsi" w:hAnsiTheme="majorHAnsi" w:cstheme="majorHAnsi"/>
        </w:rPr>
      </w:pPr>
      <w:r w:rsidRPr="003676C5">
        <w:rPr>
          <w:rFonts w:asciiTheme="majorHAnsi" w:hAnsiTheme="majorHAnsi" w:cstheme="majorHAnsi"/>
        </w:rPr>
        <w:t>In 2023–24</w:t>
      </w:r>
      <w:r w:rsidR="00610B16">
        <w:rPr>
          <w:rFonts w:asciiTheme="majorHAnsi" w:hAnsiTheme="majorHAnsi" w:cstheme="majorHAnsi"/>
        </w:rPr>
        <w:t xml:space="preserve"> reporting period</w:t>
      </w:r>
      <w:r w:rsidRPr="003676C5">
        <w:rPr>
          <w:rFonts w:asciiTheme="majorHAnsi" w:hAnsiTheme="majorHAnsi" w:cstheme="majorHAnsi"/>
        </w:rPr>
        <w:t>, SV did not activate emergency procurement in accordance with the requirements of government policy and accompanying guidelines</w:t>
      </w:r>
      <w:r w:rsidR="00A0440A">
        <w:rPr>
          <w:rFonts w:asciiTheme="majorHAnsi" w:hAnsiTheme="majorHAnsi" w:cstheme="majorHAnsi"/>
        </w:rPr>
        <w:t xml:space="preserve">, resulting in nil spending </w:t>
      </w:r>
      <w:r w:rsidR="0078334A">
        <w:rPr>
          <w:rFonts w:asciiTheme="majorHAnsi" w:hAnsiTheme="majorHAnsi" w:cstheme="majorHAnsi"/>
        </w:rPr>
        <w:t>for emergency procurements</w:t>
      </w:r>
      <w:r w:rsidRPr="003676C5">
        <w:rPr>
          <w:rFonts w:asciiTheme="majorHAnsi" w:hAnsiTheme="majorHAnsi" w:cstheme="majorHAnsi"/>
        </w:rPr>
        <w:t>.</w:t>
      </w:r>
    </w:p>
    <w:p w14:paraId="74E96103" w14:textId="361ED029" w:rsidR="000D5D42" w:rsidRDefault="004E6F71" w:rsidP="000D5D42">
      <w:pPr>
        <w:pStyle w:val="Heading2"/>
      </w:pPr>
      <w:r w:rsidRPr="0012521E">
        <w:t>Disclosure of procurement</w:t>
      </w:r>
      <w:r>
        <w:t xml:space="preserve"> complaints</w:t>
      </w:r>
    </w:p>
    <w:p w14:paraId="2E11F02A" w14:textId="3C443195" w:rsidR="000D5D42" w:rsidRPr="000D5D42" w:rsidRDefault="000D5D42" w:rsidP="000D5D42">
      <w:r>
        <w:t>Nil reports.</w:t>
      </w:r>
    </w:p>
    <w:p w14:paraId="1135B1EF" w14:textId="6A84D975" w:rsidR="00685D8A" w:rsidRPr="00BE10EB" w:rsidRDefault="00685D8A" w:rsidP="00685D8A">
      <w:pPr>
        <w:rPr>
          <w:rFonts w:asciiTheme="majorHAnsi" w:hAnsiTheme="majorHAnsi" w:cstheme="majorHAnsi"/>
          <w:bCs/>
        </w:rPr>
      </w:pPr>
      <w:r w:rsidRPr="00BE10EB">
        <w:rPr>
          <w:rFonts w:asciiTheme="majorHAnsi" w:hAnsiTheme="majorHAnsi" w:cstheme="majorHAnsi"/>
          <w:bCs/>
        </w:rPr>
        <w:t xml:space="preserve">Under the Governance Policy of the Victorian Government Purchasing Board (VGPB), SV must disclose any formal complaints relating to the procurement of goods and services received through its procurement complaints management system. </w:t>
      </w:r>
    </w:p>
    <w:p w14:paraId="09CD2012" w14:textId="5BEE8067" w:rsidR="00685D8A" w:rsidRPr="00BE10EB" w:rsidRDefault="00685D8A" w:rsidP="00685D8A">
      <w:pPr>
        <w:rPr>
          <w:rFonts w:asciiTheme="majorHAnsi" w:hAnsiTheme="majorHAnsi" w:cstheme="majorBidi"/>
        </w:rPr>
      </w:pPr>
      <w:r w:rsidRPr="00BE10EB">
        <w:rPr>
          <w:rFonts w:asciiTheme="majorHAnsi" w:hAnsiTheme="majorHAnsi" w:cstheme="majorBidi"/>
        </w:rPr>
        <w:t>SV did not receive any formal complaints through its procurement complaints management system in 2023–24.</w:t>
      </w:r>
    </w:p>
    <w:p w14:paraId="66AD15AE" w14:textId="77777777" w:rsidR="003A694A" w:rsidRPr="0012521E" w:rsidRDefault="003A694A" w:rsidP="003A694A">
      <w:pPr>
        <w:pStyle w:val="Heading2"/>
      </w:pPr>
      <w:r w:rsidRPr="0012521E">
        <w:t xml:space="preserve">Environmental </w:t>
      </w:r>
      <w:bookmarkEnd w:id="282"/>
      <w:bookmarkEnd w:id="287"/>
      <w:r w:rsidRPr="0012521E">
        <w:t>reporting</w:t>
      </w:r>
      <w:bookmarkEnd w:id="288"/>
      <w:bookmarkEnd w:id="289"/>
    </w:p>
    <w:p w14:paraId="19259180"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SV’s office-based environmental impacts are reported in Appendix 2.</w:t>
      </w:r>
    </w:p>
    <w:p w14:paraId="514B9472" w14:textId="77777777" w:rsidR="003A694A" w:rsidRPr="0012521E" w:rsidRDefault="003A694A" w:rsidP="003A694A">
      <w:pPr>
        <w:pStyle w:val="Heading2"/>
      </w:pPr>
      <w:bookmarkStart w:id="290" w:name="_Toc56627355"/>
      <w:bookmarkStart w:id="291" w:name="_Toc57039890"/>
      <w:bookmarkStart w:id="292" w:name="_Toc144884480"/>
      <w:bookmarkStart w:id="293" w:name="_Toc166585769"/>
      <w:bookmarkEnd w:id="283"/>
      <w:r w:rsidRPr="0012521E">
        <w:t xml:space="preserve">Compliance with </w:t>
      </w:r>
      <w:proofErr w:type="spellStart"/>
      <w:r w:rsidRPr="0012521E">
        <w:t>DataVic</w:t>
      </w:r>
      <w:proofErr w:type="spellEnd"/>
      <w:r w:rsidRPr="0012521E">
        <w:t xml:space="preserve"> Access </w:t>
      </w:r>
      <w:bookmarkEnd w:id="290"/>
      <w:bookmarkEnd w:id="291"/>
      <w:r w:rsidRPr="0012521E">
        <w:t>Policy</w:t>
      </w:r>
      <w:bookmarkEnd w:id="292"/>
      <w:bookmarkEnd w:id="293"/>
    </w:p>
    <w:p w14:paraId="5B8AB50D" w14:textId="5E13E474" w:rsidR="003A694A" w:rsidRPr="0012521E" w:rsidRDefault="003A694A" w:rsidP="003A694A">
      <w:pPr>
        <w:rPr>
          <w:rFonts w:asciiTheme="majorHAnsi" w:hAnsiTheme="majorHAnsi" w:cstheme="majorHAnsi"/>
        </w:rPr>
      </w:pPr>
      <w:r w:rsidRPr="0012521E">
        <w:rPr>
          <w:rFonts w:asciiTheme="majorHAnsi" w:hAnsiTheme="majorHAnsi" w:cstheme="majorHAnsi"/>
        </w:rPr>
        <w:t xml:space="preserve">Consistent with the </w:t>
      </w:r>
      <w:proofErr w:type="spellStart"/>
      <w:r w:rsidRPr="0012521E">
        <w:rPr>
          <w:rFonts w:asciiTheme="majorHAnsi" w:hAnsiTheme="majorHAnsi" w:cstheme="majorHAnsi"/>
        </w:rPr>
        <w:t>DataVic</w:t>
      </w:r>
      <w:proofErr w:type="spellEnd"/>
      <w:r w:rsidRPr="0012521E">
        <w:rPr>
          <w:rFonts w:asciiTheme="majorHAnsi" w:hAnsiTheme="majorHAnsi" w:cstheme="majorHAnsi"/>
        </w:rPr>
        <w:t xml:space="preserve"> Access Policy issued by the Victorian Government in 2012, the following information is available at </w:t>
      </w:r>
      <w:hyperlink r:id="rId62" w:history="1">
        <w:r w:rsidRPr="0012521E">
          <w:rPr>
            <w:rStyle w:val="Hyperlink"/>
            <w:rFonts w:asciiTheme="majorHAnsi" w:hAnsiTheme="majorHAnsi" w:cstheme="majorHAnsi"/>
          </w:rPr>
          <w:t>data.vic.gov.au</w:t>
        </w:r>
      </w:hyperlink>
      <w:r w:rsidRPr="0012521E">
        <w:rPr>
          <w:rFonts w:asciiTheme="majorHAnsi" w:hAnsiTheme="majorHAnsi" w:cstheme="majorHAnsi"/>
        </w:rPr>
        <w:t xml:space="preserve"> in electronic readable format:</w:t>
      </w:r>
    </w:p>
    <w:p w14:paraId="7350932E" w14:textId="2C5785E4"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Recycling Industry Annual Report 2017–18</w:t>
      </w:r>
      <w:r w:rsidRPr="0012521E">
        <w:rPr>
          <w:rFonts w:asciiTheme="majorHAnsi" w:hAnsiTheme="majorHAnsi" w:cstheme="majorHAnsi"/>
        </w:rPr>
        <w:br/>
        <w:t>(previously known as the Victorian Recycling Industry Annual Survey)</w:t>
      </w:r>
      <w:r w:rsidR="008F6A49">
        <w:rPr>
          <w:rFonts w:asciiTheme="majorHAnsi" w:hAnsiTheme="majorHAnsi" w:cstheme="majorHAnsi"/>
        </w:rPr>
        <w:t xml:space="preserve"> (XLSX)</w:t>
      </w:r>
    </w:p>
    <w:p w14:paraId="752B3548" w14:textId="4BDA86E0"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Local Government Materials Services Report Excel Workbook 2017–18</w:t>
      </w:r>
      <w:r w:rsidR="008F6A49">
        <w:rPr>
          <w:rFonts w:asciiTheme="majorHAnsi" w:hAnsiTheme="majorHAnsi" w:cstheme="majorHAnsi"/>
        </w:rPr>
        <w:t xml:space="preserve"> (XLSX)</w:t>
      </w:r>
    </w:p>
    <w:p w14:paraId="15A808D0" w14:textId="26BFA849"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Recycling Industry Waste Services Workbook 2017–18</w:t>
      </w:r>
      <w:r w:rsidR="00C020D7">
        <w:rPr>
          <w:rFonts w:asciiTheme="majorHAnsi" w:hAnsiTheme="majorHAnsi" w:cstheme="majorHAnsi"/>
        </w:rPr>
        <w:t xml:space="preserve"> (XLSX)</w:t>
      </w:r>
    </w:p>
    <w:p w14:paraId="6A66DE90" w14:textId="07E16FE0"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Recycling Industry Waste Services Report Workbook 2017–18</w:t>
      </w:r>
      <w:r w:rsidR="00C020D7">
        <w:rPr>
          <w:rFonts w:asciiTheme="majorHAnsi" w:hAnsiTheme="majorHAnsi" w:cstheme="majorHAnsi"/>
        </w:rPr>
        <w:t xml:space="preserve"> (XLSX)</w:t>
      </w:r>
    </w:p>
    <w:p w14:paraId="077533B3" w14:textId="6DC284D1" w:rsidR="003A694A" w:rsidRPr="0012521E" w:rsidRDefault="003A694A" w:rsidP="6B8A8730">
      <w:pPr>
        <w:pStyle w:val="ListBullet"/>
        <w:spacing w:after="120" w:line="259" w:lineRule="auto"/>
        <w:rPr>
          <w:rFonts w:asciiTheme="majorHAnsi" w:hAnsiTheme="majorHAnsi" w:cstheme="majorBidi"/>
        </w:rPr>
      </w:pPr>
      <w:r w:rsidRPr="6B8A8730">
        <w:rPr>
          <w:rFonts w:asciiTheme="majorHAnsi" w:hAnsiTheme="majorHAnsi" w:cstheme="majorBidi"/>
        </w:rPr>
        <w:t xml:space="preserve">Aggregates, </w:t>
      </w:r>
      <w:r w:rsidR="693113F5" w:rsidRPr="6B8A8730">
        <w:rPr>
          <w:rFonts w:asciiTheme="majorHAnsi" w:hAnsiTheme="majorHAnsi" w:cstheme="majorBidi"/>
        </w:rPr>
        <w:t>M</w:t>
      </w:r>
      <w:r w:rsidRPr="6B8A8730">
        <w:rPr>
          <w:rFonts w:asciiTheme="majorHAnsi" w:hAnsiTheme="majorHAnsi" w:cstheme="majorBidi"/>
        </w:rPr>
        <w:t xml:space="preserve">asonry and </w:t>
      </w:r>
      <w:r w:rsidR="25A4770A" w:rsidRPr="6B8A8730">
        <w:rPr>
          <w:rFonts w:asciiTheme="majorHAnsi" w:hAnsiTheme="majorHAnsi" w:cstheme="majorBidi"/>
        </w:rPr>
        <w:t>S</w:t>
      </w:r>
      <w:r w:rsidRPr="6B8A8730">
        <w:rPr>
          <w:rFonts w:asciiTheme="majorHAnsi" w:hAnsiTheme="majorHAnsi" w:cstheme="majorBidi"/>
        </w:rPr>
        <w:t xml:space="preserve">oils </w:t>
      </w:r>
      <w:r w:rsidR="40DB8E25" w:rsidRPr="6B8A8730">
        <w:rPr>
          <w:rFonts w:asciiTheme="majorHAnsi" w:hAnsiTheme="majorHAnsi" w:cstheme="majorBidi"/>
        </w:rPr>
        <w:t>R</w:t>
      </w:r>
      <w:r w:rsidRPr="6B8A8730">
        <w:rPr>
          <w:rFonts w:asciiTheme="majorHAnsi" w:hAnsiTheme="majorHAnsi" w:cstheme="majorBidi"/>
        </w:rPr>
        <w:t>ecovery in Victoria 2015–16 (part of the Victorian Recycling Industry Annual Survey 2015–16)</w:t>
      </w:r>
      <w:r w:rsidR="00C020D7">
        <w:rPr>
          <w:rFonts w:asciiTheme="majorHAnsi" w:hAnsiTheme="majorHAnsi" w:cstheme="majorBidi"/>
        </w:rPr>
        <w:t xml:space="preserve"> </w:t>
      </w:r>
      <w:r w:rsidR="00C020D7">
        <w:rPr>
          <w:rFonts w:asciiTheme="majorHAnsi" w:hAnsiTheme="majorHAnsi" w:cstheme="majorHAnsi"/>
        </w:rPr>
        <w:t>(XLSX)</w:t>
      </w:r>
    </w:p>
    <w:p w14:paraId="364D1765" w14:textId="301EA564"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Local Government Annual Survey 2013–14 (census of all 79 Victorian Local Governments)</w:t>
      </w:r>
      <w:r w:rsidR="002E6C0E">
        <w:rPr>
          <w:rFonts w:asciiTheme="majorHAnsi" w:hAnsiTheme="majorHAnsi" w:cstheme="majorHAnsi"/>
        </w:rPr>
        <w:t xml:space="preserve"> (ASP)</w:t>
      </w:r>
    </w:p>
    <w:p w14:paraId="46874E77" w14:textId="449DE680"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Local Government Annual Waste Service Workbook 2015–16</w:t>
      </w:r>
      <w:r w:rsidR="002E6C0E">
        <w:rPr>
          <w:rFonts w:asciiTheme="majorHAnsi" w:hAnsiTheme="majorHAnsi" w:cstheme="majorHAnsi"/>
        </w:rPr>
        <w:t xml:space="preserve"> (XLSX)</w:t>
      </w:r>
    </w:p>
    <w:p w14:paraId="4FD9FDBA" w14:textId="402F62DD"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lastRenderedPageBreak/>
        <w:t>Victorian Local Government Annual Waste Service Workbook 2016–17</w:t>
      </w:r>
      <w:r w:rsidR="002E6C0E">
        <w:rPr>
          <w:rFonts w:asciiTheme="majorHAnsi" w:hAnsiTheme="majorHAnsi" w:cstheme="majorHAnsi"/>
        </w:rPr>
        <w:t xml:space="preserve"> (XLSX)</w:t>
      </w:r>
    </w:p>
    <w:p w14:paraId="78E7A1E2" w14:textId="78F1BC2C"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Recycling Industry Waste Services Workbook 2016–17</w:t>
      </w:r>
      <w:r w:rsidR="002E6C0E">
        <w:rPr>
          <w:rFonts w:asciiTheme="majorHAnsi" w:hAnsiTheme="majorHAnsi" w:cstheme="majorHAnsi"/>
        </w:rPr>
        <w:t xml:space="preserve"> (XLSX)</w:t>
      </w:r>
    </w:p>
    <w:p w14:paraId="693A48B8" w14:textId="22C203FD"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 xml:space="preserve">Rubber </w:t>
      </w:r>
      <w:r w:rsidR="004B05E2" w:rsidRPr="0012521E">
        <w:rPr>
          <w:rFonts w:asciiTheme="majorHAnsi" w:hAnsiTheme="majorHAnsi" w:cstheme="majorHAnsi"/>
        </w:rPr>
        <w:t>Reco</w:t>
      </w:r>
      <w:r w:rsidRPr="0012521E">
        <w:rPr>
          <w:rFonts w:asciiTheme="majorHAnsi" w:hAnsiTheme="majorHAnsi" w:cstheme="majorHAnsi"/>
        </w:rPr>
        <w:t>very in Victoria 2015–16 (part of the Victorian Recycling Industry Annual Survey 2015–16)</w:t>
      </w:r>
      <w:r w:rsidR="002E6C0E">
        <w:rPr>
          <w:rFonts w:asciiTheme="majorHAnsi" w:hAnsiTheme="majorHAnsi" w:cstheme="majorHAnsi"/>
        </w:rPr>
        <w:t xml:space="preserve"> (XLSX)</w:t>
      </w:r>
    </w:p>
    <w:p w14:paraId="7C04B127" w14:textId="22B9B0CC"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 xml:space="preserve">Plastics </w:t>
      </w:r>
      <w:r w:rsidR="004B05E2" w:rsidRPr="0012521E">
        <w:rPr>
          <w:rFonts w:asciiTheme="majorHAnsi" w:hAnsiTheme="majorHAnsi" w:cstheme="majorHAnsi"/>
        </w:rPr>
        <w:t>Reco</w:t>
      </w:r>
      <w:r w:rsidRPr="0012521E">
        <w:rPr>
          <w:rFonts w:asciiTheme="majorHAnsi" w:hAnsiTheme="majorHAnsi" w:cstheme="majorHAnsi"/>
        </w:rPr>
        <w:t>very in Victoria 2015–16 (part of the Victorian Recycling Industry Annual Survey 2015–16)</w:t>
      </w:r>
      <w:r w:rsidR="002E6C0E">
        <w:rPr>
          <w:rFonts w:asciiTheme="majorHAnsi" w:hAnsiTheme="majorHAnsi" w:cstheme="majorHAnsi"/>
        </w:rPr>
        <w:t xml:space="preserve"> (XLSX)</w:t>
      </w:r>
    </w:p>
    <w:p w14:paraId="5B0D1E1A" w14:textId="254C6CEF"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 xml:space="preserve">Organics </w:t>
      </w:r>
      <w:r w:rsidR="005357A6">
        <w:rPr>
          <w:rFonts w:asciiTheme="majorHAnsi" w:hAnsiTheme="majorHAnsi" w:cstheme="majorHAnsi"/>
        </w:rPr>
        <w:t>R</w:t>
      </w:r>
      <w:r w:rsidRPr="0012521E">
        <w:rPr>
          <w:rFonts w:asciiTheme="majorHAnsi" w:hAnsiTheme="majorHAnsi" w:cstheme="majorHAnsi"/>
        </w:rPr>
        <w:t>ecovery in Victoria 2015–16 (part of the Victorian Recycling Industry Annual Survey 2015–16)</w:t>
      </w:r>
      <w:r w:rsidR="00D74AD7">
        <w:rPr>
          <w:rFonts w:asciiTheme="majorHAnsi" w:hAnsiTheme="majorHAnsi" w:cstheme="majorHAnsi"/>
        </w:rPr>
        <w:t xml:space="preserve"> </w:t>
      </w:r>
      <w:r w:rsidR="002E6C0E">
        <w:rPr>
          <w:rFonts w:asciiTheme="majorHAnsi" w:hAnsiTheme="majorHAnsi" w:cstheme="majorHAnsi"/>
        </w:rPr>
        <w:t>(XLSX)</w:t>
      </w:r>
    </w:p>
    <w:p w14:paraId="2148ABE1" w14:textId="76007E9B"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 xml:space="preserve">LCA </w:t>
      </w:r>
      <w:r w:rsidR="005357A6" w:rsidRPr="0012521E">
        <w:rPr>
          <w:rFonts w:asciiTheme="majorHAnsi" w:hAnsiTheme="majorHAnsi" w:cstheme="majorHAnsi"/>
        </w:rPr>
        <w:t>Kerbside Recycling Calculator</w:t>
      </w:r>
      <w:r w:rsidRPr="0012521E">
        <w:rPr>
          <w:rFonts w:asciiTheme="majorHAnsi" w:hAnsiTheme="majorHAnsi" w:cstheme="majorHAnsi"/>
        </w:rPr>
        <w:t>: to determine the environmental benefits of recycling</w:t>
      </w:r>
      <w:r w:rsidR="00D74AD7">
        <w:rPr>
          <w:rFonts w:asciiTheme="majorHAnsi" w:hAnsiTheme="majorHAnsi" w:cstheme="majorHAnsi"/>
        </w:rPr>
        <w:t xml:space="preserve"> (data tool)</w:t>
      </w:r>
    </w:p>
    <w:p w14:paraId="7BF6A7CF" w14:textId="0481B187"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 xml:space="preserve">Glass </w:t>
      </w:r>
      <w:r w:rsidR="005357A6">
        <w:rPr>
          <w:rFonts w:asciiTheme="majorHAnsi" w:hAnsiTheme="majorHAnsi" w:cstheme="majorHAnsi"/>
        </w:rPr>
        <w:t>R</w:t>
      </w:r>
      <w:r w:rsidRPr="0012521E">
        <w:rPr>
          <w:rFonts w:asciiTheme="majorHAnsi" w:hAnsiTheme="majorHAnsi" w:cstheme="majorHAnsi"/>
        </w:rPr>
        <w:t>ecovery in Victoria 2015–16 (part of the Victorian Recycling Industry Annual Survey 2015–16)</w:t>
      </w:r>
      <w:r w:rsidR="00806C02">
        <w:rPr>
          <w:rFonts w:asciiTheme="majorHAnsi" w:hAnsiTheme="majorHAnsi" w:cstheme="majorHAnsi"/>
        </w:rPr>
        <w:t xml:space="preserve"> </w:t>
      </w:r>
      <w:r w:rsidR="00D74AD7">
        <w:rPr>
          <w:rFonts w:asciiTheme="majorHAnsi" w:hAnsiTheme="majorHAnsi" w:cstheme="majorHAnsi"/>
        </w:rPr>
        <w:t>(XLSX)</w:t>
      </w:r>
    </w:p>
    <w:p w14:paraId="40909E92" w14:textId="694B1966"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 xml:space="preserve">Paper and </w:t>
      </w:r>
      <w:r w:rsidR="005357A6" w:rsidRPr="0012521E">
        <w:rPr>
          <w:rFonts w:asciiTheme="majorHAnsi" w:hAnsiTheme="majorHAnsi" w:cstheme="majorHAnsi"/>
        </w:rPr>
        <w:t xml:space="preserve">Cardboard Recovery </w:t>
      </w:r>
      <w:r w:rsidRPr="0012521E">
        <w:rPr>
          <w:rFonts w:asciiTheme="majorHAnsi" w:hAnsiTheme="majorHAnsi" w:cstheme="majorHAnsi"/>
        </w:rPr>
        <w:t>in Victoria 2015–16 (part of the Victorian Recycling Industry Annual Survey 2015–16)</w:t>
      </w:r>
      <w:r w:rsidR="00806C02">
        <w:rPr>
          <w:rFonts w:asciiTheme="majorHAnsi" w:hAnsiTheme="majorHAnsi" w:cstheme="majorHAnsi"/>
        </w:rPr>
        <w:t xml:space="preserve"> (XLSX)</w:t>
      </w:r>
    </w:p>
    <w:p w14:paraId="07200FF3" w14:textId="74FA2F70"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Victorian Recycling Industry Annual Survey 2015–16</w:t>
      </w:r>
      <w:r w:rsidR="00710271">
        <w:rPr>
          <w:rFonts w:asciiTheme="majorHAnsi" w:hAnsiTheme="majorHAnsi" w:cstheme="majorHAnsi"/>
        </w:rPr>
        <w:t xml:space="preserve"> </w:t>
      </w:r>
      <w:r w:rsidR="00806C02">
        <w:rPr>
          <w:rFonts w:asciiTheme="majorHAnsi" w:hAnsiTheme="majorHAnsi" w:cstheme="majorHAnsi"/>
        </w:rPr>
        <w:t>(XLSX)</w:t>
      </w:r>
    </w:p>
    <w:p w14:paraId="741086A3" w14:textId="18761FE9"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 xml:space="preserve">Metal </w:t>
      </w:r>
      <w:r w:rsidR="005357A6">
        <w:rPr>
          <w:rFonts w:asciiTheme="majorHAnsi" w:hAnsiTheme="majorHAnsi" w:cstheme="majorHAnsi"/>
        </w:rPr>
        <w:t>R</w:t>
      </w:r>
      <w:r w:rsidRPr="0012521E">
        <w:rPr>
          <w:rFonts w:asciiTheme="majorHAnsi" w:hAnsiTheme="majorHAnsi" w:cstheme="majorHAnsi"/>
        </w:rPr>
        <w:t>ecovery in Victoria 2015–16 (part of the Victorian Recycling Industry Annual Survey 2015–16)</w:t>
      </w:r>
      <w:r w:rsidR="00710271">
        <w:rPr>
          <w:rFonts w:asciiTheme="majorHAnsi" w:hAnsiTheme="majorHAnsi" w:cstheme="majorHAnsi"/>
        </w:rPr>
        <w:t xml:space="preserve"> (XLSX)</w:t>
      </w:r>
      <w:r w:rsidR="00A95B4D">
        <w:rPr>
          <w:rFonts w:asciiTheme="majorHAnsi" w:hAnsiTheme="majorHAnsi" w:cstheme="majorHAnsi"/>
        </w:rPr>
        <w:t xml:space="preserve"> </w:t>
      </w:r>
    </w:p>
    <w:p w14:paraId="4F91DA3E" w14:textId="09A98850" w:rsidR="003A694A" w:rsidRPr="00A95B4D"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2001–02 to 2007–08 Local Government Materials and Recycling Services Survey</w:t>
      </w:r>
      <w:r w:rsidR="00A95B4D">
        <w:rPr>
          <w:rFonts w:asciiTheme="majorHAnsi" w:hAnsiTheme="majorHAnsi" w:cstheme="majorHAnsi"/>
        </w:rPr>
        <w:t xml:space="preserve"> </w:t>
      </w:r>
      <w:r w:rsidRPr="00A95B4D">
        <w:rPr>
          <w:rFonts w:asciiTheme="majorHAnsi" w:hAnsiTheme="majorHAnsi" w:cstheme="majorHAnsi"/>
        </w:rPr>
        <w:t>Solar Report</w:t>
      </w:r>
      <w:r w:rsidR="00A95B4D" w:rsidRPr="00A95B4D">
        <w:rPr>
          <w:rFonts w:asciiTheme="majorHAnsi" w:hAnsiTheme="majorHAnsi" w:cstheme="majorHAnsi"/>
        </w:rPr>
        <w:t xml:space="preserve"> </w:t>
      </w:r>
      <w:r w:rsidR="00A95B4D">
        <w:rPr>
          <w:rFonts w:asciiTheme="majorHAnsi" w:hAnsiTheme="majorHAnsi" w:cstheme="majorHAnsi"/>
        </w:rPr>
        <w:t>(ASP)</w:t>
      </w:r>
    </w:p>
    <w:p w14:paraId="296E6BDE" w14:textId="32DD6D21"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2009 Green Light Report - Environmental Attitudes Survey</w:t>
      </w:r>
      <w:r w:rsidR="00D03DCF">
        <w:rPr>
          <w:rFonts w:asciiTheme="majorHAnsi" w:hAnsiTheme="majorHAnsi" w:cstheme="majorHAnsi"/>
        </w:rPr>
        <w:t xml:space="preserve"> (</w:t>
      </w:r>
      <w:r w:rsidR="00A95B4D">
        <w:rPr>
          <w:rFonts w:asciiTheme="majorHAnsi" w:hAnsiTheme="majorHAnsi" w:cstheme="majorHAnsi"/>
        </w:rPr>
        <w:t>ASP)</w:t>
      </w:r>
    </w:p>
    <w:p w14:paraId="0C2CFA58" w14:textId="090F9660" w:rsidR="003A694A" w:rsidRPr="0012521E" w:rsidRDefault="003A694A" w:rsidP="00C356CE">
      <w:pPr>
        <w:pStyle w:val="ListBullet"/>
        <w:numPr>
          <w:ilvl w:val="0"/>
          <w:numId w:val="1"/>
        </w:numPr>
        <w:spacing w:after="120" w:line="259" w:lineRule="auto"/>
        <w:rPr>
          <w:rFonts w:asciiTheme="majorHAnsi" w:hAnsiTheme="majorHAnsi" w:cstheme="majorHAnsi"/>
        </w:rPr>
      </w:pPr>
      <w:proofErr w:type="spellStart"/>
      <w:r w:rsidRPr="0012521E">
        <w:rPr>
          <w:rFonts w:asciiTheme="majorHAnsi" w:hAnsiTheme="majorHAnsi" w:cstheme="majorHAnsi"/>
        </w:rPr>
        <w:t>Byteback</w:t>
      </w:r>
      <w:proofErr w:type="spellEnd"/>
      <w:r w:rsidRPr="0012521E">
        <w:rPr>
          <w:rFonts w:asciiTheme="majorHAnsi" w:hAnsiTheme="majorHAnsi" w:cstheme="majorHAnsi"/>
        </w:rPr>
        <w:t xml:space="preserve"> Drop-Off Points</w:t>
      </w:r>
      <w:r w:rsidR="00D03DCF">
        <w:rPr>
          <w:rFonts w:asciiTheme="majorHAnsi" w:hAnsiTheme="majorHAnsi" w:cstheme="majorHAnsi"/>
        </w:rPr>
        <w:t xml:space="preserve"> (ASP)</w:t>
      </w:r>
    </w:p>
    <w:p w14:paraId="348CBB84" w14:textId="4E37816A"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ResourceSmart Retailers</w:t>
      </w:r>
      <w:r w:rsidR="00D03DCF">
        <w:rPr>
          <w:rFonts w:asciiTheme="majorHAnsi" w:hAnsiTheme="majorHAnsi" w:cstheme="majorHAnsi"/>
        </w:rPr>
        <w:t xml:space="preserve"> (ASP)</w:t>
      </w:r>
    </w:p>
    <w:p w14:paraId="16027D9D" w14:textId="0AE522AF" w:rsidR="003A694A" w:rsidRPr="0012521E" w:rsidRDefault="003A694A" w:rsidP="00C356CE">
      <w:pPr>
        <w:pStyle w:val="ListBullet"/>
        <w:numPr>
          <w:ilvl w:val="0"/>
          <w:numId w:val="1"/>
        </w:numPr>
        <w:spacing w:after="120" w:line="259" w:lineRule="auto"/>
        <w:rPr>
          <w:rFonts w:asciiTheme="majorHAnsi" w:hAnsiTheme="majorHAnsi" w:cstheme="majorHAnsi"/>
        </w:rPr>
      </w:pPr>
      <w:r w:rsidRPr="0012521E">
        <w:rPr>
          <w:rFonts w:asciiTheme="majorHAnsi" w:hAnsiTheme="majorHAnsi" w:cstheme="majorHAnsi"/>
        </w:rPr>
        <w:t>Detox your Home Disposal Points</w:t>
      </w:r>
      <w:r w:rsidR="00D03DCF">
        <w:rPr>
          <w:rFonts w:asciiTheme="majorHAnsi" w:hAnsiTheme="majorHAnsi" w:cstheme="majorHAnsi"/>
        </w:rPr>
        <w:t xml:space="preserve"> (ASP)</w:t>
      </w:r>
    </w:p>
    <w:p w14:paraId="7899AE86" w14:textId="77777777" w:rsidR="003A694A" w:rsidRPr="0012521E" w:rsidRDefault="003A694A" w:rsidP="003A694A">
      <w:pPr>
        <w:pStyle w:val="Heading2"/>
      </w:pPr>
      <w:bookmarkStart w:id="294" w:name="_Toc144884481"/>
      <w:bookmarkStart w:id="295" w:name="_Toc166585770"/>
      <w:r w:rsidRPr="0012521E">
        <w:t>Privacy and Data Protection Act</w:t>
      </w:r>
      <w:bookmarkEnd w:id="266"/>
      <w:bookmarkEnd w:id="267"/>
      <w:bookmarkEnd w:id="294"/>
      <w:bookmarkEnd w:id="295"/>
    </w:p>
    <w:p w14:paraId="3AC93740" w14:textId="77777777" w:rsidR="003A694A" w:rsidRPr="0012521E" w:rsidRDefault="003A694A" w:rsidP="003A694A">
      <w:pPr>
        <w:rPr>
          <w:rFonts w:asciiTheme="majorHAnsi" w:hAnsiTheme="majorHAnsi" w:cstheme="majorHAnsi"/>
        </w:rPr>
      </w:pPr>
      <w:r w:rsidRPr="0012521E">
        <w:rPr>
          <w:rFonts w:asciiTheme="majorHAnsi" w:hAnsiTheme="majorHAnsi" w:cstheme="majorHAnsi"/>
        </w:rPr>
        <w:t xml:space="preserve">SV collects and uses customer information according to our Privacy Statement and the </w:t>
      </w:r>
      <w:r w:rsidRPr="0012521E">
        <w:rPr>
          <w:rFonts w:asciiTheme="majorHAnsi" w:hAnsiTheme="majorHAnsi" w:cstheme="majorHAnsi"/>
          <w:i/>
        </w:rPr>
        <w:t>Privacy and Data Protection Act 2014</w:t>
      </w:r>
      <w:r w:rsidRPr="0012521E">
        <w:rPr>
          <w:rFonts w:asciiTheme="majorHAnsi" w:hAnsiTheme="majorHAnsi" w:cstheme="majorHAnsi"/>
        </w:rPr>
        <w:t>. For a copy of the Privacy Statement, visit sustainability.vic.gov.au, call (03) 8626 8700 or email privacy@sustainability.vic.gov.au.</w:t>
      </w:r>
    </w:p>
    <w:p w14:paraId="545973BB" w14:textId="472D6E08" w:rsidR="003A694A" w:rsidRPr="0012521E" w:rsidRDefault="003A694A" w:rsidP="003A694A">
      <w:pPr>
        <w:rPr>
          <w:rFonts w:asciiTheme="majorHAnsi" w:hAnsiTheme="majorHAnsi" w:cstheme="majorHAnsi"/>
          <w:color w:val="000000"/>
          <w:sz w:val="24"/>
          <w:szCs w:val="24"/>
        </w:rPr>
      </w:pPr>
      <w:r w:rsidRPr="003676C5">
        <w:rPr>
          <w:rFonts w:asciiTheme="majorHAnsi" w:hAnsiTheme="majorHAnsi" w:cstheme="majorHAnsi"/>
        </w:rPr>
        <w:t>SV received no privacy enquiries in 202</w:t>
      </w:r>
      <w:r w:rsidR="00B76473" w:rsidRPr="003676C5">
        <w:rPr>
          <w:rFonts w:asciiTheme="majorHAnsi" w:hAnsiTheme="majorHAnsi" w:cstheme="majorHAnsi"/>
        </w:rPr>
        <w:t>3</w:t>
      </w:r>
      <w:r w:rsidRPr="003676C5">
        <w:rPr>
          <w:rFonts w:asciiTheme="majorHAnsi" w:hAnsiTheme="majorHAnsi" w:cstheme="majorHAnsi"/>
        </w:rPr>
        <w:t>–2</w:t>
      </w:r>
      <w:r w:rsidR="00B76473" w:rsidRPr="003676C5">
        <w:rPr>
          <w:rFonts w:asciiTheme="majorHAnsi" w:hAnsiTheme="majorHAnsi" w:cstheme="majorHAnsi"/>
        </w:rPr>
        <w:t>4</w:t>
      </w:r>
      <w:r w:rsidRPr="003676C5">
        <w:rPr>
          <w:rFonts w:asciiTheme="majorHAnsi" w:hAnsiTheme="majorHAnsi" w:cstheme="majorHAnsi"/>
        </w:rPr>
        <w:t xml:space="preserve"> requesting SV to remove all or any personal information being held in respect of the individual.</w:t>
      </w:r>
      <w:bookmarkStart w:id="296" w:name="_Toc56627356"/>
      <w:bookmarkStart w:id="297" w:name="_Toc57039891"/>
      <w:bookmarkStart w:id="298" w:name="_Toc56627357"/>
      <w:bookmarkStart w:id="299" w:name="_Toc57039892"/>
    </w:p>
    <w:p w14:paraId="06B9B2D7" w14:textId="77777777" w:rsidR="003A694A" w:rsidRPr="0012521E" w:rsidRDefault="003A694A" w:rsidP="003A694A">
      <w:pPr>
        <w:rPr>
          <w:rFonts w:asciiTheme="majorHAnsi" w:eastAsiaTheme="majorEastAsia" w:hAnsiTheme="majorHAnsi" w:cstheme="majorHAnsi"/>
          <w:color w:val="174F37"/>
          <w:sz w:val="34"/>
          <w:szCs w:val="34"/>
        </w:rPr>
      </w:pPr>
      <w:r w:rsidRPr="0012521E">
        <w:rPr>
          <w:rFonts w:asciiTheme="majorHAnsi" w:hAnsiTheme="majorHAnsi" w:cstheme="majorHAnsi"/>
        </w:rPr>
        <w:br w:type="page"/>
      </w:r>
    </w:p>
    <w:p w14:paraId="1D0E96C8" w14:textId="77777777" w:rsidR="003A694A" w:rsidRDefault="003A694A" w:rsidP="003A694A">
      <w:pPr>
        <w:pStyle w:val="Heading2"/>
      </w:pPr>
      <w:bookmarkStart w:id="300" w:name="_Ref144879925"/>
      <w:bookmarkStart w:id="301" w:name="_Toc144884482"/>
      <w:bookmarkStart w:id="302" w:name="_Toc166585771"/>
      <w:r w:rsidRPr="0012521E">
        <w:lastRenderedPageBreak/>
        <w:t>Asset Management Accountability Framework maturity assessment</w:t>
      </w:r>
      <w:bookmarkEnd w:id="300"/>
      <w:bookmarkEnd w:id="301"/>
      <w:bookmarkEnd w:id="302"/>
    </w:p>
    <w:p w14:paraId="1A0F3702" w14:textId="77777777" w:rsidR="00EC29AB" w:rsidRPr="00EC29AB" w:rsidRDefault="00EC29AB" w:rsidP="00EC29AB">
      <w:pPr>
        <w:pStyle w:val="Caption"/>
        <w:rPr>
          <w:rFonts w:asciiTheme="minorHAnsi" w:eastAsiaTheme="minorEastAsia" w:hAnsiTheme="minorHAnsi" w:cstheme="minorHAnsi"/>
          <w:color w:val="auto"/>
          <w:szCs w:val="20"/>
          <w:lang w:eastAsia="en-AU"/>
        </w:rPr>
      </w:pPr>
      <w:r w:rsidRPr="00EC29AB">
        <w:rPr>
          <w:rFonts w:asciiTheme="minorHAnsi" w:eastAsiaTheme="minorEastAsia" w:hAnsiTheme="minorHAnsi" w:cstheme="minorHAnsi"/>
          <w:color w:val="auto"/>
          <w:szCs w:val="20"/>
          <w:lang w:eastAsia="en-AU"/>
        </w:rPr>
        <w:t xml:space="preserve">The following sections summarise Sustainability Victoria’s assessment of maturity against the requirements of the Asset Management Accountability Framework (AMAF). The AMAF is a non-prescriptive, devolved accountability model of asset management that requires compliance with 41 mandatory requirements. These requirements can be found on the Department of Treasury and Finance (DTF) website. </w:t>
      </w:r>
    </w:p>
    <w:p w14:paraId="54BE0744" w14:textId="77777777" w:rsidR="00EC29AB" w:rsidRPr="00EC29AB" w:rsidRDefault="00EC29AB" w:rsidP="00EC29AB">
      <w:pPr>
        <w:pStyle w:val="Caption"/>
        <w:rPr>
          <w:rFonts w:asciiTheme="minorHAnsi" w:eastAsiaTheme="minorEastAsia" w:hAnsiTheme="minorHAnsi" w:cstheme="minorHAnsi"/>
          <w:color w:val="auto"/>
          <w:szCs w:val="20"/>
          <w:lang w:eastAsia="en-AU"/>
        </w:rPr>
      </w:pPr>
      <w:r w:rsidRPr="00EC29AB">
        <w:rPr>
          <w:rFonts w:asciiTheme="minorHAnsi" w:eastAsiaTheme="minorEastAsia" w:hAnsiTheme="minorHAnsi" w:cstheme="minorHAnsi"/>
          <w:color w:val="auto"/>
          <w:szCs w:val="20"/>
          <w:lang w:eastAsia="en-AU"/>
        </w:rPr>
        <w:t xml:space="preserve">Sustainability Victoria’s target maturity rating is ‘competence’, meaning systems and processes are fully in place, consistently applied and systematically meeting the AMAF requirement, including a continuous improvement process to expand system performance above AMAF minimum requirements. </w:t>
      </w:r>
    </w:p>
    <w:p w14:paraId="18E41270" w14:textId="77777777" w:rsidR="00EC29AB" w:rsidRDefault="00EC29AB" w:rsidP="00EC29AB">
      <w:pPr>
        <w:pStyle w:val="Caption"/>
        <w:rPr>
          <w:rFonts w:asciiTheme="minorHAnsi" w:eastAsiaTheme="minorEastAsia" w:hAnsiTheme="minorHAnsi" w:cstheme="minorHAnsi"/>
          <w:i w:val="0"/>
          <w:iCs w:val="0"/>
          <w:color w:val="auto"/>
          <w:szCs w:val="20"/>
          <w:lang w:eastAsia="en-AU"/>
        </w:rPr>
      </w:pPr>
      <w:r w:rsidRPr="00EC29AB">
        <w:rPr>
          <w:rFonts w:asciiTheme="minorHAnsi" w:eastAsiaTheme="minorEastAsia" w:hAnsiTheme="minorHAnsi" w:cstheme="minorHAnsi"/>
          <w:i w:val="0"/>
          <w:iCs w:val="0"/>
          <w:color w:val="auto"/>
          <w:szCs w:val="20"/>
          <w:lang w:eastAsia="en-AU"/>
        </w:rPr>
        <w:t xml:space="preserve">SV does not own or operate a substantial asset base, and none are assets for public use, being principally acquired to support our own operations. </w:t>
      </w:r>
    </w:p>
    <w:p w14:paraId="7C7D0138" w14:textId="77777777" w:rsidR="00C80AB2" w:rsidRDefault="003A694A" w:rsidP="00EC29AB">
      <w:pPr>
        <w:pStyle w:val="Caption"/>
        <w:rPr>
          <w:rFonts w:asciiTheme="majorHAnsi" w:hAnsiTheme="majorHAnsi" w:cstheme="majorHAnsi"/>
        </w:rPr>
      </w:pPr>
      <w:r w:rsidRPr="0012521E">
        <w:rPr>
          <w:rFonts w:asciiTheme="majorHAnsi" w:hAnsiTheme="majorHAnsi" w:cstheme="majorHAnsi"/>
        </w:rPr>
        <w:t xml:space="preserve">Figure </w:t>
      </w:r>
      <w:r w:rsidRPr="0012521E">
        <w:rPr>
          <w:rFonts w:asciiTheme="majorHAnsi" w:hAnsiTheme="majorHAnsi" w:cstheme="majorHAnsi"/>
          <w:i w:val="0"/>
          <w:iCs w:val="0"/>
        </w:rPr>
        <w:fldChar w:fldCharType="begin"/>
      </w:r>
      <w:r w:rsidRPr="0012521E">
        <w:rPr>
          <w:rFonts w:asciiTheme="majorHAnsi" w:hAnsiTheme="majorHAnsi" w:cstheme="majorHAnsi"/>
        </w:rPr>
        <w:instrText>SEQ Figure \* ARABIC</w:instrText>
      </w:r>
      <w:r w:rsidRPr="0012521E">
        <w:rPr>
          <w:rFonts w:asciiTheme="majorHAnsi" w:hAnsiTheme="majorHAnsi" w:cstheme="majorHAnsi"/>
          <w:i w:val="0"/>
          <w:iCs w:val="0"/>
        </w:rPr>
        <w:fldChar w:fldCharType="separate"/>
      </w:r>
      <w:r w:rsidR="00EB70DF">
        <w:rPr>
          <w:rFonts w:asciiTheme="majorHAnsi" w:hAnsiTheme="majorHAnsi" w:cstheme="majorHAnsi"/>
          <w:noProof/>
        </w:rPr>
        <w:t>3</w:t>
      </w:r>
      <w:r w:rsidRPr="0012521E">
        <w:rPr>
          <w:rFonts w:asciiTheme="majorHAnsi" w:hAnsiTheme="majorHAnsi" w:cstheme="majorHAnsi"/>
          <w:i w:val="0"/>
          <w:iCs w:val="0"/>
        </w:rPr>
        <w:fldChar w:fldCharType="end"/>
      </w:r>
      <w:r w:rsidRPr="0012521E">
        <w:rPr>
          <w:rFonts w:asciiTheme="majorHAnsi" w:hAnsiTheme="majorHAnsi" w:cstheme="majorHAnsi"/>
        </w:rPr>
        <w:t>: AMAF maturity assessment</w:t>
      </w:r>
    </w:p>
    <w:p w14:paraId="14C63C67" w14:textId="5601B0C3" w:rsidR="003A694A" w:rsidRPr="00FC5214" w:rsidRDefault="00C80AB2" w:rsidP="00EC29AB">
      <w:pPr>
        <w:pStyle w:val="Caption"/>
        <w:rPr>
          <w:rFonts w:asciiTheme="majorHAnsi" w:hAnsiTheme="majorHAnsi" w:cstheme="majorHAnsi"/>
        </w:rPr>
      </w:pPr>
      <w:r>
        <w:rPr>
          <w:noProof/>
        </w:rPr>
        <w:drawing>
          <wp:inline distT="0" distB="0" distL="0" distR="0" wp14:anchorId="19E71304" wp14:editId="14B6DA46">
            <wp:extent cx="3279473" cy="5513696"/>
            <wp:effectExtent l="0" t="0" r="0" b="0"/>
            <wp:docPr id="1085569721" name="Picture 1"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69721" name="Picture 1" descr="A graph on a screen&#10;&#10;Description automatically generated"/>
                    <pic:cNvPicPr/>
                  </pic:nvPicPr>
                  <pic:blipFill>
                    <a:blip r:embed="rId63"/>
                    <a:stretch>
                      <a:fillRect/>
                    </a:stretch>
                  </pic:blipFill>
                  <pic:spPr>
                    <a:xfrm>
                      <a:off x="0" y="0"/>
                      <a:ext cx="3289848" cy="5531139"/>
                    </a:xfrm>
                    <a:prstGeom prst="rect">
                      <a:avLst/>
                    </a:prstGeom>
                  </pic:spPr>
                </pic:pic>
              </a:graphicData>
            </a:graphic>
          </wp:inline>
        </w:drawing>
      </w:r>
      <w:r w:rsidR="003A694A" w:rsidRPr="0012521E">
        <w:rPr>
          <w:highlight w:val="yellow"/>
        </w:rPr>
        <w:br w:type="page"/>
      </w:r>
    </w:p>
    <w:p w14:paraId="1407FA49" w14:textId="77777777" w:rsidR="003A694A" w:rsidRPr="0012521E" w:rsidRDefault="003A694A" w:rsidP="003A694A">
      <w:pPr>
        <w:pStyle w:val="Heading2"/>
      </w:pPr>
      <w:bookmarkStart w:id="303" w:name="_Toc144884483"/>
      <w:bookmarkStart w:id="304" w:name="_Toc166585772"/>
      <w:r w:rsidRPr="0012521E">
        <w:lastRenderedPageBreak/>
        <w:t>Leadership and accountability</w:t>
      </w:r>
      <w:bookmarkEnd w:id="303"/>
      <w:bookmarkEnd w:id="304"/>
    </w:p>
    <w:p w14:paraId="11198535" w14:textId="77777777" w:rsidR="003A694A" w:rsidRPr="004676AA" w:rsidRDefault="003A694A" w:rsidP="003A694A">
      <w:pPr>
        <w:rPr>
          <w:rFonts w:asciiTheme="majorHAnsi" w:hAnsiTheme="majorHAnsi" w:cstheme="majorHAnsi"/>
        </w:rPr>
      </w:pPr>
      <w:r w:rsidRPr="004676AA">
        <w:rPr>
          <w:rFonts w:asciiTheme="majorHAnsi" w:hAnsiTheme="majorHAnsi" w:cstheme="majorHAnsi"/>
        </w:rPr>
        <w:t>SV has met most of its objectives in this area.</w:t>
      </w:r>
    </w:p>
    <w:p w14:paraId="1B180F0F" w14:textId="77777777" w:rsidR="003A694A" w:rsidRPr="00FC5214" w:rsidRDefault="003A694A" w:rsidP="003A694A">
      <w:pPr>
        <w:rPr>
          <w:rFonts w:asciiTheme="majorHAnsi" w:hAnsiTheme="majorHAnsi" w:cstheme="majorHAnsi"/>
        </w:rPr>
      </w:pPr>
      <w:r w:rsidRPr="004676AA">
        <w:rPr>
          <w:rFonts w:asciiTheme="majorHAnsi" w:hAnsiTheme="majorHAnsi" w:cstheme="majorHAnsi"/>
        </w:rPr>
        <w:t>In relation to a one-off construction project, elements of the initial tender design were not compliant with the requirements of the Directions for Public Construction Procurement. A plan is in place to ensure that compliance can be assured in the rare circumstances when SV commits to public construction.</w:t>
      </w:r>
    </w:p>
    <w:p w14:paraId="05066CE6" w14:textId="77777777" w:rsidR="003A694A" w:rsidRPr="00FC5214" w:rsidRDefault="003A694A" w:rsidP="003A694A">
      <w:pPr>
        <w:pStyle w:val="Heading2"/>
      </w:pPr>
      <w:bookmarkStart w:id="305" w:name="_Toc144884484"/>
      <w:bookmarkStart w:id="306" w:name="_Toc166585773"/>
      <w:r w:rsidRPr="00FC5214">
        <w:t>Asset planning</w:t>
      </w:r>
      <w:bookmarkEnd w:id="305"/>
      <w:bookmarkEnd w:id="306"/>
    </w:p>
    <w:p w14:paraId="628C5ABE" w14:textId="77777777" w:rsidR="003A694A" w:rsidRPr="00FC5214" w:rsidRDefault="003A694A" w:rsidP="003A694A">
      <w:pPr>
        <w:rPr>
          <w:rFonts w:asciiTheme="majorHAnsi" w:hAnsiTheme="majorHAnsi" w:cstheme="majorHAnsi"/>
        </w:rPr>
      </w:pPr>
      <w:r w:rsidRPr="004676AA">
        <w:rPr>
          <w:rFonts w:asciiTheme="majorHAnsi" w:hAnsiTheme="majorHAnsi" w:cstheme="majorHAnsi"/>
        </w:rPr>
        <w:t>SV has met its objectives in this area.</w:t>
      </w:r>
    </w:p>
    <w:p w14:paraId="3D8204CA" w14:textId="77777777" w:rsidR="003A694A" w:rsidRPr="00FC5214" w:rsidRDefault="003A694A" w:rsidP="003A694A">
      <w:pPr>
        <w:pStyle w:val="Heading2"/>
      </w:pPr>
      <w:bookmarkStart w:id="307" w:name="_Toc144884485"/>
      <w:bookmarkStart w:id="308" w:name="_Toc166585774"/>
      <w:r w:rsidRPr="00FC5214">
        <w:t>Asset acquisition</w:t>
      </w:r>
      <w:bookmarkEnd w:id="307"/>
      <w:bookmarkEnd w:id="308"/>
    </w:p>
    <w:p w14:paraId="3FFE8416" w14:textId="77777777" w:rsidR="003A694A" w:rsidRPr="00FC5214" w:rsidRDefault="003A694A" w:rsidP="003A694A">
      <w:pPr>
        <w:rPr>
          <w:rFonts w:asciiTheme="majorHAnsi" w:hAnsiTheme="majorHAnsi" w:cstheme="majorHAnsi"/>
        </w:rPr>
      </w:pPr>
      <w:r w:rsidRPr="004676AA">
        <w:rPr>
          <w:rFonts w:asciiTheme="majorHAnsi" w:hAnsiTheme="majorHAnsi" w:cstheme="majorHAnsi"/>
        </w:rPr>
        <w:t>SV has met its objectives in this area.</w:t>
      </w:r>
    </w:p>
    <w:p w14:paraId="221E1D81" w14:textId="77777777" w:rsidR="003A694A" w:rsidRPr="00FC5214" w:rsidRDefault="003A694A" w:rsidP="003A694A">
      <w:pPr>
        <w:pStyle w:val="Heading2"/>
      </w:pPr>
      <w:bookmarkStart w:id="309" w:name="_Toc144884486"/>
      <w:bookmarkStart w:id="310" w:name="_Toc166585775"/>
      <w:r w:rsidRPr="00FC5214">
        <w:t>Asset operation</w:t>
      </w:r>
      <w:bookmarkEnd w:id="309"/>
      <w:bookmarkEnd w:id="310"/>
    </w:p>
    <w:p w14:paraId="785EABB6" w14:textId="77777777" w:rsidR="003A694A" w:rsidRPr="00FC5214" w:rsidRDefault="003A694A" w:rsidP="003A694A">
      <w:pPr>
        <w:rPr>
          <w:rFonts w:asciiTheme="majorHAnsi" w:hAnsiTheme="majorHAnsi" w:cstheme="majorHAnsi"/>
        </w:rPr>
      </w:pPr>
      <w:r w:rsidRPr="004676AA">
        <w:rPr>
          <w:rFonts w:asciiTheme="majorHAnsi" w:hAnsiTheme="majorHAnsi" w:cstheme="majorHAnsi"/>
        </w:rPr>
        <w:t>SV has met its objectives in this area.</w:t>
      </w:r>
    </w:p>
    <w:p w14:paraId="62EE5AC1" w14:textId="77777777" w:rsidR="003A694A" w:rsidRPr="00FC5214" w:rsidRDefault="003A694A" w:rsidP="003A694A">
      <w:pPr>
        <w:pStyle w:val="Heading2"/>
      </w:pPr>
      <w:bookmarkStart w:id="311" w:name="_Toc144884487"/>
      <w:bookmarkStart w:id="312" w:name="_Toc166585776"/>
      <w:r w:rsidRPr="00FC5214">
        <w:t>Asset disposal</w:t>
      </w:r>
      <w:bookmarkEnd w:id="311"/>
      <w:bookmarkEnd w:id="312"/>
    </w:p>
    <w:p w14:paraId="6D1C7ED8" w14:textId="77777777" w:rsidR="003A694A" w:rsidRPr="0012521E" w:rsidRDefault="003A694A" w:rsidP="003A694A">
      <w:pPr>
        <w:rPr>
          <w:rFonts w:asciiTheme="majorHAnsi" w:hAnsiTheme="majorHAnsi" w:cstheme="majorHAnsi"/>
          <w:color w:val="000000"/>
          <w:szCs w:val="20"/>
        </w:rPr>
      </w:pPr>
      <w:r w:rsidRPr="004676AA">
        <w:rPr>
          <w:rFonts w:asciiTheme="majorHAnsi" w:hAnsiTheme="majorHAnsi" w:cstheme="majorHAnsi"/>
        </w:rPr>
        <w:t>SV has met its objectives in this area</w:t>
      </w:r>
      <w:r w:rsidRPr="004676AA">
        <w:rPr>
          <w:rFonts w:asciiTheme="majorHAnsi" w:hAnsiTheme="majorHAnsi" w:cstheme="majorHAnsi"/>
          <w:color w:val="009D70" w:themeColor="accent2"/>
          <w:szCs w:val="20"/>
        </w:rPr>
        <w:t>.</w:t>
      </w:r>
    </w:p>
    <w:bookmarkEnd w:id="296"/>
    <w:bookmarkEnd w:id="297"/>
    <w:bookmarkEnd w:id="298"/>
    <w:bookmarkEnd w:id="299"/>
    <w:p w14:paraId="793B1169" w14:textId="77777777" w:rsidR="003A694A" w:rsidRPr="0012521E" w:rsidRDefault="003A694A" w:rsidP="003A694A">
      <w:pPr>
        <w:rPr>
          <w:rFonts w:asciiTheme="majorHAnsi" w:eastAsiaTheme="majorEastAsia" w:hAnsiTheme="majorHAnsi" w:cstheme="majorHAnsi"/>
          <w:color w:val="174F37"/>
          <w:sz w:val="52"/>
          <w:szCs w:val="52"/>
        </w:rPr>
      </w:pPr>
      <w:r w:rsidRPr="0012521E">
        <w:rPr>
          <w:rFonts w:asciiTheme="majorHAnsi" w:hAnsiTheme="majorHAnsi" w:cstheme="majorHAnsi"/>
        </w:rPr>
        <w:br w:type="page"/>
      </w:r>
    </w:p>
    <w:p w14:paraId="484213E9" w14:textId="5EBDCAF9" w:rsidR="00E22E7A" w:rsidRDefault="00E22E7A" w:rsidP="00E22E7A">
      <w:pPr>
        <w:pStyle w:val="Heading1"/>
        <w:rPr>
          <w:rFonts w:asciiTheme="majorHAnsi" w:hAnsiTheme="majorHAnsi"/>
        </w:rPr>
      </w:pPr>
      <w:bookmarkStart w:id="313" w:name="_Ref141115034"/>
      <w:bookmarkStart w:id="314" w:name="_Toc144883457"/>
      <w:bookmarkStart w:id="315" w:name="_Toc144884488"/>
      <w:bookmarkStart w:id="316" w:name="_Toc147395361"/>
      <w:bookmarkStart w:id="317" w:name="_Toc166585777"/>
      <w:bookmarkStart w:id="318" w:name="_Toc179469483"/>
      <w:r w:rsidRPr="6B8A8730">
        <w:rPr>
          <w:rFonts w:asciiTheme="majorHAnsi" w:hAnsiTheme="majorHAnsi"/>
        </w:rPr>
        <w:lastRenderedPageBreak/>
        <w:t>Annual financial statements</w:t>
      </w:r>
      <w:bookmarkEnd w:id="313"/>
      <w:bookmarkEnd w:id="314"/>
      <w:bookmarkEnd w:id="315"/>
      <w:bookmarkEnd w:id="316"/>
      <w:r w:rsidRPr="6B8A8730">
        <w:rPr>
          <w:rFonts w:asciiTheme="majorHAnsi" w:hAnsiTheme="majorHAnsi"/>
        </w:rPr>
        <w:t xml:space="preserve"> </w:t>
      </w:r>
      <w:r w:rsidRPr="6B8A8730" w:rsidDel="007B4783">
        <w:rPr>
          <w:rFonts w:asciiTheme="majorHAnsi" w:hAnsiTheme="majorHAnsi"/>
        </w:rPr>
        <w:t>2023</w:t>
      </w:r>
      <w:bookmarkEnd w:id="317"/>
      <w:r w:rsidR="007B4783" w:rsidRPr="6B8A8730">
        <w:rPr>
          <w:rFonts w:asciiTheme="majorHAnsi" w:hAnsiTheme="majorHAnsi"/>
        </w:rPr>
        <w:t>–24</w:t>
      </w:r>
      <w:bookmarkEnd w:id="318"/>
    </w:p>
    <w:p w14:paraId="24408B1C" w14:textId="1AE764B4" w:rsidR="005C5CED" w:rsidRPr="005C5CED" w:rsidRDefault="005C5CED" w:rsidP="00196A67">
      <w:pPr>
        <w:spacing w:line="259" w:lineRule="auto"/>
        <w:rPr>
          <w:rFonts w:eastAsia="Yu Gothic Light" w:cs="Times New Roman"/>
          <w:b/>
          <w:bCs/>
          <w:color w:val="174F37"/>
          <w:sz w:val="34"/>
          <w:szCs w:val="34"/>
          <w:lang w:eastAsia="en-AU"/>
        </w:rPr>
      </w:pPr>
      <w:r w:rsidRPr="005C5CED">
        <w:rPr>
          <w:rFonts w:eastAsia="Yu Gothic Light" w:cs="Times New Roman"/>
          <w:b/>
          <w:bCs/>
          <w:color w:val="174F37"/>
          <w:sz w:val="34"/>
          <w:szCs w:val="34"/>
          <w:lang w:eastAsia="en-AU"/>
        </w:rPr>
        <w:t>How this report is structured</w:t>
      </w:r>
    </w:p>
    <w:p w14:paraId="5B2564A5"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has presented its audited general purpose financial statements for the financial year ended 30 June 2024 in the following structure to provide users with the information about Sustainability Victoria’s stewardship of resources entrusted to it:</w:t>
      </w:r>
    </w:p>
    <w:p w14:paraId="449305FA" w14:textId="77777777" w:rsidR="005C5CED" w:rsidRPr="005C5CED" w:rsidRDefault="005C5CED" w:rsidP="005C5CED">
      <w:pPr>
        <w:spacing w:after="120" w:line="259" w:lineRule="auto"/>
        <w:rPr>
          <w:rFonts w:eastAsia="Calibri" w:cs="Arial"/>
          <w:color w:val="auto"/>
          <w:sz w:val="16"/>
          <w:szCs w:val="16"/>
        </w:rPr>
      </w:pPr>
    </w:p>
    <w:p w14:paraId="57592135" w14:textId="77777777" w:rsidR="005C5CED" w:rsidRPr="005C5CED" w:rsidRDefault="005C5CED" w:rsidP="005C5CED">
      <w:pPr>
        <w:spacing w:after="120" w:line="259" w:lineRule="auto"/>
        <w:rPr>
          <w:rFonts w:eastAsia="Calibri" w:cs="Arial"/>
          <w:color w:val="auto"/>
          <w:sz w:val="16"/>
          <w:szCs w:val="16"/>
        </w:rPr>
      </w:pPr>
    </w:p>
    <w:tbl>
      <w:tblPr>
        <w:tblW w:w="10065" w:type="dxa"/>
        <w:tblLook w:val="04A0" w:firstRow="1" w:lastRow="0" w:firstColumn="1" w:lastColumn="0" w:noHBand="0" w:noVBand="1"/>
      </w:tblPr>
      <w:tblGrid>
        <w:gridCol w:w="2127"/>
        <w:gridCol w:w="1701"/>
        <w:gridCol w:w="6237"/>
      </w:tblGrid>
      <w:tr w:rsidR="005C5CED" w:rsidRPr="005C5CED" w14:paraId="43B80AAF" w14:textId="77777777" w:rsidTr="0062462F">
        <w:trPr>
          <w:trHeight w:val="225"/>
        </w:trPr>
        <w:tc>
          <w:tcPr>
            <w:tcW w:w="2127" w:type="dxa"/>
            <w:tcBorders>
              <w:top w:val="nil"/>
              <w:left w:val="nil"/>
              <w:bottom w:val="nil"/>
              <w:right w:val="nil"/>
            </w:tcBorders>
            <w:shd w:val="clear" w:color="auto" w:fill="auto"/>
            <w:vAlign w:val="center"/>
            <w:hideMark/>
          </w:tcPr>
          <w:p w14:paraId="115BE2D8" w14:textId="77777777" w:rsidR="005C5CED" w:rsidRPr="005C5CED" w:rsidRDefault="005C5CED" w:rsidP="005C5CED">
            <w:pPr>
              <w:spacing w:after="0" w:line="240" w:lineRule="auto"/>
              <w:rPr>
                <w:rFonts w:eastAsia="Times New Roman" w:cs="Arial"/>
                <w:b/>
                <w:bCs/>
                <w:color w:val="auto"/>
                <w:szCs w:val="20"/>
                <w:lang w:eastAsia="en-AU"/>
              </w:rPr>
            </w:pPr>
            <w:r w:rsidRPr="005C5CED">
              <w:rPr>
                <w:rFonts w:eastAsia="Times New Roman" w:cs="Arial"/>
                <w:b/>
                <w:bCs/>
                <w:color w:val="auto"/>
                <w:szCs w:val="20"/>
                <w:lang w:eastAsia="en-AU"/>
              </w:rPr>
              <w:t>Financial statements</w:t>
            </w:r>
          </w:p>
        </w:tc>
        <w:tc>
          <w:tcPr>
            <w:tcW w:w="7938" w:type="dxa"/>
            <w:gridSpan w:val="2"/>
            <w:tcBorders>
              <w:top w:val="nil"/>
              <w:left w:val="nil"/>
              <w:bottom w:val="nil"/>
              <w:right w:val="nil"/>
            </w:tcBorders>
            <w:shd w:val="clear" w:color="auto" w:fill="auto"/>
            <w:noWrap/>
            <w:vAlign w:val="center"/>
            <w:hideMark/>
          </w:tcPr>
          <w:p w14:paraId="0D1A443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Comprehensive Operating Statement</w:t>
            </w:r>
          </w:p>
        </w:tc>
      </w:tr>
      <w:tr w:rsidR="005C5CED" w:rsidRPr="005C5CED" w14:paraId="28C509BB" w14:textId="77777777" w:rsidTr="0062462F">
        <w:trPr>
          <w:trHeight w:val="225"/>
        </w:trPr>
        <w:tc>
          <w:tcPr>
            <w:tcW w:w="2127" w:type="dxa"/>
            <w:tcBorders>
              <w:top w:val="nil"/>
              <w:left w:val="nil"/>
              <w:bottom w:val="nil"/>
              <w:right w:val="nil"/>
            </w:tcBorders>
            <w:shd w:val="clear" w:color="auto" w:fill="auto"/>
            <w:vAlign w:val="center"/>
            <w:hideMark/>
          </w:tcPr>
          <w:p w14:paraId="067EBC76"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4710A90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Balance Sheet</w:t>
            </w:r>
          </w:p>
        </w:tc>
        <w:tc>
          <w:tcPr>
            <w:tcW w:w="6237" w:type="dxa"/>
            <w:tcBorders>
              <w:top w:val="nil"/>
              <w:left w:val="nil"/>
              <w:bottom w:val="nil"/>
              <w:right w:val="nil"/>
            </w:tcBorders>
            <w:shd w:val="clear" w:color="auto" w:fill="auto"/>
            <w:noWrap/>
            <w:vAlign w:val="center"/>
            <w:hideMark/>
          </w:tcPr>
          <w:p w14:paraId="653120D2" w14:textId="77777777" w:rsidR="005C5CED" w:rsidRPr="005C5CED" w:rsidRDefault="005C5CED" w:rsidP="005C5CED">
            <w:pPr>
              <w:spacing w:after="0" w:line="240" w:lineRule="auto"/>
              <w:rPr>
                <w:rFonts w:eastAsia="Times New Roman" w:cs="Arial"/>
                <w:color w:val="auto"/>
                <w:sz w:val="16"/>
                <w:szCs w:val="16"/>
                <w:lang w:eastAsia="en-AU"/>
              </w:rPr>
            </w:pPr>
          </w:p>
        </w:tc>
      </w:tr>
      <w:tr w:rsidR="005C5CED" w:rsidRPr="005C5CED" w14:paraId="2B496E1E" w14:textId="77777777" w:rsidTr="0062462F">
        <w:trPr>
          <w:trHeight w:val="225"/>
        </w:trPr>
        <w:tc>
          <w:tcPr>
            <w:tcW w:w="2127" w:type="dxa"/>
            <w:tcBorders>
              <w:top w:val="nil"/>
              <w:left w:val="nil"/>
              <w:bottom w:val="nil"/>
              <w:right w:val="nil"/>
            </w:tcBorders>
            <w:shd w:val="clear" w:color="auto" w:fill="auto"/>
            <w:vAlign w:val="center"/>
            <w:hideMark/>
          </w:tcPr>
          <w:p w14:paraId="2A1324ED"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auto" w:fill="auto"/>
            <w:noWrap/>
            <w:vAlign w:val="center"/>
            <w:hideMark/>
          </w:tcPr>
          <w:p w14:paraId="3B7C515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Cash Flow Statement</w:t>
            </w:r>
          </w:p>
        </w:tc>
      </w:tr>
      <w:tr w:rsidR="005C5CED" w:rsidRPr="005C5CED" w14:paraId="3576EE20" w14:textId="77777777" w:rsidTr="0062462F">
        <w:trPr>
          <w:trHeight w:val="225"/>
        </w:trPr>
        <w:tc>
          <w:tcPr>
            <w:tcW w:w="2127" w:type="dxa"/>
            <w:tcBorders>
              <w:top w:val="nil"/>
              <w:left w:val="nil"/>
              <w:bottom w:val="nil"/>
              <w:right w:val="nil"/>
            </w:tcBorders>
            <w:shd w:val="clear" w:color="auto" w:fill="auto"/>
            <w:vAlign w:val="center"/>
            <w:hideMark/>
          </w:tcPr>
          <w:p w14:paraId="3B1243E0" w14:textId="77777777" w:rsidR="005C5CED" w:rsidRPr="005C5CED" w:rsidRDefault="005C5CED" w:rsidP="005C5CED">
            <w:pPr>
              <w:spacing w:after="0" w:line="240" w:lineRule="auto"/>
              <w:rPr>
                <w:rFonts w:eastAsia="Times New Roman" w:cs="Arial"/>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46C2AD1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Statement of Changes in Equity</w:t>
            </w:r>
          </w:p>
        </w:tc>
      </w:tr>
      <w:tr w:rsidR="005C5CED" w:rsidRPr="005C5CED" w14:paraId="1E06724F" w14:textId="77777777" w:rsidTr="0062462F">
        <w:trPr>
          <w:trHeight w:val="225"/>
        </w:trPr>
        <w:tc>
          <w:tcPr>
            <w:tcW w:w="2127" w:type="dxa"/>
            <w:tcBorders>
              <w:top w:val="nil"/>
              <w:left w:val="nil"/>
              <w:bottom w:val="nil"/>
              <w:right w:val="nil"/>
            </w:tcBorders>
            <w:shd w:val="clear" w:color="auto" w:fill="auto"/>
            <w:noWrap/>
            <w:vAlign w:val="center"/>
            <w:hideMark/>
          </w:tcPr>
          <w:p w14:paraId="2E99FFE4"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4FAA57E"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7EABC08A"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1A2F2E2E" w14:textId="77777777" w:rsidTr="0062462F">
        <w:trPr>
          <w:trHeight w:val="225"/>
        </w:trPr>
        <w:tc>
          <w:tcPr>
            <w:tcW w:w="2127" w:type="dxa"/>
            <w:tcBorders>
              <w:top w:val="nil"/>
              <w:left w:val="nil"/>
              <w:bottom w:val="nil"/>
              <w:right w:val="nil"/>
            </w:tcBorders>
            <w:shd w:val="clear" w:color="auto" w:fill="auto"/>
            <w:vAlign w:val="center"/>
            <w:hideMark/>
          </w:tcPr>
          <w:p w14:paraId="785C040F" w14:textId="77777777" w:rsidR="005C5CED" w:rsidRPr="005C5CED" w:rsidRDefault="005C5CED" w:rsidP="005C5CED">
            <w:pPr>
              <w:spacing w:after="0" w:line="240" w:lineRule="auto"/>
              <w:rPr>
                <w:rFonts w:eastAsia="Times New Roman" w:cs="Arial"/>
                <w:b/>
                <w:bCs/>
                <w:color w:val="auto"/>
                <w:szCs w:val="20"/>
                <w:lang w:eastAsia="en-AU"/>
              </w:rPr>
            </w:pPr>
            <w:r w:rsidRPr="005C5CED">
              <w:rPr>
                <w:rFonts w:eastAsia="Times New Roman" w:cs="Arial"/>
                <w:b/>
                <w:bCs/>
                <w:color w:val="auto"/>
                <w:szCs w:val="20"/>
                <w:lang w:eastAsia="en-AU"/>
              </w:rPr>
              <w:t>Notes to the financial statements</w:t>
            </w:r>
          </w:p>
        </w:tc>
        <w:tc>
          <w:tcPr>
            <w:tcW w:w="7938" w:type="dxa"/>
            <w:gridSpan w:val="2"/>
            <w:tcBorders>
              <w:top w:val="nil"/>
              <w:left w:val="nil"/>
              <w:bottom w:val="nil"/>
              <w:right w:val="nil"/>
            </w:tcBorders>
            <w:shd w:val="clear" w:color="000000" w:fill="E7E6E6"/>
            <w:noWrap/>
            <w:vAlign w:val="center"/>
            <w:hideMark/>
          </w:tcPr>
          <w:p w14:paraId="7D149899"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1.  About this report</w:t>
            </w:r>
          </w:p>
        </w:tc>
      </w:tr>
      <w:tr w:rsidR="005C5CED" w:rsidRPr="005C5CED" w14:paraId="1EF28121" w14:textId="77777777" w:rsidTr="0062462F">
        <w:trPr>
          <w:trHeight w:val="225"/>
        </w:trPr>
        <w:tc>
          <w:tcPr>
            <w:tcW w:w="2127" w:type="dxa"/>
            <w:tcBorders>
              <w:top w:val="nil"/>
              <w:left w:val="nil"/>
              <w:bottom w:val="nil"/>
              <w:right w:val="nil"/>
            </w:tcBorders>
            <w:shd w:val="clear" w:color="auto" w:fill="auto"/>
            <w:vAlign w:val="center"/>
            <w:hideMark/>
          </w:tcPr>
          <w:p w14:paraId="1F0B5349"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1086D05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The basis on which the financial statements have been prepared and compliance with</w:t>
            </w:r>
          </w:p>
        </w:tc>
      </w:tr>
      <w:tr w:rsidR="005C5CED" w:rsidRPr="005C5CED" w14:paraId="78085D14" w14:textId="77777777" w:rsidTr="0062462F">
        <w:trPr>
          <w:trHeight w:val="225"/>
        </w:trPr>
        <w:tc>
          <w:tcPr>
            <w:tcW w:w="2127" w:type="dxa"/>
            <w:tcBorders>
              <w:top w:val="nil"/>
              <w:left w:val="nil"/>
              <w:bottom w:val="nil"/>
              <w:right w:val="nil"/>
            </w:tcBorders>
            <w:shd w:val="clear" w:color="auto" w:fill="auto"/>
            <w:vAlign w:val="center"/>
            <w:hideMark/>
          </w:tcPr>
          <w:p w14:paraId="58509053" w14:textId="77777777" w:rsidR="005C5CED" w:rsidRPr="005C5CED" w:rsidRDefault="005C5CED" w:rsidP="005C5CED">
            <w:pPr>
              <w:spacing w:after="0" w:line="240" w:lineRule="auto"/>
              <w:rPr>
                <w:rFonts w:eastAsia="Times New Roman" w:cs="Arial"/>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25BDA8F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reporting regulations.</w:t>
            </w:r>
          </w:p>
        </w:tc>
      </w:tr>
      <w:tr w:rsidR="005C5CED" w:rsidRPr="005C5CED" w14:paraId="31CB9C34" w14:textId="77777777" w:rsidTr="0062462F">
        <w:trPr>
          <w:trHeight w:val="225"/>
        </w:trPr>
        <w:tc>
          <w:tcPr>
            <w:tcW w:w="2127" w:type="dxa"/>
            <w:tcBorders>
              <w:top w:val="nil"/>
              <w:left w:val="nil"/>
              <w:bottom w:val="nil"/>
              <w:right w:val="nil"/>
            </w:tcBorders>
            <w:shd w:val="clear" w:color="auto" w:fill="auto"/>
            <w:vAlign w:val="center"/>
            <w:hideMark/>
          </w:tcPr>
          <w:p w14:paraId="73E7B56F"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1B285631"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757F5ACF"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471F8F28" w14:textId="77777777" w:rsidTr="0062462F">
        <w:trPr>
          <w:trHeight w:val="225"/>
        </w:trPr>
        <w:tc>
          <w:tcPr>
            <w:tcW w:w="2127" w:type="dxa"/>
            <w:tcBorders>
              <w:top w:val="nil"/>
              <w:left w:val="nil"/>
              <w:bottom w:val="nil"/>
              <w:right w:val="nil"/>
            </w:tcBorders>
            <w:shd w:val="clear" w:color="auto" w:fill="auto"/>
            <w:vAlign w:val="center"/>
            <w:hideMark/>
          </w:tcPr>
          <w:p w14:paraId="6B344B08"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000000" w:fill="E7E6E6"/>
            <w:noWrap/>
            <w:vAlign w:val="center"/>
            <w:hideMark/>
          </w:tcPr>
          <w:p w14:paraId="502F716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  Funding delivery of our services</w:t>
            </w:r>
          </w:p>
        </w:tc>
      </w:tr>
      <w:tr w:rsidR="005C5CED" w:rsidRPr="005C5CED" w14:paraId="6A6AC9A4" w14:textId="77777777" w:rsidTr="0062462F">
        <w:trPr>
          <w:trHeight w:val="225"/>
        </w:trPr>
        <w:tc>
          <w:tcPr>
            <w:tcW w:w="2127" w:type="dxa"/>
            <w:tcBorders>
              <w:top w:val="nil"/>
              <w:left w:val="nil"/>
              <w:bottom w:val="nil"/>
              <w:right w:val="nil"/>
            </w:tcBorders>
            <w:shd w:val="clear" w:color="auto" w:fill="auto"/>
            <w:noWrap/>
            <w:vAlign w:val="center"/>
            <w:hideMark/>
          </w:tcPr>
          <w:p w14:paraId="20C3D796"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1432581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Income and revenue recognised from taxes, grants, sales of goods and services and other sources</w:t>
            </w:r>
          </w:p>
        </w:tc>
      </w:tr>
      <w:tr w:rsidR="005C5CED" w:rsidRPr="005C5CED" w14:paraId="2EC06DB3" w14:textId="77777777" w:rsidTr="0062462F">
        <w:trPr>
          <w:trHeight w:val="225"/>
        </w:trPr>
        <w:tc>
          <w:tcPr>
            <w:tcW w:w="2127" w:type="dxa"/>
            <w:tcBorders>
              <w:top w:val="nil"/>
              <w:left w:val="nil"/>
              <w:bottom w:val="nil"/>
              <w:right w:val="nil"/>
            </w:tcBorders>
            <w:shd w:val="clear" w:color="auto" w:fill="auto"/>
            <w:noWrap/>
            <w:vAlign w:val="center"/>
            <w:hideMark/>
          </w:tcPr>
          <w:p w14:paraId="1DC67D82"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2C9B167"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6EA799B3"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46168DE1" w14:textId="77777777" w:rsidTr="0062462F">
        <w:trPr>
          <w:trHeight w:val="225"/>
        </w:trPr>
        <w:tc>
          <w:tcPr>
            <w:tcW w:w="2127" w:type="dxa"/>
            <w:tcBorders>
              <w:top w:val="nil"/>
              <w:left w:val="nil"/>
              <w:bottom w:val="nil"/>
              <w:right w:val="nil"/>
            </w:tcBorders>
            <w:shd w:val="clear" w:color="auto" w:fill="auto"/>
            <w:noWrap/>
            <w:vAlign w:val="center"/>
            <w:hideMark/>
          </w:tcPr>
          <w:p w14:paraId="273D47AB"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noWrap/>
            <w:vAlign w:val="center"/>
            <w:hideMark/>
          </w:tcPr>
          <w:p w14:paraId="74F3243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2.1</w:t>
            </w:r>
          </w:p>
        </w:tc>
        <w:tc>
          <w:tcPr>
            <w:tcW w:w="6237" w:type="dxa"/>
            <w:tcBorders>
              <w:top w:val="nil"/>
              <w:left w:val="nil"/>
              <w:bottom w:val="nil"/>
              <w:right w:val="nil"/>
            </w:tcBorders>
            <w:shd w:val="clear" w:color="auto" w:fill="auto"/>
            <w:noWrap/>
            <w:vAlign w:val="center"/>
            <w:hideMark/>
          </w:tcPr>
          <w:p w14:paraId="2EC13B8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Summary of income that funds the delivery of our services </w:t>
            </w:r>
          </w:p>
        </w:tc>
      </w:tr>
      <w:tr w:rsidR="005C5CED" w:rsidRPr="005C5CED" w14:paraId="079F7825" w14:textId="77777777" w:rsidTr="0062462F">
        <w:trPr>
          <w:trHeight w:val="225"/>
        </w:trPr>
        <w:tc>
          <w:tcPr>
            <w:tcW w:w="2127" w:type="dxa"/>
            <w:tcBorders>
              <w:top w:val="nil"/>
              <w:left w:val="nil"/>
              <w:bottom w:val="nil"/>
              <w:right w:val="nil"/>
            </w:tcBorders>
            <w:shd w:val="clear" w:color="auto" w:fill="auto"/>
            <w:noWrap/>
            <w:vAlign w:val="center"/>
            <w:hideMark/>
          </w:tcPr>
          <w:p w14:paraId="6A4DBBAA"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43255B2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2.2</w:t>
            </w:r>
          </w:p>
        </w:tc>
        <w:tc>
          <w:tcPr>
            <w:tcW w:w="6237" w:type="dxa"/>
            <w:tcBorders>
              <w:top w:val="nil"/>
              <w:left w:val="nil"/>
              <w:bottom w:val="nil"/>
              <w:right w:val="nil"/>
            </w:tcBorders>
            <w:shd w:val="clear" w:color="auto" w:fill="auto"/>
            <w:noWrap/>
            <w:vAlign w:val="center"/>
            <w:hideMark/>
          </w:tcPr>
          <w:p w14:paraId="0B278ED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Government grants </w:t>
            </w:r>
          </w:p>
        </w:tc>
      </w:tr>
      <w:tr w:rsidR="005C5CED" w:rsidRPr="005C5CED" w14:paraId="38A60BDA" w14:textId="77777777" w:rsidTr="0062462F">
        <w:trPr>
          <w:trHeight w:val="225"/>
        </w:trPr>
        <w:tc>
          <w:tcPr>
            <w:tcW w:w="2127" w:type="dxa"/>
            <w:tcBorders>
              <w:top w:val="nil"/>
              <w:left w:val="nil"/>
              <w:bottom w:val="nil"/>
              <w:right w:val="nil"/>
            </w:tcBorders>
            <w:shd w:val="clear" w:color="auto" w:fill="auto"/>
            <w:noWrap/>
            <w:vAlign w:val="center"/>
            <w:hideMark/>
          </w:tcPr>
          <w:p w14:paraId="0BD0D319"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53F2DA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2.3</w:t>
            </w:r>
          </w:p>
        </w:tc>
        <w:tc>
          <w:tcPr>
            <w:tcW w:w="6237" w:type="dxa"/>
            <w:tcBorders>
              <w:top w:val="nil"/>
              <w:left w:val="nil"/>
              <w:bottom w:val="nil"/>
              <w:right w:val="nil"/>
            </w:tcBorders>
            <w:shd w:val="clear" w:color="auto" w:fill="auto"/>
            <w:noWrap/>
            <w:vAlign w:val="center"/>
            <w:hideMark/>
          </w:tcPr>
          <w:p w14:paraId="43C6B1F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Revenue from other transactions </w:t>
            </w:r>
          </w:p>
        </w:tc>
      </w:tr>
      <w:tr w:rsidR="005C5CED" w:rsidRPr="005C5CED" w14:paraId="68C4E0C1" w14:textId="77777777" w:rsidTr="0062462F">
        <w:trPr>
          <w:trHeight w:val="225"/>
        </w:trPr>
        <w:tc>
          <w:tcPr>
            <w:tcW w:w="2127" w:type="dxa"/>
            <w:tcBorders>
              <w:top w:val="nil"/>
              <w:left w:val="nil"/>
              <w:bottom w:val="nil"/>
              <w:right w:val="nil"/>
            </w:tcBorders>
            <w:shd w:val="clear" w:color="auto" w:fill="auto"/>
            <w:noWrap/>
            <w:vAlign w:val="center"/>
            <w:hideMark/>
          </w:tcPr>
          <w:p w14:paraId="552169BC"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7DE22C55"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68CBAD51"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41326751" w14:textId="77777777" w:rsidTr="0062462F">
        <w:trPr>
          <w:trHeight w:val="225"/>
        </w:trPr>
        <w:tc>
          <w:tcPr>
            <w:tcW w:w="2127" w:type="dxa"/>
            <w:tcBorders>
              <w:top w:val="nil"/>
              <w:left w:val="nil"/>
              <w:bottom w:val="nil"/>
              <w:right w:val="nil"/>
            </w:tcBorders>
            <w:shd w:val="clear" w:color="auto" w:fill="auto"/>
            <w:noWrap/>
            <w:vAlign w:val="center"/>
            <w:hideMark/>
          </w:tcPr>
          <w:p w14:paraId="63EF2E44"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000000" w:fill="E7E6E6"/>
            <w:noWrap/>
            <w:vAlign w:val="center"/>
            <w:hideMark/>
          </w:tcPr>
          <w:p w14:paraId="69CEE4F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3.  The cost of delivering services</w:t>
            </w:r>
          </w:p>
        </w:tc>
      </w:tr>
      <w:tr w:rsidR="005C5CED" w:rsidRPr="005C5CED" w14:paraId="25D04A83" w14:textId="77777777" w:rsidTr="0062462F">
        <w:trPr>
          <w:trHeight w:val="225"/>
        </w:trPr>
        <w:tc>
          <w:tcPr>
            <w:tcW w:w="2127" w:type="dxa"/>
            <w:tcBorders>
              <w:top w:val="nil"/>
              <w:left w:val="nil"/>
              <w:bottom w:val="nil"/>
              <w:right w:val="nil"/>
            </w:tcBorders>
            <w:shd w:val="clear" w:color="auto" w:fill="auto"/>
            <w:noWrap/>
            <w:vAlign w:val="center"/>
            <w:hideMark/>
          </w:tcPr>
          <w:p w14:paraId="45B25FDF"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6714D8D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Operating expenses of Sustainability Victoria</w:t>
            </w:r>
          </w:p>
        </w:tc>
      </w:tr>
      <w:tr w:rsidR="005C5CED" w:rsidRPr="005C5CED" w14:paraId="713665BC" w14:textId="77777777" w:rsidTr="0062462F">
        <w:trPr>
          <w:trHeight w:val="225"/>
        </w:trPr>
        <w:tc>
          <w:tcPr>
            <w:tcW w:w="2127" w:type="dxa"/>
            <w:tcBorders>
              <w:top w:val="nil"/>
              <w:left w:val="nil"/>
              <w:bottom w:val="nil"/>
              <w:right w:val="nil"/>
            </w:tcBorders>
            <w:shd w:val="clear" w:color="auto" w:fill="auto"/>
            <w:noWrap/>
            <w:vAlign w:val="center"/>
            <w:hideMark/>
          </w:tcPr>
          <w:p w14:paraId="42C74E38"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731090E2"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5D93266F"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13802CB6" w14:textId="77777777" w:rsidTr="0062462F">
        <w:trPr>
          <w:trHeight w:val="225"/>
        </w:trPr>
        <w:tc>
          <w:tcPr>
            <w:tcW w:w="2127" w:type="dxa"/>
            <w:tcBorders>
              <w:top w:val="nil"/>
              <w:left w:val="nil"/>
              <w:bottom w:val="nil"/>
              <w:right w:val="nil"/>
            </w:tcBorders>
            <w:shd w:val="clear" w:color="auto" w:fill="auto"/>
            <w:noWrap/>
            <w:vAlign w:val="center"/>
            <w:hideMark/>
          </w:tcPr>
          <w:p w14:paraId="4EE9CF56"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noWrap/>
            <w:vAlign w:val="center"/>
            <w:hideMark/>
          </w:tcPr>
          <w:p w14:paraId="7AC401C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3.1</w:t>
            </w:r>
          </w:p>
        </w:tc>
        <w:tc>
          <w:tcPr>
            <w:tcW w:w="6237" w:type="dxa"/>
            <w:tcBorders>
              <w:top w:val="nil"/>
              <w:left w:val="nil"/>
              <w:bottom w:val="nil"/>
              <w:right w:val="nil"/>
            </w:tcBorders>
            <w:shd w:val="clear" w:color="auto" w:fill="auto"/>
            <w:noWrap/>
            <w:vAlign w:val="center"/>
            <w:hideMark/>
          </w:tcPr>
          <w:p w14:paraId="4C8488C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Expenses incurred in delivery of services </w:t>
            </w:r>
          </w:p>
        </w:tc>
      </w:tr>
      <w:tr w:rsidR="005C5CED" w:rsidRPr="005C5CED" w14:paraId="57525D7C" w14:textId="77777777" w:rsidTr="0062462F">
        <w:trPr>
          <w:trHeight w:val="225"/>
        </w:trPr>
        <w:tc>
          <w:tcPr>
            <w:tcW w:w="2127" w:type="dxa"/>
            <w:tcBorders>
              <w:top w:val="nil"/>
              <w:left w:val="nil"/>
              <w:bottom w:val="nil"/>
              <w:right w:val="nil"/>
            </w:tcBorders>
            <w:shd w:val="clear" w:color="auto" w:fill="auto"/>
            <w:noWrap/>
            <w:vAlign w:val="center"/>
            <w:hideMark/>
          </w:tcPr>
          <w:p w14:paraId="3740039B"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2DD721B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3.2</w:t>
            </w:r>
          </w:p>
        </w:tc>
        <w:tc>
          <w:tcPr>
            <w:tcW w:w="6237" w:type="dxa"/>
            <w:tcBorders>
              <w:top w:val="nil"/>
              <w:left w:val="nil"/>
              <w:bottom w:val="nil"/>
              <w:right w:val="nil"/>
            </w:tcBorders>
            <w:shd w:val="clear" w:color="auto" w:fill="auto"/>
            <w:noWrap/>
            <w:vAlign w:val="center"/>
            <w:hideMark/>
          </w:tcPr>
          <w:p w14:paraId="3134F2C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Grant expenses </w:t>
            </w:r>
          </w:p>
        </w:tc>
      </w:tr>
      <w:tr w:rsidR="005C5CED" w:rsidRPr="005C5CED" w14:paraId="176C8B7F" w14:textId="77777777" w:rsidTr="0062462F">
        <w:trPr>
          <w:trHeight w:val="225"/>
        </w:trPr>
        <w:tc>
          <w:tcPr>
            <w:tcW w:w="2127" w:type="dxa"/>
            <w:tcBorders>
              <w:top w:val="nil"/>
              <w:left w:val="nil"/>
              <w:bottom w:val="nil"/>
              <w:right w:val="nil"/>
            </w:tcBorders>
            <w:shd w:val="clear" w:color="auto" w:fill="auto"/>
            <w:noWrap/>
            <w:vAlign w:val="center"/>
            <w:hideMark/>
          </w:tcPr>
          <w:p w14:paraId="0DD949CC"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3F0D23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3.3</w:t>
            </w:r>
          </w:p>
        </w:tc>
        <w:tc>
          <w:tcPr>
            <w:tcW w:w="6237" w:type="dxa"/>
            <w:tcBorders>
              <w:top w:val="nil"/>
              <w:left w:val="nil"/>
              <w:bottom w:val="nil"/>
              <w:right w:val="nil"/>
            </w:tcBorders>
            <w:shd w:val="clear" w:color="auto" w:fill="auto"/>
            <w:noWrap/>
            <w:vAlign w:val="center"/>
            <w:hideMark/>
          </w:tcPr>
          <w:p w14:paraId="28BDE0F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Other operating expenses </w:t>
            </w:r>
          </w:p>
        </w:tc>
      </w:tr>
      <w:tr w:rsidR="005C5CED" w:rsidRPr="005C5CED" w14:paraId="652340A6" w14:textId="77777777" w:rsidTr="0062462F">
        <w:trPr>
          <w:trHeight w:val="225"/>
        </w:trPr>
        <w:tc>
          <w:tcPr>
            <w:tcW w:w="2127" w:type="dxa"/>
            <w:tcBorders>
              <w:top w:val="nil"/>
              <w:left w:val="nil"/>
              <w:bottom w:val="nil"/>
              <w:right w:val="nil"/>
            </w:tcBorders>
            <w:shd w:val="clear" w:color="auto" w:fill="auto"/>
            <w:noWrap/>
            <w:vAlign w:val="center"/>
            <w:hideMark/>
          </w:tcPr>
          <w:p w14:paraId="3A305536"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B41DCCB"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58C05254"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477FC869" w14:textId="77777777" w:rsidTr="0062462F">
        <w:trPr>
          <w:trHeight w:val="225"/>
        </w:trPr>
        <w:tc>
          <w:tcPr>
            <w:tcW w:w="2127" w:type="dxa"/>
            <w:tcBorders>
              <w:top w:val="nil"/>
              <w:left w:val="nil"/>
              <w:bottom w:val="nil"/>
              <w:right w:val="nil"/>
            </w:tcBorders>
            <w:shd w:val="clear" w:color="auto" w:fill="auto"/>
            <w:noWrap/>
            <w:vAlign w:val="center"/>
            <w:hideMark/>
          </w:tcPr>
          <w:p w14:paraId="1473FBDF"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000000" w:fill="E7E6E6"/>
            <w:noWrap/>
            <w:vAlign w:val="center"/>
            <w:hideMark/>
          </w:tcPr>
          <w:p w14:paraId="40924C2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4.  Key assets available to support output delivery</w:t>
            </w:r>
          </w:p>
        </w:tc>
      </w:tr>
      <w:tr w:rsidR="005C5CED" w:rsidRPr="005C5CED" w14:paraId="63C3B81B" w14:textId="77777777" w:rsidTr="0062462F">
        <w:trPr>
          <w:trHeight w:val="225"/>
        </w:trPr>
        <w:tc>
          <w:tcPr>
            <w:tcW w:w="2127" w:type="dxa"/>
            <w:tcBorders>
              <w:top w:val="nil"/>
              <w:left w:val="nil"/>
              <w:bottom w:val="nil"/>
              <w:right w:val="nil"/>
            </w:tcBorders>
            <w:shd w:val="clear" w:color="auto" w:fill="auto"/>
            <w:noWrap/>
            <w:vAlign w:val="center"/>
            <w:hideMark/>
          </w:tcPr>
          <w:p w14:paraId="0C383AFD"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938" w:type="dxa"/>
            <w:gridSpan w:val="2"/>
            <w:tcBorders>
              <w:top w:val="nil"/>
              <w:left w:val="nil"/>
              <w:bottom w:val="nil"/>
              <w:right w:val="nil"/>
            </w:tcBorders>
            <w:shd w:val="clear" w:color="auto" w:fill="auto"/>
            <w:vAlign w:val="center"/>
            <w:hideMark/>
          </w:tcPr>
          <w:p w14:paraId="643BC36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Land, property, investment properties, biological assets, intangible assets, investments accounted for using the equity method, investments and other financial assets, and acquisition and disposal of entities</w:t>
            </w:r>
          </w:p>
        </w:tc>
      </w:tr>
      <w:tr w:rsidR="005C5CED" w:rsidRPr="005C5CED" w14:paraId="585BCFAD" w14:textId="77777777" w:rsidTr="0062462F">
        <w:trPr>
          <w:trHeight w:val="375"/>
        </w:trPr>
        <w:tc>
          <w:tcPr>
            <w:tcW w:w="2127" w:type="dxa"/>
            <w:tcBorders>
              <w:top w:val="nil"/>
              <w:left w:val="nil"/>
              <w:bottom w:val="nil"/>
              <w:right w:val="nil"/>
            </w:tcBorders>
            <w:shd w:val="clear" w:color="auto" w:fill="auto"/>
            <w:noWrap/>
            <w:vAlign w:val="center"/>
            <w:hideMark/>
          </w:tcPr>
          <w:p w14:paraId="667AC969"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vAlign w:val="center"/>
            <w:hideMark/>
          </w:tcPr>
          <w:p w14:paraId="0F8DA6AD"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vAlign w:val="center"/>
            <w:hideMark/>
          </w:tcPr>
          <w:p w14:paraId="483FF30B"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142502F4" w14:textId="77777777" w:rsidTr="0062462F">
        <w:trPr>
          <w:trHeight w:val="225"/>
        </w:trPr>
        <w:tc>
          <w:tcPr>
            <w:tcW w:w="2127" w:type="dxa"/>
            <w:tcBorders>
              <w:top w:val="nil"/>
              <w:left w:val="nil"/>
              <w:bottom w:val="nil"/>
              <w:right w:val="nil"/>
            </w:tcBorders>
            <w:shd w:val="clear" w:color="auto" w:fill="auto"/>
            <w:noWrap/>
            <w:vAlign w:val="center"/>
            <w:hideMark/>
          </w:tcPr>
          <w:p w14:paraId="553B0227"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vAlign w:val="center"/>
            <w:hideMark/>
          </w:tcPr>
          <w:p w14:paraId="53CE77FF"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vAlign w:val="center"/>
            <w:hideMark/>
          </w:tcPr>
          <w:p w14:paraId="32DE45B5"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34C22D1A" w14:textId="77777777" w:rsidTr="0062462F">
        <w:trPr>
          <w:trHeight w:val="225"/>
        </w:trPr>
        <w:tc>
          <w:tcPr>
            <w:tcW w:w="2127" w:type="dxa"/>
            <w:tcBorders>
              <w:top w:val="nil"/>
              <w:left w:val="nil"/>
              <w:bottom w:val="nil"/>
              <w:right w:val="nil"/>
            </w:tcBorders>
            <w:shd w:val="clear" w:color="auto" w:fill="auto"/>
            <w:noWrap/>
            <w:vAlign w:val="center"/>
            <w:hideMark/>
          </w:tcPr>
          <w:p w14:paraId="6AEF0814"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noWrap/>
            <w:vAlign w:val="center"/>
            <w:hideMark/>
          </w:tcPr>
          <w:p w14:paraId="6F15E55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4.1</w:t>
            </w:r>
          </w:p>
        </w:tc>
        <w:tc>
          <w:tcPr>
            <w:tcW w:w="6237" w:type="dxa"/>
            <w:tcBorders>
              <w:top w:val="nil"/>
              <w:left w:val="nil"/>
              <w:bottom w:val="nil"/>
              <w:right w:val="nil"/>
            </w:tcBorders>
            <w:shd w:val="clear" w:color="auto" w:fill="auto"/>
            <w:noWrap/>
            <w:vAlign w:val="center"/>
            <w:hideMark/>
          </w:tcPr>
          <w:p w14:paraId="360D3BF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Total property, plant, and equipment</w:t>
            </w:r>
          </w:p>
        </w:tc>
      </w:tr>
      <w:tr w:rsidR="005C5CED" w:rsidRPr="005C5CED" w14:paraId="0B2238EB" w14:textId="77777777" w:rsidTr="0062462F">
        <w:trPr>
          <w:trHeight w:val="225"/>
        </w:trPr>
        <w:tc>
          <w:tcPr>
            <w:tcW w:w="2127" w:type="dxa"/>
            <w:tcBorders>
              <w:top w:val="nil"/>
              <w:left w:val="nil"/>
              <w:bottom w:val="nil"/>
              <w:right w:val="nil"/>
            </w:tcBorders>
            <w:shd w:val="clear" w:color="auto" w:fill="auto"/>
            <w:noWrap/>
            <w:vAlign w:val="center"/>
            <w:hideMark/>
          </w:tcPr>
          <w:p w14:paraId="18490508"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4452BB6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4.2</w:t>
            </w:r>
          </w:p>
        </w:tc>
        <w:tc>
          <w:tcPr>
            <w:tcW w:w="6237" w:type="dxa"/>
            <w:tcBorders>
              <w:top w:val="nil"/>
              <w:left w:val="nil"/>
              <w:bottom w:val="nil"/>
              <w:right w:val="nil"/>
            </w:tcBorders>
            <w:shd w:val="clear" w:color="auto" w:fill="auto"/>
            <w:noWrap/>
            <w:vAlign w:val="center"/>
            <w:hideMark/>
          </w:tcPr>
          <w:p w14:paraId="34ED354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r>
      <w:tr w:rsidR="005C5CED" w:rsidRPr="005C5CED" w14:paraId="61311928" w14:textId="77777777" w:rsidTr="0062462F">
        <w:trPr>
          <w:trHeight w:val="225"/>
        </w:trPr>
        <w:tc>
          <w:tcPr>
            <w:tcW w:w="2127" w:type="dxa"/>
            <w:tcBorders>
              <w:top w:val="nil"/>
              <w:left w:val="nil"/>
              <w:bottom w:val="nil"/>
              <w:right w:val="nil"/>
            </w:tcBorders>
            <w:shd w:val="clear" w:color="auto" w:fill="auto"/>
            <w:noWrap/>
            <w:vAlign w:val="center"/>
            <w:hideMark/>
          </w:tcPr>
          <w:p w14:paraId="3AEE4B77"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2D1E1A1"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28C9CFAE"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74773132" w14:textId="77777777" w:rsidTr="0062462F">
        <w:trPr>
          <w:trHeight w:val="225"/>
        </w:trPr>
        <w:tc>
          <w:tcPr>
            <w:tcW w:w="2127" w:type="dxa"/>
            <w:tcBorders>
              <w:top w:val="nil"/>
              <w:left w:val="nil"/>
              <w:bottom w:val="nil"/>
              <w:right w:val="nil"/>
            </w:tcBorders>
            <w:shd w:val="clear" w:color="auto" w:fill="auto"/>
            <w:noWrap/>
            <w:vAlign w:val="center"/>
            <w:hideMark/>
          </w:tcPr>
          <w:p w14:paraId="339EF04B"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000000" w:fill="E7E6E6"/>
            <w:noWrap/>
            <w:vAlign w:val="center"/>
            <w:hideMark/>
          </w:tcPr>
          <w:p w14:paraId="73754223"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5.  Other assets and liabilities</w:t>
            </w:r>
          </w:p>
        </w:tc>
      </w:tr>
      <w:tr w:rsidR="005C5CED" w:rsidRPr="005C5CED" w14:paraId="5AF88B2D" w14:textId="77777777" w:rsidTr="0062462F">
        <w:trPr>
          <w:trHeight w:val="225"/>
        </w:trPr>
        <w:tc>
          <w:tcPr>
            <w:tcW w:w="2127" w:type="dxa"/>
            <w:tcBorders>
              <w:top w:val="nil"/>
              <w:left w:val="nil"/>
              <w:bottom w:val="nil"/>
              <w:right w:val="nil"/>
            </w:tcBorders>
            <w:shd w:val="clear" w:color="auto" w:fill="auto"/>
            <w:noWrap/>
            <w:vAlign w:val="center"/>
            <w:hideMark/>
          </w:tcPr>
          <w:p w14:paraId="1BA74E5E"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7C7621B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Working capital balances, and other key assets and liabilities</w:t>
            </w:r>
          </w:p>
        </w:tc>
      </w:tr>
      <w:tr w:rsidR="005C5CED" w:rsidRPr="005C5CED" w14:paraId="6678ADFD" w14:textId="77777777" w:rsidTr="0062462F">
        <w:trPr>
          <w:trHeight w:val="225"/>
        </w:trPr>
        <w:tc>
          <w:tcPr>
            <w:tcW w:w="2127" w:type="dxa"/>
            <w:tcBorders>
              <w:top w:val="nil"/>
              <w:left w:val="nil"/>
              <w:bottom w:val="nil"/>
              <w:right w:val="nil"/>
            </w:tcBorders>
            <w:shd w:val="clear" w:color="auto" w:fill="auto"/>
            <w:noWrap/>
            <w:vAlign w:val="center"/>
            <w:hideMark/>
          </w:tcPr>
          <w:p w14:paraId="0C001697"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7A6F5F24"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1DA1E270"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533D5454" w14:textId="77777777" w:rsidTr="0062462F">
        <w:trPr>
          <w:trHeight w:val="225"/>
        </w:trPr>
        <w:tc>
          <w:tcPr>
            <w:tcW w:w="2127" w:type="dxa"/>
            <w:tcBorders>
              <w:top w:val="nil"/>
              <w:left w:val="nil"/>
              <w:bottom w:val="nil"/>
              <w:right w:val="nil"/>
            </w:tcBorders>
            <w:shd w:val="clear" w:color="auto" w:fill="auto"/>
            <w:noWrap/>
            <w:vAlign w:val="center"/>
            <w:hideMark/>
          </w:tcPr>
          <w:p w14:paraId="3EB7B1CE"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noWrap/>
            <w:vAlign w:val="center"/>
            <w:hideMark/>
          </w:tcPr>
          <w:p w14:paraId="282CFF1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5.1</w:t>
            </w:r>
          </w:p>
        </w:tc>
        <w:tc>
          <w:tcPr>
            <w:tcW w:w="6237" w:type="dxa"/>
            <w:tcBorders>
              <w:top w:val="nil"/>
              <w:left w:val="nil"/>
              <w:bottom w:val="nil"/>
              <w:right w:val="nil"/>
            </w:tcBorders>
            <w:shd w:val="clear" w:color="auto" w:fill="auto"/>
            <w:noWrap/>
            <w:vAlign w:val="center"/>
            <w:hideMark/>
          </w:tcPr>
          <w:p w14:paraId="61429AE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Receivables </w:t>
            </w:r>
          </w:p>
        </w:tc>
      </w:tr>
      <w:tr w:rsidR="005C5CED" w:rsidRPr="005C5CED" w14:paraId="2C96F86C" w14:textId="77777777" w:rsidTr="0062462F">
        <w:trPr>
          <w:trHeight w:val="225"/>
        </w:trPr>
        <w:tc>
          <w:tcPr>
            <w:tcW w:w="2127" w:type="dxa"/>
            <w:tcBorders>
              <w:top w:val="nil"/>
              <w:left w:val="nil"/>
              <w:bottom w:val="nil"/>
              <w:right w:val="nil"/>
            </w:tcBorders>
            <w:shd w:val="clear" w:color="auto" w:fill="auto"/>
            <w:noWrap/>
            <w:vAlign w:val="center"/>
            <w:hideMark/>
          </w:tcPr>
          <w:p w14:paraId="72D8EE22"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0734837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5.2</w:t>
            </w:r>
          </w:p>
        </w:tc>
        <w:tc>
          <w:tcPr>
            <w:tcW w:w="6237" w:type="dxa"/>
            <w:tcBorders>
              <w:top w:val="nil"/>
              <w:left w:val="nil"/>
              <w:bottom w:val="nil"/>
              <w:right w:val="nil"/>
            </w:tcBorders>
            <w:shd w:val="clear" w:color="auto" w:fill="auto"/>
            <w:noWrap/>
            <w:vAlign w:val="center"/>
            <w:hideMark/>
          </w:tcPr>
          <w:p w14:paraId="04A4427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Payables and contract liabilities</w:t>
            </w:r>
          </w:p>
        </w:tc>
      </w:tr>
      <w:tr w:rsidR="005C5CED" w:rsidRPr="005C5CED" w14:paraId="6BF58028" w14:textId="77777777" w:rsidTr="0062462F">
        <w:trPr>
          <w:trHeight w:val="225"/>
        </w:trPr>
        <w:tc>
          <w:tcPr>
            <w:tcW w:w="2127" w:type="dxa"/>
            <w:tcBorders>
              <w:top w:val="nil"/>
              <w:left w:val="nil"/>
              <w:bottom w:val="nil"/>
              <w:right w:val="nil"/>
            </w:tcBorders>
            <w:shd w:val="clear" w:color="auto" w:fill="auto"/>
            <w:noWrap/>
            <w:vAlign w:val="center"/>
            <w:hideMark/>
          </w:tcPr>
          <w:p w14:paraId="36C50041"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3EA7A03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5.3</w:t>
            </w:r>
          </w:p>
        </w:tc>
        <w:tc>
          <w:tcPr>
            <w:tcW w:w="6237" w:type="dxa"/>
            <w:tcBorders>
              <w:top w:val="nil"/>
              <w:left w:val="nil"/>
              <w:bottom w:val="nil"/>
              <w:right w:val="nil"/>
            </w:tcBorders>
            <w:shd w:val="clear" w:color="auto" w:fill="auto"/>
            <w:noWrap/>
            <w:vAlign w:val="center"/>
            <w:hideMark/>
          </w:tcPr>
          <w:p w14:paraId="3FBA5FA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non-financial assets</w:t>
            </w:r>
          </w:p>
        </w:tc>
      </w:tr>
      <w:tr w:rsidR="005C5CED" w:rsidRPr="005C5CED" w14:paraId="43454E89" w14:textId="77777777" w:rsidTr="0062462F">
        <w:trPr>
          <w:trHeight w:val="225"/>
        </w:trPr>
        <w:tc>
          <w:tcPr>
            <w:tcW w:w="2127" w:type="dxa"/>
            <w:tcBorders>
              <w:top w:val="nil"/>
              <w:left w:val="nil"/>
              <w:bottom w:val="nil"/>
              <w:right w:val="nil"/>
            </w:tcBorders>
            <w:shd w:val="clear" w:color="auto" w:fill="auto"/>
            <w:noWrap/>
            <w:vAlign w:val="center"/>
            <w:hideMark/>
          </w:tcPr>
          <w:p w14:paraId="44427897"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45190EA6"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6D53CF51"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4EFD48BC" w14:textId="77777777" w:rsidTr="0062462F">
        <w:trPr>
          <w:trHeight w:val="225"/>
        </w:trPr>
        <w:tc>
          <w:tcPr>
            <w:tcW w:w="2127" w:type="dxa"/>
            <w:tcBorders>
              <w:top w:val="nil"/>
              <w:left w:val="nil"/>
              <w:bottom w:val="nil"/>
              <w:right w:val="nil"/>
            </w:tcBorders>
            <w:shd w:val="clear" w:color="auto" w:fill="auto"/>
            <w:noWrap/>
            <w:vAlign w:val="center"/>
            <w:hideMark/>
          </w:tcPr>
          <w:p w14:paraId="54E2BE34"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000000" w:fill="E7E6E6"/>
            <w:noWrap/>
            <w:vAlign w:val="center"/>
            <w:hideMark/>
          </w:tcPr>
          <w:p w14:paraId="19A7A1F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6.  Financing our operations</w:t>
            </w:r>
          </w:p>
        </w:tc>
      </w:tr>
      <w:tr w:rsidR="005C5CED" w:rsidRPr="005C5CED" w14:paraId="3D458032" w14:textId="77777777" w:rsidTr="0062462F">
        <w:trPr>
          <w:trHeight w:val="225"/>
        </w:trPr>
        <w:tc>
          <w:tcPr>
            <w:tcW w:w="2127" w:type="dxa"/>
            <w:tcBorders>
              <w:top w:val="nil"/>
              <w:left w:val="nil"/>
              <w:bottom w:val="nil"/>
              <w:right w:val="nil"/>
            </w:tcBorders>
            <w:shd w:val="clear" w:color="auto" w:fill="auto"/>
            <w:noWrap/>
            <w:vAlign w:val="center"/>
            <w:hideMark/>
          </w:tcPr>
          <w:p w14:paraId="65DC437D"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4E16018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Borrowings, cash flow information, leases and assets pledged as security</w:t>
            </w:r>
          </w:p>
        </w:tc>
      </w:tr>
      <w:tr w:rsidR="005C5CED" w:rsidRPr="005C5CED" w14:paraId="6618E5AF" w14:textId="77777777" w:rsidTr="0062462F">
        <w:trPr>
          <w:trHeight w:val="225"/>
        </w:trPr>
        <w:tc>
          <w:tcPr>
            <w:tcW w:w="2127" w:type="dxa"/>
            <w:tcBorders>
              <w:top w:val="nil"/>
              <w:left w:val="nil"/>
              <w:bottom w:val="nil"/>
              <w:right w:val="nil"/>
            </w:tcBorders>
            <w:shd w:val="clear" w:color="auto" w:fill="auto"/>
            <w:noWrap/>
            <w:vAlign w:val="center"/>
            <w:hideMark/>
          </w:tcPr>
          <w:p w14:paraId="2E53C413"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5E95D26F"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34B6DBBE"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31AF86F2" w14:textId="77777777" w:rsidTr="0062462F">
        <w:trPr>
          <w:trHeight w:val="225"/>
        </w:trPr>
        <w:tc>
          <w:tcPr>
            <w:tcW w:w="2127" w:type="dxa"/>
            <w:tcBorders>
              <w:top w:val="nil"/>
              <w:left w:val="nil"/>
              <w:bottom w:val="nil"/>
              <w:right w:val="nil"/>
            </w:tcBorders>
            <w:shd w:val="clear" w:color="auto" w:fill="auto"/>
            <w:noWrap/>
            <w:vAlign w:val="center"/>
            <w:hideMark/>
          </w:tcPr>
          <w:p w14:paraId="6430465C"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noWrap/>
            <w:vAlign w:val="center"/>
            <w:hideMark/>
          </w:tcPr>
          <w:p w14:paraId="2B0824D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6.1</w:t>
            </w:r>
          </w:p>
        </w:tc>
        <w:tc>
          <w:tcPr>
            <w:tcW w:w="6237" w:type="dxa"/>
            <w:tcBorders>
              <w:top w:val="nil"/>
              <w:left w:val="nil"/>
              <w:bottom w:val="nil"/>
              <w:right w:val="nil"/>
            </w:tcBorders>
            <w:shd w:val="clear" w:color="auto" w:fill="auto"/>
            <w:noWrap/>
            <w:vAlign w:val="center"/>
            <w:hideMark/>
          </w:tcPr>
          <w:p w14:paraId="7279474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Borrowings </w:t>
            </w:r>
          </w:p>
        </w:tc>
      </w:tr>
      <w:tr w:rsidR="005C5CED" w:rsidRPr="005C5CED" w14:paraId="4C32B082" w14:textId="77777777" w:rsidTr="0062462F">
        <w:trPr>
          <w:trHeight w:val="225"/>
        </w:trPr>
        <w:tc>
          <w:tcPr>
            <w:tcW w:w="2127" w:type="dxa"/>
            <w:tcBorders>
              <w:top w:val="nil"/>
              <w:left w:val="nil"/>
              <w:bottom w:val="nil"/>
              <w:right w:val="nil"/>
            </w:tcBorders>
            <w:shd w:val="clear" w:color="auto" w:fill="auto"/>
            <w:noWrap/>
            <w:vAlign w:val="center"/>
            <w:hideMark/>
          </w:tcPr>
          <w:p w14:paraId="35D8AEFB"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54BDAE7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6.2</w:t>
            </w:r>
          </w:p>
        </w:tc>
        <w:tc>
          <w:tcPr>
            <w:tcW w:w="6237" w:type="dxa"/>
            <w:tcBorders>
              <w:top w:val="nil"/>
              <w:left w:val="nil"/>
              <w:bottom w:val="nil"/>
              <w:right w:val="nil"/>
            </w:tcBorders>
            <w:shd w:val="clear" w:color="auto" w:fill="auto"/>
            <w:noWrap/>
            <w:vAlign w:val="center"/>
            <w:hideMark/>
          </w:tcPr>
          <w:p w14:paraId="0BDA2E6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Leases </w:t>
            </w:r>
          </w:p>
        </w:tc>
      </w:tr>
      <w:tr w:rsidR="005C5CED" w:rsidRPr="005C5CED" w14:paraId="5D9610C4" w14:textId="77777777" w:rsidTr="0062462F">
        <w:trPr>
          <w:trHeight w:val="225"/>
        </w:trPr>
        <w:tc>
          <w:tcPr>
            <w:tcW w:w="2127" w:type="dxa"/>
            <w:tcBorders>
              <w:top w:val="nil"/>
              <w:left w:val="nil"/>
              <w:bottom w:val="nil"/>
              <w:right w:val="nil"/>
            </w:tcBorders>
            <w:shd w:val="clear" w:color="auto" w:fill="auto"/>
            <w:noWrap/>
            <w:vAlign w:val="center"/>
            <w:hideMark/>
          </w:tcPr>
          <w:p w14:paraId="4FAA4092"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517BF69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6.3</w:t>
            </w:r>
          </w:p>
        </w:tc>
        <w:tc>
          <w:tcPr>
            <w:tcW w:w="6237" w:type="dxa"/>
            <w:tcBorders>
              <w:top w:val="nil"/>
              <w:left w:val="nil"/>
              <w:bottom w:val="nil"/>
              <w:right w:val="nil"/>
            </w:tcBorders>
            <w:shd w:val="clear" w:color="auto" w:fill="auto"/>
            <w:noWrap/>
            <w:vAlign w:val="center"/>
            <w:hideMark/>
          </w:tcPr>
          <w:p w14:paraId="1BB082C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Cash flow information and balances </w:t>
            </w:r>
          </w:p>
        </w:tc>
      </w:tr>
      <w:tr w:rsidR="005C5CED" w:rsidRPr="005C5CED" w14:paraId="180B8F7E" w14:textId="77777777" w:rsidTr="0062462F">
        <w:trPr>
          <w:trHeight w:val="225"/>
        </w:trPr>
        <w:tc>
          <w:tcPr>
            <w:tcW w:w="2127" w:type="dxa"/>
            <w:tcBorders>
              <w:top w:val="nil"/>
              <w:left w:val="nil"/>
              <w:bottom w:val="nil"/>
              <w:right w:val="nil"/>
            </w:tcBorders>
            <w:shd w:val="clear" w:color="auto" w:fill="auto"/>
            <w:noWrap/>
            <w:vAlign w:val="center"/>
            <w:hideMark/>
          </w:tcPr>
          <w:p w14:paraId="610E0E6F"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734CB35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6.4</w:t>
            </w:r>
          </w:p>
        </w:tc>
        <w:tc>
          <w:tcPr>
            <w:tcW w:w="6237" w:type="dxa"/>
            <w:tcBorders>
              <w:top w:val="nil"/>
              <w:left w:val="nil"/>
              <w:bottom w:val="nil"/>
              <w:right w:val="nil"/>
            </w:tcBorders>
            <w:shd w:val="clear" w:color="auto" w:fill="auto"/>
            <w:noWrap/>
            <w:vAlign w:val="center"/>
            <w:hideMark/>
          </w:tcPr>
          <w:p w14:paraId="60898DA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Commitments for expenditure </w:t>
            </w:r>
          </w:p>
        </w:tc>
      </w:tr>
      <w:tr w:rsidR="005C5CED" w:rsidRPr="005C5CED" w14:paraId="106ACA25" w14:textId="77777777" w:rsidTr="0062462F">
        <w:trPr>
          <w:trHeight w:val="225"/>
        </w:trPr>
        <w:tc>
          <w:tcPr>
            <w:tcW w:w="2127" w:type="dxa"/>
            <w:tcBorders>
              <w:top w:val="nil"/>
              <w:left w:val="nil"/>
              <w:bottom w:val="nil"/>
              <w:right w:val="nil"/>
            </w:tcBorders>
            <w:shd w:val="clear" w:color="auto" w:fill="auto"/>
            <w:noWrap/>
            <w:vAlign w:val="center"/>
            <w:hideMark/>
          </w:tcPr>
          <w:p w14:paraId="0E8C901F"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4181A358"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256435A5"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0B0326CB" w14:textId="77777777" w:rsidTr="0062462F">
        <w:trPr>
          <w:trHeight w:val="225"/>
        </w:trPr>
        <w:tc>
          <w:tcPr>
            <w:tcW w:w="2127" w:type="dxa"/>
            <w:tcBorders>
              <w:top w:val="nil"/>
              <w:left w:val="nil"/>
              <w:bottom w:val="nil"/>
              <w:right w:val="nil"/>
            </w:tcBorders>
            <w:shd w:val="clear" w:color="auto" w:fill="auto"/>
            <w:noWrap/>
            <w:vAlign w:val="center"/>
            <w:hideMark/>
          </w:tcPr>
          <w:p w14:paraId="6BD9A0B1"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000000" w:fill="E7E6E6"/>
            <w:noWrap/>
            <w:vAlign w:val="center"/>
            <w:hideMark/>
          </w:tcPr>
          <w:p w14:paraId="16F6896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7.  Risks, contingencies, and valuation judgements</w:t>
            </w:r>
          </w:p>
        </w:tc>
      </w:tr>
      <w:tr w:rsidR="005C5CED" w:rsidRPr="005C5CED" w14:paraId="3CD60A0C" w14:textId="77777777" w:rsidTr="0062462F">
        <w:trPr>
          <w:trHeight w:val="225"/>
        </w:trPr>
        <w:tc>
          <w:tcPr>
            <w:tcW w:w="2127" w:type="dxa"/>
            <w:tcBorders>
              <w:top w:val="nil"/>
              <w:left w:val="nil"/>
              <w:bottom w:val="nil"/>
              <w:right w:val="nil"/>
            </w:tcBorders>
            <w:shd w:val="clear" w:color="auto" w:fill="auto"/>
            <w:noWrap/>
            <w:vAlign w:val="center"/>
            <w:hideMark/>
          </w:tcPr>
          <w:p w14:paraId="12F3E775"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938" w:type="dxa"/>
            <w:gridSpan w:val="2"/>
            <w:tcBorders>
              <w:top w:val="nil"/>
              <w:left w:val="nil"/>
              <w:bottom w:val="nil"/>
              <w:right w:val="nil"/>
            </w:tcBorders>
            <w:shd w:val="clear" w:color="auto" w:fill="auto"/>
            <w:noWrap/>
            <w:vAlign w:val="center"/>
            <w:hideMark/>
          </w:tcPr>
          <w:p w14:paraId="32031F5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Financial risk management, contingent assets and liabilities as well as fair value determination</w:t>
            </w:r>
          </w:p>
        </w:tc>
      </w:tr>
      <w:tr w:rsidR="005C5CED" w:rsidRPr="005C5CED" w14:paraId="5BC876A9" w14:textId="77777777" w:rsidTr="0062462F">
        <w:trPr>
          <w:trHeight w:val="225"/>
        </w:trPr>
        <w:tc>
          <w:tcPr>
            <w:tcW w:w="2127" w:type="dxa"/>
            <w:tcBorders>
              <w:top w:val="nil"/>
              <w:left w:val="nil"/>
              <w:bottom w:val="nil"/>
              <w:right w:val="nil"/>
            </w:tcBorders>
            <w:shd w:val="clear" w:color="auto" w:fill="auto"/>
            <w:noWrap/>
            <w:vAlign w:val="center"/>
            <w:hideMark/>
          </w:tcPr>
          <w:p w14:paraId="7A4C4619"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5B2A21D2"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7A604F20"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12A812F7" w14:textId="77777777" w:rsidTr="0062462F">
        <w:trPr>
          <w:trHeight w:val="225"/>
        </w:trPr>
        <w:tc>
          <w:tcPr>
            <w:tcW w:w="2127" w:type="dxa"/>
            <w:tcBorders>
              <w:top w:val="nil"/>
              <w:left w:val="nil"/>
              <w:bottom w:val="nil"/>
              <w:right w:val="nil"/>
            </w:tcBorders>
            <w:shd w:val="clear" w:color="auto" w:fill="auto"/>
            <w:noWrap/>
            <w:vAlign w:val="center"/>
            <w:hideMark/>
          </w:tcPr>
          <w:p w14:paraId="347D0AEF"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noWrap/>
            <w:vAlign w:val="center"/>
            <w:hideMark/>
          </w:tcPr>
          <w:p w14:paraId="3C194EF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7.1</w:t>
            </w:r>
          </w:p>
        </w:tc>
        <w:tc>
          <w:tcPr>
            <w:tcW w:w="6237" w:type="dxa"/>
            <w:tcBorders>
              <w:top w:val="nil"/>
              <w:left w:val="nil"/>
              <w:bottom w:val="nil"/>
              <w:right w:val="nil"/>
            </w:tcBorders>
            <w:shd w:val="clear" w:color="auto" w:fill="auto"/>
            <w:noWrap/>
            <w:vAlign w:val="center"/>
            <w:hideMark/>
          </w:tcPr>
          <w:p w14:paraId="31F8036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Financial instruments specific disclosures </w:t>
            </w:r>
          </w:p>
        </w:tc>
      </w:tr>
      <w:tr w:rsidR="005C5CED" w:rsidRPr="005C5CED" w14:paraId="4C6AE9A3" w14:textId="77777777" w:rsidTr="0062462F">
        <w:trPr>
          <w:trHeight w:val="225"/>
        </w:trPr>
        <w:tc>
          <w:tcPr>
            <w:tcW w:w="2127" w:type="dxa"/>
            <w:tcBorders>
              <w:top w:val="nil"/>
              <w:left w:val="nil"/>
              <w:bottom w:val="nil"/>
              <w:right w:val="nil"/>
            </w:tcBorders>
            <w:shd w:val="clear" w:color="auto" w:fill="auto"/>
            <w:noWrap/>
            <w:vAlign w:val="center"/>
            <w:hideMark/>
          </w:tcPr>
          <w:p w14:paraId="54EC4135"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068E5FE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7.2</w:t>
            </w:r>
          </w:p>
        </w:tc>
        <w:tc>
          <w:tcPr>
            <w:tcW w:w="6237" w:type="dxa"/>
            <w:tcBorders>
              <w:top w:val="nil"/>
              <w:left w:val="nil"/>
              <w:bottom w:val="nil"/>
              <w:right w:val="nil"/>
            </w:tcBorders>
            <w:shd w:val="clear" w:color="auto" w:fill="auto"/>
            <w:noWrap/>
            <w:vAlign w:val="center"/>
            <w:hideMark/>
          </w:tcPr>
          <w:p w14:paraId="1F02E07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Contingent assets and contingent liabilities </w:t>
            </w:r>
          </w:p>
        </w:tc>
      </w:tr>
      <w:tr w:rsidR="005C5CED" w:rsidRPr="005C5CED" w14:paraId="50F0E1C1" w14:textId="77777777" w:rsidTr="0062462F">
        <w:trPr>
          <w:trHeight w:val="225"/>
        </w:trPr>
        <w:tc>
          <w:tcPr>
            <w:tcW w:w="2127" w:type="dxa"/>
            <w:tcBorders>
              <w:top w:val="nil"/>
              <w:left w:val="nil"/>
              <w:bottom w:val="nil"/>
              <w:right w:val="nil"/>
            </w:tcBorders>
            <w:shd w:val="clear" w:color="auto" w:fill="auto"/>
            <w:noWrap/>
            <w:vAlign w:val="center"/>
            <w:hideMark/>
          </w:tcPr>
          <w:p w14:paraId="3C91DDF8"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42FD3F1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7.3</w:t>
            </w:r>
          </w:p>
        </w:tc>
        <w:tc>
          <w:tcPr>
            <w:tcW w:w="6237" w:type="dxa"/>
            <w:tcBorders>
              <w:top w:val="nil"/>
              <w:left w:val="nil"/>
              <w:bottom w:val="nil"/>
              <w:right w:val="nil"/>
            </w:tcBorders>
            <w:shd w:val="clear" w:color="auto" w:fill="auto"/>
            <w:noWrap/>
            <w:vAlign w:val="center"/>
            <w:hideMark/>
          </w:tcPr>
          <w:p w14:paraId="0869766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Fair value determination </w:t>
            </w:r>
          </w:p>
        </w:tc>
      </w:tr>
      <w:tr w:rsidR="005C5CED" w:rsidRPr="005C5CED" w14:paraId="7F3DDF15" w14:textId="77777777" w:rsidTr="0062462F">
        <w:trPr>
          <w:trHeight w:val="225"/>
        </w:trPr>
        <w:tc>
          <w:tcPr>
            <w:tcW w:w="2127" w:type="dxa"/>
            <w:tcBorders>
              <w:top w:val="nil"/>
              <w:left w:val="nil"/>
              <w:bottom w:val="nil"/>
              <w:right w:val="nil"/>
            </w:tcBorders>
            <w:shd w:val="clear" w:color="auto" w:fill="auto"/>
            <w:noWrap/>
            <w:vAlign w:val="center"/>
            <w:hideMark/>
          </w:tcPr>
          <w:p w14:paraId="44117EC2"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E38A38D"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hideMark/>
          </w:tcPr>
          <w:p w14:paraId="0DE75894"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1B7559A1" w14:textId="77777777" w:rsidTr="0062462F">
        <w:trPr>
          <w:trHeight w:val="225"/>
        </w:trPr>
        <w:tc>
          <w:tcPr>
            <w:tcW w:w="2127" w:type="dxa"/>
            <w:tcBorders>
              <w:top w:val="nil"/>
              <w:left w:val="nil"/>
              <w:bottom w:val="nil"/>
              <w:right w:val="nil"/>
            </w:tcBorders>
            <w:shd w:val="clear" w:color="auto" w:fill="auto"/>
            <w:noWrap/>
            <w:vAlign w:val="center"/>
            <w:hideMark/>
          </w:tcPr>
          <w:p w14:paraId="03A4271D" w14:textId="77777777" w:rsidR="005C5CED" w:rsidRPr="005C5CED" w:rsidRDefault="005C5CED" w:rsidP="005C5CED">
            <w:pPr>
              <w:spacing w:after="0" w:line="240" w:lineRule="auto"/>
              <w:rPr>
                <w:rFonts w:eastAsia="Times New Roman" w:cs="Arial"/>
                <w:color w:val="auto"/>
                <w:szCs w:val="20"/>
                <w:lang w:eastAsia="en-AU"/>
              </w:rPr>
            </w:pPr>
          </w:p>
        </w:tc>
        <w:tc>
          <w:tcPr>
            <w:tcW w:w="7938" w:type="dxa"/>
            <w:gridSpan w:val="2"/>
            <w:tcBorders>
              <w:top w:val="nil"/>
              <w:left w:val="nil"/>
              <w:bottom w:val="nil"/>
              <w:right w:val="nil"/>
            </w:tcBorders>
            <w:shd w:val="clear" w:color="000000" w:fill="E7E6E6"/>
            <w:noWrap/>
            <w:vAlign w:val="center"/>
            <w:hideMark/>
          </w:tcPr>
          <w:p w14:paraId="4B7D280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8.  Other disclosures</w:t>
            </w:r>
          </w:p>
        </w:tc>
      </w:tr>
      <w:tr w:rsidR="005C5CED" w:rsidRPr="005C5CED" w14:paraId="4BD3D17E" w14:textId="77777777" w:rsidTr="0062462F">
        <w:trPr>
          <w:trHeight w:val="225"/>
        </w:trPr>
        <w:tc>
          <w:tcPr>
            <w:tcW w:w="2127" w:type="dxa"/>
            <w:tcBorders>
              <w:top w:val="nil"/>
              <w:left w:val="nil"/>
              <w:bottom w:val="nil"/>
              <w:right w:val="nil"/>
            </w:tcBorders>
            <w:shd w:val="clear" w:color="auto" w:fill="auto"/>
            <w:noWrap/>
            <w:vAlign w:val="center"/>
          </w:tcPr>
          <w:p w14:paraId="7FFC3B18"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701" w:type="dxa"/>
            <w:tcBorders>
              <w:top w:val="nil"/>
              <w:left w:val="nil"/>
              <w:bottom w:val="nil"/>
              <w:right w:val="nil"/>
            </w:tcBorders>
            <w:shd w:val="clear" w:color="auto" w:fill="auto"/>
            <w:noWrap/>
            <w:vAlign w:val="center"/>
          </w:tcPr>
          <w:p w14:paraId="0A73FE1C" w14:textId="77777777" w:rsidR="005C5CED" w:rsidRPr="005C5CED" w:rsidRDefault="005C5CED" w:rsidP="005C5CED">
            <w:pPr>
              <w:spacing w:after="0" w:line="240" w:lineRule="auto"/>
              <w:rPr>
                <w:rFonts w:eastAsia="Times New Roman" w:cs="Arial"/>
                <w:color w:val="auto"/>
                <w:szCs w:val="20"/>
                <w:lang w:eastAsia="en-AU"/>
              </w:rPr>
            </w:pPr>
          </w:p>
        </w:tc>
        <w:tc>
          <w:tcPr>
            <w:tcW w:w="6237" w:type="dxa"/>
            <w:tcBorders>
              <w:top w:val="nil"/>
              <w:left w:val="nil"/>
              <w:bottom w:val="nil"/>
              <w:right w:val="nil"/>
            </w:tcBorders>
            <w:shd w:val="clear" w:color="auto" w:fill="auto"/>
            <w:noWrap/>
            <w:vAlign w:val="center"/>
          </w:tcPr>
          <w:p w14:paraId="1EE82B5A"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29953A0F" w14:textId="77777777" w:rsidTr="0062462F">
        <w:trPr>
          <w:trHeight w:val="225"/>
        </w:trPr>
        <w:tc>
          <w:tcPr>
            <w:tcW w:w="2127" w:type="dxa"/>
            <w:tcBorders>
              <w:top w:val="nil"/>
              <w:left w:val="nil"/>
              <w:bottom w:val="nil"/>
              <w:right w:val="nil"/>
            </w:tcBorders>
            <w:shd w:val="clear" w:color="auto" w:fill="auto"/>
            <w:noWrap/>
            <w:vAlign w:val="center"/>
            <w:hideMark/>
          </w:tcPr>
          <w:p w14:paraId="1818B8A6"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07708509" w14:textId="77777777" w:rsidR="005C5CED" w:rsidRPr="005C5CED" w:rsidRDefault="005C5CED" w:rsidP="005C5CED">
            <w:pPr>
              <w:spacing w:after="0" w:line="240" w:lineRule="auto"/>
              <w:rPr>
                <w:rFonts w:eastAsia="Times New Roman" w:cs="Arial"/>
                <w:color w:val="auto"/>
                <w:szCs w:val="20"/>
                <w:lang w:eastAsia="en-AU"/>
              </w:rPr>
            </w:pPr>
            <w:r w:rsidRPr="005C5CED">
              <w:rPr>
                <w:rFonts w:eastAsia="Times New Roman" w:cs="Arial"/>
                <w:color w:val="auto"/>
                <w:sz w:val="16"/>
                <w:szCs w:val="16"/>
                <w:lang w:eastAsia="en-AU"/>
              </w:rPr>
              <w:t>8.1</w:t>
            </w:r>
          </w:p>
        </w:tc>
        <w:tc>
          <w:tcPr>
            <w:tcW w:w="6237" w:type="dxa"/>
            <w:tcBorders>
              <w:top w:val="nil"/>
              <w:left w:val="nil"/>
              <w:bottom w:val="nil"/>
              <w:right w:val="nil"/>
            </w:tcBorders>
            <w:shd w:val="clear" w:color="auto" w:fill="auto"/>
            <w:noWrap/>
            <w:vAlign w:val="center"/>
            <w:hideMark/>
          </w:tcPr>
          <w:p w14:paraId="02AC5DC0" w14:textId="77777777" w:rsidR="005C5CED" w:rsidRPr="005C5CED" w:rsidRDefault="005C5CED" w:rsidP="005C5CED">
            <w:pPr>
              <w:spacing w:after="0" w:line="240" w:lineRule="auto"/>
              <w:rPr>
                <w:rFonts w:eastAsia="Times New Roman" w:cs="Arial"/>
                <w:color w:val="auto"/>
                <w:szCs w:val="20"/>
                <w:lang w:eastAsia="en-AU"/>
              </w:rPr>
            </w:pPr>
            <w:r w:rsidRPr="005C5CED">
              <w:rPr>
                <w:rFonts w:eastAsia="Times New Roman" w:cs="Arial"/>
                <w:color w:val="auto"/>
                <w:sz w:val="16"/>
                <w:szCs w:val="16"/>
                <w:lang w:eastAsia="en-AU"/>
              </w:rPr>
              <w:t>Ex-gratia expenses</w:t>
            </w:r>
          </w:p>
        </w:tc>
      </w:tr>
      <w:tr w:rsidR="005C5CED" w:rsidRPr="005C5CED" w14:paraId="6109FF43" w14:textId="77777777" w:rsidTr="0062462F">
        <w:trPr>
          <w:trHeight w:val="225"/>
        </w:trPr>
        <w:tc>
          <w:tcPr>
            <w:tcW w:w="2127" w:type="dxa"/>
            <w:tcBorders>
              <w:top w:val="nil"/>
              <w:left w:val="nil"/>
              <w:bottom w:val="nil"/>
              <w:right w:val="nil"/>
            </w:tcBorders>
            <w:shd w:val="clear" w:color="auto" w:fill="auto"/>
            <w:noWrap/>
            <w:vAlign w:val="center"/>
            <w:hideMark/>
          </w:tcPr>
          <w:p w14:paraId="5CE12AD7" w14:textId="77777777" w:rsidR="005C5CED" w:rsidRPr="005C5CED" w:rsidRDefault="005C5CED" w:rsidP="005C5CED">
            <w:pPr>
              <w:spacing w:after="0" w:line="240" w:lineRule="auto"/>
              <w:rPr>
                <w:rFonts w:eastAsia="Times New Roman" w:cs="Arial"/>
                <w:color w:val="auto"/>
                <w:szCs w:val="20"/>
                <w:lang w:eastAsia="en-AU"/>
              </w:rPr>
            </w:pPr>
          </w:p>
        </w:tc>
        <w:tc>
          <w:tcPr>
            <w:tcW w:w="1701" w:type="dxa"/>
            <w:tcBorders>
              <w:top w:val="nil"/>
              <w:left w:val="nil"/>
              <w:bottom w:val="nil"/>
              <w:right w:val="nil"/>
            </w:tcBorders>
            <w:shd w:val="clear" w:color="auto" w:fill="auto"/>
            <w:noWrap/>
            <w:vAlign w:val="center"/>
            <w:hideMark/>
          </w:tcPr>
          <w:p w14:paraId="45355F5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8.2</w:t>
            </w:r>
          </w:p>
        </w:tc>
        <w:tc>
          <w:tcPr>
            <w:tcW w:w="6237" w:type="dxa"/>
            <w:tcBorders>
              <w:top w:val="nil"/>
              <w:left w:val="nil"/>
              <w:bottom w:val="nil"/>
              <w:right w:val="nil"/>
            </w:tcBorders>
            <w:shd w:val="clear" w:color="auto" w:fill="auto"/>
            <w:noWrap/>
            <w:vAlign w:val="center"/>
            <w:hideMark/>
          </w:tcPr>
          <w:p w14:paraId="2B9728E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Responsible persons </w:t>
            </w:r>
          </w:p>
        </w:tc>
      </w:tr>
      <w:tr w:rsidR="005C5CED" w:rsidRPr="005C5CED" w14:paraId="4B48F25B" w14:textId="77777777" w:rsidTr="0062462F">
        <w:trPr>
          <w:trHeight w:val="225"/>
        </w:trPr>
        <w:tc>
          <w:tcPr>
            <w:tcW w:w="2127" w:type="dxa"/>
            <w:tcBorders>
              <w:top w:val="nil"/>
              <w:left w:val="nil"/>
              <w:bottom w:val="nil"/>
              <w:right w:val="nil"/>
            </w:tcBorders>
            <w:shd w:val="clear" w:color="auto" w:fill="auto"/>
            <w:noWrap/>
            <w:vAlign w:val="center"/>
            <w:hideMark/>
          </w:tcPr>
          <w:p w14:paraId="57928E25"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2C64155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8.3</w:t>
            </w:r>
          </w:p>
        </w:tc>
        <w:tc>
          <w:tcPr>
            <w:tcW w:w="6237" w:type="dxa"/>
            <w:tcBorders>
              <w:top w:val="nil"/>
              <w:left w:val="nil"/>
              <w:bottom w:val="nil"/>
              <w:right w:val="nil"/>
            </w:tcBorders>
            <w:shd w:val="clear" w:color="auto" w:fill="auto"/>
            <w:noWrap/>
            <w:vAlign w:val="center"/>
            <w:hideMark/>
          </w:tcPr>
          <w:p w14:paraId="16941DD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Remuneration of senior executive service</w:t>
            </w:r>
          </w:p>
        </w:tc>
      </w:tr>
      <w:tr w:rsidR="005C5CED" w:rsidRPr="005C5CED" w14:paraId="7A5E4806" w14:textId="77777777" w:rsidTr="0062462F">
        <w:trPr>
          <w:trHeight w:val="225"/>
        </w:trPr>
        <w:tc>
          <w:tcPr>
            <w:tcW w:w="2127" w:type="dxa"/>
            <w:tcBorders>
              <w:top w:val="nil"/>
              <w:left w:val="nil"/>
              <w:bottom w:val="nil"/>
              <w:right w:val="nil"/>
            </w:tcBorders>
            <w:shd w:val="clear" w:color="auto" w:fill="auto"/>
            <w:noWrap/>
            <w:vAlign w:val="center"/>
            <w:hideMark/>
          </w:tcPr>
          <w:p w14:paraId="48866A92"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7B330E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8.4</w:t>
            </w:r>
          </w:p>
        </w:tc>
        <w:tc>
          <w:tcPr>
            <w:tcW w:w="6237" w:type="dxa"/>
            <w:tcBorders>
              <w:top w:val="nil"/>
              <w:left w:val="nil"/>
              <w:bottom w:val="nil"/>
              <w:right w:val="nil"/>
            </w:tcBorders>
            <w:shd w:val="clear" w:color="auto" w:fill="auto"/>
            <w:noWrap/>
            <w:vAlign w:val="center"/>
            <w:hideMark/>
          </w:tcPr>
          <w:p w14:paraId="60676A1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Related parties </w:t>
            </w:r>
          </w:p>
        </w:tc>
      </w:tr>
      <w:tr w:rsidR="005C5CED" w:rsidRPr="005C5CED" w14:paraId="6DB7B181" w14:textId="77777777" w:rsidTr="0062462F">
        <w:trPr>
          <w:trHeight w:val="225"/>
        </w:trPr>
        <w:tc>
          <w:tcPr>
            <w:tcW w:w="2127" w:type="dxa"/>
            <w:tcBorders>
              <w:top w:val="nil"/>
              <w:left w:val="nil"/>
              <w:bottom w:val="nil"/>
              <w:right w:val="nil"/>
            </w:tcBorders>
            <w:shd w:val="clear" w:color="auto" w:fill="auto"/>
            <w:noWrap/>
            <w:vAlign w:val="center"/>
            <w:hideMark/>
          </w:tcPr>
          <w:p w14:paraId="0DFE138E"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6740EE5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8.5</w:t>
            </w:r>
          </w:p>
        </w:tc>
        <w:tc>
          <w:tcPr>
            <w:tcW w:w="6237" w:type="dxa"/>
            <w:tcBorders>
              <w:top w:val="nil"/>
              <w:left w:val="nil"/>
              <w:bottom w:val="nil"/>
              <w:right w:val="nil"/>
            </w:tcBorders>
            <w:shd w:val="clear" w:color="auto" w:fill="auto"/>
            <w:noWrap/>
            <w:vAlign w:val="center"/>
            <w:hideMark/>
          </w:tcPr>
          <w:p w14:paraId="4104BC4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Remuneration of auditors </w:t>
            </w:r>
          </w:p>
        </w:tc>
      </w:tr>
      <w:tr w:rsidR="005C5CED" w:rsidRPr="005C5CED" w14:paraId="04713525" w14:textId="77777777" w:rsidTr="0062462F">
        <w:trPr>
          <w:trHeight w:val="225"/>
        </w:trPr>
        <w:tc>
          <w:tcPr>
            <w:tcW w:w="2127" w:type="dxa"/>
            <w:tcBorders>
              <w:top w:val="nil"/>
              <w:left w:val="nil"/>
              <w:bottom w:val="nil"/>
              <w:right w:val="nil"/>
            </w:tcBorders>
            <w:shd w:val="clear" w:color="auto" w:fill="auto"/>
            <w:noWrap/>
            <w:vAlign w:val="center"/>
          </w:tcPr>
          <w:p w14:paraId="3B21872B"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tcPr>
          <w:p w14:paraId="104B464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8.6</w:t>
            </w:r>
          </w:p>
        </w:tc>
        <w:tc>
          <w:tcPr>
            <w:tcW w:w="6237" w:type="dxa"/>
            <w:tcBorders>
              <w:top w:val="nil"/>
              <w:left w:val="nil"/>
              <w:bottom w:val="nil"/>
              <w:right w:val="nil"/>
            </w:tcBorders>
            <w:shd w:val="clear" w:color="auto" w:fill="auto"/>
            <w:noWrap/>
            <w:vAlign w:val="center"/>
          </w:tcPr>
          <w:p w14:paraId="32D3DA7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Subsequent events</w:t>
            </w:r>
          </w:p>
        </w:tc>
      </w:tr>
      <w:tr w:rsidR="005C5CED" w:rsidRPr="005C5CED" w14:paraId="133A3869" w14:textId="77777777" w:rsidTr="0062462F">
        <w:trPr>
          <w:trHeight w:val="225"/>
        </w:trPr>
        <w:tc>
          <w:tcPr>
            <w:tcW w:w="2127" w:type="dxa"/>
            <w:tcBorders>
              <w:top w:val="nil"/>
              <w:left w:val="nil"/>
              <w:bottom w:val="nil"/>
              <w:right w:val="nil"/>
            </w:tcBorders>
            <w:shd w:val="clear" w:color="auto" w:fill="auto"/>
            <w:noWrap/>
            <w:vAlign w:val="center"/>
          </w:tcPr>
          <w:p w14:paraId="0610701C"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tcPr>
          <w:p w14:paraId="3FA9A75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8.7</w:t>
            </w:r>
          </w:p>
        </w:tc>
        <w:tc>
          <w:tcPr>
            <w:tcW w:w="6237" w:type="dxa"/>
            <w:tcBorders>
              <w:top w:val="nil"/>
              <w:left w:val="nil"/>
              <w:bottom w:val="nil"/>
              <w:right w:val="nil"/>
            </w:tcBorders>
            <w:shd w:val="clear" w:color="auto" w:fill="auto"/>
            <w:noWrap/>
            <w:vAlign w:val="center"/>
          </w:tcPr>
          <w:p w14:paraId="6A85347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accounting policies</w:t>
            </w:r>
          </w:p>
        </w:tc>
      </w:tr>
      <w:tr w:rsidR="005C5CED" w:rsidRPr="005C5CED" w14:paraId="2B58A9E9" w14:textId="77777777" w:rsidTr="0062462F">
        <w:trPr>
          <w:trHeight w:val="225"/>
        </w:trPr>
        <w:tc>
          <w:tcPr>
            <w:tcW w:w="2127" w:type="dxa"/>
            <w:tcBorders>
              <w:top w:val="nil"/>
              <w:left w:val="nil"/>
              <w:bottom w:val="nil"/>
              <w:right w:val="nil"/>
            </w:tcBorders>
            <w:shd w:val="clear" w:color="auto" w:fill="auto"/>
            <w:noWrap/>
            <w:vAlign w:val="center"/>
            <w:hideMark/>
          </w:tcPr>
          <w:p w14:paraId="3B92C7B2"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0903D04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8.8</w:t>
            </w:r>
          </w:p>
        </w:tc>
        <w:tc>
          <w:tcPr>
            <w:tcW w:w="6237" w:type="dxa"/>
            <w:tcBorders>
              <w:top w:val="nil"/>
              <w:left w:val="nil"/>
              <w:bottom w:val="nil"/>
              <w:right w:val="nil"/>
            </w:tcBorders>
            <w:shd w:val="clear" w:color="auto" w:fill="auto"/>
            <w:noWrap/>
            <w:vAlign w:val="center"/>
            <w:hideMark/>
          </w:tcPr>
          <w:p w14:paraId="725B159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Australian Accounting Standards issued that are not yet effective </w:t>
            </w:r>
          </w:p>
        </w:tc>
      </w:tr>
      <w:tr w:rsidR="005C5CED" w:rsidRPr="005C5CED" w14:paraId="1D709B94" w14:textId="77777777" w:rsidTr="0062462F">
        <w:trPr>
          <w:trHeight w:val="225"/>
        </w:trPr>
        <w:tc>
          <w:tcPr>
            <w:tcW w:w="2127" w:type="dxa"/>
            <w:tcBorders>
              <w:top w:val="nil"/>
              <w:left w:val="nil"/>
              <w:bottom w:val="nil"/>
              <w:right w:val="nil"/>
            </w:tcBorders>
            <w:shd w:val="clear" w:color="auto" w:fill="auto"/>
            <w:noWrap/>
            <w:vAlign w:val="center"/>
          </w:tcPr>
          <w:p w14:paraId="037B17F4"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tcPr>
          <w:p w14:paraId="2452A9F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8.9</w:t>
            </w:r>
          </w:p>
        </w:tc>
        <w:tc>
          <w:tcPr>
            <w:tcW w:w="6237" w:type="dxa"/>
            <w:tcBorders>
              <w:top w:val="nil"/>
              <w:left w:val="nil"/>
              <w:bottom w:val="nil"/>
              <w:right w:val="nil"/>
            </w:tcBorders>
            <w:shd w:val="clear" w:color="auto" w:fill="auto"/>
            <w:noWrap/>
            <w:vAlign w:val="center"/>
          </w:tcPr>
          <w:p w14:paraId="124FE0D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Glossary of technical terms </w:t>
            </w:r>
          </w:p>
        </w:tc>
      </w:tr>
      <w:tr w:rsidR="005C5CED" w:rsidRPr="005C5CED" w14:paraId="2283C893" w14:textId="77777777" w:rsidTr="0062462F">
        <w:trPr>
          <w:trHeight w:val="225"/>
        </w:trPr>
        <w:tc>
          <w:tcPr>
            <w:tcW w:w="2127" w:type="dxa"/>
            <w:tcBorders>
              <w:top w:val="nil"/>
              <w:left w:val="nil"/>
              <w:bottom w:val="nil"/>
              <w:right w:val="nil"/>
            </w:tcBorders>
            <w:shd w:val="clear" w:color="auto" w:fill="auto"/>
            <w:noWrap/>
            <w:vAlign w:val="center"/>
            <w:hideMark/>
          </w:tcPr>
          <w:p w14:paraId="040D3497"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09A744B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8.10</w:t>
            </w:r>
          </w:p>
        </w:tc>
        <w:tc>
          <w:tcPr>
            <w:tcW w:w="6237" w:type="dxa"/>
            <w:tcBorders>
              <w:top w:val="nil"/>
              <w:left w:val="nil"/>
              <w:bottom w:val="nil"/>
              <w:right w:val="nil"/>
            </w:tcBorders>
            <w:shd w:val="clear" w:color="auto" w:fill="auto"/>
            <w:noWrap/>
            <w:vAlign w:val="center"/>
          </w:tcPr>
          <w:p w14:paraId="7103313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Style conventions </w:t>
            </w:r>
          </w:p>
        </w:tc>
      </w:tr>
      <w:tr w:rsidR="005C5CED" w:rsidRPr="005C5CED" w14:paraId="560E1270" w14:textId="77777777" w:rsidTr="0062462F">
        <w:trPr>
          <w:trHeight w:val="225"/>
        </w:trPr>
        <w:tc>
          <w:tcPr>
            <w:tcW w:w="2127" w:type="dxa"/>
            <w:tcBorders>
              <w:top w:val="nil"/>
              <w:left w:val="nil"/>
              <w:bottom w:val="nil"/>
              <w:right w:val="nil"/>
            </w:tcBorders>
            <w:shd w:val="clear" w:color="auto" w:fill="auto"/>
            <w:noWrap/>
            <w:vAlign w:val="center"/>
            <w:hideMark/>
          </w:tcPr>
          <w:p w14:paraId="34B26EDE"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hideMark/>
          </w:tcPr>
          <w:p w14:paraId="3C540EB8" w14:textId="77777777" w:rsidR="005C5CED" w:rsidRPr="005C5CED" w:rsidRDefault="005C5CED" w:rsidP="005C5CED">
            <w:pPr>
              <w:spacing w:after="0" w:line="240" w:lineRule="auto"/>
              <w:rPr>
                <w:rFonts w:eastAsia="Times New Roman" w:cs="Arial"/>
                <w:color w:val="auto"/>
                <w:sz w:val="16"/>
                <w:szCs w:val="16"/>
                <w:lang w:eastAsia="en-AU"/>
              </w:rPr>
            </w:pPr>
          </w:p>
        </w:tc>
        <w:tc>
          <w:tcPr>
            <w:tcW w:w="6237" w:type="dxa"/>
            <w:tcBorders>
              <w:top w:val="nil"/>
              <w:left w:val="nil"/>
              <w:bottom w:val="nil"/>
              <w:right w:val="nil"/>
            </w:tcBorders>
            <w:shd w:val="clear" w:color="auto" w:fill="auto"/>
            <w:noWrap/>
            <w:vAlign w:val="center"/>
          </w:tcPr>
          <w:p w14:paraId="7FC57B09" w14:textId="77777777" w:rsidR="005C5CED" w:rsidRPr="005C5CED" w:rsidRDefault="005C5CED" w:rsidP="005C5CED">
            <w:pPr>
              <w:spacing w:after="0" w:line="240" w:lineRule="auto"/>
              <w:rPr>
                <w:rFonts w:eastAsia="Times New Roman" w:cs="Arial"/>
                <w:color w:val="auto"/>
                <w:sz w:val="16"/>
                <w:szCs w:val="16"/>
                <w:lang w:eastAsia="en-AU"/>
              </w:rPr>
            </w:pPr>
          </w:p>
        </w:tc>
      </w:tr>
      <w:tr w:rsidR="005C5CED" w:rsidRPr="005C5CED" w14:paraId="1C678C4E" w14:textId="77777777" w:rsidTr="0062462F">
        <w:trPr>
          <w:trHeight w:val="225"/>
        </w:trPr>
        <w:tc>
          <w:tcPr>
            <w:tcW w:w="2127" w:type="dxa"/>
            <w:tcBorders>
              <w:top w:val="nil"/>
              <w:left w:val="nil"/>
              <w:bottom w:val="nil"/>
              <w:right w:val="nil"/>
            </w:tcBorders>
            <w:shd w:val="clear" w:color="auto" w:fill="auto"/>
            <w:noWrap/>
            <w:vAlign w:val="center"/>
            <w:hideMark/>
          </w:tcPr>
          <w:p w14:paraId="74E62A6D" w14:textId="77777777" w:rsidR="005C5CED" w:rsidRPr="005C5CED" w:rsidRDefault="005C5CED" w:rsidP="005C5CED">
            <w:pPr>
              <w:spacing w:after="0" w:line="240" w:lineRule="auto"/>
              <w:rPr>
                <w:rFonts w:eastAsia="Times New Roman" w:cs="Arial"/>
                <w:color w:val="auto"/>
                <w:sz w:val="16"/>
                <w:szCs w:val="16"/>
                <w:lang w:eastAsia="en-AU"/>
              </w:rPr>
            </w:pPr>
          </w:p>
        </w:tc>
        <w:tc>
          <w:tcPr>
            <w:tcW w:w="1701" w:type="dxa"/>
            <w:tcBorders>
              <w:top w:val="nil"/>
              <w:left w:val="nil"/>
              <w:bottom w:val="nil"/>
              <w:right w:val="nil"/>
            </w:tcBorders>
            <w:shd w:val="clear" w:color="auto" w:fill="auto"/>
            <w:noWrap/>
            <w:vAlign w:val="center"/>
          </w:tcPr>
          <w:p w14:paraId="3CF68C56" w14:textId="77777777" w:rsidR="005C5CED" w:rsidRPr="005C5CED" w:rsidRDefault="005C5CED" w:rsidP="005C5CED">
            <w:pPr>
              <w:spacing w:after="0" w:line="240" w:lineRule="auto"/>
              <w:rPr>
                <w:rFonts w:eastAsia="Times New Roman" w:cs="Arial"/>
                <w:color w:val="auto"/>
                <w:sz w:val="16"/>
                <w:szCs w:val="16"/>
                <w:lang w:eastAsia="en-AU"/>
              </w:rPr>
            </w:pPr>
          </w:p>
        </w:tc>
        <w:tc>
          <w:tcPr>
            <w:tcW w:w="6237" w:type="dxa"/>
            <w:tcBorders>
              <w:top w:val="nil"/>
              <w:left w:val="nil"/>
              <w:bottom w:val="nil"/>
              <w:right w:val="nil"/>
            </w:tcBorders>
            <w:shd w:val="clear" w:color="auto" w:fill="auto"/>
            <w:noWrap/>
            <w:vAlign w:val="center"/>
          </w:tcPr>
          <w:p w14:paraId="59729914" w14:textId="77777777" w:rsidR="005C5CED" w:rsidRPr="005C5CED" w:rsidRDefault="005C5CED" w:rsidP="005C5CED">
            <w:pPr>
              <w:spacing w:after="0" w:line="240" w:lineRule="auto"/>
              <w:rPr>
                <w:rFonts w:eastAsia="Times New Roman" w:cs="Arial"/>
                <w:color w:val="auto"/>
                <w:sz w:val="16"/>
                <w:szCs w:val="16"/>
                <w:lang w:eastAsia="en-AU"/>
              </w:rPr>
            </w:pPr>
          </w:p>
        </w:tc>
      </w:tr>
    </w:tbl>
    <w:p w14:paraId="4B7E3F5D" w14:textId="77777777" w:rsidR="005C5CED" w:rsidRPr="005C5CED" w:rsidRDefault="005C5CED" w:rsidP="005C5CED">
      <w:pPr>
        <w:spacing w:after="120" w:line="259" w:lineRule="auto"/>
        <w:rPr>
          <w:rFonts w:eastAsia="Calibri" w:cs="Arial"/>
          <w:color w:val="auto"/>
          <w:sz w:val="16"/>
          <w:szCs w:val="16"/>
        </w:rPr>
      </w:pP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r w:rsidRPr="005C5CED">
        <w:rPr>
          <w:rFonts w:eastAsia="Calibri" w:cs="Arial"/>
          <w:color w:val="auto"/>
          <w:sz w:val="16"/>
          <w:szCs w:val="16"/>
        </w:rPr>
        <w:tab/>
      </w:r>
    </w:p>
    <w:p w14:paraId="4551A103" w14:textId="77777777" w:rsidR="005C5CED" w:rsidRPr="005C5CED" w:rsidRDefault="005C5CED" w:rsidP="005C5CED">
      <w:pPr>
        <w:spacing w:line="259" w:lineRule="auto"/>
        <w:rPr>
          <w:rFonts w:eastAsia="Times New Roman" w:cs="Arial"/>
          <w:b/>
          <w:bCs/>
          <w:color w:val="auto"/>
          <w:sz w:val="24"/>
          <w:szCs w:val="24"/>
          <w:lang w:eastAsia="en-AU"/>
        </w:rPr>
      </w:pPr>
      <w:r w:rsidRPr="005C5CED">
        <w:rPr>
          <w:rFonts w:eastAsia="Times New Roman" w:cs="Arial"/>
          <w:b/>
          <w:bCs/>
          <w:color w:val="auto"/>
          <w:sz w:val="24"/>
          <w:szCs w:val="24"/>
          <w:lang w:eastAsia="en-AU"/>
        </w:rPr>
        <w:br w:type="page"/>
      </w:r>
    </w:p>
    <w:p w14:paraId="36251972" w14:textId="77777777" w:rsidR="005C5CED" w:rsidRPr="005C5CED" w:rsidRDefault="005C5CED" w:rsidP="00D12B52">
      <w:pPr>
        <w:spacing w:after="0" w:line="240" w:lineRule="auto"/>
        <w:rPr>
          <w:rFonts w:eastAsia="Yu Gothic Light" w:cs="Times New Roman"/>
          <w:b/>
          <w:bCs/>
          <w:color w:val="174F37"/>
          <w:sz w:val="34"/>
          <w:szCs w:val="34"/>
          <w:lang w:eastAsia="en-AU"/>
        </w:rPr>
      </w:pPr>
      <w:bookmarkStart w:id="319" w:name="_Ref127091670"/>
      <w:r w:rsidRPr="005C5CED">
        <w:rPr>
          <w:rFonts w:eastAsia="Yu Gothic Light" w:cs="Times New Roman"/>
          <w:b/>
          <w:bCs/>
          <w:color w:val="174F37"/>
          <w:sz w:val="34"/>
          <w:szCs w:val="34"/>
          <w:lang w:eastAsia="en-AU"/>
        </w:rPr>
        <w:lastRenderedPageBreak/>
        <w:t>Declaration in the financial statements</w:t>
      </w:r>
      <w:bookmarkEnd w:id="319"/>
    </w:p>
    <w:p w14:paraId="484E0B4C" w14:textId="77777777" w:rsidR="005C5CED" w:rsidRPr="005C5CED" w:rsidRDefault="005C5CED" w:rsidP="005C5CED">
      <w:pPr>
        <w:spacing w:line="259" w:lineRule="auto"/>
        <w:rPr>
          <w:rFonts w:eastAsia="Calibri" w:cs="Arial"/>
          <w:color w:val="auto"/>
          <w:sz w:val="22"/>
        </w:rPr>
      </w:pPr>
      <w:r w:rsidRPr="005C5CED">
        <w:rPr>
          <w:rFonts w:eastAsia="Calibri" w:cs="Arial"/>
          <w:color w:val="auto"/>
          <w:sz w:val="22"/>
        </w:rPr>
        <w:t xml:space="preserve">The attached financial statements for Sustainability Victoria have been prepared in accordance with Direction 5.2 of the Standing Directions of the Assistant Treasurer under the </w:t>
      </w:r>
      <w:r w:rsidRPr="005C5CED">
        <w:rPr>
          <w:rFonts w:eastAsia="Calibri" w:cs="Arial"/>
          <w:i/>
          <w:iCs/>
          <w:color w:val="auto"/>
          <w:sz w:val="22"/>
        </w:rPr>
        <w:t>Financial Management Act 1994</w:t>
      </w:r>
      <w:r w:rsidRPr="005C5CED">
        <w:rPr>
          <w:rFonts w:eastAsia="Calibri" w:cs="Arial"/>
          <w:color w:val="auto"/>
          <w:sz w:val="22"/>
        </w:rPr>
        <w:t>, applicable Financial Reporting Directions, Australian Accounting Standards including Interpretations, and other mandatory professional reporting requirements.</w:t>
      </w:r>
      <w:r w:rsidRPr="005C5CED">
        <w:rPr>
          <w:rFonts w:eastAsia="Calibri" w:cs="Arial"/>
          <w:color w:val="auto"/>
          <w:sz w:val="22"/>
        </w:rPr>
        <w:tab/>
      </w:r>
    </w:p>
    <w:p w14:paraId="75143720" w14:textId="77777777" w:rsidR="005C5CED" w:rsidRPr="005C5CED" w:rsidRDefault="005C5CED" w:rsidP="005C5CED">
      <w:pPr>
        <w:spacing w:line="259" w:lineRule="auto"/>
        <w:rPr>
          <w:rFonts w:eastAsia="Calibri" w:cs="Arial"/>
          <w:color w:val="auto"/>
          <w:sz w:val="22"/>
        </w:rPr>
      </w:pPr>
      <w:r w:rsidRPr="005C5CED">
        <w:rPr>
          <w:rFonts w:eastAsia="Calibri" w:cs="Arial"/>
          <w:color w:val="auto"/>
          <w:sz w:val="22"/>
        </w:rPr>
        <w:t xml:space="preserve">We further state that, in our opinion, the information set out in the comprehensive operating statement, balance sheet, statement of changes in equity and cash flow statement and accompanying notes, presents fairly the financial transactions during the year ended 30 June 2024 and the financial position of Sustainability Victoria as </w:t>
      </w:r>
      <w:proofErr w:type="gramStart"/>
      <w:r w:rsidRPr="005C5CED">
        <w:rPr>
          <w:rFonts w:eastAsia="Calibri" w:cs="Arial"/>
          <w:color w:val="auto"/>
          <w:sz w:val="22"/>
        </w:rPr>
        <w:t>at</w:t>
      </w:r>
      <w:proofErr w:type="gramEnd"/>
      <w:r w:rsidRPr="005C5CED">
        <w:rPr>
          <w:rFonts w:eastAsia="Calibri" w:cs="Arial"/>
          <w:color w:val="auto"/>
          <w:sz w:val="22"/>
        </w:rPr>
        <w:t xml:space="preserve"> 30 June 2024.</w:t>
      </w:r>
    </w:p>
    <w:p w14:paraId="2393C2A2" w14:textId="77777777" w:rsidR="005C5CED" w:rsidRPr="005C5CED" w:rsidRDefault="005C5CED" w:rsidP="005C5CED">
      <w:pPr>
        <w:spacing w:line="259" w:lineRule="auto"/>
        <w:rPr>
          <w:rFonts w:eastAsia="Calibri" w:cs="Arial"/>
          <w:color w:val="auto"/>
          <w:sz w:val="22"/>
        </w:rPr>
      </w:pPr>
      <w:r w:rsidRPr="005C5CED">
        <w:rPr>
          <w:rFonts w:eastAsia="Calibri" w:cs="Arial"/>
          <w:color w:val="auto"/>
          <w:sz w:val="22"/>
        </w:rPr>
        <w:t>At the date of signing, we are not aware of any circumstances which would render any particulars in the financial statements to be misleading or inaccurate.</w:t>
      </w:r>
    </w:p>
    <w:p w14:paraId="769E8C00" w14:textId="77777777" w:rsidR="005C5CED" w:rsidRPr="005C5CED" w:rsidRDefault="005C5CED" w:rsidP="005C5CED">
      <w:pPr>
        <w:spacing w:line="259" w:lineRule="auto"/>
        <w:rPr>
          <w:rFonts w:eastAsia="Calibri" w:cs="Arial"/>
          <w:color w:val="auto"/>
          <w:sz w:val="22"/>
        </w:rPr>
      </w:pPr>
      <w:r w:rsidRPr="005C5CED">
        <w:rPr>
          <w:rFonts w:eastAsia="Calibri" w:cs="Arial"/>
          <w:color w:val="auto"/>
          <w:sz w:val="22"/>
        </w:rPr>
        <w:t>We authorise the attached financial statements for issue on 26th September</w:t>
      </w:r>
      <w:r w:rsidRPr="005C5CED">
        <w:rPr>
          <w:rFonts w:eastAsia="Calibri" w:cs="Arial"/>
          <w:color w:val="FF0000"/>
          <w:sz w:val="22"/>
        </w:rPr>
        <w:t xml:space="preserve"> </w:t>
      </w:r>
      <w:r w:rsidRPr="005C5CED">
        <w:rPr>
          <w:rFonts w:eastAsia="Calibri" w:cs="Arial"/>
          <w:color w:val="auto"/>
          <w:sz w:val="22"/>
        </w:rPr>
        <w:t>2024.</w:t>
      </w:r>
    </w:p>
    <w:p w14:paraId="3B6DE352" w14:textId="77777777" w:rsidR="005C5CED" w:rsidRPr="005C5CED" w:rsidRDefault="005C5CED" w:rsidP="005C5CED">
      <w:pPr>
        <w:numPr>
          <w:ilvl w:val="0"/>
          <w:numId w:val="11"/>
        </w:numPr>
        <w:spacing w:after="0" w:line="240" w:lineRule="auto"/>
        <w:ind w:left="0" w:firstLine="0"/>
        <w:rPr>
          <w:rFonts w:eastAsia="Yu Mincho" w:cs="Calibri"/>
          <w:b/>
          <w:bCs/>
          <w:color w:val="auto"/>
          <w:szCs w:val="24"/>
          <w:shd w:val="clear" w:color="auto" w:fill="FFFFFF"/>
        </w:rPr>
      </w:pPr>
      <w:r w:rsidRPr="005C5CED">
        <w:rPr>
          <w:rFonts w:eastAsia="Yu Mincho" w:cs="Calibri"/>
          <w:b/>
          <w:bCs/>
          <w:color w:val="auto"/>
          <w:szCs w:val="24"/>
          <w:shd w:val="clear" w:color="auto" w:fill="FFFFFF"/>
        </w:rPr>
        <w:t>Johan Scheffer</w:t>
      </w:r>
    </w:p>
    <w:p w14:paraId="01B69C6E"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Chair of the Board</w:t>
      </w:r>
    </w:p>
    <w:p w14:paraId="559BE10E"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Sustainability Victoria</w:t>
      </w:r>
    </w:p>
    <w:p w14:paraId="5815BFA9"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Melbourne</w:t>
      </w:r>
    </w:p>
    <w:p w14:paraId="5566A49D"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26 Sept 2024</w:t>
      </w:r>
    </w:p>
    <w:p w14:paraId="5DC5FC4A" w14:textId="77777777" w:rsidR="005C5CED" w:rsidRPr="005C5CED" w:rsidRDefault="005C5CED" w:rsidP="005C5CED">
      <w:pPr>
        <w:spacing w:line="259" w:lineRule="auto"/>
        <w:rPr>
          <w:rFonts w:eastAsia="Calibri" w:cs="Arial"/>
          <w:color w:val="FF0000"/>
          <w:sz w:val="22"/>
        </w:rPr>
      </w:pPr>
    </w:p>
    <w:p w14:paraId="0F6C9A3F" w14:textId="77777777" w:rsidR="005C5CED" w:rsidRPr="005C5CED" w:rsidRDefault="005C5CED" w:rsidP="005C5CED">
      <w:pPr>
        <w:numPr>
          <w:ilvl w:val="0"/>
          <w:numId w:val="11"/>
        </w:numPr>
        <w:spacing w:after="0" w:line="240" w:lineRule="auto"/>
        <w:ind w:left="0" w:firstLine="0"/>
        <w:rPr>
          <w:rFonts w:eastAsia="Yu Mincho" w:cs="Calibri"/>
          <w:b/>
          <w:bCs/>
          <w:color w:val="auto"/>
          <w:szCs w:val="24"/>
          <w:shd w:val="clear" w:color="auto" w:fill="FFFFFF"/>
        </w:rPr>
      </w:pPr>
      <w:r w:rsidRPr="005C5CED">
        <w:rPr>
          <w:rFonts w:eastAsia="Yu Mincho" w:cs="Calibri"/>
          <w:b/>
          <w:bCs/>
          <w:color w:val="auto"/>
          <w:szCs w:val="24"/>
          <w:shd w:val="clear" w:color="auto" w:fill="FFFFFF"/>
        </w:rPr>
        <w:t>Matthew Genever</w:t>
      </w:r>
    </w:p>
    <w:p w14:paraId="546623EC"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Chief Executive Officer</w:t>
      </w:r>
    </w:p>
    <w:p w14:paraId="6D7D080C"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Sustainability Victoria</w:t>
      </w:r>
    </w:p>
    <w:p w14:paraId="70AAA31A"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Melbourne</w:t>
      </w:r>
    </w:p>
    <w:p w14:paraId="5D400844"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26 Sept 2024</w:t>
      </w:r>
    </w:p>
    <w:p w14:paraId="7C8A013A" w14:textId="77777777" w:rsidR="005C5CED" w:rsidRPr="005C5CED" w:rsidRDefault="005C5CED" w:rsidP="005C5CED">
      <w:pPr>
        <w:spacing w:line="259" w:lineRule="auto"/>
        <w:rPr>
          <w:rFonts w:eastAsia="Calibri" w:cs="Arial"/>
          <w:color w:val="auto"/>
          <w:sz w:val="22"/>
        </w:rPr>
      </w:pPr>
    </w:p>
    <w:p w14:paraId="555DF6D2" w14:textId="77777777" w:rsidR="005C5CED" w:rsidRPr="005C5CED" w:rsidRDefault="005C5CED" w:rsidP="005C5CED">
      <w:pPr>
        <w:numPr>
          <w:ilvl w:val="0"/>
          <w:numId w:val="11"/>
        </w:numPr>
        <w:spacing w:after="0" w:line="240" w:lineRule="auto"/>
        <w:ind w:left="0" w:firstLine="0"/>
        <w:rPr>
          <w:rFonts w:eastAsia="Yu Mincho" w:cs="Calibri"/>
          <w:b/>
          <w:bCs/>
          <w:color w:val="auto"/>
          <w:szCs w:val="24"/>
          <w:shd w:val="clear" w:color="auto" w:fill="FFFFFF"/>
        </w:rPr>
      </w:pPr>
      <w:r w:rsidRPr="005C5CED">
        <w:rPr>
          <w:rFonts w:eastAsia="Yu Mincho" w:cs="Calibri"/>
          <w:b/>
          <w:bCs/>
          <w:color w:val="auto"/>
          <w:szCs w:val="24"/>
          <w:shd w:val="clear" w:color="auto" w:fill="FFFFFF"/>
        </w:rPr>
        <w:t>Christine Tipton</w:t>
      </w:r>
    </w:p>
    <w:p w14:paraId="10D2ADBC"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Chief Operating Officer</w:t>
      </w:r>
    </w:p>
    <w:p w14:paraId="7D5FB7CC"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Sustainability Victoria</w:t>
      </w:r>
    </w:p>
    <w:p w14:paraId="5C1AF748"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Melbourne</w:t>
      </w:r>
    </w:p>
    <w:p w14:paraId="118D6DD6"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26 Sept 2024</w:t>
      </w:r>
    </w:p>
    <w:p w14:paraId="79BB54B3" w14:textId="77777777" w:rsidR="005C5CED" w:rsidRPr="005C5CED" w:rsidRDefault="005C5CED" w:rsidP="005C5CED">
      <w:pPr>
        <w:spacing w:after="120" w:line="259" w:lineRule="auto"/>
        <w:rPr>
          <w:rFonts w:eastAsia="Calibri" w:cs="Arial"/>
          <w:color w:val="auto"/>
          <w:sz w:val="22"/>
        </w:rPr>
      </w:pPr>
    </w:p>
    <w:p w14:paraId="22AD4C71" w14:textId="77777777" w:rsidR="005C5CED" w:rsidRPr="005C5CED" w:rsidRDefault="005C5CED" w:rsidP="005C5CED">
      <w:pPr>
        <w:spacing w:line="259" w:lineRule="auto"/>
        <w:rPr>
          <w:rFonts w:eastAsia="Calibri" w:cs="Arial"/>
          <w:b/>
          <w:bCs/>
          <w:color w:val="auto"/>
          <w:sz w:val="16"/>
          <w:szCs w:val="16"/>
        </w:rPr>
      </w:pPr>
      <w:r w:rsidRPr="005C5CED">
        <w:rPr>
          <w:rFonts w:eastAsia="Calibri" w:cs="Arial"/>
          <w:b/>
          <w:bCs/>
          <w:color w:val="auto"/>
          <w:sz w:val="16"/>
          <w:szCs w:val="16"/>
        </w:rPr>
        <w:br w:type="page"/>
      </w:r>
      <w:r w:rsidRPr="005C5CED">
        <w:rPr>
          <w:rFonts w:eastAsia="Times New Roman" w:cs="Arial"/>
          <w:b/>
          <w:bCs/>
          <w:color w:val="auto"/>
          <w:sz w:val="24"/>
          <w:szCs w:val="24"/>
          <w:lang w:eastAsia="en-AU"/>
        </w:rPr>
        <w:lastRenderedPageBreak/>
        <w:t>Independent Auditors Report</w:t>
      </w:r>
    </w:p>
    <w:p w14:paraId="6D5A56CD" w14:textId="77777777" w:rsidR="005C5CED" w:rsidRPr="005C5CED" w:rsidRDefault="005C5CED" w:rsidP="005C5CED">
      <w:pPr>
        <w:spacing w:after="120" w:line="259" w:lineRule="auto"/>
        <w:rPr>
          <w:rFonts w:eastAsia="Calibri" w:cs="Arial"/>
          <w:b/>
          <w:bCs/>
          <w:color w:val="auto"/>
          <w:sz w:val="16"/>
          <w:szCs w:val="16"/>
        </w:rPr>
      </w:pPr>
      <w:r w:rsidRPr="005C5CED">
        <w:rPr>
          <w:rFonts w:eastAsia="Calibri" w:cs="Arial"/>
          <w:b/>
          <w:bCs/>
          <w:color w:val="auto"/>
          <w:sz w:val="16"/>
          <w:szCs w:val="16"/>
        </w:rPr>
        <w:br w:type="page"/>
      </w:r>
    </w:p>
    <w:p w14:paraId="3DC0E8D0" w14:textId="77777777" w:rsidR="005C5CED" w:rsidRPr="005C5CED" w:rsidRDefault="005C5CED" w:rsidP="005C5CED">
      <w:pPr>
        <w:spacing w:after="0" w:line="240" w:lineRule="auto"/>
        <w:rPr>
          <w:rFonts w:eastAsia="Calibri" w:cs="Arial"/>
          <w:b/>
          <w:bCs/>
          <w:color w:val="auto"/>
          <w:sz w:val="16"/>
          <w:szCs w:val="16"/>
        </w:rPr>
      </w:pPr>
      <w:r w:rsidRPr="005C5CED">
        <w:rPr>
          <w:rFonts w:eastAsia="Calibri" w:cs="Arial"/>
          <w:b/>
          <w:bCs/>
          <w:color w:val="auto"/>
          <w:sz w:val="16"/>
          <w:szCs w:val="16"/>
        </w:rPr>
        <w:lastRenderedPageBreak/>
        <w:br w:type="page"/>
      </w:r>
    </w:p>
    <w:p w14:paraId="2CB05499" w14:textId="77777777" w:rsidR="005C5CED" w:rsidRPr="005C5CED" w:rsidRDefault="005C5CED" w:rsidP="005C5CED">
      <w:pPr>
        <w:keepNext/>
        <w:keepLines/>
        <w:spacing w:before="360" w:after="100" w:line="240" w:lineRule="auto"/>
        <w:outlineLvl w:val="1"/>
        <w:rPr>
          <w:rFonts w:eastAsia="Yu Gothic Light" w:cs="Times New Roman"/>
          <w:b/>
          <w:bCs/>
          <w:color w:val="174F37"/>
          <w:sz w:val="34"/>
          <w:szCs w:val="34"/>
          <w:lang w:eastAsia="en-AU"/>
        </w:rPr>
      </w:pPr>
      <w:r w:rsidRPr="005C5CED">
        <w:rPr>
          <w:rFonts w:eastAsia="Yu Gothic Light" w:cs="Times New Roman"/>
          <w:b/>
          <w:bCs/>
          <w:color w:val="174F37"/>
          <w:sz w:val="34"/>
          <w:szCs w:val="34"/>
          <w:lang w:eastAsia="en-AU"/>
        </w:rPr>
        <w:lastRenderedPageBreak/>
        <w:t>Comprehensive Operating Statement (a)</w:t>
      </w:r>
    </w:p>
    <w:p w14:paraId="03AA2DAE" w14:textId="77777777" w:rsidR="005C5CED" w:rsidRPr="005C5CED" w:rsidRDefault="005C5CED" w:rsidP="005C5CED">
      <w:pPr>
        <w:spacing w:after="60" w:line="240" w:lineRule="auto"/>
        <w:rPr>
          <w:rFonts w:eastAsia="Times New Roman" w:cs="Arial"/>
          <w:b/>
          <w:bCs/>
          <w:color w:val="auto"/>
          <w:sz w:val="22"/>
          <w:lang w:eastAsia="en-AU"/>
        </w:rPr>
      </w:pPr>
    </w:p>
    <w:p w14:paraId="32A71340" w14:textId="77777777" w:rsidR="005C5CED" w:rsidRPr="005C5CED" w:rsidRDefault="005C5CED" w:rsidP="005C5CED">
      <w:pPr>
        <w:spacing w:after="0" w:line="240" w:lineRule="auto"/>
        <w:rPr>
          <w:rFonts w:eastAsia="Calibri" w:cs="Arial"/>
          <w:b/>
          <w:bCs/>
          <w:color w:val="auto"/>
          <w:sz w:val="22"/>
        </w:rPr>
      </w:pPr>
      <w:r w:rsidRPr="005C5CED">
        <w:rPr>
          <w:rFonts w:eastAsia="Calibri" w:cs="Arial"/>
          <w:b/>
          <w:bCs/>
          <w:color w:val="auto"/>
          <w:sz w:val="22"/>
        </w:rPr>
        <w:t>For the financial year ended 30 June 2024</w:t>
      </w:r>
    </w:p>
    <w:p w14:paraId="4E9A4A14" w14:textId="77777777" w:rsidR="005C5CED" w:rsidRPr="005C5CED" w:rsidRDefault="005C5CED" w:rsidP="005C5CED">
      <w:pPr>
        <w:spacing w:after="0" w:line="240" w:lineRule="auto"/>
        <w:rPr>
          <w:rFonts w:eastAsia="Times New Roman" w:cs="Arial"/>
          <w:b/>
          <w:bCs/>
          <w:color w:val="auto"/>
          <w:sz w:val="16"/>
          <w:szCs w:val="16"/>
          <w:lang w:eastAsia="en-AU"/>
        </w:rPr>
      </w:pPr>
    </w:p>
    <w:tbl>
      <w:tblPr>
        <w:tblW w:w="8590" w:type="dxa"/>
        <w:tblLook w:val="04A0" w:firstRow="1" w:lastRow="0" w:firstColumn="1" w:lastColumn="0" w:noHBand="0" w:noVBand="1"/>
      </w:tblPr>
      <w:tblGrid>
        <w:gridCol w:w="351"/>
        <w:gridCol w:w="1617"/>
        <w:gridCol w:w="386"/>
        <w:gridCol w:w="1467"/>
        <w:gridCol w:w="401"/>
        <w:gridCol w:w="384"/>
        <w:gridCol w:w="266"/>
        <w:gridCol w:w="384"/>
        <w:gridCol w:w="661"/>
        <w:gridCol w:w="1550"/>
        <w:gridCol w:w="1127"/>
      </w:tblGrid>
      <w:tr w:rsidR="00D12B52" w:rsidRPr="005C5CED" w14:paraId="1F08AD4E" w14:textId="77777777" w:rsidTr="00D12B52">
        <w:trPr>
          <w:trHeight w:val="224"/>
        </w:trPr>
        <w:tc>
          <w:tcPr>
            <w:tcW w:w="351" w:type="dxa"/>
            <w:tcBorders>
              <w:top w:val="nil"/>
              <w:left w:val="nil"/>
              <w:bottom w:val="nil"/>
              <w:right w:val="nil"/>
            </w:tcBorders>
            <w:shd w:val="clear" w:color="000000" w:fill="000000"/>
            <w:noWrap/>
            <w:vAlign w:val="center"/>
            <w:hideMark/>
          </w:tcPr>
          <w:p w14:paraId="1018B437"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617" w:type="dxa"/>
            <w:tcBorders>
              <w:top w:val="nil"/>
              <w:left w:val="nil"/>
              <w:bottom w:val="nil"/>
              <w:right w:val="nil"/>
            </w:tcBorders>
            <w:shd w:val="clear" w:color="000000" w:fill="000000"/>
            <w:noWrap/>
            <w:vAlign w:val="center"/>
            <w:hideMark/>
          </w:tcPr>
          <w:p w14:paraId="1EC65861"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385" w:type="dxa"/>
            <w:tcBorders>
              <w:top w:val="nil"/>
              <w:left w:val="nil"/>
              <w:bottom w:val="nil"/>
              <w:right w:val="nil"/>
            </w:tcBorders>
            <w:shd w:val="clear" w:color="000000" w:fill="000000"/>
            <w:noWrap/>
            <w:vAlign w:val="center"/>
            <w:hideMark/>
          </w:tcPr>
          <w:p w14:paraId="3A395622"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467" w:type="dxa"/>
            <w:tcBorders>
              <w:top w:val="nil"/>
              <w:left w:val="nil"/>
              <w:bottom w:val="nil"/>
              <w:right w:val="nil"/>
            </w:tcBorders>
            <w:shd w:val="clear" w:color="000000" w:fill="000000"/>
            <w:noWrap/>
            <w:vAlign w:val="center"/>
            <w:hideMark/>
          </w:tcPr>
          <w:p w14:paraId="44AA2879"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401" w:type="dxa"/>
            <w:tcBorders>
              <w:top w:val="nil"/>
              <w:left w:val="nil"/>
              <w:bottom w:val="nil"/>
              <w:right w:val="nil"/>
            </w:tcBorders>
            <w:shd w:val="clear" w:color="000000" w:fill="000000"/>
            <w:noWrap/>
            <w:vAlign w:val="center"/>
            <w:hideMark/>
          </w:tcPr>
          <w:p w14:paraId="4EDF86CB"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384" w:type="dxa"/>
            <w:tcBorders>
              <w:top w:val="nil"/>
              <w:left w:val="nil"/>
              <w:bottom w:val="nil"/>
              <w:right w:val="nil"/>
            </w:tcBorders>
            <w:shd w:val="clear" w:color="000000" w:fill="000000"/>
            <w:noWrap/>
            <w:vAlign w:val="center"/>
            <w:hideMark/>
          </w:tcPr>
          <w:p w14:paraId="7042F59B"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66" w:type="dxa"/>
            <w:tcBorders>
              <w:top w:val="nil"/>
              <w:left w:val="nil"/>
              <w:bottom w:val="nil"/>
              <w:right w:val="nil"/>
            </w:tcBorders>
            <w:shd w:val="clear" w:color="000000" w:fill="000000"/>
            <w:noWrap/>
            <w:vAlign w:val="center"/>
            <w:hideMark/>
          </w:tcPr>
          <w:p w14:paraId="53D52FAC"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384" w:type="dxa"/>
            <w:tcBorders>
              <w:top w:val="nil"/>
              <w:left w:val="nil"/>
              <w:bottom w:val="nil"/>
              <w:right w:val="nil"/>
            </w:tcBorders>
            <w:shd w:val="clear" w:color="000000" w:fill="000000"/>
            <w:noWrap/>
            <w:vAlign w:val="center"/>
            <w:hideMark/>
          </w:tcPr>
          <w:p w14:paraId="3492B6C5"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657" w:type="dxa"/>
            <w:tcBorders>
              <w:top w:val="nil"/>
              <w:left w:val="nil"/>
              <w:bottom w:val="nil"/>
              <w:right w:val="nil"/>
            </w:tcBorders>
            <w:shd w:val="clear" w:color="000000" w:fill="000000"/>
            <w:noWrap/>
            <w:vAlign w:val="center"/>
            <w:hideMark/>
          </w:tcPr>
          <w:p w14:paraId="7B7A82DF"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Notes</w:t>
            </w:r>
          </w:p>
        </w:tc>
        <w:tc>
          <w:tcPr>
            <w:tcW w:w="1550" w:type="dxa"/>
            <w:tcBorders>
              <w:top w:val="nil"/>
              <w:left w:val="nil"/>
              <w:bottom w:val="nil"/>
              <w:right w:val="nil"/>
            </w:tcBorders>
            <w:shd w:val="clear" w:color="000000" w:fill="000000"/>
            <w:noWrap/>
            <w:vAlign w:val="center"/>
            <w:hideMark/>
          </w:tcPr>
          <w:p w14:paraId="25FBA70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127" w:type="dxa"/>
            <w:tcBorders>
              <w:top w:val="nil"/>
              <w:left w:val="nil"/>
              <w:bottom w:val="nil"/>
              <w:right w:val="nil"/>
            </w:tcBorders>
            <w:shd w:val="clear" w:color="000000" w:fill="000000"/>
            <w:noWrap/>
            <w:vAlign w:val="center"/>
            <w:hideMark/>
          </w:tcPr>
          <w:p w14:paraId="4242FDA0"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D12B52" w:rsidRPr="005C5CED" w14:paraId="51B57F19" w14:textId="77777777" w:rsidTr="00D12B52">
        <w:trPr>
          <w:trHeight w:val="224"/>
        </w:trPr>
        <w:tc>
          <w:tcPr>
            <w:tcW w:w="351" w:type="dxa"/>
            <w:tcBorders>
              <w:top w:val="nil"/>
              <w:left w:val="nil"/>
              <w:bottom w:val="nil"/>
              <w:right w:val="nil"/>
            </w:tcBorders>
            <w:shd w:val="clear" w:color="000000" w:fill="000000"/>
            <w:noWrap/>
            <w:vAlign w:val="center"/>
            <w:hideMark/>
          </w:tcPr>
          <w:p w14:paraId="2AED5C6F"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617" w:type="dxa"/>
            <w:tcBorders>
              <w:top w:val="nil"/>
              <w:left w:val="nil"/>
              <w:bottom w:val="nil"/>
              <w:right w:val="nil"/>
            </w:tcBorders>
            <w:shd w:val="clear" w:color="000000" w:fill="000000"/>
            <w:noWrap/>
            <w:vAlign w:val="center"/>
            <w:hideMark/>
          </w:tcPr>
          <w:p w14:paraId="6EFFD2A8"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385" w:type="dxa"/>
            <w:tcBorders>
              <w:top w:val="nil"/>
              <w:left w:val="nil"/>
              <w:bottom w:val="nil"/>
              <w:right w:val="nil"/>
            </w:tcBorders>
            <w:shd w:val="clear" w:color="000000" w:fill="000000"/>
            <w:noWrap/>
            <w:vAlign w:val="center"/>
            <w:hideMark/>
          </w:tcPr>
          <w:p w14:paraId="67416A0B"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467" w:type="dxa"/>
            <w:tcBorders>
              <w:top w:val="nil"/>
              <w:left w:val="nil"/>
              <w:bottom w:val="nil"/>
              <w:right w:val="nil"/>
            </w:tcBorders>
            <w:shd w:val="clear" w:color="000000" w:fill="000000"/>
            <w:noWrap/>
            <w:vAlign w:val="center"/>
            <w:hideMark/>
          </w:tcPr>
          <w:p w14:paraId="538E214E"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401" w:type="dxa"/>
            <w:tcBorders>
              <w:top w:val="nil"/>
              <w:left w:val="nil"/>
              <w:bottom w:val="nil"/>
              <w:right w:val="nil"/>
            </w:tcBorders>
            <w:shd w:val="clear" w:color="000000" w:fill="000000"/>
            <w:noWrap/>
            <w:vAlign w:val="center"/>
            <w:hideMark/>
          </w:tcPr>
          <w:p w14:paraId="0EA08A1A"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384" w:type="dxa"/>
            <w:tcBorders>
              <w:top w:val="nil"/>
              <w:left w:val="nil"/>
              <w:bottom w:val="nil"/>
              <w:right w:val="nil"/>
            </w:tcBorders>
            <w:shd w:val="clear" w:color="000000" w:fill="000000"/>
            <w:noWrap/>
            <w:vAlign w:val="center"/>
            <w:hideMark/>
          </w:tcPr>
          <w:p w14:paraId="3FDEB5FA"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66" w:type="dxa"/>
            <w:tcBorders>
              <w:top w:val="nil"/>
              <w:left w:val="nil"/>
              <w:bottom w:val="nil"/>
              <w:right w:val="nil"/>
            </w:tcBorders>
            <w:shd w:val="clear" w:color="000000" w:fill="000000"/>
            <w:noWrap/>
            <w:vAlign w:val="center"/>
            <w:hideMark/>
          </w:tcPr>
          <w:p w14:paraId="5DF809F1"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384" w:type="dxa"/>
            <w:tcBorders>
              <w:top w:val="nil"/>
              <w:left w:val="nil"/>
              <w:bottom w:val="nil"/>
              <w:right w:val="nil"/>
            </w:tcBorders>
            <w:shd w:val="clear" w:color="000000" w:fill="000000"/>
            <w:noWrap/>
            <w:vAlign w:val="center"/>
            <w:hideMark/>
          </w:tcPr>
          <w:p w14:paraId="0FA23F64"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657" w:type="dxa"/>
            <w:tcBorders>
              <w:top w:val="nil"/>
              <w:left w:val="nil"/>
              <w:bottom w:val="nil"/>
              <w:right w:val="nil"/>
            </w:tcBorders>
            <w:shd w:val="clear" w:color="000000" w:fill="000000"/>
            <w:noWrap/>
            <w:vAlign w:val="center"/>
            <w:hideMark/>
          </w:tcPr>
          <w:p w14:paraId="5E6694D3"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50" w:type="dxa"/>
            <w:tcBorders>
              <w:top w:val="nil"/>
              <w:left w:val="nil"/>
              <w:bottom w:val="single" w:sz="4" w:space="0" w:color="auto"/>
              <w:right w:val="nil"/>
            </w:tcBorders>
            <w:shd w:val="clear" w:color="000000" w:fill="000000"/>
            <w:noWrap/>
            <w:vAlign w:val="center"/>
            <w:hideMark/>
          </w:tcPr>
          <w:p w14:paraId="20685705"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27" w:type="dxa"/>
            <w:tcBorders>
              <w:top w:val="nil"/>
              <w:left w:val="nil"/>
              <w:bottom w:val="single" w:sz="4" w:space="0" w:color="auto"/>
              <w:right w:val="nil"/>
            </w:tcBorders>
            <w:shd w:val="clear" w:color="000000" w:fill="000000"/>
            <w:noWrap/>
            <w:vAlign w:val="center"/>
            <w:hideMark/>
          </w:tcPr>
          <w:p w14:paraId="5DDF11A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D12B52" w:rsidRPr="005C5CED" w14:paraId="50B3E1CC" w14:textId="77777777" w:rsidTr="00D12B52">
        <w:trPr>
          <w:trHeight w:val="224"/>
        </w:trPr>
        <w:tc>
          <w:tcPr>
            <w:tcW w:w="351" w:type="dxa"/>
            <w:tcBorders>
              <w:top w:val="nil"/>
              <w:left w:val="nil"/>
              <w:bottom w:val="nil"/>
              <w:right w:val="nil"/>
            </w:tcBorders>
            <w:shd w:val="clear" w:color="auto" w:fill="auto"/>
            <w:noWrap/>
            <w:vAlign w:val="center"/>
            <w:hideMark/>
          </w:tcPr>
          <w:p w14:paraId="3AD9C1D7" w14:textId="77777777" w:rsidR="005C5CED" w:rsidRPr="005C5CED" w:rsidRDefault="005C5CED" w:rsidP="005C5CED">
            <w:pPr>
              <w:spacing w:after="0" w:line="240" w:lineRule="auto"/>
              <w:jc w:val="right"/>
              <w:rPr>
                <w:rFonts w:eastAsia="Times New Roman" w:cs="Arial"/>
                <w:b/>
                <w:bCs/>
                <w:color w:val="FFFFFF"/>
                <w:sz w:val="16"/>
                <w:szCs w:val="16"/>
                <w:lang w:eastAsia="en-AU"/>
              </w:rPr>
            </w:pPr>
          </w:p>
        </w:tc>
        <w:tc>
          <w:tcPr>
            <w:tcW w:w="1617" w:type="dxa"/>
            <w:tcBorders>
              <w:top w:val="nil"/>
              <w:left w:val="nil"/>
              <w:bottom w:val="nil"/>
              <w:right w:val="nil"/>
            </w:tcBorders>
            <w:shd w:val="clear" w:color="auto" w:fill="auto"/>
            <w:noWrap/>
            <w:vAlign w:val="center"/>
            <w:hideMark/>
          </w:tcPr>
          <w:p w14:paraId="4EEE3430" w14:textId="77777777" w:rsidR="005C5CED" w:rsidRPr="005C5CED" w:rsidRDefault="005C5CED" w:rsidP="005C5CED">
            <w:pPr>
              <w:spacing w:after="0" w:line="240" w:lineRule="auto"/>
              <w:rPr>
                <w:rFonts w:eastAsia="Times New Roman" w:cs="Arial"/>
                <w:color w:val="auto"/>
                <w:szCs w:val="20"/>
                <w:lang w:eastAsia="en-AU"/>
              </w:rPr>
            </w:pPr>
          </w:p>
        </w:tc>
        <w:tc>
          <w:tcPr>
            <w:tcW w:w="385" w:type="dxa"/>
            <w:tcBorders>
              <w:top w:val="nil"/>
              <w:left w:val="nil"/>
              <w:bottom w:val="nil"/>
              <w:right w:val="nil"/>
            </w:tcBorders>
            <w:shd w:val="clear" w:color="auto" w:fill="auto"/>
            <w:noWrap/>
            <w:vAlign w:val="center"/>
            <w:hideMark/>
          </w:tcPr>
          <w:p w14:paraId="23550289" w14:textId="77777777" w:rsidR="005C5CED" w:rsidRPr="005C5CED" w:rsidRDefault="005C5CED" w:rsidP="005C5CED">
            <w:pPr>
              <w:spacing w:after="0" w:line="240" w:lineRule="auto"/>
              <w:rPr>
                <w:rFonts w:eastAsia="Times New Roman" w:cs="Arial"/>
                <w:color w:val="auto"/>
                <w:szCs w:val="20"/>
                <w:lang w:eastAsia="en-AU"/>
              </w:rPr>
            </w:pPr>
          </w:p>
        </w:tc>
        <w:tc>
          <w:tcPr>
            <w:tcW w:w="1467" w:type="dxa"/>
            <w:tcBorders>
              <w:top w:val="nil"/>
              <w:left w:val="nil"/>
              <w:bottom w:val="nil"/>
              <w:right w:val="nil"/>
            </w:tcBorders>
            <w:shd w:val="clear" w:color="auto" w:fill="auto"/>
            <w:noWrap/>
            <w:vAlign w:val="center"/>
            <w:hideMark/>
          </w:tcPr>
          <w:p w14:paraId="0F4F073B"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65D52485"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3CE6E419"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00C96E80"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4AA0C8B1"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153FFDE1" w14:textId="77777777" w:rsidR="005C5CED" w:rsidRPr="005C5CED" w:rsidRDefault="005C5CED" w:rsidP="005C5CED">
            <w:pPr>
              <w:spacing w:after="0" w:line="240" w:lineRule="auto"/>
              <w:rPr>
                <w:rFonts w:eastAsia="Times New Roman" w:cs="Arial"/>
                <w:color w:val="auto"/>
                <w:szCs w:val="20"/>
                <w:lang w:eastAsia="en-AU"/>
              </w:rPr>
            </w:pPr>
          </w:p>
        </w:tc>
        <w:tc>
          <w:tcPr>
            <w:tcW w:w="1550" w:type="dxa"/>
            <w:tcBorders>
              <w:top w:val="nil"/>
              <w:left w:val="nil"/>
              <w:bottom w:val="nil"/>
              <w:right w:val="nil"/>
            </w:tcBorders>
            <w:shd w:val="clear" w:color="auto" w:fill="auto"/>
            <w:noWrap/>
            <w:vAlign w:val="center"/>
            <w:hideMark/>
          </w:tcPr>
          <w:p w14:paraId="52FB5BEE" w14:textId="77777777" w:rsidR="005C5CED" w:rsidRPr="005C5CED" w:rsidRDefault="005C5CED" w:rsidP="005C5CED">
            <w:pPr>
              <w:spacing w:after="0" w:line="240" w:lineRule="auto"/>
              <w:jc w:val="center"/>
              <w:rPr>
                <w:rFonts w:eastAsia="Times New Roman" w:cs="Arial"/>
                <w:color w:val="auto"/>
                <w:szCs w:val="20"/>
                <w:lang w:eastAsia="en-AU"/>
              </w:rPr>
            </w:pPr>
          </w:p>
        </w:tc>
        <w:tc>
          <w:tcPr>
            <w:tcW w:w="1127" w:type="dxa"/>
            <w:tcBorders>
              <w:top w:val="nil"/>
              <w:left w:val="nil"/>
              <w:bottom w:val="nil"/>
              <w:right w:val="nil"/>
            </w:tcBorders>
            <w:shd w:val="clear" w:color="000000" w:fill="E7E6E6"/>
            <w:noWrap/>
            <w:vAlign w:val="center"/>
            <w:hideMark/>
          </w:tcPr>
          <w:p w14:paraId="1002A65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D12B52" w:rsidRPr="005C5CED" w14:paraId="4267937F"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1FEA1D9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Income from transactions</w:t>
            </w:r>
          </w:p>
        </w:tc>
        <w:tc>
          <w:tcPr>
            <w:tcW w:w="385" w:type="dxa"/>
            <w:tcBorders>
              <w:top w:val="nil"/>
              <w:left w:val="nil"/>
              <w:bottom w:val="nil"/>
              <w:right w:val="nil"/>
            </w:tcBorders>
            <w:shd w:val="clear" w:color="auto" w:fill="auto"/>
            <w:noWrap/>
            <w:vAlign w:val="center"/>
            <w:hideMark/>
          </w:tcPr>
          <w:p w14:paraId="737CD79B"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17683B4A"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14B7419B"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555C81DE"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58EF0214"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642FB0B3"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149AB166" w14:textId="77777777" w:rsidR="005C5CED" w:rsidRPr="005C5CED" w:rsidRDefault="005C5CED" w:rsidP="005C5CED">
            <w:pPr>
              <w:spacing w:after="0" w:line="240" w:lineRule="auto"/>
              <w:rPr>
                <w:rFonts w:eastAsia="Times New Roman" w:cs="Arial"/>
                <w:color w:val="auto"/>
                <w:szCs w:val="20"/>
                <w:lang w:eastAsia="en-AU"/>
              </w:rPr>
            </w:pPr>
          </w:p>
        </w:tc>
        <w:tc>
          <w:tcPr>
            <w:tcW w:w="1550" w:type="dxa"/>
            <w:tcBorders>
              <w:top w:val="nil"/>
              <w:left w:val="nil"/>
              <w:bottom w:val="nil"/>
              <w:right w:val="nil"/>
            </w:tcBorders>
            <w:shd w:val="clear" w:color="auto" w:fill="auto"/>
            <w:noWrap/>
            <w:vAlign w:val="center"/>
            <w:hideMark/>
          </w:tcPr>
          <w:p w14:paraId="0D945EE3" w14:textId="77777777" w:rsidR="005C5CED" w:rsidRPr="005C5CED" w:rsidRDefault="005C5CED" w:rsidP="005C5CED">
            <w:pPr>
              <w:spacing w:after="0" w:line="240" w:lineRule="auto"/>
              <w:jc w:val="center"/>
              <w:rPr>
                <w:rFonts w:eastAsia="Times New Roman" w:cs="Arial"/>
                <w:color w:val="auto"/>
                <w:szCs w:val="20"/>
                <w:lang w:eastAsia="en-AU"/>
              </w:rPr>
            </w:pPr>
          </w:p>
        </w:tc>
        <w:tc>
          <w:tcPr>
            <w:tcW w:w="1127" w:type="dxa"/>
            <w:tcBorders>
              <w:top w:val="nil"/>
              <w:left w:val="nil"/>
              <w:bottom w:val="nil"/>
              <w:right w:val="nil"/>
            </w:tcBorders>
            <w:shd w:val="clear" w:color="000000" w:fill="E7E6E6"/>
            <w:noWrap/>
            <w:vAlign w:val="center"/>
            <w:hideMark/>
          </w:tcPr>
          <w:p w14:paraId="1008F33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r>
      <w:tr w:rsidR="00D12B52" w:rsidRPr="005C5CED" w14:paraId="332278D2"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1A92350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Municipal and Industrial Waste Levy</w:t>
            </w:r>
          </w:p>
        </w:tc>
        <w:tc>
          <w:tcPr>
            <w:tcW w:w="385" w:type="dxa"/>
            <w:tcBorders>
              <w:top w:val="nil"/>
              <w:left w:val="nil"/>
              <w:bottom w:val="nil"/>
              <w:right w:val="nil"/>
            </w:tcBorders>
            <w:shd w:val="clear" w:color="auto" w:fill="auto"/>
            <w:noWrap/>
            <w:vAlign w:val="center"/>
            <w:hideMark/>
          </w:tcPr>
          <w:p w14:paraId="7609D2E4"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71EC643E"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14CEA2A0"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56419097"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2C54E119"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4F4C59AB"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3F18C9F1"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2.1</w:t>
            </w:r>
          </w:p>
        </w:tc>
        <w:tc>
          <w:tcPr>
            <w:tcW w:w="1550" w:type="dxa"/>
            <w:tcBorders>
              <w:top w:val="nil"/>
              <w:left w:val="nil"/>
              <w:bottom w:val="nil"/>
              <w:right w:val="nil"/>
            </w:tcBorders>
            <w:shd w:val="clear" w:color="auto" w:fill="auto"/>
            <w:noWrap/>
            <w:vAlign w:val="center"/>
          </w:tcPr>
          <w:p w14:paraId="3507EDB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18,947</w:t>
            </w:r>
          </w:p>
        </w:tc>
        <w:tc>
          <w:tcPr>
            <w:tcW w:w="1127" w:type="dxa"/>
            <w:tcBorders>
              <w:top w:val="nil"/>
              <w:left w:val="nil"/>
              <w:bottom w:val="nil"/>
              <w:right w:val="nil"/>
            </w:tcBorders>
            <w:shd w:val="clear" w:color="000000" w:fill="E7E6E6"/>
            <w:noWrap/>
            <w:vAlign w:val="center"/>
            <w:hideMark/>
          </w:tcPr>
          <w:p w14:paraId="0C36F35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19,176</w:t>
            </w:r>
          </w:p>
        </w:tc>
      </w:tr>
      <w:tr w:rsidR="00D12B52" w:rsidRPr="005C5CED" w14:paraId="2A7E0DC4"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4C81E1D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Government grants </w:t>
            </w:r>
          </w:p>
        </w:tc>
        <w:tc>
          <w:tcPr>
            <w:tcW w:w="385" w:type="dxa"/>
            <w:tcBorders>
              <w:top w:val="nil"/>
              <w:left w:val="nil"/>
              <w:bottom w:val="nil"/>
              <w:right w:val="nil"/>
            </w:tcBorders>
            <w:shd w:val="clear" w:color="auto" w:fill="auto"/>
            <w:noWrap/>
            <w:vAlign w:val="center"/>
            <w:hideMark/>
          </w:tcPr>
          <w:p w14:paraId="2DC0B404"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54C6D3EB"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6ABCCFBC"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687A58AE"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38A8EEF1"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43E36453"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058C96A7"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2.2</w:t>
            </w:r>
          </w:p>
        </w:tc>
        <w:tc>
          <w:tcPr>
            <w:tcW w:w="1550" w:type="dxa"/>
            <w:tcBorders>
              <w:top w:val="nil"/>
              <w:left w:val="nil"/>
              <w:bottom w:val="nil"/>
              <w:right w:val="nil"/>
            </w:tcBorders>
            <w:shd w:val="clear" w:color="auto" w:fill="auto"/>
            <w:noWrap/>
            <w:vAlign w:val="center"/>
          </w:tcPr>
          <w:p w14:paraId="7D7C379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67,352</w:t>
            </w:r>
          </w:p>
        </w:tc>
        <w:tc>
          <w:tcPr>
            <w:tcW w:w="1127" w:type="dxa"/>
            <w:tcBorders>
              <w:top w:val="nil"/>
              <w:left w:val="nil"/>
              <w:bottom w:val="nil"/>
              <w:right w:val="nil"/>
            </w:tcBorders>
            <w:shd w:val="clear" w:color="000000" w:fill="E7E6E6"/>
            <w:noWrap/>
            <w:vAlign w:val="center"/>
            <w:hideMark/>
          </w:tcPr>
          <w:p w14:paraId="216E960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61,539</w:t>
            </w:r>
          </w:p>
        </w:tc>
      </w:tr>
      <w:tr w:rsidR="00D12B52" w:rsidRPr="005C5CED" w14:paraId="1E8C48D4" w14:textId="77777777" w:rsidTr="00D12B52">
        <w:trPr>
          <w:trHeight w:val="341"/>
        </w:trPr>
        <w:tc>
          <w:tcPr>
            <w:tcW w:w="2354" w:type="dxa"/>
            <w:gridSpan w:val="3"/>
            <w:tcBorders>
              <w:top w:val="nil"/>
              <w:left w:val="nil"/>
              <w:bottom w:val="nil"/>
              <w:right w:val="nil"/>
            </w:tcBorders>
            <w:shd w:val="clear" w:color="auto" w:fill="auto"/>
            <w:noWrap/>
            <w:vAlign w:val="center"/>
            <w:hideMark/>
          </w:tcPr>
          <w:p w14:paraId="40E2EAC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Other income from government </w:t>
            </w:r>
          </w:p>
        </w:tc>
        <w:tc>
          <w:tcPr>
            <w:tcW w:w="1467" w:type="dxa"/>
            <w:tcBorders>
              <w:top w:val="nil"/>
              <w:left w:val="nil"/>
              <w:bottom w:val="nil"/>
              <w:right w:val="nil"/>
            </w:tcBorders>
            <w:shd w:val="clear" w:color="auto" w:fill="auto"/>
            <w:noWrap/>
            <w:vAlign w:val="center"/>
            <w:hideMark/>
          </w:tcPr>
          <w:p w14:paraId="5C558E36" w14:textId="77777777" w:rsidR="005C5CED" w:rsidRPr="005C5CED" w:rsidRDefault="005C5CED" w:rsidP="005C5CED">
            <w:pPr>
              <w:spacing w:after="0" w:line="240" w:lineRule="auto"/>
              <w:rPr>
                <w:rFonts w:eastAsia="Times New Roman" w:cs="Arial"/>
                <w:color w:val="auto"/>
                <w:sz w:val="16"/>
                <w:szCs w:val="16"/>
                <w:lang w:eastAsia="en-AU"/>
              </w:rPr>
            </w:pPr>
          </w:p>
        </w:tc>
        <w:tc>
          <w:tcPr>
            <w:tcW w:w="401" w:type="dxa"/>
            <w:tcBorders>
              <w:top w:val="nil"/>
              <w:left w:val="nil"/>
              <w:bottom w:val="nil"/>
              <w:right w:val="nil"/>
            </w:tcBorders>
            <w:shd w:val="clear" w:color="auto" w:fill="auto"/>
            <w:noWrap/>
            <w:vAlign w:val="center"/>
            <w:hideMark/>
          </w:tcPr>
          <w:p w14:paraId="593D971D"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2ADB2A26"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34ECBBE3"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78F0C343"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477FCC56"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2.3</w:t>
            </w:r>
          </w:p>
        </w:tc>
        <w:tc>
          <w:tcPr>
            <w:tcW w:w="1550" w:type="dxa"/>
            <w:tcBorders>
              <w:top w:val="nil"/>
              <w:left w:val="nil"/>
              <w:bottom w:val="nil"/>
              <w:right w:val="nil"/>
            </w:tcBorders>
            <w:shd w:val="clear" w:color="auto" w:fill="auto"/>
            <w:noWrap/>
            <w:vAlign w:val="center"/>
          </w:tcPr>
          <w:p w14:paraId="0CCEE7C5" w14:textId="77777777" w:rsidR="005C5CED" w:rsidRPr="005C5CED" w:rsidRDefault="005C5CED" w:rsidP="005C5CED">
            <w:pPr>
              <w:spacing w:after="0" w:line="240" w:lineRule="auto"/>
              <w:jc w:val="right"/>
              <w:rPr>
                <w:rFonts w:eastAsia="Times New Roman" w:cs="Arial"/>
                <w:color w:val="auto"/>
                <w:sz w:val="16"/>
                <w:szCs w:val="16"/>
                <w:lang w:eastAsia="en-AU"/>
              </w:rPr>
            </w:pPr>
          </w:p>
          <w:p w14:paraId="789E32F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199</w:t>
            </w:r>
          </w:p>
        </w:tc>
        <w:tc>
          <w:tcPr>
            <w:tcW w:w="1127" w:type="dxa"/>
            <w:tcBorders>
              <w:top w:val="nil"/>
              <w:left w:val="nil"/>
              <w:bottom w:val="nil"/>
              <w:right w:val="nil"/>
            </w:tcBorders>
            <w:shd w:val="clear" w:color="000000" w:fill="E7E6E6"/>
            <w:noWrap/>
            <w:vAlign w:val="center"/>
            <w:hideMark/>
          </w:tcPr>
          <w:p w14:paraId="681591E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255 </w:t>
            </w:r>
          </w:p>
        </w:tc>
      </w:tr>
      <w:tr w:rsidR="00D12B52" w:rsidRPr="005C5CED" w14:paraId="585037B8"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06D2C00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Interest</w:t>
            </w:r>
          </w:p>
        </w:tc>
        <w:tc>
          <w:tcPr>
            <w:tcW w:w="385" w:type="dxa"/>
            <w:tcBorders>
              <w:top w:val="nil"/>
              <w:left w:val="nil"/>
              <w:bottom w:val="nil"/>
              <w:right w:val="nil"/>
            </w:tcBorders>
            <w:shd w:val="clear" w:color="auto" w:fill="auto"/>
            <w:noWrap/>
            <w:vAlign w:val="center"/>
            <w:hideMark/>
          </w:tcPr>
          <w:p w14:paraId="5E1DFCFF"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3F7FB9C6"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2206B36E"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761E35E9"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00071945"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2B6115A7"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46887A3E"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2.1</w:t>
            </w:r>
          </w:p>
        </w:tc>
        <w:tc>
          <w:tcPr>
            <w:tcW w:w="1550" w:type="dxa"/>
            <w:tcBorders>
              <w:top w:val="nil"/>
              <w:left w:val="nil"/>
              <w:bottom w:val="nil"/>
              <w:right w:val="nil"/>
            </w:tcBorders>
            <w:shd w:val="clear" w:color="auto" w:fill="auto"/>
            <w:noWrap/>
            <w:vAlign w:val="center"/>
          </w:tcPr>
          <w:p w14:paraId="7CC6641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3,503</w:t>
            </w:r>
          </w:p>
        </w:tc>
        <w:tc>
          <w:tcPr>
            <w:tcW w:w="1127" w:type="dxa"/>
            <w:tcBorders>
              <w:top w:val="nil"/>
              <w:left w:val="nil"/>
              <w:bottom w:val="nil"/>
              <w:right w:val="nil"/>
            </w:tcBorders>
            <w:shd w:val="clear" w:color="000000" w:fill="E7E6E6"/>
            <w:noWrap/>
            <w:vAlign w:val="center"/>
            <w:hideMark/>
          </w:tcPr>
          <w:p w14:paraId="61FA3F0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2,439</w:t>
            </w:r>
          </w:p>
        </w:tc>
      </w:tr>
      <w:tr w:rsidR="00D12B52" w:rsidRPr="005C5CED" w14:paraId="6AFEED6F"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187681B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income</w:t>
            </w:r>
          </w:p>
        </w:tc>
        <w:tc>
          <w:tcPr>
            <w:tcW w:w="385" w:type="dxa"/>
            <w:tcBorders>
              <w:top w:val="nil"/>
              <w:left w:val="nil"/>
              <w:bottom w:val="nil"/>
              <w:right w:val="nil"/>
            </w:tcBorders>
            <w:shd w:val="clear" w:color="auto" w:fill="auto"/>
            <w:noWrap/>
            <w:vAlign w:val="center"/>
            <w:hideMark/>
          </w:tcPr>
          <w:p w14:paraId="1559E95F"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355AB056"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732BB060"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6E1A4A9C"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01AD26B5"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6AB28DBF"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5EF4C7BB"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2.3</w:t>
            </w:r>
          </w:p>
        </w:tc>
        <w:tc>
          <w:tcPr>
            <w:tcW w:w="1550" w:type="dxa"/>
            <w:tcBorders>
              <w:top w:val="nil"/>
              <w:left w:val="nil"/>
              <w:bottom w:val="nil"/>
              <w:right w:val="nil"/>
            </w:tcBorders>
            <w:shd w:val="clear" w:color="auto" w:fill="auto"/>
            <w:noWrap/>
            <w:vAlign w:val="center"/>
          </w:tcPr>
          <w:p w14:paraId="6F9F3EA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3,101</w:t>
            </w:r>
          </w:p>
        </w:tc>
        <w:tc>
          <w:tcPr>
            <w:tcW w:w="1127" w:type="dxa"/>
            <w:tcBorders>
              <w:top w:val="nil"/>
              <w:left w:val="nil"/>
              <w:bottom w:val="nil"/>
              <w:right w:val="nil"/>
            </w:tcBorders>
            <w:shd w:val="clear" w:color="000000" w:fill="E7E6E6"/>
            <w:noWrap/>
            <w:vAlign w:val="center"/>
            <w:hideMark/>
          </w:tcPr>
          <w:p w14:paraId="4B327D5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3,194</w:t>
            </w:r>
          </w:p>
        </w:tc>
      </w:tr>
      <w:tr w:rsidR="00D12B52" w:rsidRPr="005C5CED" w14:paraId="55CE088E" w14:textId="77777777" w:rsidTr="00D12B52">
        <w:trPr>
          <w:trHeight w:val="341"/>
        </w:trPr>
        <w:tc>
          <w:tcPr>
            <w:tcW w:w="2354" w:type="dxa"/>
            <w:gridSpan w:val="3"/>
            <w:tcBorders>
              <w:top w:val="nil"/>
              <w:left w:val="nil"/>
              <w:bottom w:val="nil"/>
              <w:right w:val="nil"/>
            </w:tcBorders>
            <w:shd w:val="clear" w:color="auto" w:fill="auto"/>
            <w:noWrap/>
            <w:vAlign w:val="center"/>
            <w:hideMark/>
          </w:tcPr>
          <w:p w14:paraId="50E7A712"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income from transactions</w:t>
            </w:r>
          </w:p>
        </w:tc>
        <w:tc>
          <w:tcPr>
            <w:tcW w:w="1467" w:type="dxa"/>
            <w:tcBorders>
              <w:top w:val="nil"/>
              <w:left w:val="nil"/>
              <w:bottom w:val="nil"/>
              <w:right w:val="nil"/>
            </w:tcBorders>
            <w:shd w:val="clear" w:color="auto" w:fill="auto"/>
            <w:noWrap/>
            <w:vAlign w:val="center"/>
            <w:hideMark/>
          </w:tcPr>
          <w:p w14:paraId="62013F2B"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401" w:type="dxa"/>
            <w:tcBorders>
              <w:top w:val="nil"/>
              <w:left w:val="nil"/>
              <w:bottom w:val="nil"/>
              <w:right w:val="nil"/>
            </w:tcBorders>
            <w:shd w:val="clear" w:color="auto" w:fill="auto"/>
            <w:noWrap/>
            <w:vAlign w:val="center"/>
            <w:hideMark/>
          </w:tcPr>
          <w:p w14:paraId="64E14875"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31A5A9AA"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3B6AAD95"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06920A45"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2BA0A414" w14:textId="77777777" w:rsidR="005C5CED" w:rsidRPr="005C5CED" w:rsidRDefault="005C5CED" w:rsidP="005C5CED">
            <w:pPr>
              <w:spacing w:after="0" w:line="240" w:lineRule="auto"/>
              <w:rPr>
                <w:rFonts w:eastAsia="Times New Roman" w:cs="Arial"/>
                <w:color w:val="auto"/>
                <w:szCs w:val="20"/>
                <w:lang w:eastAsia="en-AU"/>
              </w:rPr>
            </w:pPr>
          </w:p>
        </w:tc>
        <w:tc>
          <w:tcPr>
            <w:tcW w:w="1550" w:type="dxa"/>
            <w:tcBorders>
              <w:top w:val="nil"/>
              <w:left w:val="nil"/>
              <w:bottom w:val="nil"/>
              <w:right w:val="nil"/>
            </w:tcBorders>
            <w:shd w:val="clear" w:color="auto" w:fill="auto"/>
            <w:noWrap/>
            <w:vAlign w:val="center"/>
          </w:tcPr>
          <w:p w14:paraId="4CC350C8" w14:textId="77777777" w:rsidR="005C5CED" w:rsidRPr="005C5CED" w:rsidRDefault="005C5CED" w:rsidP="005C5CED">
            <w:pPr>
              <w:spacing w:after="0" w:line="240" w:lineRule="auto"/>
              <w:jc w:val="right"/>
              <w:rPr>
                <w:rFonts w:eastAsia="Times New Roman" w:cs="Arial"/>
                <w:b/>
                <w:bCs/>
                <w:color w:val="auto"/>
                <w:sz w:val="16"/>
                <w:szCs w:val="16"/>
                <w:lang w:eastAsia="en-AU"/>
              </w:rPr>
            </w:pPr>
          </w:p>
          <w:p w14:paraId="7BFEE75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93,102</w:t>
            </w:r>
          </w:p>
        </w:tc>
        <w:tc>
          <w:tcPr>
            <w:tcW w:w="1127" w:type="dxa"/>
            <w:tcBorders>
              <w:top w:val="nil"/>
              <w:left w:val="nil"/>
              <w:bottom w:val="nil"/>
              <w:right w:val="nil"/>
            </w:tcBorders>
            <w:shd w:val="clear" w:color="000000" w:fill="E7E6E6"/>
            <w:noWrap/>
            <w:vAlign w:val="center"/>
            <w:hideMark/>
          </w:tcPr>
          <w:p w14:paraId="7CFECB6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86,603 </w:t>
            </w:r>
          </w:p>
        </w:tc>
      </w:tr>
      <w:tr w:rsidR="00D12B52" w:rsidRPr="005C5CED" w14:paraId="4D761858" w14:textId="77777777" w:rsidTr="00D12B52">
        <w:trPr>
          <w:trHeight w:val="341"/>
        </w:trPr>
        <w:tc>
          <w:tcPr>
            <w:tcW w:w="2354" w:type="dxa"/>
            <w:gridSpan w:val="3"/>
            <w:tcBorders>
              <w:top w:val="single" w:sz="4" w:space="0" w:color="auto"/>
              <w:left w:val="nil"/>
              <w:bottom w:val="nil"/>
              <w:right w:val="nil"/>
            </w:tcBorders>
            <w:shd w:val="clear" w:color="auto" w:fill="auto"/>
            <w:noWrap/>
            <w:vAlign w:val="center"/>
            <w:hideMark/>
          </w:tcPr>
          <w:p w14:paraId="5C2B1D3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Expenses from transactions</w:t>
            </w:r>
          </w:p>
        </w:tc>
        <w:tc>
          <w:tcPr>
            <w:tcW w:w="1467" w:type="dxa"/>
            <w:tcBorders>
              <w:top w:val="single" w:sz="4" w:space="0" w:color="auto"/>
              <w:left w:val="nil"/>
              <w:bottom w:val="nil"/>
              <w:right w:val="nil"/>
            </w:tcBorders>
            <w:shd w:val="clear" w:color="auto" w:fill="auto"/>
            <w:noWrap/>
            <w:vAlign w:val="center"/>
            <w:hideMark/>
          </w:tcPr>
          <w:p w14:paraId="7D0C4A2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401" w:type="dxa"/>
            <w:tcBorders>
              <w:top w:val="single" w:sz="4" w:space="0" w:color="auto"/>
              <w:left w:val="nil"/>
              <w:bottom w:val="nil"/>
              <w:right w:val="nil"/>
            </w:tcBorders>
            <w:shd w:val="clear" w:color="auto" w:fill="auto"/>
            <w:noWrap/>
            <w:vAlign w:val="center"/>
            <w:hideMark/>
          </w:tcPr>
          <w:p w14:paraId="5B849F9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384" w:type="dxa"/>
            <w:tcBorders>
              <w:top w:val="single" w:sz="4" w:space="0" w:color="auto"/>
              <w:left w:val="nil"/>
              <w:bottom w:val="nil"/>
              <w:right w:val="nil"/>
            </w:tcBorders>
            <w:shd w:val="clear" w:color="auto" w:fill="auto"/>
            <w:noWrap/>
            <w:vAlign w:val="center"/>
            <w:hideMark/>
          </w:tcPr>
          <w:p w14:paraId="09EB485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266" w:type="dxa"/>
            <w:tcBorders>
              <w:top w:val="single" w:sz="4" w:space="0" w:color="auto"/>
              <w:left w:val="nil"/>
              <w:bottom w:val="nil"/>
              <w:right w:val="nil"/>
            </w:tcBorders>
            <w:shd w:val="clear" w:color="auto" w:fill="auto"/>
            <w:noWrap/>
            <w:vAlign w:val="center"/>
            <w:hideMark/>
          </w:tcPr>
          <w:p w14:paraId="2242D4F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384" w:type="dxa"/>
            <w:tcBorders>
              <w:top w:val="single" w:sz="4" w:space="0" w:color="auto"/>
              <w:left w:val="nil"/>
              <w:bottom w:val="nil"/>
              <w:right w:val="nil"/>
            </w:tcBorders>
            <w:shd w:val="clear" w:color="auto" w:fill="auto"/>
            <w:noWrap/>
            <w:vAlign w:val="center"/>
            <w:hideMark/>
          </w:tcPr>
          <w:p w14:paraId="78F1241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657" w:type="dxa"/>
            <w:tcBorders>
              <w:top w:val="single" w:sz="4" w:space="0" w:color="auto"/>
              <w:left w:val="nil"/>
              <w:bottom w:val="nil"/>
              <w:right w:val="nil"/>
            </w:tcBorders>
            <w:shd w:val="clear" w:color="auto" w:fill="auto"/>
            <w:noWrap/>
            <w:vAlign w:val="center"/>
            <w:hideMark/>
          </w:tcPr>
          <w:p w14:paraId="5602FCDE"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0" w:type="dxa"/>
            <w:tcBorders>
              <w:top w:val="single" w:sz="4" w:space="0" w:color="auto"/>
              <w:left w:val="nil"/>
              <w:bottom w:val="nil"/>
              <w:right w:val="nil"/>
            </w:tcBorders>
            <w:shd w:val="clear" w:color="auto" w:fill="auto"/>
            <w:noWrap/>
            <w:vAlign w:val="center"/>
          </w:tcPr>
          <w:p w14:paraId="4BABC191"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127" w:type="dxa"/>
            <w:tcBorders>
              <w:top w:val="single" w:sz="4" w:space="0" w:color="auto"/>
              <w:left w:val="nil"/>
              <w:bottom w:val="nil"/>
              <w:right w:val="nil"/>
            </w:tcBorders>
            <w:shd w:val="clear" w:color="000000" w:fill="E7E6E6"/>
            <w:noWrap/>
            <w:vAlign w:val="center"/>
            <w:hideMark/>
          </w:tcPr>
          <w:p w14:paraId="172DA74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r>
      <w:tr w:rsidR="00D12B52" w:rsidRPr="005C5CED" w14:paraId="2298C5D0"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4690B67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Grant expenses </w:t>
            </w:r>
          </w:p>
        </w:tc>
        <w:tc>
          <w:tcPr>
            <w:tcW w:w="385" w:type="dxa"/>
            <w:tcBorders>
              <w:top w:val="nil"/>
              <w:left w:val="nil"/>
              <w:bottom w:val="nil"/>
              <w:right w:val="nil"/>
            </w:tcBorders>
            <w:shd w:val="clear" w:color="auto" w:fill="auto"/>
            <w:noWrap/>
            <w:vAlign w:val="center"/>
            <w:hideMark/>
          </w:tcPr>
          <w:p w14:paraId="38B5E766"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357B15E9"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4E046E06"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1AFDC8FA"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1513EEC6"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38BBCE23"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17DFF500"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3.2</w:t>
            </w:r>
          </w:p>
        </w:tc>
        <w:tc>
          <w:tcPr>
            <w:tcW w:w="1550" w:type="dxa"/>
            <w:tcBorders>
              <w:top w:val="nil"/>
              <w:left w:val="nil"/>
              <w:bottom w:val="nil"/>
              <w:right w:val="nil"/>
            </w:tcBorders>
            <w:shd w:val="clear" w:color="auto" w:fill="auto"/>
            <w:noWrap/>
            <w:vAlign w:val="center"/>
          </w:tcPr>
          <w:p w14:paraId="05C6C42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49,013</w:t>
            </w:r>
          </w:p>
        </w:tc>
        <w:tc>
          <w:tcPr>
            <w:tcW w:w="1127" w:type="dxa"/>
            <w:tcBorders>
              <w:top w:val="nil"/>
              <w:left w:val="nil"/>
              <w:bottom w:val="nil"/>
              <w:right w:val="nil"/>
            </w:tcBorders>
            <w:shd w:val="clear" w:color="000000" w:fill="E7E6E6"/>
            <w:noWrap/>
            <w:vAlign w:val="center"/>
            <w:hideMark/>
          </w:tcPr>
          <w:p w14:paraId="355F42F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38,505</w:t>
            </w:r>
          </w:p>
        </w:tc>
      </w:tr>
      <w:tr w:rsidR="00D12B52" w:rsidRPr="005C5CED" w14:paraId="2B8CD62F"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59E98C5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Contractors and consultants</w:t>
            </w:r>
          </w:p>
        </w:tc>
        <w:tc>
          <w:tcPr>
            <w:tcW w:w="385" w:type="dxa"/>
            <w:tcBorders>
              <w:top w:val="nil"/>
              <w:left w:val="nil"/>
              <w:bottom w:val="nil"/>
              <w:right w:val="nil"/>
            </w:tcBorders>
            <w:shd w:val="clear" w:color="auto" w:fill="auto"/>
            <w:noWrap/>
            <w:vAlign w:val="center"/>
            <w:hideMark/>
          </w:tcPr>
          <w:p w14:paraId="6FBA906B"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63434165"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2630A885"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33BDAE37"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0ED13ACB"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0BC923D0"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3E6FA087"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3.1</w:t>
            </w:r>
          </w:p>
        </w:tc>
        <w:tc>
          <w:tcPr>
            <w:tcW w:w="1550" w:type="dxa"/>
            <w:tcBorders>
              <w:top w:val="nil"/>
              <w:left w:val="nil"/>
              <w:bottom w:val="nil"/>
              <w:right w:val="nil"/>
            </w:tcBorders>
            <w:shd w:val="clear" w:color="auto" w:fill="auto"/>
            <w:noWrap/>
            <w:vAlign w:val="center"/>
          </w:tcPr>
          <w:p w14:paraId="5B6E3D3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4,530</w:t>
            </w:r>
          </w:p>
        </w:tc>
        <w:tc>
          <w:tcPr>
            <w:tcW w:w="1127" w:type="dxa"/>
            <w:tcBorders>
              <w:top w:val="nil"/>
              <w:left w:val="nil"/>
              <w:bottom w:val="nil"/>
              <w:right w:val="nil"/>
            </w:tcBorders>
            <w:shd w:val="clear" w:color="000000" w:fill="E7E6E6"/>
            <w:noWrap/>
            <w:vAlign w:val="center"/>
            <w:hideMark/>
          </w:tcPr>
          <w:p w14:paraId="2F2EA56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8,625</w:t>
            </w:r>
          </w:p>
        </w:tc>
      </w:tr>
      <w:tr w:rsidR="00D12B52" w:rsidRPr="005C5CED" w14:paraId="226F29FF"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55019A8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Employee benefits </w:t>
            </w:r>
          </w:p>
        </w:tc>
        <w:tc>
          <w:tcPr>
            <w:tcW w:w="385" w:type="dxa"/>
            <w:tcBorders>
              <w:top w:val="nil"/>
              <w:left w:val="nil"/>
              <w:bottom w:val="nil"/>
              <w:right w:val="nil"/>
            </w:tcBorders>
            <w:shd w:val="clear" w:color="auto" w:fill="auto"/>
            <w:noWrap/>
            <w:vAlign w:val="center"/>
            <w:hideMark/>
          </w:tcPr>
          <w:p w14:paraId="3991CB2A"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292BE4D9"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13F72377"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0B183C6A"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3BD25A1E"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0FD7FFCD"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6C7D1936"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3.1.1</w:t>
            </w:r>
          </w:p>
        </w:tc>
        <w:tc>
          <w:tcPr>
            <w:tcW w:w="1550" w:type="dxa"/>
            <w:tcBorders>
              <w:top w:val="nil"/>
              <w:left w:val="nil"/>
              <w:bottom w:val="nil"/>
              <w:right w:val="nil"/>
            </w:tcBorders>
            <w:shd w:val="clear" w:color="auto" w:fill="auto"/>
            <w:noWrap/>
            <w:vAlign w:val="center"/>
          </w:tcPr>
          <w:p w14:paraId="163D203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24,441</w:t>
            </w:r>
          </w:p>
        </w:tc>
        <w:tc>
          <w:tcPr>
            <w:tcW w:w="1127" w:type="dxa"/>
            <w:tcBorders>
              <w:top w:val="nil"/>
              <w:left w:val="nil"/>
              <w:bottom w:val="nil"/>
              <w:right w:val="nil"/>
            </w:tcBorders>
            <w:shd w:val="clear" w:color="000000" w:fill="E7E6E6"/>
            <w:noWrap/>
            <w:vAlign w:val="center"/>
            <w:hideMark/>
          </w:tcPr>
          <w:p w14:paraId="420A5BC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25,561</w:t>
            </w:r>
          </w:p>
        </w:tc>
      </w:tr>
      <w:tr w:rsidR="00D12B52" w:rsidRPr="005C5CED" w14:paraId="49FDBDB7" w14:textId="77777777" w:rsidTr="00D12B52">
        <w:trPr>
          <w:trHeight w:val="341"/>
        </w:trPr>
        <w:tc>
          <w:tcPr>
            <w:tcW w:w="2354" w:type="dxa"/>
            <w:gridSpan w:val="3"/>
            <w:tcBorders>
              <w:top w:val="nil"/>
              <w:left w:val="nil"/>
              <w:bottom w:val="nil"/>
              <w:right w:val="nil"/>
            </w:tcBorders>
            <w:shd w:val="clear" w:color="auto" w:fill="auto"/>
            <w:noWrap/>
            <w:vAlign w:val="center"/>
            <w:hideMark/>
          </w:tcPr>
          <w:p w14:paraId="1DAAF38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Depreciation and amortisation</w:t>
            </w:r>
          </w:p>
        </w:tc>
        <w:tc>
          <w:tcPr>
            <w:tcW w:w="1467" w:type="dxa"/>
            <w:tcBorders>
              <w:top w:val="nil"/>
              <w:left w:val="nil"/>
              <w:bottom w:val="nil"/>
              <w:right w:val="nil"/>
            </w:tcBorders>
            <w:shd w:val="clear" w:color="auto" w:fill="auto"/>
            <w:noWrap/>
            <w:vAlign w:val="center"/>
            <w:hideMark/>
          </w:tcPr>
          <w:p w14:paraId="424D5E5B"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2D299A82"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301931B6"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5194EDB4"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59700362"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393E9D25"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4.1.1</w:t>
            </w:r>
          </w:p>
        </w:tc>
        <w:tc>
          <w:tcPr>
            <w:tcW w:w="1550" w:type="dxa"/>
            <w:tcBorders>
              <w:top w:val="nil"/>
              <w:left w:val="nil"/>
              <w:bottom w:val="nil"/>
              <w:right w:val="nil"/>
            </w:tcBorders>
            <w:shd w:val="clear" w:color="auto" w:fill="auto"/>
            <w:noWrap/>
            <w:vAlign w:val="center"/>
          </w:tcPr>
          <w:p w14:paraId="321F666A" w14:textId="77777777" w:rsidR="005C5CED" w:rsidRPr="005C5CED" w:rsidRDefault="005C5CED" w:rsidP="005C5CED">
            <w:pPr>
              <w:spacing w:after="0" w:line="240" w:lineRule="auto"/>
              <w:jc w:val="right"/>
              <w:rPr>
                <w:rFonts w:eastAsia="Times New Roman" w:cs="Arial"/>
                <w:color w:val="auto"/>
                <w:sz w:val="16"/>
                <w:szCs w:val="16"/>
                <w:lang w:eastAsia="en-AU"/>
              </w:rPr>
            </w:pPr>
          </w:p>
          <w:p w14:paraId="79A8BF6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2,121</w:t>
            </w:r>
          </w:p>
        </w:tc>
        <w:tc>
          <w:tcPr>
            <w:tcW w:w="1127" w:type="dxa"/>
            <w:tcBorders>
              <w:top w:val="nil"/>
              <w:left w:val="nil"/>
              <w:bottom w:val="nil"/>
              <w:right w:val="nil"/>
            </w:tcBorders>
            <w:shd w:val="clear" w:color="000000" w:fill="E7E6E6"/>
            <w:noWrap/>
            <w:vAlign w:val="center"/>
            <w:hideMark/>
          </w:tcPr>
          <w:p w14:paraId="59C3DCE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2,090 </w:t>
            </w:r>
          </w:p>
        </w:tc>
      </w:tr>
      <w:tr w:rsidR="00D12B52" w:rsidRPr="005C5CED" w14:paraId="775C9D52"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2663F9B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IT and telecommunications</w:t>
            </w:r>
          </w:p>
        </w:tc>
        <w:tc>
          <w:tcPr>
            <w:tcW w:w="385" w:type="dxa"/>
            <w:tcBorders>
              <w:top w:val="nil"/>
              <w:left w:val="nil"/>
              <w:bottom w:val="nil"/>
              <w:right w:val="nil"/>
            </w:tcBorders>
            <w:shd w:val="clear" w:color="auto" w:fill="auto"/>
            <w:noWrap/>
            <w:vAlign w:val="center"/>
            <w:hideMark/>
          </w:tcPr>
          <w:p w14:paraId="64707C7C"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4A647D0F"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0C1E8464"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09C99EF0"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16E30FEB"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1FE65CBA"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63800171"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3.1</w:t>
            </w:r>
          </w:p>
        </w:tc>
        <w:tc>
          <w:tcPr>
            <w:tcW w:w="1550" w:type="dxa"/>
            <w:tcBorders>
              <w:top w:val="nil"/>
              <w:left w:val="nil"/>
              <w:bottom w:val="nil"/>
              <w:right w:val="nil"/>
            </w:tcBorders>
            <w:shd w:val="clear" w:color="auto" w:fill="auto"/>
            <w:noWrap/>
            <w:vAlign w:val="center"/>
          </w:tcPr>
          <w:p w14:paraId="40C43CE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4,005</w:t>
            </w:r>
          </w:p>
        </w:tc>
        <w:tc>
          <w:tcPr>
            <w:tcW w:w="1127" w:type="dxa"/>
            <w:tcBorders>
              <w:top w:val="nil"/>
              <w:left w:val="nil"/>
              <w:bottom w:val="nil"/>
              <w:right w:val="nil"/>
            </w:tcBorders>
            <w:shd w:val="clear" w:color="000000" w:fill="E7E6E6"/>
            <w:noWrap/>
            <w:vAlign w:val="center"/>
            <w:hideMark/>
          </w:tcPr>
          <w:p w14:paraId="4360E5C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4,553</w:t>
            </w:r>
          </w:p>
        </w:tc>
      </w:tr>
      <w:tr w:rsidR="00D12B52" w:rsidRPr="005C5CED" w14:paraId="52F95861"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370C474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Interest expense</w:t>
            </w:r>
          </w:p>
        </w:tc>
        <w:tc>
          <w:tcPr>
            <w:tcW w:w="385" w:type="dxa"/>
            <w:tcBorders>
              <w:top w:val="nil"/>
              <w:left w:val="nil"/>
              <w:bottom w:val="nil"/>
              <w:right w:val="nil"/>
            </w:tcBorders>
            <w:shd w:val="clear" w:color="auto" w:fill="auto"/>
            <w:noWrap/>
            <w:vAlign w:val="center"/>
            <w:hideMark/>
          </w:tcPr>
          <w:p w14:paraId="6D184031"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5663953B"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4560D4F8"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2ED71472"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0C3837E7"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63C54E44"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23586D22"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6.1</w:t>
            </w:r>
          </w:p>
        </w:tc>
        <w:tc>
          <w:tcPr>
            <w:tcW w:w="1550" w:type="dxa"/>
            <w:tcBorders>
              <w:top w:val="nil"/>
              <w:left w:val="nil"/>
              <w:bottom w:val="nil"/>
              <w:right w:val="nil"/>
            </w:tcBorders>
            <w:shd w:val="clear" w:color="auto" w:fill="auto"/>
            <w:noWrap/>
            <w:vAlign w:val="center"/>
          </w:tcPr>
          <w:p w14:paraId="125F707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334</w:t>
            </w:r>
          </w:p>
        </w:tc>
        <w:tc>
          <w:tcPr>
            <w:tcW w:w="1127" w:type="dxa"/>
            <w:tcBorders>
              <w:top w:val="nil"/>
              <w:left w:val="nil"/>
              <w:bottom w:val="nil"/>
              <w:right w:val="nil"/>
            </w:tcBorders>
            <w:shd w:val="clear" w:color="000000" w:fill="E7E6E6"/>
            <w:noWrap/>
            <w:vAlign w:val="center"/>
            <w:hideMark/>
          </w:tcPr>
          <w:p w14:paraId="726976A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358</w:t>
            </w:r>
          </w:p>
        </w:tc>
      </w:tr>
      <w:tr w:rsidR="00D12B52" w:rsidRPr="005C5CED" w14:paraId="40D27EE8" w14:textId="77777777" w:rsidTr="00D12B52">
        <w:trPr>
          <w:trHeight w:val="341"/>
        </w:trPr>
        <w:tc>
          <w:tcPr>
            <w:tcW w:w="1968" w:type="dxa"/>
            <w:gridSpan w:val="2"/>
            <w:tcBorders>
              <w:top w:val="nil"/>
              <w:left w:val="nil"/>
              <w:bottom w:val="nil"/>
              <w:right w:val="nil"/>
            </w:tcBorders>
            <w:shd w:val="clear" w:color="auto" w:fill="auto"/>
            <w:noWrap/>
            <w:vAlign w:val="center"/>
            <w:hideMark/>
          </w:tcPr>
          <w:p w14:paraId="42C0632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operating expenses</w:t>
            </w:r>
          </w:p>
        </w:tc>
        <w:tc>
          <w:tcPr>
            <w:tcW w:w="385" w:type="dxa"/>
            <w:tcBorders>
              <w:top w:val="nil"/>
              <w:left w:val="nil"/>
              <w:bottom w:val="nil"/>
              <w:right w:val="nil"/>
            </w:tcBorders>
            <w:shd w:val="clear" w:color="auto" w:fill="auto"/>
            <w:noWrap/>
            <w:vAlign w:val="center"/>
            <w:hideMark/>
          </w:tcPr>
          <w:p w14:paraId="69A951F8" w14:textId="77777777" w:rsidR="005C5CED" w:rsidRPr="005C5CED" w:rsidRDefault="005C5CED" w:rsidP="005C5CED">
            <w:pPr>
              <w:spacing w:after="0" w:line="240" w:lineRule="auto"/>
              <w:rPr>
                <w:rFonts w:eastAsia="Times New Roman" w:cs="Arial"/>
                <w:color w:val="auto"/>
                <w:sz w:val="16"/>
                <w:szCs w:val="16"/>
                <w:lang w:eastAsia="en-AU"/>
              </w:rPr>
            </w:pPr>
          </w:p>
        </w:tc>
        <w:tc>
          <w:tcPr>
            <w:tcW w:w="1467" w:type="dxa"/>
            <w:tcBorders>
              <w:top w:val="nil"/>
              <w:left w:val="nil"/>
              <w:bottom w:val="nil"/>
              <w:right w:val="nil"/>
            </w:tcBorders>
            <w:shd w:val="clear" w:color="auto" w:fill="auto"/>
            <w:noWrap/>
            <w:vAlign w:val="center"/>
            <w:hideMark/>
          </w:tcPr>
          <w:p w14:paraId="1FBA7FC5" w14:textId="77777777" w:rsidR="005C5CED" w:rsidRPr="005C5CED" w:rsidRDefault="005C5CED" w:rsidP="005C5CED">
            <w:pPr>
              <w:spacing w:after="0" w:line="240" w:lineRule="auto"/>
              <w:rPr>
                <w:rFonts w:eastAsia="Times New Roman" w:cs="Arial"/>
                <w:color w:val="auto"/>
                <w:szCs w:val="20"/>
                <w:lang w:eastAsia="en-AU"/>
              </w:rPr>
            </w:pPr>
          </w:p>
        </w:tc>
        <w:tc>
          <w:tcPr>
            <w:tcW w:w="401" w:type="dxa"/>
            <w:tcBorders>
              <w:top w:val="nil"/>
              <w:left w:val="nil"/>
              <w:bottom w:val="nil"/>
              <w:right w:val="nil"/>
            </w:tcBorders>
            <w:shd w:val="clear" w:color="auto" w:fill="auto"/>
            <w:noWrap/>
            <w:vAlign w:val="center"/>
            <w:hideMark/>
          </w:tcPr>
          <w:p w14:paraId="50C478E4"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1C5E91E1"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730F306A"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28C13DE2"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186FC5D2"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3.3</w:t>
            </w:r>
          </w:p>
        </w:tc>
        <w:tc>
          <w:tcPr>
            <w:tcW w:w="1550" w:type="dxa"/>
            <w:tcBorders>
              <w:top w:val="nil"/>
              <w:left w:val="nil"/>
              <w:bottom w:val="nil"/>
              <w:right w:val="nil"/>
            </w:tcBorders>
            <w:shd w:val="clear" w:color="auto" w:fill="auto"/>
            <w:noWrap/>
            <w:vAlign w:val="center"/>
          </w:tcPr>
          <w:p w14:paraId="1304BE0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5,340</w:t>
            </w:r>
          </w:p>
        </w:tc>
        <w:tc>
          <w:tcPr>
            <w:tcW w:w="1127" w:type="dxa"/>
            <w:tcBorders>
              <w:top w:val="nil"/>
              <w:left w:val="nil"/>
              <w:bottom w:val="nil"/>
              <w:right w:val="nil"/>
            </w:tcBorders>
            <w:shd w:val="clear" w:color="000000" w:fill="E7E6E6"/>
            <w:noWrap/>
            <w:vAlign w:val="center"/>
            <w:hideMark/>
          </w:tcPr>
          <w:p w14:paraId="37FB5AA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4,553</w:t>
            </w:r>
          </w:p>
        </w:tc>
      </w:tr>
      <w:tr w:rsidR="005C5CED" w:rsidRPr="005C5CED" w14:paraId="69B17659" w14:textId="77777777" w:rsidTr="00D12B52">
        <w:trPr>
          <w:trHeight w:val="341"/>
        </w:trPr>
        <w:tc>
          <w:tcPr>
            <w:tcW w:w="3821" w:type="dxa"/>
            <w:gridSpan w:val="4"/>
            <w:tcBorders>
              <w:top w:val="single" w:sz="4" w:space="0" w:color="auto"/>
              <w:left w:val="nil"/>
              <w:bottom w:val="nil"/>
              <w:right w:val="nil"/>
            </w:tcBorders>
            <w:shd w:val="clear" w:color="auto" w:fill="auto"/>
            <w:noWrap/>
            <w:vAlign w:val="center"/>
            <w:hideMark/>
          </w:tcPr>
          <w:p w14:paraId="665B5EE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expenses from transactions</w:t>
            </w:r>
          </w:p>
        </w:tc>
        <w:tc>
          <w:tcPr>
            <w:tcW w:w="401" w:type="dxa"/>
            <w:tcBorders>
              <w:top w:val="single" w:sz="4" w:space="0" w:color="auto"/>
              <w:left w:val="nil"/>
              <w:bottom w:val="nil"/>
              <w:right w:val="nil"/>
            </w:tcBorders>
            <w:shd w:val="clear" w:color="auto" w:fill="auto"/>
            <w:noWrap/>
            <w:vAlign w:val="center"/>
            <w:hideMark/>
          </w:tcPr>
          <w:p w14:paraId="5A5393F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384" w:type="dxa"/>
            <w:tcBorders>
              <w:top w:val="single" w:sz="4" w:space="0" w:color="auto"/>
              <w:left w:val="nil"/>
              <w:bottom w:val="nil"/>
              <w:right w:val="nil"/>
            </w:tcBorders>
            <w:shd w:val="clear" w:color="auto" w:fill="auto"/>
            <w:noWrap/>
            <w:vAlign w:val="center"/>
            <w:hideMark/>
          </w:tcPr>
          <w:p w14:paraId="536117DE"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266" w:type="dxa"/>
            <w:tcBorders>
              <w:top w:val="single" w:sz="4" w:space="0" w:color="auto"/>
              <w:left w:val="nil"/>
              <w:bottom w:val="nil"/>
              <w:right w:val="nil"/>
            </w:tcBorders>
            <w:shd w:val="clear" w:color="auto" w:fill="auto"/>
            <w:noWrap/>
            <w:vAlign w:val="center"/>
            <w:hideMark/>
          </w:tcPr>
          <w:p w14:paraId="4EDD7A03"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384" w:type="dxa"/>
            <w:tcBorders>
              <w:top w:val="single" w:sz="4" w:space="0" w:color="auto"/>
              <w:left w:val="nil"/>
              <w:bottom w:val="nil"/>
              <w:right w:val="nil"/>
            </w:tcBorders>
            <w:shd w:val="clear" w:color="auto" w:fill="auto"/>
            <w:noWrap/>
            <w:vAlign w:val="center"/>
            <w:hideMark/>
          </w:tcPr>
          <w:p w14:paraId="219EA12E"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657" w:type="dxa"/>
            <w:tcBorders>
              <w:top w:val="single" w:sz="4" w:space="0" w:color="auto"/>
              <w:left w:val="nil"/>
              <w:bottom w:val="nil"/>
              <w:right w:val="nil"/>
            </w:tcBorders>
            <w:shd w:val="clear" w:color="auto" w:fill="auto"/>
            <w:noWrap/>
            <w:vAlign w:val="center"/>
            <w:hideMark/>
          </w:tcPr>
          <w:p w14:paraId="5D9A1E40"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0" w:type="dxa"/>
            <w:tcBorders>
              <w:top w:val="single" w:sz="4" w:space="0" w:color="auto"/>
              <w:left w:val="nil"/>
              <w:bottom w:val="nil"/>
              <w:right w:val="nil"/>
            </w:tcBorders>
            <w:shd w:val="clear" w:color="auto" w:fill="auto"/>
            <w:noWrap/>
            <w:vAlign w:val="center"/>
          </w:tcPr>
          <w:p w14:paraId="7C87747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w:t>
            </w:r>
          </w:p>
          <w:p w14:paraId="738BAC5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89,784</w:t>
            </w:r>
          </w:p>
        </w:tc>
        <w:tc>
          <w:tcPr>
            <w:tcW w:w="1127" w:type="dxa"/>
            <w:tcBorders>
              <w:top w:val="single" w:sz="4" w:space="0" w:color="auto"/>
              <w:left w:val="nil"/>
              <w:bottom w:val="nil"/>
              <w:right w:val="nil"/>
            </w:tcBorders>
            <w:shd w:val="clear" w:color="000000" w:fill="E7E6E6"/>
            <w:noWrap/>
            <w:vAlign w:val="center"/>
            <w:hideMark/>
          </w:tcPr>
          <w:p w14:paraId="505F0E3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84,245 </w:t>
            </w:r>
          </w:p>
        </w:tc>
      </w:tr>
      <w:tr w:rsidR="005C5CED" w:rsidRPr="005C5CED" w14:paraId="2B79906A" w14:textId="77777777" w:rsidTr="00D12B52">
        <w:trPr>
          <w:trHeight w:val="341"/>
        </w:trPr>
        <w:tc>
          <w:tcPr>
            <w:tcW w:w="3821" w:type="dxa"/>
            <w:gridSpan w:val="4"/>
            <w:tcBorders>
              <w:top w:val="single" w:sz="4" w:space="0" w:color="auto"/>
              <w:left w:val="nil"/>
              <w:bottom w:val="single" w:sz="4" w:space="0" w:color="auto"/>
              <w:right w:val="nil"/>
            </w:tcBorders>
            <w:shd w:val="clear" w:color="auto" w:fill="auto"/>
            <w:noWrap/>
            <w:vAlign w:val="center"/>
            <w:hideMark/>
          </w:tcPr>
          <w:p w14:paraId="581625C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result from transactions (net operating balance)</w:t>
            </w:r>
          </w:p>
        </w:tc>
        <w:tc>
          <w:tcPr>
            <w:tcW w:w="401" w:type="dxa"/>
            <w:tcBorders>
              <w:top w:val="single" w:sz="4" w:space="0" w:color="auto"/>
              <w:left w:val="nil"/>
              <w:bottom w:val="single" w:sz="4" w:space="0" w:color="auto"/>
              <w:right w:val="nil"/>
            </w:tcBorders>
            <w:shd w:val="clear" w:color="auto" w:fill="auto"/>
            <w:noWrap/>
            <w:vAlign w:val="center"/>
            <w:hideMark/>
          </w:tcPr>
          <w:p w14:paraId="64B3F6E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384" w:type="dxa"/>
            <w:tcBorders>
              <w:top w:val="single" w:sz="4" w:space="0" w:color="auto"/>
              <w:left w:val="nil"/>
              <w:bottom w:val="single" w:sz="4" w:space="0" w:color="auto"/>
              <w:right w:val="nil"/>
            </w:tcBorders>
            <w:shd w:val="clear" w:color="auto" w:fill="auto"/>
            <w:noWrap/>
            <w:vAlign w:val="center"/>
            <w:hideMark/>
          </w:tcPr>
          <w:p w14:paraId="671474F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266" w:type="dxa"/>
            <w:tcBorders>
              <w:top w:val="single" w:sz="4" w:space="0" w:color="auto"/>
              <w:left w:val="nil"/>
              <w:bottom w:val="single" w:sz="4" w:space="0" w:color="auto"/>
              <w:right w:val="nil"/>
            </w:tcBorders>
            <w:shd w:val="clear" w:color="auto" w:fill="auto"/>
            <w:noWrap/>
            <w:vAlign w:val="center"/>
            <w:hideMark/>
          </w:tcPr>
          <w:p w14:paraId="16D8925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384" w:type="dxa"/>
            <w:tcBorders>
              <w:top w:val="single" w:sz="4" w:space="0" w:color="auto"/>
              <w:left w:val="nil"/>
              <w:bottom w:val="single" w:sz="4" w:space="0" w:color="auto"/>
              <w:right w:val="nil"/>
            </w:tcBorders>
            <w:shd w:val="clear" w:color="auto" w:fill="auto"/>
            <w:noWrap/>
            <w:vAlign w:val="center"/>
            <w:hideMark/>
          </w:tcPr>
          <w:p w14:paraId="0D7295D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657" w:type="dxa"/>
            <w:tcBorders>
              <w:top w:val="single" w:sz="4" w:space="0" w:color="auto"/>
              <w:left w:val="nil"/>
              <w:bottom w:val="single" w:sz="4" w:space="0" w:color="auto"/>
              <w:right w:val="nil"/>
            </w:tcBorders>
            <w:shd w:val="clear" w:color="auto" w:fill="auto"/>
            <w:noWrap/>
            <w:vAlign w:val="center"/>
            <w:hideMark/>
          </w:tcPr>
          <w:p w14:paraId="7FEBB744"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0" w:type="dxa"/>
            <w:tcBorders>
              <w:top w:val="single" w:sz="4" w:space="0" w:color="auto"/>
              <w:left w:val="nil"/>
              <w:bottom w:val="single" w:sz="4" w:space="0" w:color="auto"/>
              <w:right w:val="nil"/>
            </w:tcBorders>
            <w:shd w:val="clear" w:color="auto" w:fill="auto"/>
            <w:noWrap/>
            <w:vAlign w:val="center"/>
          </w:tcPr>
          <w:p w14:paraId="10E29B3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3,318</w:t>
            </w:r>
          </w:p>
        </w:tc>
        <w:tc>
          <w:tcPr>
            <w:tcW w:w="1127" w:type="dxa"/>
            <w:tcBorders>
              <w:top w:val="single" w:sz="4" w:space="0" w:color="auto"/>
              <w:left w:val="nil"/>
              <w:bottom w:val="single" w:sz="4" w:space="0" w:color="auto"/>
              <w:right w:val="nil"/>
            </w:tcBorders>
            <w:shd w:val="clear" w:color="000000" w:fill="E7E6E6"/>
            <w:noWrap/>
            <w:vAlign w:val="center"/>
            <w:hideMark/>
          </w:tcPr>
          <w:p w14:paraId="6068B1C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2,358 </w:t>
            </w:r>
          </w:p>
        </w:tc>
      </w:tr>
      <w:tr w:rsidR="005C5CED" w:rsidRPr="005C5CED" w14:paraId="2DDC1E56" w14:textId="77777777" w:rsidTr="00D12B52">
        <w:trPr>
          <w:trHeight w:val="341"/>
        </w:trPr>
        <w:tc>
          <w:tcPr>
            <w:tcW w:w="3821" w:type="dxa"/>
            <w:gridSpan w:val="4"/>
            <w:tcBorders>
              <w:top w:val="nil"/>
              <w:left w:val="nil"/>
              <w:bottom w:val="nil"/>
              <w:right w:val="nil"/>
            </w:tcBorders>
            <w:shd w:val="clear" w:color="auto" w:fill="auto"/>
            <w:noWrap/>
            <w:vAlign w:val="center"/>
            <w:hideMark/>
          </w:tcPr>
          <w:p w14:paraId="71A5F9E9"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Other economic flows included in net result</w:t>
            </w:r>
          </w:p>
        </w:tc>
        <w:tc>
          <w:tcPr>
            <w:tcW w:w="401" w:type="dxa"/>
            <w:tcBorders>
              <w:top w:val="nil"/>
              <w:left w:val="nil"/>
              <w:bottom w:val="nil"/>
              <w:right w:val="nil"/>
            </w:tcBorders>
            <w:shd w:val="clear" w:color="auto" w:fill="auto"/>
            <w:noWrap/>
            <w:vAlign w:val="center"/>
            <w:hideMark/>
          </w:tcPr>
          <w:p w14:paraId="077163D2"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384" w:type="dxa"/>
            <w:tcBorders>
              <w:top w:val="nil"/>
              <w:left w:val="nil"/>
              <w:bottom w:val="nil"/>
              <w:right w:val="nil"/>
            </w:tcBorders>
            <w:shd w:val="clear" w:color="auto" w:fill="auto"/>
            <w:noWrap/>
            <w:vAlign w:val="center"/>
            <w:hideMark/>
          </w:tcPr>
          <w:p w14:paraId="240F32A7"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7616EF74"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68ED3D95"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7060747D" w14:textId="77777777" w:rsidR="005C5CED" w:rsidRPr="005C5CED" w:rsidRDefault="005C5CED" w:rsidP="005C5CED">
            <w:pPr>
              <w:spacing w:after="0" w:line="240" w:lineRule="auto"/>
              <w:rPr>
                <w:rFonts w:eastAsia="Times New Roman" w:cs="Arial"/>
                <w:color w:val="auto"/>
                <w:szCs w:val="20"/>
                <w:lang w:eastAsia="en-AU"/>
              </w:rPr>
            </w:pPr>
          </w:p>
        </w:tc>
        <w:tc>
          <w:tcPr>
            <w:tcW w:w="1550" w:type="dxa"/>
            <w:tcBorders>
              <w:top w:val="nil"/>
              <w:left w:val="nil"/>
              <w:bottom w:val="nil"/>
              <w:right w:val="nil"/>
            </w:tcBorders>
            <w:shd w:val="clear" w:color="auto" w:fill="auto"/>
            <w:noWrap/>
            <w:vAlign w:val="center"/>
          </w:tcPr>
          <w:p w14:paraId="3F61C6D0" w14:textId="77777777" w:rsidR="005C5CED" w:rsidRPr="005C5CED" w:rsidRDefault="005C5CED" w:rsidP="005C5CED">
            <w:pPr>
              <w:spacing w:after="0" w:line="240" w:lineRule="auto"/>
              <w:jc w:val="center"/>
              <w:rPr>
                <w:rFonts w:eastAsia="Times New Roman" w:cs="Arial"/>
                <w:color w:val="auto"/>
                <w:szCs w:val="20"/>
                <w:lang w:eastAsia="en-AU"/>
              </w:rPr>
            </w:pPr>
          </w:p>
        </w:tc>
        <w:tc>
          <w:tcPr>
            <w:tcW w:w="1127" w:type="dxa"/>
            <w:tcBorders>
              <w:top w:val="nil"/>
              <w:left w:val="nil"/>
              <w:bottom w:val="nil"/>
              <w:right w:val="nil"/>
            </w:tcBorders>
            <w:shd w:val="clear" w:color="000000" w:fill="E7E6E6"/>
            <w:noWrap/>
            <w:vAlign w:val="center"/>
            <w:hideMark/>
          </w:tcPr>
          <w:p w14:paraId="2514E68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44EE1807" w14:textId="77777777" w:rsidTr="00D12B52">
        <w:trPr>
          <w:trHeight w:val="341"/>
        </w:trPr>
        <w:tc>
          <w:tcPr>
            <w:tcW w:w="3821" w:type="dxa"/>
            <w:gridSpan w:val="4"/>
            <w:tcBorders>
              <w:top w:val="nil"/>
              <w:left w:val="nil"/>
              <w:bottom w:val="nil"/>
              <w:right w:val="nil"/>
            </w:tcBorders>
            <w:shd w:val="clear" w:color="auto" w:fill="auto"/>
            <w:noWrap/>
            <w:vAlign w:val="center"/>
            <w:hideMark/>
          </w:tcPr>
          <w:p w14:paraId="70848E8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Net (loss) / gain on non-financial assets</w:t>
            </w:r>
          </w:p>
        </w:tc>
        <w:tc>
          <w:tcPr>
            <w:tcW w:w="401" w:type="dxa"/>
            <w:tcBorders>
              <w:top w:val="nil"/>
              <w:left w:val="nil"/>
              <w:bottom w:val="nil"/>
              <w:right w:val="nil"/>
            </w:tcBorders>
            <w:shd w:val="clear" w:color="auto" w:fill="auto"/>
            <w:noWrap/>
            <w:vAlign w:val="center"/>
            <w:hideMark/>
          </w:tcPr>
          <w:p w14:paraId="285D91BD" w14:textId="77777777" w:rsidR="005C5CED" w:rsidRPr="005C5CED" w:rsidRDefault="005C5CED" w:rsidP="005C5CED">
            <w:pPr>
              <w:spacing w:after="0" w:line="240" w:lineRule="auto"/>
              <w:rPr>
                <w:rFonts w:eastAsia="Times New Roman" w:cs="Arial"/>
                <w:color w:val="auto"/>
                <w:sz w:val="16"/>
                <w:szCs w:val="16"/>
                <w:lang w:eastAsia="en-AU"/>
              </w:rPr>
            </w:pPr>
          </w:p>
        </w:tc>
        <w:tc>
          <w:tcPr>
            <w:tcW w:w="384" w:type="dxa"/>
            <w:tcBorders>
              <w:top w:val="nil"/>
              <w:left w:val="nil"/>
              <w:bottom w:val="nil"/>
              <w:right w:val="nil"/>
            </w:tcBorders>
            <w:shd w:val="clear" w:color="auto" w:fill="auto"/>
            <w:noWrap/>
            <w:vAlign w:val="center"/>
            <w:hideMark/>
          </w:tcPr>
          <w:p w14:paraId="28ACC352"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06CDFB75"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273462BD"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1FBCBF15"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(b)</w:t>
            </w:r>
          </w:p>
        </w:tc>
        <w:tc>
          <w:tcPr>
            <w:tcW w:w="1550" w:type="dxa"/>
            <w:tcBorders>
              <w:top w:val="nil"/>
              <w:left w:val="nil"/>
              <w:bottom w:val="nil"/>
              <w:right w:val="nil"/>
            </w:tcBorders>
            <w:shd w:val="clear" w:color="auto" w:fill="auto"/>
            <w:noWrap/>
            <w:vAlign w:val="center"/>
          </w:tcPr>
          <w:p w14:paraId="26FB5AF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(2,198)</w:t>
            </w:r>
          </w:p>
        </w:tc>
        <w:tc>
          <w:tcPr>
            <w:tcW w:w="1127" w:type="dxa"/>
            <w:tcBorders>
              <w:top w:val="nil"/>
              <w:left w:val="nil"/>
              <w:bottom w:val="nil"/>
              <w:right w:val="nil"/>
            </w:tcBorders>
            <w:shd w:val="clear" w:color="000000" w:fill="E7E6E6"/>
            <w:noWrap/>
            <w:vAlign w:val="center"/>
            <w:hideMark/>
          </w:tcPr>
          <w:p w14:paraId="13DDF43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149</w:t>
            </w:r>
          </w:p>
        </w:tc>
      </w:tr>
      <w:tr w:rsidR="005C5CED" w:rsidRPr="005C5CED" w14:paraId="76C126D5" w14:textId="77777777" w:rsidTr="00D12B52">
        <w:trPr>
          <w:trHeight w:val="341"/>
        </w:trPr>
        <w:tc>
          <w:tcPr>
            <w:tcW w:w="3821" w:type="dxa"/>
            <w:gridSpan w:val="4"/>
            <w:tcBorders>
              <w:top w:val="nil"/>
              <w:left w:val="nil"/>
              <w:bottom w:val="nil"/>
              <w:right w:val="nil"/>
            </w:tcBorders>
            <w:shd w:val="clear" w:color="auto" w:fill="auto"/>
            <w:noWrap/>
            <w:vAlign w:val="center"/>
            <w:hideMark/>
          </w:tcPr>
          <w:p w14:paraId="7D1C93A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Net (loss) / gain from other economic flows</w:t>
            </w:r>
          </w:p>
        </w:tc>
        <w:tc>
          <w:tcPr>
            <w:tcW w:w="401" w:type="dxa"/>
            <w:tcBorders>
              <w:top w:val="nil"/>
              <w:left w:val="nil"/>
              <w:bottom w:val="nil"/>
              <w:right w:val="nil"/>
            </w:tcBorders>
            <w:shd w:val="clear" w:color="auto" w:fill="auto"/>
            <w:noWrap/>
            <w:vAlign w:val="center"/>
            <w:hideMark/>
          </w:tcPr>
          <w:p w14:paraId="4C59D9C4" w14:textId="77777777" w:rsidR="005C5CED" w:rsidRPr="005C5CED" w:rsidRDefault="005C5CED" w:rsidP="005C5CED">
            <w:pPr>
              <w:spacing w:after="0" w:line="240" w:lineRule="auto"/>
              <w:rPr>
                <w:rFonts w:eastAsia="Times New Roman" w:cs="Arial"/>
                <w:color w:val="auto"/>
                <w:sz w:val="16"/>
                <w:szCs w:val="16"/>
                <w:lang w:eastAsia="en-AU"/>
              </w:rPr>
            </w:pPr>
          </w:p>
        </w:tc>
        <w:tc>
          <w:tcPr>
            <w:tcW w:w="384" w:type="dxa"/>
            <w:tcBorders>
              <w:top w:val="nil"/>
              <w:left w:val="nil"/>
              <w:bottom w:val="nil"/>
              <w:right w:val="nil"/>
            </w:tcBorders>
            <w:shd w:val="clear" w:color="auto" w:fill="auto"/>
            <w:noWrap/>
            <w:vAlign w:val="center"/>
            <w:hideMark/>
          </w:tcPr>
          <w:p w14:paraId="2E041B88" w14:textId="77777777" w:rsidR="005C5CED" w:rsidRPr="005C5CED" w:rsidRDefault="005C5CED" w:rsidP="005C5CED">
            <w:pPr>
              <w:spacing w:after="0" w:line="240" w:lineRule="auto"/>
              <w:rPr>
                <w:rFonts w:eastAsia="Times New Roman" w:cs="Arial"/>
                <w:color w:val="auto"/>
                <w:szCs w:val="20"/>
                <w:lang w:eastAsia="en-AU"/>
              </w:rPr>
            </w:pPr>
          </w:p>
        </w:tc>
        <w:tc>
          <w:tcPr>
            <w:tcW w:w="266" w:type="dxa"/>
            <w:tcBorders>
              <w:top w:val="nil"/>
              <w:left w:val="nil"/>
              <w:bottom w:val="nil"/>
              <w:right w:val="nil"/>
            </w:tcBorders>
            <w:shd w:val="clear" w:color="auto" w:fill="auto"/>
            <w:noWrap/>
            <w:vAlign w:val="center"/>
            <w:hideMark/>
          </w:tcPr>
          <w:p w14:paraId="6EA0F663" w14:textId="77777777" w:rsidR="005C5CED" w:rsidRPr="005C5CED" w:rsidRDefault="005C5CED" w:rsidP="005C5CED">
            <w:pPr>
              <w:spacing w:after="0" w:line="240" w:lineRule="auto"/>
              <w:rPr>
                <w:rFonts w:eastAsia="Times New Roman" w:cs="Arial"/>
                <w:color w:val="auto"/>
                <w:szCs w:val="20"/>
                <w:lang w:eastAsia="en-AU"/>
              </w:rPr>
            </w:pPr>
          </w:p>
        </w:tc>
        <w:tc>
          <w:tcPr>
            <w:tcW w:w="384" w:type="dxa"/>
            <w:tcBorders>
              <w:top w:val="nil"/>
              <w:left w:val="nil"/>
              <w:bottom w:val="nil"/>
              <w:right w:val="nil"/>
            </w:tcBorders>
            <w:shd w:val="clear" w:color="auto" w:fill="auto"/>
            <w:noWrap/>
            <w:vAlign w:val="center"/>
            <w:hideMark/>
          </w:tcPr>
          <w:p w14:paraId="301926D5" w14:textId="77777777" w:rsidR="005C5CED" w:rsidRPr="005C5CED" w:rsidRDefault="005C5CED" w:rsidP="005C5CED">
            <w:pPr>
              <w:spacing w:after="0" w:line="240" w:lineRule="auto"/>
              <w:rPr>
                <w:rFonts w:eastAsia="Times New Roman" w:cs="Arial"/>
                <w:color w:val="auto"/>
                <w:szCs w:val="20"/>
                <w:lang w:eastAsia="en-AU"/>
              </w:rPr>
            </w:pPr>
          </w:p>
        </w:tc>
        <w:tc>
          <w:tcPr>
            <w:tcW w:w="657" w:type="dxa"/>
            <w:tcBorders>
              <w:top w:val="nil"/>
              <w:left w:val="nil"/>
              <w:bottom w:val="nil"/>
              <w:right w:val="nil"/>
            </w:tcBorders>
            <w:shd w:val="clear" w:color="auto" w:fill="auto"/>
            <w:noWrap/>
            <w:vAlign w:val="center"/>
            <w:hideMark/>
          </w:tcPr>
          <w:p w14:paraId="4FF37E63"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(c)</w:t>
            </w:r>
          </w:p>
        </w:tc>
        <w:tc>
          <w:tcPr>
            <w:tcW w:w="1550" w:type="dxa"/>
            <w:tcBorders>
              <w:top w:val="nil"/>
              <w:left w:val="nil"/>
              <w:bottom w:val="nil"/>
              <w:right w:val="nil"/>
            </w:tcBorders>
            <w:shd w:val="clear" w:color="auto" w:fill="auto"/>
            <w:noWrap/>
            <w:vAlign w:val="center"/>
          </w:tcPr>
          <w:p w14:paraId="4B4480F8" w14:textId="77777777" w:rsidR="005C5CED" w:rsidRPr="005C5CED" w:rsidRDefault="005C5CED" w:rsidP="005C5CED">
            <w:pPr>
              <w:spacing w:after="0" w:line="240" w:lineRule="auto"/>
              <w:jc w:val="right"/>
              <w:rPr>
                <w:rFonts w:eastAsia="Times New Roman" w:cs="Arial"/>
                <w:color w:val="auto"/>
                <w:sz w:val="16"/>
                <w:szCs w:val="16"/>
                <w:lang w:eastAsia="en-AU"/>
              </w:rPr>
            </w:pPr>
          </w:p>
          <w:p w14:paraId="1E147E3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(67)</w:t>
            </w:r>
          </w:p>
        </w:tc>
        <w:tc>
          <w:tcPr>
            <w:tcW w:w="1127" w:type="dxa"/>
            <w:tcBorders>
              <w:top w:val="nil"/>
              <w:left w:val="nil"/>
              <w:bottom w:val="nil"/>
              <w:right w:val="nil"/>
            </w:tcBorders>
            <w:shd w:val="clear" w:color="000000" w:fill="E7E6E6"/>
            <w:noWrap/>
            <w:vAlign w:val="center"/>
            <w:hideMark/>
          </w:tcPr>
          <w:p w14:paraId="133BC35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38</w:t>
            </w:r>
          </w:p>
        </w:tc>
      </w:tr>
      <w:tr w:rsidR="005C5CED" w:rsidRPr="005C5CED" w14:paraId="75794DEF" w14:textId="77777777" w:rsidTr="00D12B52">
        <w:trPr>
          <w:trHeight w:val="341"/>
        </w:trPr>
        <w:tc>
          <w:tcPr>
            <w:tcW w:w="3821" w:type="dxa"/>
            <w:gridSpan w:val="4"/>
            <w:tcBorders>
              <w:top w:val="single" w:sz="4" w:space="0" w:color="auto"/>
              <w:left w:val="nil"/>
              <w:bottom w:val="nil"/>
              <w:right w:val="nil"/>
            </w:tcBorders>
            <w:shd w:val="clear" w:color="auto" w:fill="auto"/>
            <w:noWrap/>
            <w:vAlign w:val="center"/>
            <w:hideMark/>
          </w:tcPr>
          <w:p w14:paraId="6AFBB7D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other economic flows included in net result</w:t>
            </w:r>
          </w:p>
        </w:tc>
        <w:tc>
          <w:tcPr>
            <w:tcW w:w="401" w:type="dxa"/>
            <w:tcBorders>
              <w:top w:val="single" w:sz="4" w:space="0" w:color="auto"/>
              <w:left w:val="nil"/>
              <w:bottom w:val="nil"/>
              <w:right w:val="nil"/>
            </w:tcBorders>
            <w:shd w:val="clear" w:color="auto" w:fill="auto"/>
            <w:noWrap/>
            <w:vAlign w:val="center"/>
            <w:hideMark/>
          </w:tcPr>
          <w:p w14:paraId="55C93DC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384" w:type="dxa"/>
            <w:tcBorders>
              <w:top w:val="single" w:sz="4" w:space="0" w:color="auto"/>
              <w:left w:val="nil"/>
              <w:bottom w:val="nil"/>
              <w:right w:val="nil"/>
            </w:tcBorders>
            <w:shd w:val="clear" w:color="auto" w:fill="auto"/>
            <w:noWrap/>
            <w:vAlign w:val="center"/>
            <w:hideMark/>
          </w:tcPr>
          <w:p w14:paraId="2453C07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266" w:type="dxa"/>
            <w:tcBorders>
              <w:top w:val="single" w:sz="4" w:space="0" w:color="auto"/>
              <w:left w:val="nil"/>
              <w:bottom w:val="nil"/>
              <w:right w:val="nil"/>
            </w:tcBorders>
            <w:shd w:val="clear" w:color="auto" w:fill="auto"/>
            <w:noWrap/>
            <w:vAlign w:val="center"/>
            <w:hideMark/>
          </w:tcPr>
          <w:p w14:paraId="3C0AEEB8"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384" w:type="dxa"/>
            <w:tcBorders>
              <w:top w:val="single" w:sz="4" w:space="0" w:color="auto"/>
              <w:left w:val="nil"/>
              <w:bottom w:val="nil"/>
              <w:right w:val="nil"/>
            </w:tcBorders>
            <w:shd w:val="clear" w:color="auto" w:fill="auto"/>
            <w:noWrap/>
            <w:vAlign w:val="center"/>
            <w:hideMark/>
          </w:tcPr>
          <w:p w14:paraId="0A74D4C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657" w:type="dxa"/>
            <w:tcBorders>
              <w:top w:val="single" w:sz="4" w:space="0" w:color="auto"/>
              <w:left w:val="nil"/>
              <w:bottom w:val="nil"/>
              <w:right w:val="nil"/>
            </w:tcBorders>
            <w:shd w:val="clear" w:color="auto" w:fill="auto"/>
            <w:noWrap/>
            <w:vAlign w:val="center"/>
            <w:hideMark/>
          </w:tcPr>
          <w:p w14:paraId="3F127D4D"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0" w:type="dxa"/>
            <w:tcBorders>
              <w:top w:val="single" w:sz="4" w:space="0" w:color="auto"/>
              <w:left w:val="nil"/>
              <w:bottom w:val="nil"/>
              <w:right w:val="nil"/>
            </w:tcBorders>
            <w:shd w:val="clear" w:color="auto" w:fill="auto"/>
            <w:noWrap/>
            <w:vAlign w:val="center"/>
          </w:tcPr>
          <w:p w14:paraId="435DCB9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2,131</w:t>
            </w:r>
          </w:p>
        </w:tc>
        <w:tc>
          <w:tcPr>
            <w:tcW w:w="1127" w:type="dxa"/>
            <w:tcBorders>
              <w:top w:val="single" w:sz="4" w:space="0" w:color="auto"/>
              <w:left w:val="nil"/>
              <w:bottom w:val="nil"/>
              <w:right w:val="nil"/>
            </w:tcBorders>
            <w:shd w:val="clear" w:color="000000" w:fill="E7E6E6"/>
            <w:noWrap/>
            <w:vAlign w:val="center"/>
            <w:hideMark/>
          </w:tcPr>
          <w:p w14:paraId="00591B4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187</w:t>
            </w:r>
          </w:p>
        </w:tc>
      </w:tr>
      <w:tr w:rsidR="00D12B52" w:rsidRPr="005C5CED" w14:paraId="667FCD63" w14:textId="77777777" w:rsidTr="00D12B52">
        <w:trPr>
          <w:trHeight w:val="341"/>
        </w:trPr>
        <w:tc>
          <w:tcPr>
            <w:tcW w:w="1968" w:type="dxa"/>
            <w:gridSpan w:val="2"/>
            <w:tcBorders>
              <w:top w:val="single" w:sz="4" w:space="0" w:color="auto"/>
              <w:left w:val="nil"/>
              <w:bottom w:val="single" w:sz="4" w:space="0" w:color="auto"/>
              <w:right w:val="nil"/>
            </w:tcBorders>
            <w:shd w:val="clear" w:color="auto" w:fill="auto"/>
            <w:noWrap/>
            <w:vAlign w:val="center"/>
            <w:hideMark/>
          </w:tcPr>
          <w:p w14:paraId="49AFB86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result</w:t>
            </w:r>
          </w:p>
        </w:tc>
        <w:tc>
          <w:tcPr>
            <w:tcW w:w="385" w:type="dxa"/>
            <w:tcBorders>
              <w:top w:val="single" w:sz="4" w:space="0" w:color="auto"/>
              <w:left w:val="nil"/>
              <w:bottom w:val="single" w:sz="4" w:space="0" w:color="auto"/>
              <w:right w:val="nil"/>
            </w:tcBorders>
            <w:shd w:val="clear" w:color="auto" w:fill="auto"/>
            <w:noWrap/>
            <w:vAlign w:val="center"/>
            <w:hideMark/>
          </w:tcPr>
          <w:p w14:paraId="7542CCF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467" w:type="dxa"/>
            <w:tcBorders>
              <w:top w:val="single" w:sz="4" w:space="0" w:color="auto"/>
              <w:left w:val="nil"/>
              <w:bottom w:val="single" w:sz="4" w:space="0" w:color="auto"/>
              <w:right w:val="nil"/>
            </w:tcBorders>
            <w:shd w:val="clear" w:color="auto" w:fill="auto"/>
            <w:noWrap/>
            <w:vAlign w:val="center"/>
            <w:hideMark/>
          </w:tcPr>
          <w:p w14:paraId="1EBF0A3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401" w:type="dxa"/>
            <w:tcBorders>
              <w:top w:val="single" w:sz="4" w:space="0" w:color="auto"/>
              <w:left w:val="nil"/>
              <w:bottom w:val="single" w:sz="4" w:space="0" w:color="auto"/>
              <w:right w:val="nil"/>
            </w:tcBorders>
            <w:shd w:val="clear" w:color="auto" w:fill="auto"/>
            <w:noWrap/>
            <w:vAlign w:val="center"/>
            <w:hideMark/>
          </w:tcPr>
          <w:p w14:paraId="21F8713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384" w:type="dxa"/>
            <w:tcBorders>
              <w:top w:val="single" w:sz="4" w:space="0" w:color="auto"/>
              <w:left w:val="nil"/>
              <w:bottom w:val="single" w:sz="4" w:space="0" w:color="auto"/>
              <w:right w:val="nil"/>
            </w:tcBorders>
            <w:shd w:val="clear" w:color="auto" w:fill="auto"/>
            <w:noWrap/>
            <w:vAlign w:val="center"/>
            <w:hideMark/>
          </w:tcPr>
          <w:p w14:paraId="531D425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266" w:type="dxa"/>
            <w:tcBorders>
              <w:top w:val="single" w:sz="4" w:space="0" w:color="auto"/>
              <w:left w:val="nil"/>
              <w:bottom w:val="single" w:sz="4" w:space="0" w:color="auto"/>
              <w:right w:val="nil"/>
            </w:tcBorders>
            <w:shd w:val="clear" w:color="auto" w:fill="auto"/>
            <w:noWrap/>
            <w:vAlign w:val="center"/>
            <w:hideMark/>
          </w:tcPr>
          <w:p w14:paraId="2488111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384" w:type="dxa"/>
            <w:tcBorders>
              <w:top w:val="single" w:sz="4" w:space="0" w:color="auto"/>
              <w:left w:val="nil"/>
              <w:bottom w:val="single" w:sz="4" w:space="0" w:color="auto"/>
              <w:right w:val="nil"/>
            </w:tcBorders>
            <w:shd w:val="clear" w:color="auto" w:fill="auto"/>
            <w:noWrap/>
            <w:vAlign w:val="center"/>
            <w:hideMark/>
          </w:tcPr>
          <w:p w14:paraId="1304DD1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657" w:type="dxa"/>
            <w:tcBorders>
              <w:top w:val="single" w:sz="4" w:space="0" w:color="auto"/>
              <w:left w:val="nil"/>
              <w:bottom w:val="single" w:sz="4" w:space="0" w:color="auto"/>
              <w:right w:val="nil"/>
            </w:tcBorders>
            <w:shd w:val="clear" w:color="auto" w:fill="auto"/>
            <w:noWrap/>
            <w:vAlign w:val="center"/>
            <w:hideMark/>
          </w:tcPr>
          <w:p w14:paraId="3CA1F872"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550" w:type="dxa"/>
            <w:tcBorders>
              <w:top w:val="single" w:sz="4" w:space="0" w:color="auto"/>
              <w:left w:val="nil"/>
              <w:bottom w:val="single" w:sz="4" w:space="0" w:color="auto"/>
              <w:right w:val="nil"/>
            </w:tcBorders>
            <w:shd w:val="clear" w:color="auto" w:fill="auto"/>
            <w:noWrap/>
            <w:vAlign w:val="center"/>
          </w:tcPr>
          <w:p w14:paraId="2CC4FF6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1,187</w:t>
            </w:r>
          </w:p>
        </w:tc>
        <w:tc>
          <w:tcPr>
            <w:tcW w:w="1127" w:type="dxa"/>
            <w:tcBorders>
              <w:top w:val="single" w:sz="4" w:space="0" w:color="auto"/>
              <w:left w:val="nil"/>
              <w:bottom w:val="single" w:sz="4" w:space="0" w:color="auto"/>
              <w:right w:val="nil"/>
            </w:tcBorders>
            <w:shd w:val="clear" w:color="000000" w:fill="E7E6E6"/>
            <w:noWrap/>
            <w:vAlign w:val="center"/>
            <w:hideMark/>
          </w:tcPr>
          <w:p w14:paraId="1C8647D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2,545</w:t>
            </w:r>
          </w:p>
        </w:tc>
      </w:tr>
      <w:tr w:rsidR="00D12B52" w:rsidRPr="005C5CED" w14:paraId="6E110B4F" w14:textId="77777777" w:rsidTr="00D12B52">
        <w:trPr>
          <w:trHeight w:val="341"/>
        </w:trPr>
        <w:tc>
          <w:tcPr>
            <w:tcW w:w="1968" w:type="dxa"/>
            <w:gridSpan w:val="2"/>
            <w:tcBorders>
              <w:top w:val="single" w:sz="4" w:space="0" w:color="auto"/>
              <w:left w:val="nil"/>
              <w:bottom w:val="single" w:sz="4" w:space="0" w:color="auto"/>
              <w:right w:val="nil"/>
            </w:tcBorders>
            <w:shd w:val="clear" w:color="auto" w:fill="auto"/>
            <w:noWrap/>
            <w:vAlign w:val="center"/>
            <w:hideMark/>
          </w:tcPr>
          <w:p w14:paraId="4FF7429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Comprehensive result</w:t>
            </w:r>
          </w:p>
        </w:tc>
        <w:tc>
          <w:tcPr>
            <w:tcW w:w="385" w:type="dxa"/>
            <w:tcBorders>
              <w:top w:val="nil"/>
              <w:left w:val="nil"/>
              <w:bottom w:val="single" w:sz="4" w:space="0" w:color="auto"/>
              <w:right w:val="nil"/>
            </w:tcBorders>
            <w:shd w:val="clear" w:color="auto" w:fill="auto"/>
            <w:noWrap/>
            <w:vAlign w:val="center"/>
            <w:hideMark/>
          </w:tcPr>
          <w:p w14:paraId="5BC20C0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467" w:type="dxa"/>
            <w:tcBorders>
              <w:top w:val="nil"/>
              <w:left w:val="nil"/>
              <w:bottom w:val="single" w:sz="4" w:space="0" w:color="auto"/>
              <w:right w:val="nil"/>
            </w:tcBorders>
            <w:shd w:val="clear" w:color="auto" w:fill="auto"/>
            <w:noWrap/>
            <w:vAlign w:val="center"/>
            <w:hideMark/>
          </w:tcPr>
          <w:p w14:paraId="3E53F70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401" w:type="dxa"/>
            <w:tcBorders>
              <w:top w:val="nil"/>
              <w:left w:val="nil"/>
              <w:bottom w:val="single" w:sz="4" w:space="0" w:color="auto"/>
              <w:right w:val="nil"/>
            </w:tcBorders>
            <w:shd w:val="clear" w:color="auto" w:fill="auto"/>
            <w:noWrap/>
            <w:vAlign w:val="center"/>
            <w:hideMark/>
          </w:tcPr>
          <w:p w14:paraId="3637BD6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384" w:type="dxa"/>
            <w:tcBorders>
              <w:top w:val="nil"/>
              <w:left w:val="nil"/>
              <w:bottom w:val="single" w:sz="4" w:space="0" w:color="auto"/>
              <w:right w:val="nil"/>
            </w:tcBorders>
            <w:shd w:val="clear" w:color="auto" w:fill="auto"/>
            <w:noWrap/>
            <w:vAlign w:val="center"/>
            <w:hideMark/>
          </w:tcPr>
          <w:p w14:paraId="1368E7D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266" w:type="dxa"/>
            <w:tcBorders>
              <w:top w:val="nil"/>
              <w:left w:val="nil"/>
              <w:bottom w:val="single" w:sz="4" w:space="0" w:color="auto"/>
              <w:right w:val="nil"/>
            </w:tcBorders>
            <w:shd w:val="clear" w:color="auto" w:fill="auto"/>
            <w:noWrap/>
            <w:vAlign w:val="center"/>
            <w:hideMark/>
          </w:tcPr>
          <w:p w14:paraId="3A91EB8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384" w:type="dxa"/>
            <w:tcBorders>
              <w:top w:val="nil"/>
              <w:left w:val="nil"/>
              <w:bottom w:val="single" w:sz="4" w:space="0" w:color="auto"/>
              <w:right w:val="nil"/>
            </w:tcBorders>
            <w:shd w:val="clear" w:color="auto" w:fill="auto"/>
            <w:noWrap/>
            <w:vAlign w:val="center"/>
            <w:hideMark/>
          </w:tcPr>
          <w:p w14:paraId="0B05998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657" w:type="dxa"/>
            <w:tcBorders>
              <w:top w:val="nil"/>
              <w:left w:val="nil"/>
              <w:bottom w:val="single" w:sz="4" w:space="0" w:color="auto"/>
              <w:right w:val="nil"/>
            </w:tcBorders>
            <w:shd w:val="clear" w:color="auto" w:fill="auto"/>
            <w:noWrap/>
            <w:vAlign w:val="center"/>
            <w:hideMark/>
          </w:tcPr>
          <w:p w14:paraId="70DE75D9"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550" w:type="dxa"/>
            <w:tcBorders>
              <w:top w:val="nil"/>
              <w:left w:val="nil"/>
              <w:bottom w:val="single" w:sz="4" w:space="0" w:color="auto"/>
              <w:right w:val="nil"/>
            </w:tcBorders>
            <w:shd w:val="clear" w:color="auto" w:fill="auto"/>
            <w:noWrap/>
            <w:vAlign w:val="center"/>
          </w:tcPr>
          <w:p w14:paraId="215C086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1,187</w:t>
            </w:r>
          </w:p>
        </w:tc>
        <w:tc>
          <w:tcPr>
            <w:tcW w:w="1127" w:type="dxa"/>
            <w:tcBorders>
              <w:top w:val="nil"/>
              <w:left w:val="nil"/>
              <w:bottom w:val="single" w:sz="4" w:space="0" w:color="auto"/>
              <w:right w:val="nil"/>
            </w:tcBorders>
            <w:shd w:val="clear" w:color="000000" w:fill="E7E6E6"/>
            <w:noWrap/>
            <w:vAlign w:val="center"/>
            <w:hideMark/>
          </w:tcPr>
          <w:p w14:paraId="62BC54E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2,545</w:t>
            </w:r>
          </w:p>
        </w:tc>
      </w:tr>
    </w:tbl>
    <w:p w14:paraId="1EEBD228" w14:textId="77777777" w:rsidR="005C5CED" w:rsidRPr="005C5CED" w:rsidRDefault="005C5CED" w:rsidP="005C5CED">
      <w:pPr>
        <w:spacing w:after="0" w:line="240" w:lineRule="auto"/>
        <w:rPr>
          <w:rFonts w:eastAsia="Times New Roman" w:cs="Arial"/>
          <w:b/>
          <w:bCs/>
          <w:color w:val="auto"/>
          <w:sz w:val="16"/>
          <w:szCs w:val="16"/>
          <w:lang w:eastAsia="en-AU"/>
        </w:rPr>
      </w:pPr>
    </w:p>
    <w:p w14:paraId="57EA1721" w14:textId="77777777" w:rsidR="005C5CED" w:rsidRPr="005C5CED" w:rsidRDefault="005C5CED" w:rsidP="005C5CED">
      <w:pPr>
        <w:spacing w:line="259" w:lineRule="auto"/>
        <w:rPr>
          <w:rFonts w:eastAsia="Calibri" w:cs="Arial"/>
          <w:color w:val="auto"/>
          <w:sz w:val="22"/>
          <w:lang w:eastAsia="en-AU"/>
        </w:rPr>
      </w:pPr>
      <w:r w:rsidRPr="005C5CED">
        <w:rPr>
          <w:rFonts w:eastAsia="Calibri" w:cs="Arial"/>
          <w:color w:val="auto"/>
          <w:sz w:val="22"/>
          <w:lang w:eastAsia="en-AU"/>
        </w:rPr>
        <w:t>The accompanying notes form part of these financial statements.</w:t>
      </w:r>
    </w:p>
    <w:p w14:paraId="4A863B95" w14:textId="77777777" w:rsidR="005C5CED" w:rsidRPr="005C5CED" w:rsidRDefault="005C5CED" w:rsidP="005C5CED">
      <w:pPr>
        <w:spacing w:after="0" w:line="240" w:lineRule="auto"/>
        <w:rPr>
          <w:rFonts w:eastAsia="Times New Roman" w:cs="Arial"/>
          <w:b/>
          <w:bCs/>
          <w:color w:val="auto"/>
          <w:sz w:val="16"/>
          <w:szCs w:val="16"/>
          <w:lang w:eastAsia="en-AU"/>
        </w:rPr>
      </w:pPr>
    </w:p>
    <w:p w14:paraId="1AA8A0DE"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Notes:</w:t>
      </w:r>
    </w:p>
    <w:p w14:paraId="5230210A"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(a) This format is aligned to AASB 1049 </w:t>
      </w:r>
      <w:r w:rsidRPr="005C5CED">
        <w:rPr>
          <w:rFonts w:eastAsia="Calibri" w:cs="Arial"/>
          <w:i/>
          <w:iCs/>
          <w:color w:val="auto"/>
          <w:sz w:val="16"/>
          <w:szCs w:val="20"/>
        </w:rPr>
        <w:t>Whole of Government and General Government Sector Financial Reporting.</w:t>
      </w:r>
    </w:p>
    <w:p w14:paraId="1B7065E9"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(b) Net gain/(loss) on non-financial </w:t>
      </w:r>
      <w:proofErr w:type="gramStart"/>
      <w:r w:rsidRPr="005C5CED">
        <w:rPr>
          <w:rFonts w:eastAsia="Calibri" w:cs="Arial"/>
          <w:color w:val="auto"/>
          <w:sz w:val="16"/>
          <w:szCs w:val="20"/>
        </w:rPr>
        <w:t>assets’</w:t>
      </w:r>
      <w:proofErr w:type="gramEnd"/>
      <w:r w:rsidRPr="005C5CED">
        <w:rPr>
          <w:rFonts w:eastAsia="Calibri" w:cs="Arial"/>
          <w:color w:val="auto"/>
          <w:sz w:val="16"/>
          <w:szCs w:val="20"/>
        </w:rPr>
        <w:t xml:space="preserve"> includes unrealised and realised gains/(losses) from revaluations, impairments, and disposals of all physical assets and intangible assets, except when these are taken through the asset revaluation surplus.</w:t>
      </w:r>
    </w:p>
    <w:p w14:paraId="420256FD"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(c)  Net gain/(loss) from revaluation of employee benefits - provision for long service leave.</w:t>
      </w:r>
    </w:p>
    <w:p w14:paraId="6ECFFC5A" w14:textId="77777777" w:rsidR="005C5CED" w:rsidRPr="005C5CED" w:rsidRDefault="005C5CED" w:rsidP="005C5CED">
      <w:pPr>
        <w:spacing w:line="259" w:lineRule="auto"/>
        <w:rPr>
          <w:rFonts w:eastAsia="Calibri" w:cs="Arial"/>
          <w:color w:val="auto"/>
          <w:sz w:val="22"/>
          <w:szCs w:val="20"/>
        </w:rPr>
      </w:pPr>
      <w:r w:rsidRPr="005C5CED">
        <w:rPr>
          <w:rFonts w:eastAsia="Calibri" w:cs="Arial"/>
          <w:color w:val="auto"/>
          <w:sz w:val="16"/>
          <w:szCs w:val="20"/>
        </w:rPr>
        <w:br w:type="page"/>
      </w:r>
    </w:p>
    <w:p w14:paraId="3C10FDBC" w14:textId="77777777" w:rsidR="005C5CED" w:rsidRPr="005C5CED" w:rsidRDefault="005C5CED" w:rsidP="005C5CED">
      <w:pPr>
        <w:keepNext/>
        <w:keepLines/>
        <w:spacing w:before="360" w:after="100" w:line="240" w:lineRule="auto"/>
        <w:outlineLvl w:val="1"/>
        <w:rPr>
          <w:rFonts w:eastAsia="Yu Gothic Light" w:cs="Times New Roman"/>
          <w:b/>
          <w:bCs/>
          <w:color w:val="174F37"/>
          <w:sz w:val="34"/>
          <w:szCs w:val="34"/>
          <w:lang w:eastAsia="en-AU"/>
        </w:rPr>
      </w:pPr>
      <w:r w:rsidRPr="005C5CED">
        <w:rPr>
          <w:rFonts w:eastAsia="Yu Gothic Light" w:cs="Times New Roman"/>
          <w:b/>
          <w:bCs/>
          <w:color w:val="174F37"/>
          <w:sz w:val="34"/>
          <w:szCs w:val="34"/>
          <w:lang w:eastAsia="en-AU"/>
        </w:rPr>
        <w:lastRenderedPageBreak/>
        <w:t>Balance sheet (a)</w:t>
      </w:r>
    </w:p>
    <w:p w14:paraId="72E2E4A5" w14:textId="77777777" w:rsidR="005C5CED" w:rsidRPr="005C5CED" w:rsidRDefault="005C5CED" w:rsidP="005C5CED">
      <w:pPr>
        <w:spacing w:after="0" w:line="240" w:lineRule="auto"/>
        <w:rPr>
          <w:rFonts w:eastAsia="Calibri" w:cs="Arial"/>
          <w:b/>
          <w:bCs/>
          <w:color w:val="auto"/>
          <w:sz w:val="22"/>
        </w:rPr>
      </w:pPr>
      <w:r w:rsidRPr="005C5CED">
        <w:rPr>
          <w:rFonts w:eastAsia="Calibri" w:cs="Arial"/>
          <w:b/>
          <w:bCs/>
          <w:color w:val="auto"/>
          <w:sz w:val="22"/>
        </w:rPr>
        <w:t xml:space="preserve">As </w:t>
      </w:r>
      <w:proofErr w:type="gramStart"/>
      <w:r w:rsidRPr="005C5CED">
        <w:rPr>
          <w:rFonts w:eastAsia="Calibri" w:cs="Arial"/>
          <w:b/>
          <w:bCs/>
          <w:color w:val="auto"/>
          <w:sz w:val="22"/>
        </w:rPr>
        <w:t>at</w:t>
      </w:r>
      <w:proofErr w:type="gramEnd"/>
      <w:r w:rsidRPr="005C5CED">
        <w:rPr>
          <w:rFonts w:eastAsia="Calibri" w:cs="Arial"/>
          <w:b/>
          <w:bCs/>
          <w:color w:val="auto"/>
          <w:sz w:val="22"/>
        </w:rPr>
        <w:t xml:space="preserve"> 30 June 2024</w:t>
      </w:r>
    </w:p>
    <w:p w14:paraId="056A757F" w14:textId="77777777" w:rsidR="005C5CED" w:rsidRPr="005C5CED" w:rsidRDefault="005C5CED" w:rsidP="005C5CED">
      <w:pPr>
        <w:spacing w:after="60" w:line="240" w:lineRule="auto"/>
        <w:rPr>
          <w:rFonts w:eastAsia="Times New Roman" w:cs="Arial"/>
          <w:b/>
          <w:bCs/>
          <w:color w:val="auto"/>
          <w:sz w:val="24"/>
          <w:szCs w:val="24"/>
          <w:lang w:eastAsia="en-AU"/>
        </w:rPr>
      </w:pPr>
    </w:p>
    <w:tbl>
      <w:tblPr>
        <w:tblW w:w="8902" w:type="dxa"/>
        <w:tblInd w:w="284" w:type="dxa"/>
        <w:tblLook w:val="04A0" w:firstRow="1" w:lastRow="0" w:firstColumn="1" w:lastColumn="0" w:noHBand="0" w:noVBand="1"/>
      </w:tblPr>
      <w:tblGrid>
        <w:gridCol w:w="4163"/>
        <w:gridCol w:w="1615"/>
        <w:gridCol w:w="1552"/>
        <w:gridCol w:w="1572"/>
      </w:tblGrid>
      <w:tr w:rsidR="005C5CED" w:rsidRPr="005C5CED" w14:paraId="7F138CDA" w14:textId="77777777" w:rsidTr="00D12B52">
        <w:trPr>
          <w:trHeight w:val="245"/>
        </w:trPr>
        <w:tc>
          <w:tcPr>
            <w:tcW w:w="4163" w:type="dxa"/>
            <w:tcBorders>
              <w:top w:val="single" w:sz="4" w:space="0" w:color="auto"/>
              <w:left w:val="nil"/>
              <w:bottom w:val="nil"/>
              <w:right w:val="nil"/>
            </w:tcBorders>
            <w:shd w:val="clear" w:color="000000" w:fill="000000"/>
            <w:noWrap/>
            <w:vAlign w:val="bottom"/>
            <w:hideMark/>
          </w:tcPr>
          <w:p w14:paraId="602A3DCF"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615" w:type="dxa"/>
            <w:tcBorders>
              <w:top w:val="single" w:sz="4" w:space="0" w:color="auto"/>
              <w:left w:val="nil"/>
              <w:bottom w:val="nil"/>
              <w:right w:val="nil"/>
            </w:tcBorders>
            <w:shd w:val="clear" w:color="000000" w:fill="000000"/>
            <w:noWrap/>
            <w:vAlign w:val="bottom"/>
            <w:hideMark/>
          </w:tcPr>
          <w:p w14:paraId="4F9222A3"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Notes</w:t>
            </w:r>
          </w:p>
        </w:tc>
        <w:tc>
          <w:tcPr>
            <w:tcW w:w="1552" w:type="dxa"/>
            <w:tcBorders>
              <w:top w:val="single" w:sz="4" w:space="0" w:color="auto"/>
              <w:left w:val="nil"/>
              <w:bottom w:val="nil"/>
              <w:right w:val="nil"/>
            </w:tcBorders>
            <w:shd w:val="clear" w:color="000000" w:fill="000000"/>
            <w:noWrap/>
            <w:vAlign w:val="bottom"/>
            <w:hideMark/>
          </w:tcPr>
          <w:p w14:paraId="3447AB6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572" w:type="dxa"/>
            <w:tcBorders>
              <w:top w:val="single" w:sz="4" w:space="0" w:color="auto"/>
              <w:left w:val="nil"/>
              <w:bottom w:val="nil"/>
              <w:right w:val="nil"/>
            </w:tcBorders>
            <w:shd w:val="clear" w:color="000000" w:fill="000000"/>
            <w:noWrap/>
            <w:vAlign w:val="bottom"/>
            <w:hideMark/>
          </w:tcPr>
          <w:p w14:paraId="3C8715E9" w14:textId="77777777" w:rsidR="005C5CED" w:rsidRPr="005C5CED" w:rsidRDefault="005C5CED" w:rsidP="005C5CED">
            <w:pPr>
              <w:spacing w:after="0" w:line="240" w:lineRule="auto"/>
              <w:ind w:firstLineChars="100" w:firstLine="161"/>
              <w:rPr>
                <w:rFonts w:eastAsia="Times New Roman" w:cs="Arial"/>
                <w:b/>
                <w:bCs/>
                <w:color w:val="FFFFFF"/>
                <w:sz w:val="16"/>
                <w:szCs w:val="16"/>
                <w:lang w:eastAsia="en-AU"/>
              </w:rPr>
            </w:pPr>
          </w:p>
          <w:p w14:paraId="25606BC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14390E89" w14:textId="77777777" w:rsidTr="00D12B52">
        <w:trPr>
          <w:trHeight w:val="245"/>
        </w:trPr>
        <w:tc>
          <w:tcPr>
            <w:tcW w:w="4163" w:type="dxa"/>
            <w:tcBorders>
              <w:top w:val="nil"/>
              <w:left w:val="nil"/>
              <w:bottom w:val="single" w:sz="4" w:space="0" w:color="auto"/>
              <w:right w:val="nil"/>
            </w:tcBorders>
            <w:shd w:val="clear" w:color="000000" w:fill="000000"/>
            <w:noWrap/>
            <w:vAlign w:val="bottom"/>
            <w:hideMark/>
          </w:tcPr>
          <w:p w14:paraId="2C0F860D"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615" w:type="dxa"/>
            <w:tcBorders>
              <w:top w:val="nil"/>
              <w:left w:val="nil"/>
              <w:bottom w:val="single" w:sz="4" w:space="0" w:color="auto"/>
              <w:right w:val="nil"/>
            </w:tcBorders>
            <w:shd w:val="clear" w:color="000000" w:fill="000000"/>
            <w:noWrap/>
            <w:vAlign w:val="bottom"/>
            <w:hideMark/>
          </w:tcPr>
          <w:p w14:paraId="6A966821"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52" w:type="dxa"/>
            <w:tcBorders>
              <w:top w:val="nil"/>
              <w:left w:val="nil"/>
              <w:bottom w:val="single" w:sz="4" w:space="0" w:color="auto"/>
              <w:right w:val="nil"/>
            </w:tcBorders>
            <w:shd w:val="clear" w:color="000000" w:fill="000000"/>
            <w:noWrap/>
            <w:vAlign w:val="bottom"/>
            <w:hideMark/>
          </w:tcPr>
          <w:p w14:paraId="272597C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572" w:type="dxa"/>
            <w:tcBorders>
              <w:top w:val="nil"/>
              <w:left w:val="nil"/>
              <w:bottom w:val="single" w:sz="4" w:space="0" w:color="auto"/>
              <w:right w:val="nil"/>
            </w:tcBorders>
            <w:shd w:val="clear" w:color="000000" w:fill="000000"/>
            <w:noWrap/>
            <w:vAlign w:val="bottom"/>
            <w:hideMark/>
          </w:tcPr>
          <w:p w14:paraId="683D56D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10E286E0" w14:textId="77777777" w:rsidTr="00D12B52">
        <w:trPr>
          <w:trHeight w:val="360"/>
        </w:trPr>
        <w:tc>
          <w:tcPr>
            <w:tcW w:w="4163" w:type="dxa"/>
            <w:tcBorders>
              <w:top w:val="nil"/>
              <w:left w:val="nil"/>
              <w:bottom w:val="nil"/>
              <w:right w:val="nil"/>
            </w:tcBorders>
            <w:shd w:val="clear" w:color="auto" w:fill="auto"/>
            <w:noWrap/>
            <w:vAlign w:val="center"/>
            <w:hideMark/>
          </w:tcPr>
          <w:p w14:paraId="6BEF597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Assets</w:t>
            </w:r>
          </w:p>
        </w:tc>
        <w:tc>
          <w:tcPr>
            <w:tcW w:w="1615" w:type="dxa"/>
            <w:tcBorders>
              <w:top w:val="nil"/>
              <w:left w:val="nil"/>
              <w:bottom w:val="nil"/>
              <w:right w:val="nil"/>
            </w:tcBorders>
            <w:shd w:val="clear" w:color="auto" w:fill="auto"/>
            <w:noWrap/>
            <w:vAlign w:val="center"/>
            <w:hideMark/>
          </w:tcPr>
          <w:p w14:paraId="5848E155"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nil"/>
              <w:right w:val="nil"/>
            </w:tcBorders>
            <w:shd w:val="clear" w:color="auto" w:fill="auto"/>
            <w:noWrap/>
            <w:vAlign w:val="center"/>
            <w:hideMark/>
          </w:tcPr>
          <w:p w14:paraId="7EF95A4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572" w:type="dxa"/>
            <w:tcBorders>
              <w:top w:val="nil"/>
              <w:left w:val="nil"/>
              <w:bottom w:val="nil"/>
              <w:right w:val="nil"/>
            </w:tcBorders>
            <w:shd w:val="clear" w:color="000000" w:fill="E7E6E6"/>
            <w:noWrap/>
            <w:vAlign w:val="center"/>
            <w:hideMark/>
          </w:tcPr>
          <w:p w14:paraId="3F0A802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6769CA8B" w14:textId="77777777" w:rsidTr="00D12B52">
        <w:trPr>
          <w:trHeight w:val="373"/>
        </w:trPr>
        <w:tc>
          <w:tcPr>
            <w:tcW w:w="4163" w:type="dxa"/>
            <w:tcBorders>
              <w:top w:val="nil"/>
              <w:left w:val="nil"/>
              <w:bottom w:val="nil"/>
              <w:right w:val="nil"/>
            </w:tcBorders>
            <w:shd w:val="clear" w:color="auto" w:fill="auto"/>
            <w:noWrap/>
            <w:vAlign w:val="center"/>
            <w:hideMark/>
          </w:tcPr>
          <w:p w14:paraId="5D5CEFC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Financial assets</w:t>
            </w:r>
          </w:p>
        </w:tc>
        <w:tc>
          <w:tcPr>
            <w:tcW w:w="1615" w:type="dxa"/>
            <w:tcBorders>
              <w:top w:val="nil"/>
              <w:left w:val="nil"/>
              <w:bottom w:val="nil"/>
              <w:right w:val="nil"/>
            </w:tcBorders>
            <w:shd w:val="clear" w:color="auto" w:fill="auto"/>
            <w:noWrap/>
            <w:vAlign w:val="center"/>
            <w:hideMark/>
          </w:tcPr>
          <w:p w14:paraId="51678C2B"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552" w:type="dxa"/>
            <w:tcBorders>
              <w:top w:val="nil"/>
              <w:left w:val="nil"/>
              <w:bottom w:val="nil"/>
              <w:right w:val="nil"/>
            </w:tcBorders>
            <w:shd w:val="clear" w:color="auto" w:fill="auto"/>
            <w:noWrap/>
            <w:vAlign w:val="center"/>
            <w:hideMark/>
          </w:tcPr>
          <w:p w14:paraId="0C793686" w14:textId="77777777" w:rsidR="005C5CED" w:rsidRPr="005C5CED" w:rsidRDefault="005C5CED" w:rsidP="005C5CED">
            <w:pPr>
              <w:spacing w:after="0" w:line="240" w:lineRule="auto"/>
              <w:jc w:val="center"/>
              <w:rPr>
                <w:rFonts w:eastAsia="Times New Roman" w:cs="Arial"/>
                <w:color w:val="auto"/>
                <w:szCs w:val="20"/>
                <w:lang w:eastAsia="en-AU"/>
              </w:rPr>
            </w:pPr>
          </w:p>
        </w:tc>
        <w:tc>
          <w:tcPr>
            <w:tcW w:w="1572" w:type="dxa"/>
            <w:tcBorders>
              <w:top w:val="nil"/>
              <w:left w:val="nil"/>
              <w:bottom w:val="nil"/>
              <w:right w:val="nil"/>
            </w:tcBorders>
            <w:shd w:val="clear" w:color="000000" w:fill="E7E6E6"/>
            <w:noWrap/>
            <w:vAlign w:val="center"/>
            <w:hideMark/>
          </w:tcPr>
          <w:p w14:paraId="212D718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535F7980" w14:textId="77777777" w:rsidTr="00D12B52">
        <w:trPr>
          <w:trHeight w:val="373"/>
        </w:trPr>
        <w:tc>
          <w:tcPr>
            <w:tcW w:w="4163" w:type="dxa"/>
            <w:tcBorders>
              <w:top w:val="nil"/>
              <w:left w:val="nil"/>
              <w:bottom w:val="nil"/>
              <w:right w:val="nil"/>
            </w:tcBorders>
            <w:shd w:val="clear" w:color="auto" w:fill="auto"/>
            <w:noWrap/>
            <w:vAlign w:val="center"/>
            <w:hideMark/>
          </w:tcPr>
          <w:p w14:paraId="608C29A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615" w:type="dxa"/>
            <w:tcBorders>
              <w:top w:val="nil"/>
              <w:left w:val="nil"/>
              <w:bottom w:val="nil"/>
              <w:right w:val="nil"/>
            </w:tcBorders>
            <w:shd w:val="clear" w:color="auto" w:fill="auto"/>
            <w:noWrap/>
            <w:vAlign w:val="center"/>
            <w:hideMark/>
          </w:tcPr>
          <w:p w14:paraId="7C271933"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6.3</w:t>
            </w:r>
          </w:p>
        </w:tc>
        <w:tc>
          <w:tcPr>
            <w:tcW w:w="1552" w:type="dxa"/>
            <w:tcBorders>
              <w:top w:val="nil"/>
              <w:left w:val="nil"/>
              <w:bottom w:val="nil"/>
              <w:right w:val="nil"/>
            </w:tcBorders>
            <w:shd w:val="clear" w:color="auto" w:fill="auto"/>
            <w:noWrap/>
            <w:vAlign w:val="center"/>
          </w:tcPr>
          <w:p w14:paraId="02FEAD7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c>
          <w:tcPr>
            <w:tcW w:w="1572" w:type="dxa"/>
            <w:tcBorders>
              <w:top w:val="nil"/>
              <w:left w:val="nil"/>
              <w:bottom w:val="nil"/>
              <w:right w:val="nil"/>
            </w:tcBorders>
            <w:shd w:val="clear" w:color="000000" w:fill="E7E6E6"/>
            <w:noWrap/>
            <w:vAlign w:val="center"/>
            <w:hideMark/>
          </w:tcPr>
          <w:p w14:paraId="7F50A1E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r>
      <w:tr w:rsidR="005C5CED" w:rsidRPr="005C5CED" w14:paraId="63361508" w14:textId="77777777" w:rsidTr="00D12B52">
        <w:trPr>
          <w:trHeight w:val="373"/>
        </w:trPr>
        <w:tc>
          <w:tcPr>
            <w:tcW w:w="4163" w:type="dxa"/>
            <w:tcBorders>
              <w:top w:val="nil"/>
              <w:left w:val="nil"/>
              <w:bottom w:val="nil"/>
              <w:right w:val="nil"/>
            </w:tcBorders>
            <w:shd w:val="clear" w:color="auto" w:fill="auto"/>
            <w:noWrap/>
            <w:vAlign w:val="center"/>
            <w:hideMark/>
          </w:tcPr>
          <w:p w14:paraId="10C513F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Receivables</w:t>
            </w:r>
          </w:p>
        </w:tc>
        <w:tc>
          <w:tcPr>
            <w:tcW w:w="1615" w:type="dxa"/>
            <w:tcBorders>
              <w:top w:val="nil"/>
              <w:left w:val="nil"/>
              <w:bottom w:val="nil"/>
              <w:right w:val="nil"/>
            </w:tcBorders>
            <w:shd w:val="clear" w:color="auto" w:fill="auto"/>
            <w:noWrap/>
            <w:vAlign w:val="center"/>
            <w:hideMark/>
          </w:tcPr>
          <w:p w14:paraId="739BDD38"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5.1</w:t>
            </w:r>
          </w:p>
        </w:tc>
        <w:tc>
          <w:tcPr>
            <w:tcW w:w="1552" w:type="dxa"/>
            <w:tcBorders>
              <w:top w:val="nil"/>
              <w:left w:val="nil"/>
              <w:bottom w:val="nil"/>
              <w:right w:val="nil"/>
            </w:tcBorders>
            <w:shd w:val="clear" w:color="auto" w:fill="auto"/>
            <w:noWrap/>
            <w:vAlign w:val="center"/>
          </w:tcPr>
          <w:p w14:paraId="3D829C2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16,478</w:t>
            </w:r>
          </w:p>
        </w:tc>
        <w:tc>
          <w:tcPr>
            <w:tcW w:w="1572" w:type="dxa"/>
            <w:tcBorders>
              <w:top w:val="nil"/>
              <w:left w:val="nil"/>
              <w:bottom w:val="nil"/>
              <w:right w:val="nil"/>
            </w:tcBorders>
            <w:shd w:val="clear" w:color="000000" w:fill="E7E6E6"/>
            <w:noWrap/>
            <w:vAlign w:val="center"/>
            <w:hideMark/>
          </w:tcPr>
          <w:p w14:paraId="56ADC39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18,318</w:t>
            </w:r>
          </w:p>
        </w:tc>
      </w:tr>
      <w:tr w:rsidR="005C5CED" w:rsidRPr="005C5CED" w14:paraId="6016A7E2" w14:textId="77777777" w:rsidTr="00D12B52">
        <w:trPr>
          <w:trHeight w:val="373"/>
        </w:trPr>
        <w:tc>
          <w:tcPr>
            <w:tcW w:w="4163" w:type="dxa"/>
            <w:tcBorders>
              <w:top w:val="nil"/>
              <w:left w:val="nil"/>
              <w:bottom w:val="nil"/>
              <w:right w:val="nil"/>
            </w:tcBorders>
            <w:shd w:val="clear" w:color="auto" w:fill="auto"/>
            <w:noWrap/>
            <w:vAlign w:val="center"/>
            <w:hideMark/>
          </w:tcPr>
          <w:p w14:paraId="2CD1BA2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1615" w:type="dxa"/>
            <w:tcBorders>
              <w:top w:val="nil"/>
              <w:left w:val="nil"/>
              <w:bottom w:val="single" w:sz="4" w:space="0" w:color="auto"/>
              <w:right w:val="nil"/>
            </w:tcBorders>
            <w:shd w:val="clear" w:color="auto" w:fill="auto"/>
            <w:noWrap/>
            <w:vAlign w:val="center"/>
            <w:hideMark/>
          </w:tcPr>
          <w:p w14:paraId="04E07498"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4.2</w:t>
            </w:r>
          </w:p>
        </w:tc>
        <w:tc>
          <w:tcPr>
            <w:tcW w:w="1552" w:type="dxa"/>
            <w:tcBorders>
              <w:top w:val="nil"/>
              <w:left w:val="nil"/>
              <w:bottom w:val="single" w:sz="4" w:space="0" w:color="auto"/>
              <w:right w:val="nil"/>
            </w:tcBorders>
            <w:shd w:val="clear" w:color="auto" w:fill="auto"/>
            <w:noWrap/>
            <w:vAlign w:val="center"/>
          </w:tcPr>
          <w:p w14:paraId="31E5A4B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c>
          <w:tcPr>
            <w:tcW w:w="1572" w:type="dxa"/>
            <w:tcBorders>
              <w:top w:val="nil"/>
              <w:left w:val="nil"/>
              <w:bottom w:val="single" w:sz="4" w:space="0" w:color="auto"/>
              <w:right w:val="nil"/>
            </w:tcBorders>
            <w:shd w:val="clear" w:color="000000" w:fill="E7E6E6"/>
            <w:noWrap/>
            <w:vAlign w:val="center"/>
            <w:hideMark/>
          </w:tcPr>
          <w:p w14:paraId="51EBD9F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r>
      <w:tr w:rsidR="005C5CED" w:rsidRPr="005C5CED" w14:paraId="1DA529DC" w14:textId="77777777" w:rsidTr="00D12B52">
        <w:trPr>
          <w:trHeight w:val="373"/>
        </w:trPr>
        <w:tc>
          <w:tcPr>
            <w:tcW w:w="4163" w:type="dxa"/>
            <w:tcBorders>
              <w:top w:val="single" w:sz="4" w:space="0" w:color="auto"/>
              <w:left w:val="nil"/>
              <w:bottom w:val="single" w:sz="4" w:space="0" w:color="auto"/>
              <w:right w:val="nil"/>
            </w:tcBorders>
            <w:shd w:val="clear" w:color="auto" w:fill="auto"/>
            <w:noWrap/>
            <w:vAlign w:val="center"/>
            <w:hideMark/>
          </w:tcPr>
          <w:p w14:paraId="6033754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financial assets</w:t>
            </w:r>
          </w:p>
        </w:tc>
        <w:tc>
          <w:tcPr>
            <w:tcW w:w="1615" w:type="dxa"/>
            <w:tcBorders>
              <w:top w:val="nil"/>
              <w:left w:val="nil"/>
              <w:bottom w:val="single" w:sz="4" w:space="0" w:color="auto"/>
              <w:right w:val="nil"/>
            </w:tcBorders>
            <w:shd w:val="clear" w:color="auto" w:fill="auto"/>
            <w:noWrap/>
            <w:vAlign w:val="center"/>
            <w:hideMark/>
          </w:tcPr>
          <w:p w14:paraId="3127C98A"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single" w:sz="4" w:space="0" w:color="auto"/>
              <w:right w:val="nil"/>
            </w:tcBorders>
            <w:shd w:val="clear" w:color="auto" w:fill="auto"/>
            <w:noWrap/>
            <w:vAlign w:val="center"/>
          </w:tcPr>
          <w:p w14:paraId="5E6B804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color w:val="auto"/>
                <w:sz w:val="16"/>
                <w:szCs w:val="16"/>
                <w:lang w:eastAsia="en-AU"/>
              </w:rPr>
              <w:t>96,019</w:t>
            </w:r>
          </w:p>
        </w:tc>
        <w:tc>
          <w:tcPr>
            <w:tcW w:w="1572" w:type="dxa"/>
            <w:tcBorders>
              <w:top w:val="nil"/>
              <w:left w:val="nil"/>
              <w:bottom w:val="single" w:sz="4" w:space="0" w:color="auto"/>
              <w:right w:val="nil"/>
            </w:tcBorders>
            <w:shd w:val="clear" w:color="000000" w:fill="E7E6E6"/>
            <w:noWrap/>
            <w:vAlign w:val="center"/>
            <w:hideMark/>
          </w:tcPr>
          <w:p w14:paraId="5D2633F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89,750</w:t>
            </w:r>
          </w:p>
        </w:tc>
      </w:tr>
      <w:tr w:rsidR="005C5CED" w:rsidRPr="005C5CED" w14:paraId="196A6CD5" w14:textId="77777777" w:rsidTr="00D12B52">
        <w:trPr>
          <w:trHeight w:val="373"/>
        </w:trPr>
        <w:tc>
          <w:tcPr>
            <w:tcW w:w="4163" w:type="dxa"/>
            <w:tcBorders>
              <w:top w:val="nil"/>
              <w:left w:val="nil"/>
              <w:bottom w:val="nil"/>
              <w:right w:val="nil"/>
            </w:tcBorders>
            <w:shd w:val="clear" w:color="auto" w:fill="auto"/>
            <w:noWrap/>
            <w:vAlign w:val="center"/>
            <w:hideMark/>
          </w:tcPr>
          <w:p w14:paraId="64439232"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Non-financial assets</w:t>
            </w:r>
          </w:p>
        </w:tc>
        <w:tc>
          <w:tcPr>
            <w:tcW w:w="1615" w:type="dxa"/>
            <w:tcBorders>
              <w:top w:val="nil"/>
              <w:left w:val="nil"/>
              <w:bottom w:val="nil"/>
              <w:right w:val="nil"/>
            </w:tcBorders>
            <w:shd w:val="clear" w:color="auto" w:fill="auto"/>
            <w:noWrap/>
            <w:vAlign w:val="center"/>
            <w:hideMark/>
          </w:tcPr>
          <w:p w14:paraId="0F4C67A0"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nil"/>
              <w:right w:val="nil"/>
            </w:tcBorders>
            <w:shd w:val="clear" w:color="auto" w:fill="auto"/>
            <w:noWrap/>
            <w:vAlign w:val="center"/>
          </w:tcPr>
          <w:p w14:paraId="01302857"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572" w:type="dxa"/>
            <w:tcBorders>
              <w:top w:val="nil"/>
              <w:left w:val="nil"/>
              <w:bottom w:val="nil"/>
              <w:right w:val="nil"/>
            </w:tcBorders>
            <w:shd w:val="clear" w:color="000000" w:fill="E7E6E6"/>
            <w:noWrap/>
            <w:vAlign w:val="center"/>
            <w:hideMark/>
          </w:tcPr>
          <w:p w14:paraId="2F884276"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4DC6B508" w14:textId="77777777" w:rsidTr="00D12B52">
        <w:trPr>
          <w:trHeight w:val="373"/>
        </w:trPr>
        <w:tc>
          <w:tcPr>
            <w:tcW w:w="4163" w:type="dxa"/>
            <w:tcBorders>
              <w:top w:val="nil"/>
              <w:left w:val="nil"/>
              <w:right w:val="nil"/>
            </w:tcBorders>
            <w:shd w:val="clear" w:color="auto" w:fill="auto"/>
            <w:noWrap/>
            <w:vAlign w:val="center"/>
            <w:hideMark/>
          </w:tcPr>
          <w:p w14:paraId="22DDDCB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Property, plant and equipment</w:t>
            </w:r>
          </w:p>
        </w:tc>
        <w:tc>
          <w:tcPr>
            <w:tcW w:w="1615" w:type="dxa"/>
            <w:tcBorders>
              <w:top w:val="nil"/>
              <w:left w:val="nil"/>
              <w:right w:val="nil"/>
            </w:tcBorders>
            <w:shd w:val="clear" w:color="auto" w:fill="auto"/>
            <w:noWrap/>
            <w:vAlign w:val="center"/>
            <w:hideMark/>
          </w:tcPr>
          <w:p w14:paraId="34684210"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4.1</w:t>
            </w:r>
          </w:p>
        </w:tc>
        <w:tc>
          <w:tcPr>
            <w:tcW w:w="1552" w:type="dxa"/>
            <w:tcBorders>
              <w:top w:val="nil"/>
              <w:left w:val="nil"/>
              <w:right w:val="nil"/>
            </w:tcBorders>
            <w:shd w:val="clear" w:color="auto" w:fill="auto"/>
            <w:noWrap/>
            <w:vAlign w:val="center"/>
          </w:tcPr>
          <w:p w14:paraId="1EBB342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4,316</w:t>
            </w:r>
          </w:p>
        </w:tc>
        <w:tc>
          <w:tcPr>
            <w:tcW w:w="1572" w:type="dxa"/>
            <w:tcBorders>
              <w:top w:val="nil"/>
              <w:left w:val="nil"/>
              <w:right w:val="nil"/>
            </w:tcBorders>
            <w:shd w:val="clear" w:color="000000" w:fill="E7E6E6"/>
            <w:noWrap/>
            <w:vAlign w:val="center"/>
            <w:hideMark/>
          </w:tcPr>
          <w:p w14:paraId="0ECC46D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18,355</w:t>
            </w:r>
          </w:p>
        </w:tc>
      </w:tr>
      <w:tr w:rsidR="005C5CED" w:rsidRPr="005C5CED" w14:paraId="2D3C735C" w14:textId="77777777" w:rsidTr="00D12B52">
        <w:trPr>
          <w:trHeight w:val="373"/>
        </w:trPr>
        <w:tc>
          <w:tcPr>
            <w:tcW w:w="4163" w:type="dxa"/>
            <w:tcBorders>
              <w:top w:val="nil"/>
              <w:left w:val="nil"/>
              <w:right w:val="nil"/>
            </w:tcBorders>
            <w:shd w:val="clear" w:color="auto" w:fill="auto"/>
            <w:noWrap/>
            <w:vAlign w:val="center"/>
            <w:hideMark/>
          </w:tcPr>
          <w:p w14:paraId="5B1BCCF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Prepayments</w:t>
            </w:r>
          </w:p>
        </w:tc>
        <w:tc>
          <w:tcPr>
            <w:tcW w:w="1615" w:type="dxa"/>
            <w:tcBorders>
              <w:top w:val="nil"/>
              <w:left w:val="nil"/>
              <w:right w:val="nil"/>
            </w:tcBorders>
            <w:shd w:val="clear" w:color="auto" w:fill="auto"/>
            <w:noWrap/>
            <w:vAlign w:val="center"/>
            <w:hideMark/>
          </w:tcPr>
          <w:p w14:paraId="5492BB74"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5.3</w:t>
            </w:r>
          </w:p>
        </w:tc>
        <w:tc>
          <w:tcPr>
            <w:tcW w:w="1552" w:type="dxa"/>
            <w:tcBorders>
              <w:top w:val="nil"/>
              <w:left w:val="nil"/>
              <w:right w:val="nil"/>
            </w:tcBorders>
            <w:shd w:val="clear" w:color="auto" w:fill="auto"/>
            <w:noWrap/>
            <w:vAlign w:val="center"/>
          </w:tcPr>
          <w:p w14:paraId="1C2E32E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1,104</w:t>
            </w:r>
          </w:p>
        </w:tc>
        <w:tc>
          <w:tcPr>
            <w:tcW w:w="1572" w:type="dxa"/>
            <w:tcBorders>
              <w:top w:val="nil"/>
              <w:left w:val="nil"/>
              <w:right w:val="nil"/>
            </w:tcBorders>
            <w:shd w:val="clear" w:color="000000" w:fill="E7E6E6"/>
            <w:noWrap/>
            <w:vAlign w:val="center"/>
            <w:hideMark/>
          </w:tcPr>
          <w:p w14:paraId="3364632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1,077</w:t>
            </w:r>
          </w:p>
        </w:tc>
      </w:tr>
      <w:tr w:rsidR="005C5CED" w:rsidRPr="005C5CED" w14:paraId="316D3B25" w14:textId="77777777" w:rsidTr="00D12B52">
        <w:trPr>
          <w:trHeight w:val="373"/>
        </w:trPr>
        <w:tc>
          <w:tcPr>
            <w:tcW w:w="4163" w:type="dxa"/>
            <w:tcBorders>
              <w:top w:val="single" w:sz="4" w:space="0" w:color="auto"/>
              <w:left w:val="nil"/>
              <w:bottom w:val="single" w:sz="4" w:space="0" w:color="auto"/>
              <w:right w:val="nil"/>
            </w:tcBorders>
            <w:shd w:val="clear" w:color="auto" w:fill="auto"/>
            <w:noWrap/>
            <w:vAlign w:val="center"/>
            <w:hideMark/>
          </w:tcPr>
          <w:p w14:paraId="0322600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non-financial assets</w:t>
            </w:r>
          </w:p>
        </w:tc>
        <w:tc>
          <w:tcPr>
            <w:tcW w:w="1615" w:type="dxa"/>
            <w:tcBorders>
              <w:top w:val="single" w:sz="4" w:space="0" w:color="auto"/>
              <w:left w:val="nil"/>
              <w:bottom w:val="single" w:sz="4" w:space="0" w:color="auto"/>
              <w:right w:val="nil"/>
            </w:tcBorders>
            <w:shd w:val="clear" w:color="auto" w:fill="auto"/>
            <w:noWrap/>
            <w:vAlign w:val="center"/>
            <w:hideMark/>
          </w:tcPr>
          <w:p w14:paraId="58C98FBA"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single" w:sz="4" w:space="0" w:color="auto"/>
              <w:left w:val="nil"/>
              <w:bottom w:val="single" w:sz="4" w:space="0" w:color="auto"/>
              <w:right w:val="nil"/>
            </w:tcBorders>
            <w:shd w:val="clear" w:color="auto" w:fill="auto"/>
            <w:noWrap/>
            <w:vAlign w:val="center"/>
          </w:tcPr>
          <w:p w14:paraId="479BC77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5,420</w:t>
            </w:r>
          </w:p>
        </w:tc>
        <w:tc>
          <w:tcPr>
            <w:tcW w:w="1572" w:type="dxa"/>
            <w:tcBorders>
              <w:top w:val="single" w:sz="4" w:space="0" w:color="auto"/>
              <w:left w:val="nil"/>
              <w:bottom w:val="single" w:sz="4" w:space="0" w:color="auto"/>
              <w:right w:val="nil"/>
            </w:tcBorders>
            <w:shd w:val="clear" w:color="000000" w:fill="E7E6E6"/>
            <w:noWrap/>
            <w:vAlign w:val="center"/>
            <w:hideMark/>
          </w:tcPr>
          <w:p w14:paraId="3E3FD22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19,432</w:t>
            </w:r>
          </w:p>
        </w:tc>
      </w:tr>
      <w:tr w:rsidR="005C5CED" w:rsidRPr="005C5CED" w14:paraId="3C6701AE" w14:textId="77777777" w:rsidTr="00D12B52">
        <w:trPr>
          <w:trHeight w:val="373"/>
        </w:trPr>
        <w:tc>
          <w:tcPr>
            <w:tcW w:w="4163" w:type="dxa"/>
            <w:tcBorders>
              <w:top w:val="nil"/>
              <w:left w:val="nil"/>
              <w:bottom w:val="single" w:sz="4" w:space="0" w:color="auto"/>
              <w:right w:val="nil"/>
            </w:tcBorders>
            <w:shd w:val="clear" w:color="auto" w:fill="auto"/>
            <w:noWrap/>
            <w:vAlign w:val="center"/>
            <w:hideMark/>
          </w:tcPr>
          <w:p w14:paraId="4682B748"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assets</w:t>
            </w:r>
          </w:p>
        </w:tc>
        <w:tc>
          <w:tcPr>
            <w:tcW w:w="1615" w:type="dxa"/>
            <w:tcBorders>
              <w:top w:val="nil"/>
              <w:left w:val="nil"/>
              <w:bottom w:val="single" w:sz="4" w:space="0" w:color="auto"/>
              <w:right w:val="nil"/>
            </w:tcBorders>
            <w:shd w:val="clear" w:color="auto" w:fill="auto"/>
            <w:noWrap/>
            <w:vAlign w:val="center"/>
            <w:hideMark/>
          </w:tcPr>
          <w:p w14:paraId="1FBE31E1"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single" w:sz="4" w:space="0" w:color="auto"/>
              <w:right w:val="nil"/>
            </w:tcBorders>
            <w:shd w:val="clear" w:color="auto" w:fill="auto"/>
            <w:noWrap/>
            <w:vAlign w:val="center"/>
          </w:tcPr>
          <w:p w14:paraId="5E8C4DB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color w:val="auto"/>
                <w:sz w:val="16"/>
                <w:szCs w:val="16"/>
                <w:lang w:eastAsia="en-AU"/>
              </w:rPr>
              <w:t>101,439</w:t>
            </w:r>
          </w:p>
        </w:tc>
        <w:tc>
          <w:tcPr>
            <w:tcW w:w="1572" w:type="dxa"/>
            <w:tcBorders>
              <w:top w:val="nil"/>
              <w:left w:val="nil"/>
              <w:bottom w:val="single" w:sz="4" w:space="0" w:color="auto"/>
              <w:right w:val="nil"/>
            </w:tcBorders>
            <w:shd w:val="clear" w:color="000000" w:fill="E7E6E6"/>
            <w:noWrap/>
            <w:vAlign w:val="center"/>
            <w:hideMark/>
          </w:tcPr>
          <w:p w14:paraId="478E628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109,182</w:t>
            </w:r>
          </w:p>
        </w:tc>
      </w:tr>
      <w:tr w:rsidR="005C5CED" w:rsidRPr="005C5CED" w14:paraId="71DF7FB7" w14:textId="77777777" w:rsidTr="00D12B52">
        <w:trPr>
          <w:trHeight w:val="373"/>
        </w:trPr>
        <w:tc>
          <w:tcPr>
            <w:tcW w:w="4163" w:type="dxa"/>
            <w:tcBorders>
              <w:top w:val="nil"/>
              <w:left w:val="nil"/>
              <w:bottom w:val="nil"/>
              <w:right w:val="nil"/>
            </w:tcBorders>
            <w:shd w:val="clear" w:color="auto" w:fill="auto"/>
            <w:noWrap/>
            <w:vAlign w:val="center"/>
            <w:hideMark/>
          </w:tcPr>
          <w:p w14:paraId="56B836DE"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Liabilities</w:t>
            </w:r>
          </w:p>
        </w:tc>
        <w:tc>
          <w:tcPr>
            <w:tcW w:w="1615" w:type="dxa"/>
            <w:tcBorders>
              <w:top w:val="nil"/>
              <w:left w:val="nil"/>
              <w:bottom w:val="nil"/>
              <w:right w:val="nil"/>
            </w:tcBorders>
            <w:shd w:val="clear" w:color="auto" w:fill="auto"/>
            <w:noWrap/>
            <w:vAlign w:val="center"/>
            <w:hideMark/>
          </w:tcPr>
          <w:p w14:paraId="741DC780"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nil"/>
              <w:right w:val="nil"/>
            </w:tcBorders>
            <w:shd w:val="clear" w:color="auto" w:fill="auto"/>
            <w:noWrap/>
            <w:vAlign w:val="center"/>
          </w:tcPr>
          <w:p w14:paraId="357B6612"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572" w:type="dxa"/>
            <w:tcBorders>
              <w:top w:val="nil"/>
              <w:left w:val="nil"/>
              <w:bottom w:val="nil"/>
              <w:right w:val="nil"/>
            </w:tcBorders>
            <w:shd w:val="clear" w:color="000000" w:fill="E7E6E6"/>
            <w:noWrap/>
            <w:vAlign w:val="center"/>
            <w:hideMark/>
          </w:tcPr>
          <w:p w14:paraId="5A07A205"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31F5CBAD" w14:textId="77777777" w:rsidTr="00D12B52">
        <w:trPr>
          <w:trHeight w:val="373"/>
        </w:trPr>
        <w:tc>
          <w:tcPr>
            <w:tcW w:w="4163" w:type="dxa"/>
            <w:tcBorders>
              <w:top w:val="nil"/>
              <w:left w:val="nil"/>
              <w:bottom w:val="nil"/>
              <w:right w:val="nil"/>
            </w:tcBorders>
            <w:shd w:val="clear" w:color="auto" w:fill="auto"/>
            <w:noWrap/>
            <w:vAlign w:val="center"/>
            <w:hideMark/>
          </w:tcPr>
          <w:p w14:paraId="263390E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Payables </w:t>
            </w:r>
          </w:p>
        </w:tc>
        <w:tc>
          <w:tcPr>
            <w:tcW w:w="1615" w:type="dxa"/>
            <w:tcBorders>
              <w:top w:val="nil"/>
              <w:left w:val="nil"/>
              <w:bottom w:val="nil"/>
              <w:right w:val="nil"/>
            </w:tcBorders>
            <w:shd w:val="clear" w:color="auto" w:fill="auto"/>
            <w:noWrap/>
            <w:vAlign w:val="center"/>
            <w:hideMark/>
          </w:tcPr>
          <w:p w14:paraId="2349FC41"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5.2</w:t>
            </w:r>
          </w:p>
        </w:tc>
        <w:tc>
          <w:tcPr>
            <w:tcW w:w="1552" w:type="dxa"/>
            <w:tcBorders>
              <w:top w:val="nil"/>
              <w:left w:val="nil"/>
              <w:bottom w:val="nil"/>
              <w:right w:val="nil"/>
            </w:tcBorders>
            <w:shd w:val="clear" w:color="auto" w:fill="auto"/>
            <w:noWrap/>
            <w:vAlign w:val="center"/>
          </w:tcPr>
          <w:p w14:paraId="685F0E65" w14:textId="77777777" w:rsidR="005C5CED" w:rsidRPr="005C5CED" w:rsidRDefault="005C5CED" w:rsidP="005C5CED">
            <w:pPr>
              <w:spacing w:after="0" w:line="240" w:lineRule="auto"/>
              <w:jc w:val="right"/>
              <w:rPr>
                <w:rFonts w:eastAsia="Times New Roman" w:cs="Arial"/>
                <w:color w:val="auto"/>
                <w:sz w:val="16"/>
                <w:szCs w:val="16"/>
                <w:highlight w:val="yellow"/>
                <w:lang w:eastAsia="en-AU"/>
              </w:rPr>
            </w:pPr>
            <w:r w:rsidRPr="005C5CED">
              <w:rPr>
                <w:rFonts w:eastAsia="Times New Roman" w:cs="Arial"/>
                <w:color w:val="auto"/>
                <w:sz w:val="16"/>
                <w:szCs w:val="16"/>
                <w:lang w:eastAsia="en-AU"/>
              </w:rPr>
              <w:t>(6,001)</w:t>
            </w:r>
          </w:p>
        </w:tc>
        <w:tc>
          <w:tcPr>
            <w:tcW w:w="1572" w:type="dxa"/>
            <w:tcBorders>
              <w:top w:val="nil"/>
              <w:left w:val="nil"/>
              <w:bottom w:val="nil"/>
              <w:right w:val="nil"/>
            </w:tcBorders>
            <w:shd w:val="clear" w:color="000000" w:fill="E7E6E6"/>
            <w:noWrap/>
            <w:vAlign w:val="center"/>
            <w:hideMark/>
          </w:tcPr>
          <w:p w14:paraId="21B82F2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(5,735)</w:t>
            </w:r>
          </w:p>
        </w:tc>
      </w:tr>
      <w:tr w:rsidR="005C5CED" w:rsidRPr="005C5CED" w14:paraId="2F7A1288" w14:textId="77777777" w:rsidTr="00D12B52">
        <w:trPr>
          <w:trHeight w:val="373"/>
        </w:trPr>
        <w:tc>
          <w:tcPr>
            <w:tcW w:w="4163" w:type="dxa"/>
            <w:tcBorders>
              <w:top w:val="nil"/>
              <w:left w:val="nil"/>
              <w:bottom w:val="nil"/>
              <w:right w:val="nil"/>
            </w:tcBorders>
            <w:shd w:val="clear" w:color="auto" w:fill="auto"/>
            <w:noWrap/>
            <w:vAlign w:val="center"/>
          </w:tcPr>
          <w:p w14:paraId="3D9383E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Contract liabilities</w:t>
            </w:r>
          </w:p>
        </w:tc>
        <w:tc>
          <w:tcPr>
            <w:tcW w:w="1615" w:type="dxa"/>
            <w:tcBorders>
              <w:top w:val="nil"/>
              <w:left w:val="nil"/>
              <w:bottom w:val="nil"/>
              <w:right w:val="nil"/>
            </w:tcBorders>
            <w:shd w:val="clear" w:color="auto" w:fill="auto"/>
            <w:noWrap/>
            <w:vAlign w:val="center"/>
          </w:tcPr>
          <w:p w14:paraId="5F3785B6"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5.2</w:t>
            </w:r>
          </w:p>
        </w:tc>
        <w:tc>
          <w:tcPr>
            <w:tcW w:w="1552" w:type="dxa"/>
            <w:tcBorders>
              <w:top w:val="nil"/>
              <w:left w:val="nil"/>
              <w:bottom w:val="nil"/>
              <w:right w:val="nil"/>
            </w:tcBorders>
            <w:shd w:val="clear" w:color="auto" w:fill="auto"/>
            <w:noWrap/>
            <w:vAlign w:val="center"/>
          </w:tcPr>
          <w:p w14:paraId="701186A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(57,683)</w:t>
            </w:r>
          </w:p>
        </w:tc>
        <w:tc>
          <w:tcPr>
            <w:tcW w:w="1572" w:type="dxa"/>
            <w:tcBorders>
              <w:top w:val="nil"/>
              <w:left w:val="nil"/>
              <w:bottom w:val="nil"/>
              <w:right w:val="nil"/>
            </w:tcBorders>
            <w:shd w:val="clear" w:color="000000" w:fill="E7E6E6"/>
            <w:noWrap/>
            <w:vAlign w:val="center"/>
          </w:tcPr>
          <w:p w14:paraId="6B68D32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(56,109)</w:t>
            </w:r>
          </w:p>
        </w:tc>
      </w:tr>
      <w:tr w:rsidR="005C5CED" w:rsidRPr="005C5CED" w14:paraId="0FA99B5B" w14:textId="77777777" w:rsidTr="00D12B52">
        <w:trPr>
          <w:trHeight w:val="373"/>
        </w:trPr>
        <w:tc>
          <w:tcPr>
            <w:tcW w:w="4163" w:type="dxa"/>
            <w:tcBorders>
              <w:top w:val="nil"/>
              <w:left w:val="nil"/>
              <w:bottom w:val="nil"/>
              <w:right w:val="nil"/>
            </w:tcBorders>
            <w:shd w:val="clear" w:color="auto" w:fill="auto"/>
            <w:noWrap/>
            <w:vAlign w:val="center"/>
            <w:hideMark/>
          </w:tcPr>
          <w:p w14:paraId="7925B34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Borrowings</w:t>
            </w:r>
          </w:p>
        </w:tc>
        <w:tc>
          <w:tcPr>
            <w:tcW w:w="1615" w:type="dxa"/>
            <w:tcBorders>
              <w:top w:val="nil"/>
              <w:left w:val="nil"/>
              <w:bottom w:val="nil"/>
              <w:right w:val="nil"/>
            </w:tcBorders>
            <w:shd w:val="clear" w:color="auto" w:fill="auto"/>
            <w:noWrap/>
            <w:vAlign w:val="center"/>
            <w:hideMark/>
          </w:tcPr>
          <w:p w14:paraId="365AF299"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6.1</w:t>
            </w:r>
          </w:p>
        </w:tc>
        <w:tc>
          <w:tcPr>
            <w:tcW w:w="1552" w:type="dxa"/>
            <w:tcBorders>
              <w:top w:val="nil"/>
              <w:left w:val="nil"/>
              <w:bottom w:val="nil"/>
              <w:right w:val="nil"/>
            </w:tcBorders>
            <w:shd w:val="clear" w:color="auto" w:fill="auto"/>
            <w:noWrap/>
            <w:vAlign w:val="center"/>
          </w:tcPr>
          <w:p w14:paraId="5A19A8B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(7,613)</w:t>
            </w:r>
          </w:p>
        </w:tc>
        <w:tc>
          <w:tcPr>
            <w:tcW w:w="1572" w:type="dxa"/>
            <w:tcBorders>
              <w:top w:val="nil"/>
              <w:left w:val="nil"/>
              <w:bottom w:val="nil"/>
              <w:right w:val="nil"/>
            </w:tcBorders>
            <w:shd w:val="clear" w:color="000000" w:fill="E7E6E6"/>
            <w:noWrap/>
            <w:vAlign w:val="center"/>
            <w:hideMark/>
          </w:tcPr>
          <w:p w14:paraId="256ADCE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(18,785)</w:t>
            </w:r>
          </w:p>
        </w:tc>
      </w:tr>
      <w:tr w:rsidR="005C5CED" w:rsidRPr="005C5CED" w14:paraId="18F81E14" w14:textId="77777777" w:rsidTr="00D12B52">
        <w:trPr>
          <w:trHeight w:val="373"/>
        </w:trPr>
        <w:tc>
          <w:tcPr>
            <w:tcW w:w="4163" w:type="dxa"/>
            <w:tcBorders>
              <w:top w:val="nil"/>
              <w:left w:val="nil"/>
              <w:right w:val="nil"/>
            </w:tcBorders>
            <w:shd w:val="clear" w:color="auto" w:fill="auto"/>
            <w:noWrap/>
            <w:vAlign w:val="center"/>
            <w:hideMark/>
          </w:tcPr>
          <w:p w14:paraId="78B9BB2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Employee related provisions</w:t>
            </w:r>
          </w:p>
        </w:tc>
        <w:tc>
          <w:tcPr>
            <w:tcW w:w="1615" w:type="dxa"/>
            <w:tcBorders>
              <w:top w:val="nil"/>
              <w:left w:val="nil"/>
              <w:right w:val="nil"/>
            </w:tcBorders>
            <w:shd w:val="clear" w:color="auto" w:fill="auto"/>
            <w:noWrap/>
            <w:vAlign w:val="center"/>
            <w:hideMark/>
          </w:tcPr>
          <w:p w14:paraId="084F0512"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3.1.2</w:t>
            </w:r>
          </w:p>
        </w:tc>
        <w:tc>
          <w:tcPr>
            <w:tcW w:w="1552" w:type="dxa"/>
            <w:tcBorders>
              <w:top w:val="nil"/>
              <w:left w:val="nil"/>
              <w:right w:val="nil"/>
            </w:tcBorders>
            <w:shd w:val="clear" w:color="auto" w:fill="auto"/>
            <w:noWrap/>
            <w:vAlign w:val="center"/>
          </w:tcPr>
          <w:p w14:paraId="5A8234E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(3,674)</w:t>
            </w:r>
          </w:p>
        </w:tc>
        <w:tc>
          <w:tcPr>
            <w:tcW w:w="1572" w:type="dxa"/>
            <w:tcBorders>
              <w:top w:val="nil"/>
              <w:left w:val="nil"/>
              <w:right w:val="nil"/>
            </w:tcBorders>
            <w:shd w:val="clear" w:color="000000" w:fill="E7E6E6"/>
            <w:noWrap/>
            <w:vAlign w:val="center"/>
            <w:hideMark/>
          </w:tcPr>
          <w:p w14:paraId="5034E9B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(3,272)</w:t>
            </w:r>
          </w:p>
        </w:tc>
      </w:tr>
      <w:tr w:rsidR="005C5CED" w:rsidRPr="005C5CED" w14:paraId="679CAEF8" w14:textId="77777777" w:rsidTr="00D12B52">
        <w:trPr>
          <w:trHeight w:val="373"/>
        </w:trPr>
        <w:tc>
          <w:tcPr>
            <w:tcW w:w="4163" w:type="dxa"/>
            <w:tcBorders>
              <w:top w:val="single" w:sz="4" w:space="0" w:color="auto"/>
              <w:left w:val="nil"/>
              <w:bottom w:val="single" w:sz="4" w:space="0" w:color="auto"/>
              <w:right w:val="nil"/>
            </w:tcBorders>
            <w:shd w:val="clear" w:color="auto" w:fill="auto"/>
            <w:noWrap/>
            <w:vAlign w:val="center"/>
            <w:hideMark/>
          </w:tcPr>
          <w:p w14:paraId="01A6A901"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liabilities</w:t>
            </w:r>
          </w:p>
        </w:tc>
        <w:tc>
          <w:tcPr>
            <w:tcW w:w="1615" w:type="dxa"/>
            <w:tcBorders>
              <w:top w:val="single" w:sz="4" w:space="0" w:color="auto"/>
              <w:left w:val="nil"/>
              <w:bottom w:val="single" w:sz="4" w:space="0" w:color="auto"/>
              <w:right w:val="nil"/>
            </w:tcBorders>
            <w:shd w:val="clear" w:color="auto" w:fill="auto"/>
            <w:noWrap/>
            <w:vAlign w:val="center"/>
            <w:hideMark/>
          </w:tcPr>
          <w:p w14:paraId="71AE46A1"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single" w:sz="4" w:space="0" w:color="auto"/>
              <w:left w:val="nil"/>
              <w:bottom w:val="single" w:sz="4" w:space="0" w:color="auto"/>
              <w:right w:val="nil"/>
            </w:tcBorders>
            <w:shd w:val="clear" w:color="auto" w:fill="auto"/>
            <w:noWrap/>
            <w:vAlign w:val="center"/>
          </w:tcPr>
          <w:p w14:paraId="45D8825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color w:val="auto"/>
                <w:sz w:val="16"/>
                <w:szCs w:val="16"/>
                <w:lang w:eastAsia="en-AU"/>
              </w:rPr>
              <w:t>(74,971)</w:t>
            </w:r>
          </w:p>
        </w:tc>
        <w:tc>
          <w:tcPr>
            <w:tcW w:w="1572" w:type="dxa"/>
            <w:tcBorders>
              <w:top w:val="single" w:sz="4" w:space="0" w:color="auto"/>
              <w:left w:val="nil"/>
              <w:bottom w:val="single" w:sz="4" w:space="0" w:color="auto"/>
              <w:right w:val="nil"/>
            </w:tcBorders>
            <w:shd w:val="clear" w:color="000000" w:fill="E7E6E6"/>
            <w:noWrap/>
            <w:vAlign w:val="center"/>
            <w:hideMark/>
          </w:tcPr>
          <w:p w14:paraId="1E0CAED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(83,901)</w:t>
            </w:r>
          </w:p>
        </w:tc>
      </w:tr>
      <w:tr w:rsidR="005C5CED" w:rsidRPr="005C5CED" w14:paraId="4555709D" w14:textId="77777777" w:rsidTr="00D12B52">
        <w:trPr>
          <w:trHeight w:val="373"/>
        </w:trPr>
        <w:tc>
          <w:tcPr>
            <w:tcW w:w="4163" w:type="dxa"/>
            <w:tcBorders>
              <w:top w:val="nil"/>
              <w:left w:val="nil"/>
              <w:bottom w:val="single" w:sz="4" w:space="0" w:color="auto"/>
              <w:right w:val="nil"/>
            </w:tcBorders>
            <w:shd w:val="clear" w:color="auto" w:fill="auto"/>
            <w:noWrap/>
            <w:vAlign w:val="center"/>
            <w:hideMark/>
          </w:tcPr>
          <w:p w14:paraId="00F14EC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assets</w:t>
            </w:r>
          </w:p>
        </w:tc>
        <w:tc>
          <w:tcPr>
            <w:tcW w:w="1615" w:type="dxa"/>
            <w:tcBorders>
              <w:top w:val="nil"/>
              <w:left w:val="nil"/>
              <w:bottom w:val="single" w:sz="4" w:space="0" w:color="auto"/>
              <w:right w:val="nil"/>
            </w:tcBorders>
            <w:shd w:val="clear" w:color="auto" w:fill="auto"/>
            <w:noWrap/>
            <w:vAlign w:val="center"/>
            <w:hideMark/>
          </w:tcPr>
          <w:p w14:paraId="4467738B"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single" w:sz="4" w:space="0" w:color="auto"/>
              <w:right w:val="nil"/>
            </w:tcBorders>
            <w:shd w:val="clear" w:color="auto" w:fill="auto"/>
            <w:noWrap/>
            <w:vAlign w:val="center"/>
          </w:tcPr>
          <w:p w14:paraId="4FC87A2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26,468</w:t>
            </w:r>
          </w:p>
        </w:tc>
        <w:tc>
          <w:tcPr>
            <w:tcW w:w="1572" w:type="dxa"/>
            <w:tcBorders>
              <w:top w:val="nil"/>
              <w:left w:val="nil"/>
              <w:bottom w:val="single" w:sz="4" w:space="0" w:color="auto"/>
              <w:right w:val="nil"/>
            </w:tcBorders>
            <w:shd w:val="clear" w:color="000000" w:fill="E7E6E6"/>
            <w:noWrap/>
            <w:vAlign w:val="center"/>
            <w:hideMark/>
          </w:tcPr>
          <w:p w14:paraId="5902391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25,281</w:t>
            </w:r>
          </w:p>
        </w:tc>
      </w:tr>
      <w:tr w:rsidR="005C5CED" w:rsidRPr="005C5CED" w14:paraId="05EC4A0C" w14:textId="77777777" w:rsidTr="00D12B52">
        <w:trPr>
          <w:trHeight w:val="373"/>
        </w:trPr>
        <w:tc>
          <w:tcPr>
            <w:tcW w:w="4163" w:type="dxa"/>
            <w:tcBorders>
              <w:top w:val="nil"/>
              <w:left w:val="nil"/>
              <w:bottom w:val="nil"/>
              <w:right w:val="nil"/>
            </w:tcBorders>
            <w:shd w:val="clear" w:color="auto" w:fill="auto"/>
            <w:noWrap/>
            <w:vAlign w:val="center"/>
            <w:hideMark/>
          </w:tcPr>
          <w:p w14:paraId="79CE0C8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Equity</w:t>
            </w:r>
          </w:p>
        </w:tc>
        <w:tc>
          <w:tcPr>
            <w:tcW w:w="1615" w:type="dxa"/>
            <w:tcBorders>
              <w:top w:val="nil"/>
              <w:left w:val="nil"/>
              <w:bottom w:val="nil"/>
              <w:right w:val="nil"/>
            </w:tcBorders>
            <w:shd w:val="clear" w:color="auto" w:fill="auto"/>
            <w:noWrap/>
            <w:vAlign w:val="center"/>
            <w:hideMark/>
          </w:tcPr>
          <w:p w14:paraId="70C37A8C"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nil"/>
              <w:right w:val="nil"/>
            </w:tcBorders>
            <w:shd w:val="clear" w:color="auto" w:fill="auto"/>
            <w:noWrap/>
            <w:vAlign w:val="center"/>
          </w:tcPr>
          <w:p w14:paraId="16412F18"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572" w:type="dxa"/>
            <w:tcBorders>
              <w:top w:val="nil"/>
              <w:left w:val="nil"/>
              <w:bottom w:val="nil"/>
              <w:right w:val="nil"/>
            </w:tcBorders>
            <w:shd w:val="clear" w:color="000000" w:fill="E7E6E6"/>
            <w:noWrap/>
            <w:vAlign w:val="center"/>
            <w:hideMark/>
          </w:tcPr>
          <w:p w14:paraId="5DB8644A"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1EA9FEA2" w14:textId="77777777" w:rsidTr="00D12B52">
        <w:trPr>
          <w:trHeight w:val="373"/>
        </w:trPr>
        <w:tc>
          <w:tcPr>
            <w:tcW w:w="4163" w:type="dxa"/>
            <w:tcBorders>
              <w:top w:val="nil"/>
              <w:left w:val="nil"/>
              <w:bottom w:val="nil"/>
              <w:right w:val="nil"/>
            </w:tcBorders>
            <w:shd w:val="clear" w:color="auto" w:fill="auto"/>
            <w:noWrap/>
            <w:vAlign w:val="center"/>
            <w:hideMark/>
          </w:tcPr>
          <w:p w14:paraId="54E155B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Accumulated surplus / (deficit)</w:t>
            </w:r>
          </w:p>
        </w:tc>
        <w:tc>
          <w:tcPr>
            <w:tcW w:w="1615" w:type="dxa"/>
            <w:tcBorders>
              <w:top w:val="nil"/>
              <w:left w:val="nil"/>
              <w:bottom w:val="nil"/>
              <w:right w:val="nil"/>
            </w:tcBorders>
            <w:shd w:val="clear" w:color="auto" w:fill="auto"/>
            <w:noWrap/>
            <w:vAlign w:val="center"/>
            <w:hideMark/>
          </w:tcPr>
          <w:p w14:paraId="63A1755D" w14:textId="77777777" w:rsidR="005C5CED" w:rsidRPr="005C5CED" w:rsidRDefault="005C5CED" w:rsidP="005C5CED">
            <w:pPr>
              <w:spacing w:after="0" w:line="240" w:lineRule="auto"/>
              <w:rPr>
                <w:rFonts w:eastAsia="Times New Roman" w:cs="Arial"/>
                <w:color w:val="auto"/>
                <w:sz w:val="16"/>
                <w:szCs w:val="16"/>
                <w:lang w:eastAsia="en-AU"/>
              </w:rPr>
            </w:pPr>
          </w:p>
        </w:tc>
        <w:tc>
          <w:tcPr>
            <w:tcW w:w="1552" w:type="dxa"/>
            <w:tcBorders>
              <w:top w:val="nil"/>
              <w:left w:val="nil"/>
              <w:bottom w:val="nil"/>
              <w:right w:val="nil"/>
            </w:tcBorders>
            <w:shd w:val="clear" w:color="auto" w:fill="auto"/>
            <w:noWrap/>
            <w:vAlign w:val="center"/>
          </w:tcPr>
          <w:p w14:paraId="4420599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472</w:t>
            </w:r>
          </w:p>
        </w:tc>
        <w:tc>
          <w:tcPr>
            <w:tcW w:w="1572" w:type="dxa"/>
            <w:tcBorders>
              <w:top w:val="nil"/>
              <w:left w:val="nil"/>
              <w:bottom w:val="nil"/>
              <w:right w:val="nil"/>
            </w:tcBorders>
            <w:shd w:val="clear" w:color="000000" w:fill="E7E6E6"/>
            <w:noWrap/>
            <w:vAlign w:val="center"/>
            <w:hideMark/>
          </w:tcPr>
          <w:p w14:paraId="281A93E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(715)</w:t>
            </w:r>
          </w:p>
        </w:tc>
      </w:tr>
      <w:tr w:rsidR="005C5CED" w:rsidRPr="005C5CED" w14:paraId="6A232F0A" w14:textId="77777777" w:rsidTr="00D12B52">
        <w:trPr>
          <w:trHeight w:val="373"/>
        </w:trPr>
        <w:tc>
          <w:tcPr>
            <w:tcW w:w="4163" w:type="dxa"/>
            <w:tcBorders>
              <w:top w:val="nil"/>
              <w:left w:val="nil"/>
              <w:bottom w:val="nil"/>
              <w:right w:val="nil"/>
            </w:tcBorders>
            <w:shd w:val="clear" w:color="auto" w:fill="auto"/>
            <w:noWrap/>
            <w:vAlign w:val="center"/>
            <w:hideMark/>
          </w:tcPr>
          <w:p w14:paraId="7A9A594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Contributed capital</w:t>
            </w:r>
          </w:p>
        </w:tc>
        <w:tc>
          <w:tcPr>
            <w:tcW w:w="1615" w:type="dxa"/>
            <w:tcBorders>
              <w:top w:val="nil"/>
              <w:left w:val="nil"/>
              <w:bottom w:val="single" w:sz="4" w:space="0" w:color="auto"/>
              <w:right w:val="nil"/>
            </w:tcBorders>
            <w:shd w:val="clear" w:color="auto" w:fill="auto"/>
            <w:noWrap/>
            <w:vAlign w:val="center"/>
            <w:hideMark/>
          </w:tcPr>
          <w:p w14:paraId="0E5FDD20"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single" w:sz="4" w:space="0" w:color="auto"/>
              <w:right w:val="nil"/>
            </w:tcBorders>
            <w:shd w:val="clear" w:color="auto" w:fill="auto"/>
            <w:noWrap/>
            <w:vAlign w:val="center"/>
          </w:tcPr>
          <w:p w14:paraId="0EB2D07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25,996</w:t>
            </w:r>
          </w:p>
        </w:tc>
        <w:tc>
          <w:tcPr>
            <w:tcW w:w="1572" w:type="dxa"/>
            <w:tcBorders>
              <w:top w:val="nil"/>
              <w:left w:val="nil"/>
              <w:bottom w:val="single" w:sz="4" w:space="0" w:color="auto"/>
              <w:right w:val="nil"/>
            </w:tcBorders>
            <w:shd w:val="clear" w:color="000000" w:fill="E7E6E6"/>
            <w:noWrap/>
            <w:vAlign w:val="center"/>
            <w:hideMark/>
          </w:tcPr>
          <w:p w14:paraId="7CF550A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25,996</w:t>
            </w:r>
          </w:p>
        </w:tc>
      </w:tr>
      <w:tr w:rsidR="005C5CED" w:rsidRPr="005C5CED" w14:paraId="4ED9FC3E" w14:textId="77777777" w:rsidTr="00D12B52">
        <w:trPr>
          <w:trHeight w:val="373"/>
        </w:trPr>
        <w:tc>
          <w:tcPr>
            <w:tcW w:w="4163" w:type="dxa"/>
            <w:tcBorders>
              <w:top w:val="single" w:sz="4" w:space="0" w:color="auto"/>
              <w:left w:val="nil"/>
              <w:bottom w:val="single" w:sz="4" w:space="0" w:color="auto"/>
              <w:right w:val="nil"/>
            </w:tcBorders>
            <w:shd w:val="clear" w:color="auto" w:fill="auto"/>
            <w:noWrap/>
            <w:vAlign w:val="center"/>
            <w:hideMark/>
          </w:tcPr>
          <w:p w14:paraId="62D08AE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equity</w:t>
            </w:r>
          </w:p>
        </w:tc>
        <w:tc>
          <w:tcPr>
            <w:tcW w:w="1615" w:type="dxa"/>
            <w:tcBorders>
              <w:top w:val="nil"/>
              <w:left w:val="nil"/>
              <w:bottom w:val="single" w:sz="4" w:space="0" w:color="auto"/>
              <w:right w:val="nil"/>
            </w:tcBorders>
            <w:shd w:val="clear" w:color="auto" w:fill="auto"/>
            <w:noWrap/>
            <w:vAlign w:val="center"/>
            <w:hideMark/>
          </w:tcPr>
          <w:p w14:paraId="756D3B1F"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52" w:type="dxa"/>
            <w:tcBorders>
              <w:top w:val="nil"/>
              <w:left w:val="nil"/>
              <w:bottom w:val="single" w:sz="4" w:space="0" w:color="auto"/>
              <w:right w:val="nil"/>
            </w:tcBorders>
            <w:shd w:val="clear" w:color="auto" w:fill="auto"/>
            <w:noWrap/>
            <w:vAlign w:val="center"/>
          </w:tcPr>
          <w:p w14:paraId="7A81FC7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26,468</w:t>
            </w:r>
          </w:p>
        </w:tc>
        <w:tc>
          <w:tcPr>
            <w:tcW w:w="1572" w:type="dxa"/>
            <w:tcBorders>
              <w:top w:val="nil"/>
              <w:left w:val="nil"/>
              <w:bottom w:val="single" w:sz="4" w:space="0" w:color="auto"/>
              <w:right w:val="nil"/>
            </w:tcBorders>
            <w:shd w:val="clear" w:color="000000" w:fill="E7E6E6"/>
            <w:noWrap/>
            <w:vAlign w:val="center"/>
            <w:hideMark/>
          </w:tcPr>
          <w:p w14:paraId="67C0145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25,281</w:t>
            </w:r>
          </w:p>
        </w:tc>
      </w:tr>
    </w:tbl>
    <w:p w14:paraId="1BAEA2CE" w14:textId="77777777" w:rsidR="005C5CED" w:rsidRPr="005C5CED" w:rsidRDefault="005C5CED" w:rsidP="005C5CED">
      <w:pPr>
        <w:spacing w:after="0" w:line="240" w:lineRule="auto"/>
        <w:rPr>
          <w:rFonts w:eastAsia="Times New Roman" w:cs="Arial"/>
          <w:color w:val="auto"/>
          <w:sz w:val="16"/>
          <w:szCs w:val="16"/>
          <w:lang w:eastAsia="en-AU"/>
        </w:rPr>
      </w:pPr>
    </w:p>
    <w:p w14:paraId="15A868DE"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The accompanying notes form part of these financial statements.</w:t>
      </w:r>
    </w:p>
    <w:p w14:paraId="78CBD0AE" w14:textId="77777777" w:rsidR="005C5CED" w:rsidRPr="005C5CED" w:rsidRDefault="005C5CED" w:rsidP="005C5CED">
      <w:pPr>
        <w:spacing w:after="60" w:line="259" w:lineRule="auto"/>
        <w:rPr>
          <w:rFonts w:eastAsia="Calibri" w:cs="Arial"/>
          <w:color w:val="auto"/>
          <w:sz w:val="16"/>
          <w:szCs w:val="16"/>
        </w:rPr>
      </w:pPr>
    </w:p>
    <w:p w14:paraId="3E11A0B7"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w:t>
      </w:r>
    </w:p>
    <w:p w14:paraId="454F6FE9" w14:textId="77777777" w:rsidR="005C5CED" w:rsidRPr="005C5CED" w:rsidRDefault="005C5CED" w:rsidP="00196A67">
      <w:pPr>
        <w:numPr>
          <w:ilvl w:val="0"/>
          <w:numId w:val="59"/>
        </w:numPr>
        <w:spacing w:line="259" w:lineRule="auto"/>
        <w:rPr>
          <w:rFonts w:eastAsia="Calibri" w:cs="Arial"/>
          <w:i/>
          <w:iCs/>
          <w:color w:val="auto"/>
          <w:sz w:val="16"/>
          <w:szCs w:val="20"/>
        </w:rPr>
      </w:pPr>
      <w:r w:rsidRPr="005C5CED">
        <w:rPr>
          <w:rFonts w:eastAsia="Calibri" w:cs="Arial"/>
          <w:color w:val="auto"/>
          <w:sz w:val="16"/>
          <w:szCs w:val="20"/>
        </w:rPr>
        <w:t xml:space="preserve">This format is aligned to AASB 1049 </w:t>
      </w:r>
      <w:r w:rsidRPr="005C5CED">
        <w:rPr>
          <w:rFonts w:eastAsia="Calibri" w:cs="Arial"/>
          <w:i/>
          <w:iCs/>
          <w:color w:val="auto"/>
          <w:sz w:val="16"/>
          <w:szCs w:val="20"/>
        </w:rPr>
        <w:t>Whole of Government and General Government Sector Financial Reporting.</w:t>
      </w:r>
    </w:p>
    <w:p w14:paraId="138518E9" w14:textId="77777777" w:rsidR="005C5CED" w:rsidRPr="005C5CED" w:rsidRDefault="005C5CED" w:rsidP="005C5CED">
      <w:pPr>
        <w:spacing w:line="259" w:lineRule="auto"/>
        <w:ind w:left="360"/>
        <w:rPr>
          <w:rFonts w:eastAsia="Calibri" w:cs="Arial"/>
          <w:color w:val="auto"/>
          <w:sz w:val="16"/>
          <w:szCs w:val="20"/>
        </w:rPr>
      </w:pPr>
    </w:p>
    <w:p w14:paraId="74195F42" w14:textId="77777777" w:rsidR="005C5CED" w:rsidRPr="005C5CED" w:rsidRDefault="005C5CED" w:rsidP="005C5CED">
      <w:pPr>
        <w:spacing w:after="120" w:line="259" w:lineRule="auto"/>
        <w:rPr>
          <w:rFonts w:eastAsia="Calibri" w:cs="Arial"/>
          <w:color w:val="auto"/>
          <w:sz w:val="16"/>
          <w:szCs w:val="16"/>
        </w:rPr>
      </w:pPr>
      <w:r w:rsidRPr="005C5CED">
        <w:rPr>
          <w:rFonts w:eastAsia="Calibri" w:cs="Arial"/>
          <w:color w:val="auto"/>
          <w:sz w:val="16"/>
          <w:szCs w:val="16"/>
        </w:rPr>
        <w:br w:type="page"/>
      </w:r>
    </w:p>
    <w:p w14:paraId="0C686529" w14:textId="77777777" w:rsidR="005C5CED" w:rsidRPr="005C5CED" w:rsidRDefault="005C5CED" w:rsidP="005C5CED">
      <w:pPr>
        <w:keepNext/>
        <w:keepLines/>
        <w:spacing w:before="360" w:after="100" w:line="240" w:lineRule="auto"/>
        <w:outlineLvl w:val="1"/>
        <w:rPr>
          <w:rFonts w:eastAsia="Times New Roman" w:cs="Times New Roman"/>
          <w:b/>
          <w:bCs/>
          <w:color w:val="174F37"/>
          <w:sz w:val="24"/>
          <w:szCs w:val="24"/>
          <w:lang w:eastAsia="en-AU"/>
        </w:rPr>
      </w:pPr>
      <w:r w:rsidRPr="005C5CED">
        <w:rPr>
          <w:rFonts w:eastAsia="Times New Roman" w:cs="Times New Roman"/>
          <w:b/>
          <w:bCs/>
          <w:color w:val="174F37"/>
          <w:sz w:val="34"/>
          <w:szCs w:val="34"/>
          <w:lang w:eastAsia="en-AU"/>
        </w:rPr>
        <w:lastRenderedPageBreak/>
        <w:t>Cash Flow Statement (a)</w:t>
      </w:r>
    </w:p>
    <w:p w14:paraId="1BFD84E1" w14:textId="77777777" w:rsidR="005C5CED" w:rsidRPr="005C5CED" w:rsidRDefault="005C5CED" w:rsidP="005C5CED">
      <w:pPr>
        <w:spacing w:after="0" w:line="240" w:lineRule="auto"/>
        <w:rPr>
          <w:rFonts w:eastAsia="Calibri" w:cs="Arial"/>
          <w:b/>
          <w:bCs/>
          <w:color w:val="auto"/>
          <w:sz w:val="22"/>
        </w:rPr>
      </w:pPr>
      <w:r w:rsidRPr="005C5CED">
        <w:rPr>
          <w:rFonts w:eastAsia="Calibri" w:cs="Arial"/>
          <w:b/>
          <w:bCs/>
          <w:color w:val="auto"/>
          <w:sz w:val="22"/>
        </w:rPr>
        <w:t>For the financial year ended 30 June 2024</w:t>
      </w:r>
    </w:p>
    <w:p w14:paraId="67DF5AF1" w14:textId="77777777" w:rsidR="005C5CED" w:rsidRPr="005C5CED" w:rsidRDefault="005C5CED" w:rsidP="005C5CED">
      <w:pPr>
        <w:spacing w:after="60" w:line="259" w:lineRule="auto"/>
        <w:rPr>
          <w:rFonts w:eastAsia="Calibri" w:cs="Arial"/>
          <w:color w:val="auto"/>
          <w:sz w:val="16"/>
          <w:szCs w:val="16"/>
        </w:rPr>
      </w:pPr>
    </w:p>
    <w:tbl>
      <w:tblPr>
        <w:tblW w:w="8821" w:type="dxa"/>
        <w:tblLook w:val="04A0" w:firstRow="1" w:lastRow="0" w:firstColumn="1" w:lastColumn="0" w:noHBand="0" w:noVBand="1"/>
      </w:tblPr>
      <w:tblGrid>
        <w:gridCol w:w="5125"/>
        <w:gridCol w:w="702"/>
        <w:gridCol w:w="1508"/>
        <w:gridCol w:w="1486"/>
      </w:tblGrid>
      <w:tr w:rsidR="005C5CED" w:rsidRPr="005C5CED" w14:paraId="20B09942" w14:textId="77777777" w:rsidTr="00D12B52">
        <w:trPr>
          <w:trHeight w:val="187"/>
        </w:trPr>
        <w:tc>
          <w:tcPr>
            <w:tcW w:w="5125" w:type="dxa"/>
            <w:tcBorders>
              <w:top w:val="single" w:sz="4" w:space="0" w:color="auto"/>
              <w:left w:val="nil"/>
              <w:bottom w:val="nil"/>
              <w:right w:val="nil"/>
            </w:tcBorders>
            <w:shd w:val="clear" w:color="000000" w:fill="000000"/>
            <w:noWrap/>
            <w:vAlign w:val="bottom"/>
            <w:hideMark/>
          </w:tcPr>
          <w:p w14:paraId="7EB0BA05"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702" w:type="dxa"/>
            <w:tcBorders>
              <w:top w:val="single" w:sz="4" w:space="0" w:color="auto"/>
              <w:left w:val="nil"/>
              <w:bottom w:val="nil"/>
              <w:right w:val="nil"/>
            </w:tcBorders>
            <w:shd w:val="clear" w:color="000000" w:fill="000000"/>
            <w:noWrap/>
            <w:vAlign w:val="bottom"/>
            <w:hideMark/>
          </w:tcPr>
          <w:p w14:paraId="5CDD564A"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Notes</w:t>
            </w:r>
          </w:p>
        </w:tc>
        <w:tc>
          <w:tcPr>
            <w:tcW w:w="1508" w:type="dxa"/>
            <w:tcBorders>
              <w:top w:val="single" w:sz="4" w:space="0" w:color="auto"/>
              <w:left w:val="nil"/>
              <w:bottom w:val="nil"/>
              <w:right w:val="nil"/>
            </w:tcBorders>
            <w:shd w:val="clear" w:color="000000" w:fill="000000"/>
            <w:noWrap/>
            <w:vAlign w:val="bottom"/>
            <w:hideMark/>
          </w:tcPr>
          <w:p w14:paraId="3244341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486" w:type="dxa"/>
            <w:tcBorders>
              <w:top w:val="single" w:sz="4" w:space="0" w:color="auto"/>
              <w:left w:val="nil"/>
              <w:bottom w:val="nil"/>
              <w:right w:val="nil"/>
            </w:tcBorders>
            <w:shd w:val="clear" w:color="000000" w:fill="000000"/>
            <w:noWrap/>
            <w:vAlign w:val="bottom"/>
            <w:hideMark/>
          </w:tcPr>
          <w:p w14:paraId="7D90379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247C9EF4" w14:textId="77777777" w:rsidTr="00D12B52">
        <w:trPr>
          <w:trHeight w:val="187"/>
        </w:trPr>
        <w:tc>
          <w:tcPr>
            <w:tcW w:w="5125" w:type="dxa"/>
            <w:tcBorders>
              <w:top w:val="nil"/>
              <w:left w:val="nil"/>
              <w:bottom w:val="single" w:sz="4" w:space="0" w:color="auto"/>
              <w:right w:val="nil"/>
            </w:tcBorders>
            <w:shd w:val="clear" w:color="000000" w:fill="000000"/>
            <w:noWrap/>
            <w:vAlign w:val="bottom"/>
            <w:hideMark/>
          </w:tcPr>
          <w:p w14:paraId="31F43BE4"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702" w:type="dxa"/>
            <w:tcBorders>
              <w:top w:val="nil"/>
              <w:left w:val="nil"/>
              <w:bottom w:val="single" w:sz="4" w:space="0" w:color="auto"/>
              <w:right w:val="nil"/>
            </w:tcBorders>
            <w:shd w:val="clear" w:color="000000" w:fill="000000"/>
            <w:noWrap/>
            <w:vAlign w:val="bottom"/>
            <w:hideMark/>
          </w:tcPr>
          <w:p w14:paraId="01AA552D"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08" w:type="dxa"/>
            <w:tcBorders>
              <w:top w:val="nil"/>
              <w:left w:val="nil"/>
              <w:bottom w:val="single" w:sz="4" w:space="0" w:color="auto"/>
              <w:right w:val="nil"/>
            </w:tcBorders>
            <w:shd w:val="clear" w:color="000000" w:fill="000000"/>
            <w:noWrap/>
            <w:vAlign w:val="bottom"/>
            <w:hideMark/>
          </w:tcPr>
          <w:p w14:paraId="7E924D6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486" w:type="dxa"/>
            <w:tcBorders>
              <w:top w:val="nil"/>
              <w:left w:val="nil"/>
              <w:bottom w:val="single" w:sz="4" w:space="0" w:color="auto"/>
              <w:right w:val="nil"/>
            </w:tcBorders>
            <w:shd w:val="clear" w:color="000000" w:fill="000000"/>
            <w:noWrap/>
            <w:vAlign w:val="bottom"/>
            <w:hideMark/>
          </w:tcPr>
          <w:p w14:paraId="4DB143A3"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091BB2EC" w14:textId="77777777" w:rsidTr="00D12B52">
        <w:trPr>
          <w:trHeight w:val="287"/>
        </w:trPr>
        <w:tc>
          <w:tcPr>
            <w:tcW w:w="5125" w:type="dxa"/>
            <w:tcBorders>
              <w:top w:val="nil"/>
              <w:left w:val="nil"/>
              <w:bottom w:val="nil"/>
              <w:right w:val="nil"/>
            </w:tcBorders>
            <w:shd w:val="clear" w:color="auto" w:fill="auto"/>
            <w:noWrap/>
            <w:vAlign w:val="center"/>
            <w:hideMark/>
          </w:tcPr>
          <w:p w14:paraId="5BEACF3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Cash flows from operating activities</w:t>
            </w:r>
          </w:p>
        </w:tc>
        <w:tc>
          <w:tcPr>
            <w:tcW w:w="702" w:type="dxa"/>
            <w:tcBorders>
              <w:top w:val="nil"/>
              <w:left w:val="nil"/>
              <w:bottom w:val="nil"/>
              <w:right w:val="nil"/>
            </w:tcBorders>
            <w:shd w:val="clear" w:color="auto" w:fill="auto"/>
            <w:noWrap/>
            <w:vAlign w:val="bottom"/>
            <w:hideMark/>
          </w:tcPr>
          <w:p w14:paraId="5A1BF28D"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508" w:type="dxa"/>
            <w:tcBorders>
              <w:top w:val="nil"/>
              <w:left w:val="nil"/>
              <w:bottom w:val="nil"/>
              <w:right w:val="nil"/>
            </w:tcBorders>
            <w:shd w:val="clear" w:color="auto" w:fill="auto"/>
            <w:noWrap/>
            <w:vAlign w:val="center"/>
            <w:hideMark/>
          </w:tcPr>
          <w:p w14:paraId="7D35044E" w14:textId="77777777" w:rsidR="005C5CED" w:rsidRPr="005C5CED" w:rsidRDefault="005C5CED" w:rsidP="005C5CED">
            <w:pPr>
              <w:spacing w:after="0" w:line="240" w:lineRule="auto"/>
              <w:rPr>
                <w:rFonts w:eastAsia="Times New Roman" w:cs="Arial"/>
                <w:color w:val="auto"/>
                <w:szCs w:val="20"/>
                <w:lang w:eastAsia="en-AU"/>
              </w:rPr>
            </w:pPr>
          </w:p>
        </w:tc>
        <w:tc>
          <w:tcPr>
            <w:tcW w:w="1486" w:type="dxa"/>
            <w:tcBorders>
              <w:top w:val="nil"/>
              <w:left w:val="nil"/>
              <w:bottom w:val="nil"/>
              <w:right w:val="nil"/>
            </w:tcBorders>
            <w:shd w:val="clear" w:color="000000" w:fill="E7E6E6"/>
            <w:noWrap/>
            <w:vAlign w:val="center"/>
            <w:hideMark/>
          </w:tcPr>
          <w:p w14:paraId="75F3128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r>
      <w:tr w:rsidR="005C5CED" w:rsidRPr="005C5CED" w14:paraId="1D86AEEE" w14:textId="77777777" w:rsidTr="00D12B52">
        <w:trPr>
          <w:trHeight w:val="287"/>
        </w:trPr>
        <w:tc>
          <w:tcPr>
            <w:tcW w:w="5125" w:type="dxa"/>
            <w:tcBorders>
              <w:top w:val="nil"/>
              <w:left w:val="nil"/>
              <w:bottom w:val="nil"/>
              <w:right w:val="nil"/>
            </w:tcBorders>
            <w:shd w:val="clear" w:color="auto" w:fill="auto"/>
            <w:noWrap/>
            <w:vAlign w:val="center"/>
            <w:hideMark/>
          </w:tcPr>
          <w:p w14:paraId="06ABB96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Receipts</w:t>
            </w:r>
          </w:p>
        </w:tc>
        <w:tc>
          <w:tcPr>
            <w:tcW w:w="702" w:type="dxa"/>
            <w:tcBorders>
              <w:top w:val="nil"/>
              <w:left w:val="nil"/>
              <w:bottom w:val="nil"/>
              <w:right w:val="nil"/>
            </w:tcBorders>
            <w:shd w:val="clear" w:color="auto" w:fill="auto"/>
            <w:noWrap/>
            <w:vAlign w:val="bottom"/>
            <w:hideMark/>
          </w:tcPr>
          <w:p w14:paraId="04F4DB66"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508" w:type="dxa"/>
            <w:tcBorders>
              <w:top w:val="nil"/>
              <w:left w:val="nil"/>
              <w:bottom w:val="nil"/>
              <w:right w:val="nil"/>
            </w:tcBorders>
            <w:shd w:val="clear" w:color="auto" w:fill="auto"/>
            <w:noWrap/>
            <w:vAlign w:val="center"/>
            <w:hideMark/>
          </w:tcPr>
          <w:p w14:paraId="40917AE6" w14:textId="77777777" w:rsidR="005C5CED" w:rsidRPr="005C5CED" w:rsidRDefault="005C5CED" w:rsidP="005C5CED">
            <w:pPr>
              <w:spacing w:after="0" w:line="240" w:lineRule="auto"/>
              <w:rPr>
                <w:rFonts w:eastAsia="Times New Roman" w:cs="Arial"/>
                <w:color w:val="auto"/>
                <w:szCs w:val="20"/>
                <w:lang w:eastAsia="en-AU"/>
              </w:rPr>
            </w:pPr>
          </w:p>
        </w:tc>
        <w:tc>
          <w:tcPr>
            <w:tcW w:w="1486" w:type="dxa"/>
            <w:tcBorders>
              <w:top w:val="nil"/>
              <w:left w:val="nil"/>
              <w:bottom w:val="nil"/>
              <w:right w:val="nil"/>
            </w:tcBorders>
            <w:shd w:val="clear" w:color="000000" w:fill="E7E6E6"/>
            <w:noWrap/>
            <w:vAlign w:val="center"/>
            <w:hideMark/>
          </w:tcPr>
          <w:p w14:paraId="28248EC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r>
      <w:tr w:rsidR="005C5CED" w:rsidRPr="005C5CED" w14:paraId="0457A2A3" w14:textId="77777777" w:rsidTr="00D12B52">
        <w:trPr>
          <w:trHeight w:val="287"/>
        </w:trPr>
        <w:tc>
          <w:tcPr>
            <w:tcW w:w="5125" w:type="dxa"/>
            <w:tcBorders>
              <w:top w:val="nil"/>
              <w:left w:val="nil"/>
              <w:bottom w:val="nil"/>
              <w:right w:val="nil"/>
            </w:tcBorders>
            <w:shd w:val="clear" w:color="auto" w:fill="auto"/>
            <w:noWrap/>
            <w:vAlign w:val="center"/>
            <w:hideMark/>
          </w:tcPr>
          <w:p w14:paraId="52F1A83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Receipts from government grants </w:t>
            </w:r>
          </w:p>
        </w:tc>
        <w:tc>
          <w:tcPr>
            <w:tcW w:w="702" w:type="dxa"/>
            <w:tcBorders>
              <w:top w:val="nil"/>
              <w:left w:val="nil"/>
              <w:bottom w:val="nil"/>
              <w:right w:val="nil"/>
            </w:tcBorders>
            <w:shd w:val="clear" w:color="auto" w:fill="auto"/>
            <w:noWrap/>
            <w:vAlign w:val="bottom"/>
            <w:hideMark/>
          </w:tcPr>
          <w:p w14:paraId="1BD02CD1"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1C53FCA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71,569</w:t>
            </w:r>
          </w:p>
        </w:tc>
        <w:tc>
          <w:tcPr>
            <w:tcW w:w="1486" w:type="dxa"/>
            <w:tcBorders>
              <w:top w:val="nil"/>
              <w:left w:val="nil"/>
              <w:bottom w:val="nil"/>
              <w:right w:val="nil"/>
            </w:tcBorders>
            <w:shd w:val="clear" w:color="000000" w:fill="E7E6E6"/>
            <w:noWrap/>
            <w:vAlign w:val="bottom"/>
            <w:hideMark/>
          </w:tcPr>
          <w:p w14:paraId="5D11863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56,602</w:t>
            </w:r>
          </w:p>
        </w:tc>
      </w:tr>
      <w:tr w:rsidR="005C5CED" w:rsidRPr="005C5CED" w14:paraId="52EA6592" w14:textId="77777777" w:rsidTr="00D12B52">
        <w:trPr>
          <w:trHeight w:val="287"/>
        </w:trPr>
        <w:tc>
          <w:tcPr>
            <w:tcW w:w="5125" w:type="dxa"/>
            <w:tcBorders>
              <w:top w:val="nil"/>
              <w:left w:val="nil"/>
              <w:bottom w:val="nil"/>
              <w:right w:val="nil"/>
            </w:tcBorders>
            <w:shd w:val="clear" w:color="auto" w:fill="auto"/>
            <w:noWrap/>
            <w:vAlign w:val="center"/>
            <w:hideMark/>
          </w:tcPr>
          <w:p w14:paraId="3106FDD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Receipts from government - other</w:t>
            </w:r>
          </w:p>
        </w:tc>
        <w:tc>
          <w:tcPr>
            <w:tcW w:w="702" w:type="dxa"/>
            <w:tcBorders>
              <w:top w:val="nil"/>
              <w:left w:val="nil"/>
              <w:bottom w:val="nil"/>
              <w:right w:val="nil"/>
            </w:tcBorders>
            <w:shd w:val="clear" w:color="auto" w:fill="auto"/>
            <w:noWrap/>
            <w:vAlign w:val="bottom"/>
            <w:hideMark/>
          </w:tcPr>
          <w:p w14:paraId="7444E48A"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12006E4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199</w:t>
            </w:r>
          </w:p>
        </w:tc>
        <w:tc>
          <w:tcPr>
            <w:tcW w:w="1486" w:type="dxa"/>
            <w:tcBorders>
              <w:top w:val="nil"/>
              <w:left w:val="nil"/>
              <w:bottom w:val="nil"/>
              <w:right w:val="nil"/>
            </w:tcBorders>
            <w:shd w:val="clear" w:color="000000" w:fill="E7E6E6"/>
            <w:noWrap/>
            <w:vAlign w:val="bottom"/>
            <w:hideMark/>
          </w:tcPr>
          <w:p w14:paraId="359291A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255</w:t>
            </w:r>
          </w:p>
        </w:tc>
      </w:tr>
      <w:tr w:rsidR="005C5CED" w:rsidRPr="005C5CED" w14:paraId="53DF2139" w14:textId="77777777" w:rsidTr="00D12B52">
        <w:trPr>
          <w:trHeight w:val="287"/>
        </w:trPr>
        <w:tc>
          <w:tcPr>
            <w:tcW w:w="5125" w:type="dxa"/>
            <w:tcBorders>
              <w:top w:val="nil"/>
              <w:left w:val="nil"/>
              <w:bottom w:val="nil"/>
              <w:right w:val="nil"/>
            </w:tcBorders>
            <w:shd w:val="clear" w:color="auto" w:fill="auto"/>
            <w:noWrap/>
            <w:vAlign w:val="center"/>
            <w:hideMark/>
          </w:tcPr>
          <w:p w14:paraId="05476AD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Receipts from Municipal and Industrial Waste Levy</w:t>
            </w:r>
          </w:p>
        </w:tc>
        <w:tc>
          <w:tcPr>
            <w:tcW w:w="702" w:type="dxa"/>
            <w:tcBorders>
              <w:top w:val="nil"/>
              <w:left w:val="nil"/>
              <w:bottom w:val="nil"/>
              <w:right w:val="nil"/>
            </w:tcBorders>
            <w:shd w:val="clear" w:color="auto" w:fill="auto"/>
            <w:noWrap/>
            <w:vAlign w:val="bottom"/>
            <w:hideMark/>
          </w:tcPr>
          <w:p w14:paraId="1FDA2A39"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0F92931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18,864</w:t>
            </w:r>
          </w:p>
        </w:tc>
        <w:tc>
          <w:tcPr>
            <w:tcW w:w="1486" w:type="dxa"/>
            <w:tcBorders>
              <w:top w:val="nil"/>
              <w:left w:val="nil"/>
              <w:bottom w:val="nil"/>
              <w:right w:val="nil"/>
            </w:tcBorders>
            <w:shd w:val="clear" w:color="000000" w:fill="E7E6E6"/>
            <w:noWrap/>
            <w:vAlign w:val="bottom"/>
            <w:hideMark/>
          </w:tcPr>
          <w:p w14:paraId="0520BC2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19,176</w:t>
            </w:r>
          </w:p>
        </w:tc>
      </w:tr>
      <w:tr w:rsidR="005C5CED" w:rsidRPr="005C5CED" w14:paraId="58716AE2" w14:textId="77777777" w:rsidTr="00D12B52">
        <w:trPr>
          <w:trHeight w:val="287"/>
        </w:trPr>
        <w:tc>
          <w:tcPr>
            <w:tcW w:w="5125" w:type="dxa"/>
            <w:tcBorders>
              <w:top w:val="nil"/>
              <w:left w:val="nil"/>
              <w:bottom w:val="nil"/>
              <w:right w:val="nil"/>
            </w:tcBorders>
            <w:shd w:val="clear" w:color="auto" w:fill="auto"/>
            <w:noWrap/>
            <w:vAlign w:val="center"/>
            <w:hideMark/>
          </w:tcPr>
          <w:p w14:paraId="320A679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receipts</w:t>
            </w:r>
          </w:p>
        </w:tc>
        <w:tc>
          <w:tcPr>
            <w:tcW w:w="702" w:type="dxa"/>
            <w:tcBorders>
              <w:top w:val="nil"/>
              <w:left w:val="nil"/>
              <w:bottom w:val="nil"/>
              <w:right w:val="nil"/>
            </w:tcBorders>
            <w:shd w:val="clear" w:color="auto" w:fill="auto"/>
            <w:noWrap/>
            <w:vAlign w:val="bottom"/>
            <w:hideMark/>
          </w:tcPr>
          <w:p w14:paraId="5435DF0E"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31BB00F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2,393</w:t>
            </w:r>
          </w:p>
        </w:tc>
        <w:tc>
          <w:tcPr>
            <w:tcW w:w="1486" w:type="dxa"/>
            <w:tcBorders>
              <w:top w:val="nil"/>
              <w:left w:val="nil"/>
              <w:bottom w:val="nil"/>
              <w:right w:val="nil"/>
            </w:tcBorders>
            <w:shd w:val="clear" w:color="000000" w:fill="E7E6E6"/>
            <w:noWrap/>
            <w:vAlign w:val="bottom"/>
            <w:hideMark/>
          </w:tcPr>
          <w:p w14:paraId="6E1FE3C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3,194</w:t>
            </w:r>
          </w:p>
        </w:tc>
      </w:tr>
      <w:tr w:rsidR="005C5CED" w:rsidRPr="005C5CED" w14:paraId="25AAC88C" w14:textId="77777777" w:rsidTr="00D12B52">
        <w:trPr>
          <w:trHeight w:val="287"/>
        </w:trPr>
        <w:tc>
          <w:tcPr>
            <w:tcW w:w="5125" w:type="dxa"/>
            <w:tcBorders>
              <w:top w:val="nil"/>
              <w:left w:val="nil"/>
              <w:bottom w:val="nil"/>
              <w:right w:val="nil"/>
            </w:tcBorders>
            <w:shd w:val="clear" w:color="auto" w:fill="auto"/>
            <w:noWrap/>
            <w:vAlign w:val="center"/>
            <w:hideMark/>
          </w:tcPr>
          <w:p w14:paraId="121E3F0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Interest received</w:t>
            </w:r>
          </w:p>
        </w:tc>
        <w:tc>
          <w:tcPr>
            <w:tcW w:w="702" w:type="dxa"/>
            <w:tcBorders>
              <w:top w:val="nil"/>
              <w:left w:val="nil"/>
              <w:bottom w:val="nil"/>
              <w:right w:val="nil"/>
            </w:tcBorders>
            <w:shd w:val="clear" w:color="auto" w:fill="auto"/>
            <w:noWrap/>
            <w:vAlign w:val="bottom"/>
            <w:hideMark/>
          </w:tcPr>
          <w:p w14:paraId="2D651B6E"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1ADA18A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3,503</w:t>
            </w:r>
          </w:p>
        </w:tc>
        <w:tc>
          <w:tcPr>
            <w:tcW w:w="1486" w:type="dxa"/>
            <w:tcBorders>
              <w:top w:val="nil"/>
              <w:left w:val="nil"/>
              <w:bottom w:val="nil"/>
              <w:right w:val="nil"/>
            </w:tcBorders>
            <w:shd w:val="clear" w:color="000000" w:fill="E7E6E6"/>
            <w:noWrap/>
            <w:vAlign w:val="bottom"/>
            <w:hideMark/>
          </w:tcPr>
          <w:p w14:paraId="3BF0F31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2,439</w:t>
            </w:r>
          </w:p>
        </w:tc>
      </w:tr>
      <w:tr w:rsidR="005C5CED" w:rsidRPr="005C5CED" w14:paraId="1AC507AF" w14:textId="77777777" w:rsidTr="00D12B52">
        <w:trPr>
          <w:trHeight w:val="287"/>
        </w:trPr>
        <w:tc>
          <w:tcPr>
            <w:tcW w:w="5125" w:type="dxa"/>
            <w:tcBorders>
              <w:top w:val="nil"/>
              <w:left w:val="nil"/>
              <w:bottom w:val="nil"/>
              <w:right w:val="nil"/>
            </w:tcBorders>
            <w:shd w:val="clear" w:color="auto" w:fill="auto"/>
            <w:noWrap/>
            <w:vAlign w:val="center"/>
            <w:hideMark/>
          </w:tcPr>
          <w:p w14:paraId="23DC5AC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Goods and Services Tax (GST) recovered from the ATO </w:t>
            </w:r>
          </w:p>
        </w:tc>
        <w:tc>
          <w:tcPr>
            <w:tcW w:w="702" w:type="dxa"/>
            <w:tcBorders>
              <w:top w:val="nil"/>
              <w:left w:val="nil"/>
              <w:bottom w:val="nil"/>
              <w:right w:val="nil"/>
            </w:tcBorders>
            <w:shd w:val="clear" w:color="auto" w:fill="auto"/>
            <w:noWrap/>
            <w:vAlign w:val="bottom"/>
            <w:hideMark/>
          </w:tcPr>
          <w:p w14:paraId="57928B4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w:t>
            </w:r>
          </w:p>
        </w:tc>
        <w:tc>
          <w:tcPr>
            <w:tcW w:w="1508" w:type="dxa"/>
            <w:tcBorders>
              <w:top w:val="nil"/>
              <w:left w:val="nil"/>
              <w:bottom w:val="single" w:sz="4" w:space="0" w:color="auto"/>
              <w:right w:val="nil"/>
            </w:tcBorders>
            <w:shd w:val="clear" w:color="auto" w:fill="auto"/>
            <w:noWrap/>
            <w:vAlign w:val="bottom"/>
          </w:tcPr>
          <w:p w14:paraId="2BF63BF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6" w:type="dxa"/>
            <w:tcBorders>
              <w:top w:val="nil"/>
              <w:left w:val="nil"/>
              <w:bottom w:val="nil"/>
              <w:right w:val="nil"/>
            </w:tcBorders>
            <w:shd w:val="clear" w:color="000000" w:fill="E7E6E6"/>
            <w:noWrap/>
            <w:vAlign w:val="bottom"/>
            <w:hideMark/>
          </w:tcPr>
          <w:p w14:paraId="2066973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369</w:t>
            </w:r>
          </w:p>
        </w:tc>
      </w:tr>
      <w:tr w:rsidR="005C5CED" w:rsidRPr="005C5CED" w14:paraId="63D48C96" w14:textId="77777777" w:rsidTr="00D12B52">
        <w:trPr>
          <w:trHeight w:val="287"/>
        </w:trPr>
        <w:tc>
          <w:tcPr>
            <w:tcW w:w="5125" w:type="dxa"/>
            <w:tcBorders>
              <w:top w:val="single" w:sz="4" w:space="0" w:color="auto"/>
              <w:left w:val="nil"/>
              <w:bottom w:val="nil"/>
              <w:right w:val="nil"/>
            </w:tcBorders>
            <w:shd w:val="clear" w:color="auto" w:fill="auto"/>
            <w:noWrap/>
            <w:vAlign w:val="center"/>
            <w:hideMark/>
          </w:tcPr>
          <w:p w14:paraId="13C4761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Receipts</w:t>
            </w:r>
          </w:p>
        </w:tc>
        <w:tc>
          <w:tcPr>
            <w:tcW w:w="702" w:type="dxa"/>
            <w:tcBorders>
              <w:top w:val="single" w:sz="4" w:space="0" w:color="auto"/>
              <w:left w:val="nil"/>
              <w:bottom w:val="nil"/>
              <w:right w:val="nil"/>
            </w:tcBorders>
            <w:shd w:val="clear" w:color="auto" w:fill="auto"/>
            <w:noWrap/>
            <w:vAlign w:val="bottom"/>
            <w:hideMark/>
          </w:tcPr>
          <w:p w14:paraId="72F39FC1"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08" w:type="dxa"/>
            <w:tcBorders>
              <w:top w:val="nil"/>
              <w:left w:val="nil"/>
              <w:bottom w:val="nil"/>
              <w:right w:val="nil"/>
            </w:tcBorders>
            <w:shd w:val="clear" w:color="auto" w:fill="auto"/>
            <w:noWrap/>
            <w:vAlign w:val="bottom"/>
          </w:tcPr>
          <w:p w14:paraId="0744A6E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96,528</w:t>
            </w:r>
          </w:p>
        </w:tc>
        <w:tc>
          <w:tcPr>
            <w:tcW w:w="1486" w:type="dxa"/>
            <w:tcBorders>
              <w:top w:val="single" w:sz="4" w:space="0" w:color="auto"/>
              <w:left w:val="nil"/>
              <w:bottom w:val="nil"/>
              <w:right w:val="nil"/>
            </w:tcBorders>
            <w:shd w:val="clear" w:color="000000" w:fill="E7E6E6"/>
            <w:noWrap/>
            <w:vAlign w:val="bottom"/>
            <w:hideMark/>
          </w:tcPr>
          <w:p w14:paraId="6FC496A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82,035</w:t>
            </w:r>
          </w:p>
        </w:tc>
      </w:tr>
      <w:tr w:rsidR="005C5CED" w:rsidRPr="005C5CED" w14:paraId="54370948" w14:textId="77777777" w:rsidTr="00D12B52">
        <w:trPr>
          <w:trHeight w:val="287"/>
        </w:trPr>
        <w:tc>
          <w:tcPr>
            <w:tcW w:w="5125" w:type="dxa"/>
            <w:tcBorders>
              <w:top w:val="nil"/>
              <w:left w:val="nil"/>
              <w:bottom w:val="nil"/>
              <w:right w:val="nil"/>
            </w:tcBorders>
            <w:shd w:val="clear" w:color="auto" w:fill="auto"/>
            <w:noWrap/>
            <w:vAlign w:val="center"/>
            <w:hideMark/>
          </w:tcPr>
          <w:p w14:paraId="6C224383"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Payments</w:t>
            </w:r>
          </w:p>
        </w:tc>
        <w:tc>
          <w:tcPr>
            <w:tcW w:w="702" w:type="dxa"/>
            <w:tcBorders>
              <w:top w:val="nil"/>
              <w:left w:val="nil"/>
              <w:bottom w:val="nil"/>
              <w:right w:val="nil"/>
            </w:tcBorders>
            <w:shd w:val="clear" w:color="auto" w:fill="auto"/>
            <w:noWrap/>
            <w:vAlign w:val="bottom"/>
            <w:hideMark/>
          </w:tcPr>
          <w:p w14:paraId="7984DD71"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508" w:type="dxa"/>
            <w:tcBorders>
              <w:top w:val="nil"/>
              <w:left w:val="nil"/>
              <w:bottom w:val="nil"/>
              <w:right w:val="nil"/>
            </w:tcBorders>
            <w:shd w:val="clear" w:color="auto" w:fill="auto"/>
            <w:noWrap/>
            <w:vAlign w:val="bottom"/>
          </w:tcPr>
          <w:p w14:paraId="793024C5" w14:textId="77777777" w:rsidR="005C5CED" w:rsidRPr="005C5CED" w:rsidRDefault="005C5CED" w:rsidP="005C5CED">
            <w:pPr>
              <w:spacing w:after="0" w:line="240" w:lineRule="auto"/>
              <w:rPr>
                <w:rFonts w:eastAsia="Times New Roman" w:cs="Arial"/>
                <w:color w:val="auto"/>
                <w:szCs w:val="20"/>
                <w:lang w:eastAsia="en-AU"/>
              </w:rPr>
            </w:pPr>
          </w:p>
        </w:tc>
        <w:tc>
          <w:tcPr>
            <w:tcW w:w="1486" w:type="dxa"/>
            <w:tcBorders>
              <w:top w:val="nil"/>
              <w:left w:val="nil"/>
              <w:bottom w:val="nil"/>
              <w:right w:val="nil"/>
            </w:tcBorders>
            <w:shd w:val="clear" w:color="000000" w:fill="E7E6E6"/>
            <w:noWrap/>
            <w:vAlign w:val="bottom"/>
            <w:hideMark/>
          </w:tcPr>
          <w:p w14:paraId="46FF88FC"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3D503CCB" w14:textId="77777777" w:rsidTr="00D12B52">
        <w:trPr>
          <w:trHeight w:val="287"/>
        </w:trPr>
        <w:tc>
          <w:tcPr>
            <w:tcW w:w="5125" w:type="dxa"/>
            <w:tcBorders>
              <w:top w:val="nil"/>
              <w:left w:val="nil"/>
              <w:bottom w:val="nil"/>
              <w:right w:val="nil"/>
            </w:tcBorders>
            <w:shd w:val="clear" w:color="auto" w:fill="auto"/>
            <w:noWrap/>
            <w:vAlign w:val="center"/>
            <w:hideMark/>
          </w:tcPr>
          <w:p w14:paraId="5E6BF1E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Payments to grant recipients</w:t>
            </w:r>
          </w:p>
        </w:tc>
        <w:tc>
          <w:tcPr>
            <w:tcW w:w="702" w:type="dxa"/>
            <w:tcBorders>
              <w:top w:val="nil"/>
              <w:left w:val="nil"/>
              <w:bottom w:val="nil"/>
              <w:right w:val="nil"/>
            </w:tcBorders>
            <w:shd w:val="clear" w:color="auto" w:fill="auto"/>
            <w:noWrap/>
            <w:vAlign w:val="bottom"/>
            <w:hideMark/>
          </w:tcPr>
          <w:p w14:paraId="6E2C60EB"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378EF91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(49,013)</w:t>
            </w:r>
          </w:p>
        </w:tc>
        <w:tc>
          <w:tcPr>
            <w:tcW w:w="1486" w:type="dxa"/>
            <w:tcBorders>
              <w:top w:val="nil"/>
              <w:left w:val="nil"/>
              <w:bottom w:val="nil"/>
              <w:right w:val="nil"/>
            </w:tcBorders>
            <w:shd w:val="clear" w:color="000000" w:fill="E7E6E6"/>
            <w:noWrap/>
            <w:vAlign w:val="bottom"/>
            <w:hideMark/>
          </w:tcPr>
          <w:p w14:paraId="02F648B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(38,505)</w:t>
            </w:r>
          </w:p>
        </w:tc>
      </w:tr>
      <w:tr w:rsidR="005C5CED" w:rsidRPr="005C5CED" w14:paraId="040BBC04" w14:textId="77777777" w:rsidTr="00D12B52">
        <w:trPr>
          <w:trHeight w:val="287"/>
        </w:trPr>
        <w:tc>
          <w:tcPr>
            <w:tcW w:w="5125" w:type="dxa"/>
            <w:tcBorders>
              <w:top w:val="nil"/>
              <w:left w:val="nil"/>
              <w:bottom w:val="nil"/>
              <w:right w:val="nil"/>
            </w:tcBorders>
            <w:shd w:val="clear" w:color="auto" w:fill="auto"/>
            <w:noWrap/>
            <w:vAlign w:val="center"/>
            <w:hideMark/>
          </w:tcPr>
          <w:p w14:paraId="4A3906F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Payments to suppliers and employees</w:t>
            </w:r>
          </w:p>
        </w:tc>
        <w:tc>
          <w:tcPr>
            <w:tcW w:w="702" w:type="dxa"/>
            <w:tcBorders>
              <w:top w:val="nil"/>
              <w:left w:val="nil"/>
              <w:bottom w:val="nil"/>
              <w:right w:val="nil"/>
            </w:tcBorders>
            <w:shd w:val="clear" w:color="auto" w:fill="auto"/>
            <w:noWrap/>
            <w:vAlign w:val="bottom"/>
            <w:hideMark/>
          </w:tcPr>
          <w:p w14:paraId="08CC6289"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23ECD57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(37,559)</w:t>
            </w:r>
          </w:p>
        </w:tc>
        <w:tc>
          <w:tcPr>
            <w:tcW w:w="1486" w:type="dxa"/>
            <w:tcBorders>
              <w:top w:val="nil"/>
              <w:left w:val="nil"/>
              <w:bottom w:val="nil"/>
              <w:right w:val="nil"/>
            </w:tcBorders>
            <w:shd w:val="clear" w:color="000000" w:fill="E7E6E6"/>
            <w:noWrap/>
            <w:vAlign w:val="bottom"/>
            <w:hideMark/>
          </w:tcPr>
          <w:p w14:paraId="4FC6432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(62,419)</w:t>
            </w:r>
          </w:p>
        </w:tc>
      </w:tr>
      <w:tr w:rsidR="005C5CED" w:rsidRPr="005C5CED" w14:paraId="79DB3A58" w14:textId="77777777" w:rsidTr="00D12B52">
        <w:trPr>
          <w:trHeight w:val="287"/>
        </w:trPr>
        <w:tc>
          <w:tcPr>
            <w:tcW w:w="5125" w:type="dxa"/>
            <w:tcBorders>
              <w:top w:val="nil"/>
              <w:left w:val="nil"/>
              <w:bottom w:val="nil"/>
              <w:right w:val="nil"/>
            </w:tcBorders>
            <w:shd w:val="clear" w:color="auto" w:fill="auto"/>
            <w:noWrap/>
            <w:vAlign w:val="center"/>
            <w:hideMark/>
          </w:tcPr>
          <w:p w14:paraId="51388E7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Interest and other costs of finance paid</w:t>
            </w:r>
          </w:p>
        </w:tc>
        <w:tc>
          <w:tcPr>
            <w:tcW w:w="702" w:type="dxa"/>
            <w:tcBorders>
              <w:top w:val="nil"/>
              <w:left w:val="nil"/>
              <w:bottom w:val="nil"/>
              <w:right w:val="nil"/>
            </w:tcBorders>
            <w:shd w:val="clear" w:color="auto" w:fill="auto"/>
            <w:noWrap/>
            <w:vAlign w:val="bottom"/>
            <w:hideMark/>
          </w:tcPr>
          <w:p w14:paraId="01BD463E"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553C6D0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(334)</w:t>
            </w:r>
          </w:p>
        </w:tc>
        <w:tc>
          <w:tcPr>
            <w:tcW w:w="1486" w:type="dxa"/>
            <w:tcBorders>
              <w:top w:val="nil"/>
              <w:left w:val="nil"/>
              <w:bottom w:val="nil"/>
              <w:right w:val="nil"/>
            </w:tcBorders>
            <w:shd w:val="clear" w:color="000000" w:fill="E7E6E6"/>
            <w:noWrap/>
            <w:vAlign w:val="bottom"/>
            <w:hideMark/>
          </w:tcPr>
          <w:p w14:paraId="0A304BD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(358)</w:t>
            </w:r>
          </w:p>
        </w:tc>
      </w:tr>
      <w:tr w:rsidR="005C5CED" w:rsidRPr="005C5CED" w14:paraId="6E030AE2" w14:textId="77777777" w:rsidTr="00D12B52">
        <w:trPr>
          <w:trHeight w:val="287"/>
        </w:trPr>
        <w:tc>
          <w:tcPr>
            <w:tcW w:w="5125" w:type="dxa"/>
            <w:tcBorders>
              <w:top w:val="single" w:sz="4" w:space="0" w:color="auto"/>
              <w:left w:val="nil"/>
              <w:bottom w:val="nil"/>
              <w:right w:val="nil"/>
            </w:tcBorders>
            <w:shd w:val="clear" w:color="auto" w:fill="auto"/>
            <w:noWrap/>
            <w:vAlign w:val="center"/>
            <w:hideMark/>
          </w:tcPr>
          <w:p w14:paraId="6A5A32B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Payments</w:t>
            </w:r>
          </w:p>
        </w:tc>
        <w:tc>
          <w:tcPr>
            <w:tcW w:w="702" w:type="dxa"/>
            <w:tcBorders>
              <w:top w:val="single" w:sz="4" w:space="0" w:color="auto"/>
              <w:left w:val="nil"/>
              <w:bottom w:val="nil"/>
              <w:right w:val="nil"/>
            </w:tcBorders>
            <w:shd w:val="clear" w:color="auto" w:fill="auto"/>
            <w:noWrap/>
            <w:vAlign w:val="bottom"/>
            <w:hideMark/>
          </w:tcPr>
          <w:p w14:paraId="21593E6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08" w:type="dxa"/>
            <w:tcBorders>
              <w:top w:val="single" w:sz="4" w:space="0" w:color="auto"/>
              <w:left w:val="nil"/>
              <w:bottom w:val="single" w:sz="4" w:space="0" w:color="auto"/>
              <w:right w:val="nil"/>
            </w:tcBorders>
            <w:shd w:val="clear" w:color="auto" w:fill="auto"/>
            <w:noWrap/>
            <w:vAlign w:val="bottom"/>
          </w:tcPr>
          <w:p w14:paraId="77BAA7D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(86,906)</w:t>
            </w:r>
          </w:p>
        </w:tc>
        <w:tc>
          <w:tcPr>
            <w:tcW w:w="1486" w:type="dxa"/>
            <w:tcBorders>
              <w:top w:val="single" w:sz="4" w:space="0" w:color="auto"/>
              <w:left w:val="nil"/>
              <w:bottom w:val="nil"/>
              <w:right w:val="nil"/>
            </w:tcBorders>
            <w:shd w:val="clear" w:color="000000" w:fill="E7E6E6"/>
            <w:noWrap/>
            <w:vAlign w:val="bottom"/>
            <w:hideMark/>
          </w:tcPr>
          <w:p w14:paraId="4EC4C69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(101,282)</w:t>
            </w:r>
          </w:p>
        </w:tc>
      </w:tr>
      <w:tr w:rsidR="005C5CED" w:rsidRPr="005C5CED" w14:paraId="04DC0ED7" w14:textId="77777777" w:rsidTr="00D12B52">
        <w:trPr>
          <w:trHeight w:val="287"/>
        </w:trPr>
        <w:tc>
          <w:tcPr>
            <w:tcW w:w="5125" w:type="dxa"/>
            <w:tcBorders>
              <w:top w:val="single" w:sz="4" w:space="0" w:color="auto"/>
              <w:left w:val="nil"/>
              <w:bottom w:val="nil"/>
              <w:right w:val="nil"/>
            </w:tcBorders>
            <w:shd w:val="clear" w:color="auto" w:fill="auto"/>
            <w:noWrap/>
            <w:vAlign w:val="center"/>
            <w:hideMark/>
          </w:tcPr>
          <w:p w14:paraId="05C56841"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cash flows from / (used in) operating activities</w:t>
            </w:r>
          </w:p>
        </w:tc>
        <w:tc>
          <w:tcPr>
            <w:tcW w:w="702" w:type="dxa"/>
            <w:tcBorders>
              <w:top w:val="single" w:sz="4" w:space="0" w:color="auto"/>
              <w:left w:val="nil"/>
              <w:bottom w:val="nil"/>
              <w:right w:val="nil"/>
            </w:tcBorders>
            <w:shd w:val="clear" w:color="auto" w:fill="auto"/>
            <w:noWrap/>
            <w:vAlign w:val="bottom"/>
            <w:hideMark/>
          </w:tcPr>
          <w:p w14:paraId="013D4BA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6.3.1</w:t>
            </w:r>
          </w:p>
        </w:tc>
        <w:tc>
          <w:tcPr>
            <w:tcW w:w="1508" w:type="dxa"/>
            <w:tcBorders>
              <w:top w:val="nil"/>
              <w:left w:val="nil"/>
              <w:bottom w:val="nil"/>
              <w:right w:val="nil"/>
            </w:tcBorders>
            <w:shd w:val="clear" w:color="auto" w:fill="auto"/>
            <w:noWrap/>
            <w:vAlign w:val="bottom"/>
          </w:tcPr>
          <w:p w14:paraId="278CD8F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9,622</w:t>
            </w:r>
          </w:p>
        </w:tc>
        <w:tc>
          <w:tcPr>
            <w:tcW w:w="1486" w:type="dxa"/>
            <w:tcBorders>
              <w:top w:val="single" w:sz="4" w:space="0" w:color="auto"/>
              <w:left w:val="nil"/>
              <w:bottom w:val="nil"/>
              <w:right w:val="nil"/>
            </w:tcBorders>
            <w:shd w:val="clear" w:color="000000" w:fill="E7E6E6"/>
            <w:noWrap/>
            <w:vAlign w:val="bottom"/>
            <w:hideMark/>
          </w:tcPr>
          <w:p w14:paraId="616BEFD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(19,247)</w:t>
            </w:r>
          </w:p>
        </w:tc>
      </w:tr>
      <w:tr w:rsidR="005C5CED" w:rsidRPr="005C5CED" w14:paraId="7FB56434" w14:textId="77777777" w:rsidTr="00D12B52">
        <w:trPr>
          <w:trHeight w:val="287"/>
        </w:trPr>
        <w:tc>
          <w:tcPr>
            <w:tcW w:w="5125" w:type="dxa"/>
            <w:tcBorders>
              <w:top w:val="nil"/>
              <w:left w:val="nil"/>
              <w:bottom w:val="nil"/>
              <w:right w:val="nil"/>
            </w:tcBorders>
            <w:shd w:val="clear" w:color="auto" w:fill="auto"/>
            <w:noWrap/>
            <w:vAlign w:val="center"/>
            <w:hideMark/>
          </w:tcPr>
          <w:p w14:paraId="09320B1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Cash flows from investing activities</w:t>
            </w:r>
          </w:p>
        </w:tc>
        <w:tc>
          <w:tcPr>
            <w:tcW w:w="702" w:type="dxa"/>
            <w:tcBorders>
              <w:top w:val="nil"/>
              <w:left w:val="nil"/>
              <w:bottom w:val="nil"/>
              <w:right w:val="nil"/>
            </w:tcBorders>
            <w:shd w:val="clear" w:color="auto" w:fill="auto"/>
            <w:noWrap/>
            <w:vAlign w:val="bottom"/>
            <w:hideMark/>
          </w:tcPr>
          <w:p w14:paraId="5FE09260"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508" w:type="dxa"/>
            <w:tcBorders>
              <w:top w:val="nil"/>
              <w:left w:val="nil"/>
              <w:bottom w:val="nil"/>
              <w:right w:val="nil"/>
            </w:tcBorders>
            <w:shd w:val="clear" w:color="auto" w:fill="auto"/>
            <w:noWrap/>
            <w:vAlign w:val="bottom"/>
          </w:tcPr>
          <w:p w14:paraId="455C53FA" w14:textId="77777777" w:rsidR="005C5CED" w:rsidRPr="005C5CED" w:rsidRDefault="005C5CED" w:rsidP="005C5CED">
            <w:pPr>
              <w:spacing w:after="0" w:line="240" w:lineRule="auto"/>
              <w:rPr>
                <w:rFonts w:eastAsia="Times New Roman" w:cs="Arial"/>
                <w:color w:val="auto"/>
                <w:szCs w:val="20"/>
                <w:lang w:eastAsia="en-AU"/>
              </w:rPr>
            </w:pPr>
          </w:p>
        </w:tc>
        <w:tc>
          <w:tcPr>
            <w:tcW w:w="1486" w:type="dxa"/>
            <w:tcBorders>
              <w:top w:val="nil"/>
              <w:left w:val="nil"/>
              <w:bottom w:val="nil"/>
              <w:right w:val="nil"/>
            </w:tcBorders>
            <w:shd w:val="clear" w:color="000000" w:fill="E7E6E6"/>
            <w:noWrap/>
            <w:vAlign w:val="bottom"/>
            <w:hideMark/>
          </w:tcPr>
          <w:p w14:paraId="020E7544"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77759B18" w14:textId="77777777" w:rsidTr="00D12B52">
        <w:trPr>
          <w:trHeight w:val="287"/>
        </w:trPr>
        <w:tc>
          <w:tcPr>
            <w:tcW w:w="5125" w:type="dxa"/>
            <w:tcBorders>
              <w:top w:val="nil"/>
              <w:left w:val="nil"/>
              <w:bottom w:val="nil"/>
              <w:right w:val="nil"/>
            </w:tcBorders>
            <w:shd w:val="clear" w:color="auto" w:fill="auto"/>
            <w:noWrap/>
            <w:vAlign w:val="center"/>
            <w:hideMark/>
          </w:tcPr>
          <w:p w14:paraId="6CD2091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Payments for property, plant, and equipment</w:t>
            </w:r>
          </w:p>
        </w:tc>
        <w:tc>
          <w:tcPr>
            <w:tcW w:w="702" w:type="dxa"/>
            <w:tcBorders>
              <w:top w:val="nil"/>
              <w:left w:val="nil"/>
              <w:bottom w:val="nil"/>
              <w:right w:val="nil"/>
            </w:tcBorders>
            <w:shd w:val="clear" w:color="auto" w:fill="auto"/>
            <w:noWrap/>
            <w:vAlign w:val="bottom"/>
            <w:hideMark/>
          </w:tcPr>
          <w:p w14:paraId="50B2AA6A"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71408B3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w:t>
            </w:r>
          </w:p>
        </w:tc>
        <w:tc>
          <w:tcPr>
            <w:tcW w:w="1486" w:type="dxa"/>
            <w:tcBorders>
              <w:top w:val="nil"/>
              <w:left w:val="nil"/>
              <w:bottom w:val="nil"/>
              <w:right w:val="nil"/>
            </w:tcBorders>
            <w:shd w:val="clear" w:color="000000" w:fill="E7E6E6"/>
            <w:noWrap/>
            <w:vAlign w:val="bottom"/>
            <w:hideMark/>
          </w:tcPr>
          <w:p w14:paraId="542A57C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(109)</w:t>
            </w:r>
          </w:p>
        </w:tc>
      </w:tr>
      <w:tr w:rsidR="005C5CED" w:rsidRPr="005C5CED" w14:paraId="6CEBC096" w14:textId="77777777" w:rsidTr="00D12B52">
        <w:trPr>
          <w:trHeight w:val="287"/>
        </w:trPr>
        <w:tc>
          <w:tcPr>
            <w:tcW w:w="5125" w:type="dxa"/>
            <w:tcBorders>
              <w:top w:val="nil"/>
              <w:left w:val="nil"/>
              <w:bottom w:val="nil"/>
              <w:right w:val="nil"/>
            </w:tcBorders>
            <w:shd w:val="clear" w:color="auto" w:fill="auto"/>
            <w:noWrap/>
            <w:vAlign w:val="center"/>
          </w:tcPr>
          <w:p w14:paraId="75CBDDF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Proceeds from disposal of property, plant and equipment</w:t>
            </w:r>
          </w:p>
        </w:tc>
        <w:tc>
          <w:tcPr>
            <w:tcW w:w="702" w:type="dxa"/>
            <w:tcBorders>
              <w:top w:val="nil"/>
              <w:left w:val="nil"/>
              <w:bottom w:val="nil"/>
              <w:right w:val="nil"/>
            </w:tcBorders>
            <w:shd w:val="clear" w:color="auto" w:fill="auto"/>
            <w:noWrap/>
            <w:vAlign w:val="bottom"/>
          </w:tcPr>
          <w:p w14:paraId="290ECBC2"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37AB9D8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6" w:type="dxa"/>
            <w:tcBorders>
              <w:top w:val="nil"/>
              <w:left w:val="nil"/>
              <w:bottom w:val="nil"/>
              <w:right w:val="nil"/>
            </w:tcBorders>
            <w:shd w:val="clear" w:color="000000" w:fill="E7E6E6"/>
            <w:noWrap/>
            <w:vAlign w:val="bottom"/>
          </w:tcPr>
          <w:p w14:paraId="4DC72BE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149</w:t>
            </w:r>
          </w:p>
        </w:tc>
      </w:tr>
      <w:tr w:rsidR="005C5CED" w:rsidRPr="005C5CED" w14:paraId="131EF047" w14:textId="77777777" w:rsidTr="00D12B52">
        <w:trPr>
          <w:trHeight w:val="287"/>
        </w:trPr>
        <w:tc>
          <w:tcPr>
            <w:tcW w:w="5125" w:type="dxa"/>
            <w:tcBorders>
              <w:top w:val="single" w:sz="4" w:space="0" w:color="auto"/>
              <w:left w:val="nil"/>
              <w:bottom w:val="nil"/>
              <w:right w:val="nil"/>
            </w:tcBorders>
            <w:shd w:val="clear" w:color="auto" w:fill="auto"/>
            <w:noWrap/>
            <w:vAlign w:val="center"/>
            <w:hideMark/>
          </w:tcPr>
          <w:p w14:paraId="2B4836E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cash flows (used in) / from investing activities</w:t>
            </w:r>
          </w:p>
        </w:tc>
        <w:tc>
          <w:tcPr>
            <w:tcW w:w="702" w:type="dxa"/>
            <w:tcBorders>
              <w:top w:val="single" w:sz="4" w:space="0" w:color="auto"/>
              <w:left w:val="nil"/>
              <w:bottom w:val="nil"/>
              <w:right w:val="nil"/>
            </w:tcBorders>
            <w:shd w:val="clear" w:color="auto" w:fill="auto"/>
            <w:noWrap/>
            <w:vAlign w:val="bottom"/>
            <w:hideMark/>
          </w:tcPr>
          <w:p w14:paraId="0C6DF6E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08" w:type="dxa"/>
            <w:tcBorders>
              <w:top w:val="single" w:sz="4" w:space="0" w:color="auto"/>
              <w:left w:val="nil"/>
              <w:bottom w:val="nil"/>
              <w:right w:val="nil"/>
            </w:tcBorders>
            <w:shd w:val="clear" w:color="auto" w:fill="auto"/>
            <w:noWrap/>
            <w:vAlign w:val="bottom"/>
          </w:tcPr>
          <w:p w14:paraId="71A6F43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(58)</w:t>
            </w:r>
          </w:p>
        </w:tc>
        <w:tc>
          <w:tcPr>
            <w:tcW w:w="1486" w:type="dxa"/>
            <w:tcBorders>
              <w:top w:val="single" w:sz="4" w:space="0" w:color="auto"/>
              <w:left w:val="nil"/>
              <w:bottom w:val="nil"/>
              <w:right w:val="nil"/>
            </w:tcBorders>
            <w:shd w:val="clear" w:color="000000" w:fill="E7E6E6"/>
            <w:noWrap/>
            <w:vAlign w:val="bottom"/>
            <w:hideMark/>
          </w:tcPr>
          <w:p w14:paraId="2CF376B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40</w:t>
            </w:r>
          </w:p>
        </w:tc>
      </w:tr>
      <w:tr w:rsidR="005C5CED" w:rsidRPr="005C5CED" w14:paraId="03FF3441" w14:textId="77777777" w:rsidTr="00D12B52">
        <w:trPr>
          <w:trHeight w:val="287"/>
        </w:trPr>
        <w:tc>
          <w:tcPr>
            <w:tcW w:w="5125" w:type="dxa"/>
            <w:tcBorders>
              <w:top w:val="nil"/>
              <w:left w:val="nil"/>
              <w:bottom w:val="nil"/>
              <w:right w:val="nil"/>
            </w:tcBorders>
            <w:shd w:val="clear" w:color="auto" w:fill="auto"/>
            <w:noWrap/>
            <w:vAlign w:val="center"/>
            <w:hideMark/>
          </w:tcPr>
          <w:p w14:paraId="24F48F7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Cash flows from financing activities</w:t>
            </w:r>
          </w:p>
        </w:tc>
        <w:tc>
          <w:tcPr>
            <w:tcW w:w="702" w:type="dxa"/>
            <w:tcBorders>
              <w:top w:val="nil"/>
              <w:left w:val="nil"/>
              <w:bottom w:val="nil"/>
              <w:right w:val="nil"/>
            </w:tcBorders>
            <w:shd w:val="clear" w:color="auto" w:fill="auto"/>
            <w:noWrap/>
            <w:vAlign w:val="bottom"/>
            <w:hideMark/>
          </w:tcPr>
          <w:p w14:paraId="552F85A4"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508" w:type="dxa"/>
            <w:tcBorders>
              <w:top w:val="nil"/>
              <w:left w:val="nil"/>
              <w:bottom w:val="nil"/>
              <w:right w:val="nil"/>
            </w:tcBorders>
            <w:shd w:val="clear" w:color="auto" w:fill="auto"/>
            <w:noWrap/>
            <w:vAlign w:val="bottom"/>
          </w:tcPr>
          <w:p w14:paraId="1B26C922" w14:textId="77777777" w:rsidR="005C5CED" w:rsidRPr="005C5CED" w:rsidRDefault="005C5CED" w:rsidP="005C5CED">
            <w:pPr>
              <w:spacing w:after="0" w:line="240" w:lineRule="auto"/>
              <w:jc w:val="right"/>
              <w:rPr>
                <w:rFonts w:eastAsia="Times New Roman" w:cs="Arial"/>
                <w:color w:val="auto"/>
                <w:szCs w:val="20"/>
                <w:lang w:eastAsia="en-AU"/>
              </w:rPr>
            </w:pPr>
          </w:p>
        </w:tc>
        <w:tc>
          <w:tcPr>
            <w:tcW w:w="1486" w:type="dxa"/>
            <w:tcBorders>
              <w:top w:val="nil"/>
              <w:left w:val="nil"/>
              <w:bottom w:val="nil"/>
              <w:right w:val="nil"/>
            </w:tcBorders>
            <w:shd w:val="clear" w:color="000000" w:fill="E7E6E6"/>
            <w:noWrap/>
            <w:vAlign w:val="bottom"/>
            <w:hideMark/>
          </w:tcPr>
          <w:p w14:paraId="39FEEE0D"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2BAF3D1F" w14:textId="77777777" w:rsidTr="00D12B52">
        <w:trPr>
          <w:trHeight w:val="287"/>
        </w:trPr>
        <w:tc>
          <w:tcPr>
            <w:tcW w:w="5125" w:type="dxa"/>
            <w:tcBorders>
              <w:top w:val="nil"/>
              <w:left w:val="nil"/>
              <w:bottom w:val="nil"/>
              <w:right w:val="nil"/>
            </w:tcBorders>
            <w:shd w:val="clear" w:color="auto" w:fill="auto"/>
            <w:noWrap/>
            <w:vAlign w:val="center"/>
            <w:hideMark/>
          </w:tcPr>
          <w:p w14:paraId="708458A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Repayment of borrowings and principal portion of lease liabilities</w:t>
            </w:r>
          </w:p>
        </w:tc>
        <w:tc>
          <w:tcPr>
            <w:tcW w:w="702" w:type="dxa"/>
            <w:tcBorders>
              <w:top w:val="nil"/>
              <w:left w:val="nil"/>
              <w:bottom w:val="nil"/>
              <w:right w:val="nil"/>
            </w:tcBorders>
            <w:shd w:val="clear" w:color="auto" w:fill="auto"/>
            <w:noWrap/>
            <w:vAlign w:val="bottom"/>
            <w:hideMark/>
          </w:tcPr>
          <w:p w14:paraId="204B1ED2" w14:textId="77777777" w:rsidR="005C5CED" w:rsidRPr="005C5CED" w:rsidRDefault="005C5CED" w:rsidP="005C5CED">
            <w:pPr>
              <w:spacing w:after="0" w:line="240" w:lineRule="auto"/>
              <w:rPr>
                <w:rFonts w:eastAsia="Times New Roman" w:cs="Arial"/>
                <w:color w:val="auto"/>
                <w:sz w:val="16"/>
                <w:szCs w:val="16"/>
                <w:lang w:eastAsia="en-AU"/>
              </w:rPr>
            </w:pPr>
          </w:p>
        </w:tc>
        <w:tc>
          <w:tcPr>
            <w:tcW w:w="1508" w:type="dxa"/>
            <w:tcBorders>
              <w:top w:val="nil"/>
              <w:left w:val="nil"/>
              <w:bottom w:val="nil"/>
              <w:right w:val="nil"/>
            </w:tcBorders>
            <w:shd w:val="clear" w:color="auto" w:fill="auto"/>
            <w:noWrap/>
            <w:vAlign w:val="bottom"/>
          </w:tcPr>
          <w:p w14:paraId="7CEA31D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(1,456)</w:t>
            </w:r>
          </w:p>
        </w:tc>
        <w:tc>
          <w:tcPr>
            <w:tcW w:w="1486" w:type="dxa"/>
            <w:tcBorders>
              <w:top w:val="nil"/>
              <w:left w:val="nil"/>
              <w:bottom w:val="nil"/>
              <w:right w:val="nil"/>
            </w:tcBorders>
            <w:shd w:val="clear" w:color="000000" w:fill="E7E6E6"/>
            <w:noWrap/>
            <w:vAlign w:val="bottom"/>
            <w:hideMark/>
          </w:tcPr>
          <w:p w14:paraId="3F86A68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(1,362)</w:t>
            </w:r>
          </w:p>
        </w:tc>
      </w:tr>
      <w:tr w:rsidR="005C5CED" w:rsidRPr="005C5CED" w14:paraId="17E72947" w14:textId="77777777" w:rsidTr="00D12B52">
        <w:trPr>
          <w:trHeight w:val="287"/>
        </w:trPr>
        <w:tc>
          <w:tcPr>
            <w:tcW w:w="5125" w:type="dxa"/>
            <w:tcBorders>
              <w:top w:val="single" w:sz="4" w:space="0" w:color="auto"/>
              <w:left w:val="nil"/>
              <w:bottom w:val="single" w:sz="4" w:space="0" w:color="auto"/>
              <w:right w:val="nil"/>
            </w:tcBorders>
            <w:shd w:val="clear" w:color="auto" w:fill="auto"/>
            <w:noWrap/>
            <w:vAlign w:val="center"/>
            <w:hideMark/>
          </w:tcPr>
          <w:p w14:paraId="7CC88AF3"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cash flows from / (used in) financing activities</w:t>
            </w:r>
          </w:p>
        </w:tc>
        <w:tc>
          <w:tcPr>
            <w:tcW w:w="702" w:type="dxa"/>
            <w:tcBorders>
              <w:top w:val="single" w:sz="4" w:space="0" w:color="auto"/>
              <w:left w:val="nil"/>
              <w:bottom w:val="single" w:sz="4" w:space="0" w:color="auto"/>
              <w:right w:val="nil"/>
            </w:tcBorders>
            <w:shd w:val="clear" w:color="auto" w:fill="auto"/>
            <w:noWrap/>
            <w:vAlign w:val="bottom"/>
            <w:hideMark/>
          </w:tcPr>
          <w:p w14:paraId="3487916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08" w:type="dxa"/>
            <w:tcBorders>
              <w:top w:val="single" w:sz="4" w:space="0" w:color="auto"/>
              <w:left w:val="nil"/>
              <w:bottom w:val="nil"/>
              <w:right w:val="nil"/>
            </w:tcBorders>
            <w:shd w:val="clear" w:color="auto" w:fill="auto"/>
            <w:noWrap/>
            <w:vAlign w:val="bottom"/>
          </w:tcPr>
          <w:p w14:paraId="4FE2D3E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(1,456)</w:t>
            </w:r>
          </w:p>
        </w:tc>
        <w:tc>
          <w:tcPr>
            <w:tcW w:w="1486" w:type="dxa"/>
            <w:tcBorders>
              <w:top w:val="single" w:sz="4" w:space="0" w:color="auto"/>
              <w:left w:val="nil"/>
              <w:bottom w:val="nil"/>
              <w:right w:val="nil"/>
            </w:tcBorders>
            <w:shd w:val="clear" w:color="000000" w:fill="E7E6E6"/>
            <w:noWrap/>
            <w:vAlign w:val="bottom"/>
            <w:hideMark/>
          </w:tcPr>
          <w:p w14:paraId="4BE7D51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(1,362)</w:t>
            </w:r>
          </w:p>
        </w:tc>
      </w:tr>
      <w:tr w:rsidR="005C5CED" w:rsidRPr="005C5CED" w14:paraId="2497D170" w14:textId="77777777" w:rsidTr="00D12B52">
        <w:trPr>
          <w:trHeight w:val="287"/>
        </w:trPr>
        <w:tc>
          <w:tcPr>
            <w:tcW w:w="5125" w:type="dxa"/>
            <w:tcBorders>
              <w:top w:val="nil"/>
              <w:left w:val="nil"/>
              <w:bottom w:val="single" w:sz="8" w:space="0" w:color="auto"/>
              <w:right w:val="nil"/>
            </w:tcBorders>
            <w:shd w:val="clear" w:color="auto" w:fill="auto"/>
            <w:noWrap/>
            <w:vAlign w:val="center"/>
            <w:hideMark/>
          </w:tcPr>
          <w:p w14:paraId="1A2752A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increase / (decrease) in cash and cash equivalents</w:t>
            </w:r>
          </w:p>
        </w:tc>
        <w:tc>
          <w:tcPr>
            <w:tcW w:w="702" w:type="dxa"/>
            <w:tcBorders>
              <w:top w:val="nil"/>
              <w:left w:val="nil"/>
              <w:bottom w:val="single" w:sz="8" w:space="0" w:color="auto"/>
              <w:right w:val="nil"/>
            </w:tcBorders>
            <w:shd w:val="clear" w:color="auto" w:fill="auto"/>
            <w:noWrap/>
            <w:vAlign w:val="bottom"/>
            <w:hideMark/>
          </w:tcPr>
          <w:p w14:paraId="719B6E11"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08" w:type="dxa"/>
            <w:tcBorders>
              <w:top w:val="single" w:sz="4" w:space="0" w:color="auto"/>
              <w:left w:val="nil"/>
              <w:bottom w:val="single" w:sz="8" w:space="0" w:color="auto"/>
              <w:right w:val="nil"/>
            </w:tcBorders>
            <w:shd w:val="clear" w:color="auto" w:fill="auto"/>
            <w:noWrap/>
            <w:vAlign w:val="bottom"/>
          </w:tcPr>
          <w:p w14:paraId="72DA7D5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8,108</w:t>
            </w:r>
          </w:p>
        </w:tc>
        <w:tc>
          <w:tcPr>
            <w:tcW w:w="1486" w:type="dxa"/>
            <w:tcBorders>
              <w:top w:val="single" w:sz="4" w:space="0" w:color="auto"/>
              <w:left w:val="nil"/>
              <w:bottom w:val="single" w:sz="8" w:space="0" w:color="auto"/>
              <w:right w:val="nil"/>
            </w:tcBorders>
            <w:shd w:val="clear" w:color="000000" w:fill="E7E6E6"/>
            <w:noWrap/>
            <w:vAlign w:val="bottom"/>
            <w:hideMark/>
          </w:tcPr>
          <w:p w14:paraId="4307FD9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(20,569)</w:t>
            </w:r>
          </w:p>
        </w:tc>
      </w:tr>
      <w:tr w:rsidR="005C5CED" w:rsidRPr="005C5CED" w14:paraId="7F2B394F" w14:textId="77777777" w:rsidTr="00D12B52">
        <w:trPr>
          <w:trHeight w:val="287"/>
        </w:trPr>
        <w:tc>
          <w:tcPr>
            <w:tcW w:w="5125" w:type="dxa"/>
            <w:tcBorders>
              <w:top w:val="nil"/>
              <w:left w:val="nil"/>
              <w:bottom w:val="single" w:sz="4" w:space="0" w:color="auto"/>
              <w:right w:val="nil"/>
            </w:tcBorders>
            <w:shd w:val="clear" w:color="auto" w:fill="auto"/>
            <w:noWrap/>
            <w:vAlign w:val="center"/>
            <w:hideMark/>
          </w:tcPr>
          <w:p w14:paraId="6F4A71C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Cash and cash equivalents at the beginning of the financial year</w:t>
            </w:r>
          </w:p>
        </w:tc>
        <w:tc>
          <w:tcPr>
            <w:tcW w:w="702" w:type="dxa"/>
            <w:tcBorders>
              <w:top w:val="nil"/>
              <w:left w:val="nil"/>
              <w:bottom w:val="single" w:sz="4" w:space="0" w:color="auto"/>
              <w:right w:val="nil"/>
            </w:tcBorders>
            <w:shd w:val="clear" w:color="auto" w:fill="auto"/>
            <w:noWrap/>
            <w:vAlign w:val="bottom"/>
            <w:hideMark/>
          </w:tcPr>
          <w:p w14:paraId="15FBD30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508" w:type="dxa"/>
            <w:tcBorders>
              <w:top w:val="nil"/>
              <w:left w:val="nil"/>
              <w:bottom w:val="nil"/>
              <w:right w:val="nil"/>
            </w:tcBorders>
            <w:shd w:val="clear" w:color="auto" w:fill="auto"/>
            <w:noWrap/>
            <w:vAlign w:val="bottom"/>
          </w:tcPr>
          <w:p w14:paraId="78DCB25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71,033</w:t>
            </w:r>
          </w:p>
        </w:tc>
        <w:tc>
          <w:tcPr>
            <w:tcW w:w="1486" w:type="dxa"/>
            <w:tcBorders>
              <w:top w:val="nil"/>
              <w:left w:val="nil"/>
              <w:bottom w:val="nil"/>
              <w:right w:val="nil"/>
            </w:tcBorders>
            <w:shd w:val="clear" w:color="000000" w:fill="E7E6E6"/>
            <w:noWrap/>
            <w:vAlign w:val="bottom"/>
            <w:hideMark/>
          </w:tcPr>
          <w:p w14:paraId="45B3009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91,602</w:t>
            </w:r>
          </w:p>
        </w:tc>
      </w:tr>
      <w:tr w:rsidR="005C5CED" w:rsidRPr="005C5CED" w14:paraId="5F9D85ED" w14:textId="77777777" w:rsidTr="00D12B52">
        <w:trPr>
          <w:trHeight w:val="287"/>
        </w:trPr>
        <w:tc>
          <w:tcPr>
            <w:tcW w:w="5125" w:type="dxa"/>
            <w:tcBorders>
              <w:top w:val="nil"/>
              <w:left w:val="nil"/>
              <w:bottom w:val="single" w:sz="4" w:space="0" w:color="auto"/>
              <w:right w:val="nil"/>
            </w:tcBorders>
            <w:shd w:val="clear" w:color="auto" w:fill="auto"/>
            <w:noWrap/>
            <w:vAlign w:val="center"/>
            <w:hideMark/>
          </w:tcPr>
          <w:p w14:paraId="3842875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Cash and cash equivalents at the end of the financial year</w:t>
            </w:r>
          </w:p>
        </w:tc>
        <w:tc>
          <w:tcPr>
            <w:tcW w:w="702" w:type="dxa"/>
            <w:tcBorders>
              <w:top w:val="nil"/>
              <w:left w:val="nil"/>
              <w:bottom w:val="single" w:sz="4" w:space="0" w:color="auto"/>
              <w:right w:val="nil"/>
            </w:tcBorders>
            <w:shd w:val="clear" w:color="auto" w:fill="auto"/>
            <w:noWrap/>
            <w:vAlign w:val="bottom"/>
            <w:hideMark/>
          </w:tcPr>
          <w:p w14:paraId="6B4E96A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6.3</w:t>
            </w:r>
          </w:p>
        </w:tc>
        <w:tc>
          <w:tcPr>
            <w:tcW w:w="1508" w:type="dxa"/>
            <w:tcBorders>
              <w:top w:val="single" w:sz="4" w:space="0" w:color="auto"/>
              <w:left w:val="nil"/>
              <w:bottom w:val="single" w:sz="4" w:space="0" w:color="auto"/>
              <w:right w:val="nil"/>
            </w:tcBorders>
            <w:shd w:val="clear" w:color="auto" w:fill="auto"/>
            <w:noWrap/>
            <w:vAlign w:val="bottom"/>
          </w:tcPr>
          <w:p w14:paraId="40F574A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79,141</w:t>
            </w:r>
          </w:p>
        </w:tc>
        <w:tc>
          <w:tcPr>
            <w:tcW w:w="1486" w:type="dxa"/>
            <w:tcBorders>
              <w:top w:val="single" w:sz="4" w:space="0" w:color="auto"/>
              <w:left w:val="nil"/>
              <w:bottom w:val="single" w:sz="4" w:space="0" w:color="auto"/>
              <w:right w:val="nil"/>
            </w:tcBorders>
            <w:shd w:val="clear" w:color="000000" w:fill="E7E6E6"/>
            <w:noWrap/>
            <w:vAlign w:val="bottom"/>
            <w:hideMark/>
          </w:tcPr>
          <w:p w14:paraId="238926A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71,033</w:t>
            </w:r>
          </w:p>
        </w:tc>
      </w:tr>
    </w:tbl>
    <w:p w14:paraId="3927AF16" w14:textId="77777777" w:rsidR="005C5CED" w:rsidRPr="005C5CED" w:rsidRDefault="005C5CED" w:rsidP="005C5CED">
      <w:pPr>
        <w:spacing w:after="0" w:line="240" w:lineRule="auto"/>
        <w:rPr>
          <w:rFonts w:eastAsia="Times New Roman" w:cs="Arial"/>
          <w:color w:val="auto"/>
          <w:sz w:val="16"/>
          <w:szCs w:val="16"/>
          <w:lang w:eastAsia="en-AU"/>
        </w:rPr>
      </w:pPr>
    </w:p>
    <w:p w14:paraId="4274BE9A" w14:textId="77777777" w:rsidR="005C5CED" w:rsidRPr="005C5CED" w:rsidRDefault="005C5CED" w:rsidP="005C5CED">
      <w:pPr>
        <w:spacing w:line="259" w:lineRule="auto"/>
        <w:rPr>
          <w:rFonts w:eastAsia="Calibri" w:cs="Arial"/>
          <w:color w:val="auto"/>
          <w:sz w:val="16"/>
          <w:szCs w:val="20"/>
          <w:lang w:eastAsia="en-AU"/>
        </w:rPr>
      </w:pPr>
      <w:r w:rsidRPr="005C5CED">
        <w:rPr>
          <w:rFonts w:eastAsia="Calibri" w:cs="Arial"/>
          <w:color w:val="auto"/>
          <w:sz w:val="16"/>
          <w:szCs w:val="20"/>
          <w:lang w:eastAsia="en-AU"/>
        </w:rPr>
        <w:t>The accompanying notes form part of these financial statements.</w:t>
      </w:r>
    </w:p>
    <w:p w14:paraId="13C0EB18" w14:textId="77777777" w:rsidR="005C5CED" w:rsidRPr="005C5CED" w:rsidRDefault="005C5CED" w:rsidP="005C5CED">
      <w:pPr>
        <w:spacing w:line="259" w:lineRule="auto"/>
        <w:rPr>
          <w:rFonts w:eastAsia="Times New Roman" w:cs="Arial"/>
          <w:color w:val="auto"/>
          <w:sz w:val="16"/>
          <w:szCs w:val="16"/>
          <w:lang w:eastAsia="en-AU"/>
        </w:rPr>
      </w:pPr>
    </w:p>
    <w:p w14:paraId="6B07C6B1"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Notes: </w:t>
      </w:r>
      <w:r w:rsidRPr="005C5CED">
        <w:rPr>
          <w:rFonts w:eastAsia="Calibri" w:cs="Arial"/>
          <w:color w:val="auto"/>
          <w:sz w:val="16"/>
          <w:szCs w:val="20"/>
        </w:rPr>
        <w:tab/>
      </w:r>
    </w:p>
    <w:p w14:paraId="245E5F60"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(a) This format is aligned to AASB 1049 </w:t>
      </w:r>
      <w:r w:rsidRPr="005C5CED">
        <w:rPr>
          <w:rFonts w:eastAsia="Calibri" w:cs="Arial"/>
          <w:i/>
          <w:iCs/>
          <w:color w:val="auto"/>
          <w:sz w:val="16"/>
          <w:szCs w:val="20"/>
        </w:rPr>
        <w:t>Whole of Government and General Government Sector Financial Reporting</w:t>
      </w:r>
      <w:r w:rsidRPr="005C5CED">
        <w:rPr>
          <w:rFonts w:eastAsia="Calibri" w:cs="Arial"/>
          <w:color w:val="auto"/>
          <w:sz w:val="16"/>
          <w:szCs w:val="20"/>
        </w:rPr>
        <w:t>.</w:t>
      </w:r>
    </w:p>
    <w:p w14:paraId="537DAF14"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(b) GST recovered from the Australian Taxation Office is presented on a net basis.</w:t>
      </w:r>
    </w:p>
    <w:p w14:paraId="17B27DDE" w14:textId="77777777" w:rsidR="005C5CED" w:rsidRPr="005C5CED" w:rsidRDefault="005C5CED" w:rsidP="005C5CED">
      <w:pPr>
        <w:spacing w:after="60" w:line="259" w:lineRule="auto"/>
        <w:rPr>
          <w:rFonts w:eastAsia="Calibri" w:cs="Arial"/>
          <w:color w:val="auto"/>
          <w:sz w:val="16"/>
          <w:szCs w:val="16"/>
        </w:rPr>
      </w:pPr>
      <w:r w:rsidRPr="005C5CED">
        <w:rPr>
          <w:rFonts w:eastAsia="Calibri" w:cs="Arial"/>
          <w:color w:val="auto"/>
          <w:sz w:val="16"/>
          <w:szCs w:val="16"/>
        </w:rPr>
        <w:br w:type="page"/>
      </w:r>
    </w:p>
    <w:p w14:paraId="35935AD5" w14:textId="77777777" w:rsidR="005C5CED" w:rsidRPr="005C5CED" w:rsidRDefault="005C5CED" w:rsidP="005C5CED">
      <w:pPr>
        <w:keepNext/>
        <w:keepLines/>
        <w:spacing w:before="360" w:after="100" w:line="240" w:lineRule="auto"/>
        <w:outlineLvl w:val="1"/>
        <w:rPr>
          <w:rFonts w:eastAsia="Yu Gothic Light" w:cs="Times New Roman"/>
          <w:b/>
          <w:bCs/>
          <w:color w:val="174F37"/>
          <w:sz w:val="34"/>
          <w:szCs w:val="34"/>
          <w:lang w:eastAsia="en-AU"/>
        </w:rPr>
      </w:pPr>
      <w:r w:rsidRPr="005C5CED">
        <w:rPr>
          <w:rFonts w:eastAsia="Yu Gothic Light" w:cs="Times New Roman"/>
          <w:b/>
          <w:bCs/>
          <w:color w:val="174F37"/>
          <w:sz w:val="34"/>
          <w:szCs w:val="34"/>
          <w:lang w:eastAsia="en-AU"/>
        </w:rPr>
        <w:lastRenderedPageBreak/>
        <w:t>Statement of Changes in Equity</w:t>
      </w:r>
      <w:r w:rsidRPr="005C5CED">
        <w:rPr>
          <w:rFonts w:eastAsia="Yu Gothic Light" w:cs="Times New Roman"/>
          <w:b/>
          <w:bCs/>
          <w:color w:val="174F37"/>
          <w:sz w:val="34"/>
          <w:szCs w:val="34"/>
          <w:vertAlign w:val="superscript"/>
          <w:lang w:eastAsia="en-AU"/>
        </w:rPr>
        <w:t xml:space="preserve"> </w:t>
      </w:r>
      <w:r w:rsidRPr="005C5CED">
        <w:rPr>
          <w:rFonts w:eastAsia="Yu Gothic Light" w:cs="Times New Roman"/>
          <w:b/>
          <w:bCs/>
          <w:color w:val="174F37"/>
          <w:sz w:val="34"/>
          <w:szCs w:val="34"/>
          <w:lang w:eastAsia="en-AU"/>
        </w:rPr>
        <w:t>(a)</w:t>
      </w:r>
    </w:p>
    <w:p w14:paraId="71106528" w14:textId="77777777" w:rsidR="005C5CED" w:rsidRPr="005C5CED" w:rsidRDefault="005C5CED" w:rsidP="005C5CED">
      <w:pPr>
        <w:spacing w:line="259" w:lineRule="auto"/>
        <w:rPr>
          <w:rFonts w:eastAsia="Calibri" w:cs="Arial"/>
          <w:b/>
          <w:bCs/>
          <w:color w:val="auto"/>
          <w:sz w:val="22"/>
        </w:rPr>
      </w:pPr>
      <w:r w:rsidRPr="005C5CED">
        <w:rPr>
          <w:rFonts w:eastAsia="Calibri" w:cs="Arial"/>
          <w:b/>
          <w:bCs/>
          <w:color w:val="auto"/>
          <w:sz w:val="22"/>
        </w:rPr>
        <w:t>For the financial year ended 30 June 2024</w:t>
      </w:r>
    </w:p>
    <w:p w14:paraId="1D05B030" w14:textId="77777777" w:rsidR="005C5CED" w:rsidRPr="005C5CED" w:rsidRDefault="005C5CED" w:rsidP="005C5CED">
      <w:pPr>
        <w:spacing w:after="60" w:line="259" w:lineRule="auto"/>
        <w:rPr>
          <w:rFonts w:eastAsia="Calibri" w:cs="Arial"/>
          <w:color w:val="auto"/>
          <w:sz w:val="16"/>
          <w:szCs w:val="16"/>
        </w:rPr>
      </w:pPr>
    </w:p>
    <w:tbl>
      <w:tblPr>
        <w:tblW w:w="8118" w:type="dxa"/>
        <w:tblLook w:val="04A0" w:firstRow="1" w:lastRow="0" w:firstColumn="1" w:lastColumn="0" w:noHBand="0" w:noVBand="1"/>
      </w:tblPr>
      <w:tblGrid>
        <w:gridCol w:w="2330"/>
        <w:gridCol w:w="2676"/>
        <w:gridCol w:w="1916"/>
        <w:gridCol w:w="1196"/>
      </w:tblGrid>
      <w:tr w:rsidR="005C5CED" w:rsidRPr="005C5CED" w14:paraId="4F7C1EDC" w14:textId="77777777" w:rsidTr="0062462F">
        <w:trPr>
          <w:trHeight w:val="225"/>
        </w:trPr>
        <w:tc>
          <w:tcPr>
            <w:tcW w:w="2330" w:type="dxa"/>
            <w:tcBorders>
              <w:top w:val="single" w:sz="4" w:space="0" w:color="auto"/>
              <w:left w:val="nil"/>
              <w:bottom w:val="nil"/>
              <w:right w:val="nil"/>
            </w:tcBorders>
            <w:shd w:val="clear" w:color="000000" w:fill="000000"/>
            <w:noWrap/>
            <w:vAlign w:val="bottom"/>
            <w:hideMark/>
          </w:tcPr>
          <w:p w14:paraId="7E44D044"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676" w:type="dxa"/>
            <w:tcBorders>
              <w:top w:val="single" w:sz="4" w:space="0" w:color="auto"/>
              <w:left w:val="nil"/>
              <w:bottom w:val="nil"/>
              <w:right w:val="nil"/>
            </w:tcBorders>
            <w:shd w:val="clear" w:color="000000" w:fill="000000"/>
            <w:noWrap/>
            <w:vAlign w:val="bottom"/>
            <w:hideMark/>
          </w:tcPr>
          <w:p w14:paraId="30F6AEB3"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Accumulated surplus/ (deficit)</w:t>
            </w:r>
          </w:p>
        </w:tc>
        <w:tc>
          <w:tcPr>
            <w:tcW w:w="1916" w:type="dxa"/>
            <w:tcBorders>
              <w:top w:val="single" w:sz="4" w:space="0" w:color="auto"/>
              <w:left w:val="nil"/>
              <w:bottom w:val="nil"/>
              <w:right w:val="nil"/>
            </w:tcBorders>
            <w:shd w:val="clear" w:color="000000" w:fill="000000"/>
            <w:noWrap/>
            <w:vAlign w:val="bottom"/>
            <w:hideMark/>
          </w:tcPr>
          <w:p w14:paraId="0298D56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Contributed capital</w:t>
            </w:r>
          </w:p>
        </w:tc>
        <w:tc>
          <w:tcPr>
            <w:tcW w:w="1196" w:type="dxa"/>
            <w:tcBorders>
              <w:top w:val="single" w:sz="4" w:space="0" w:color="auto"/>
              <w:left w:val="nil"/>
              <w:bottom w:val="nil"/>
              <w:right w:val="nil"/>
            </w:tcBorders>
            <w:shd w:val="clear" w:color="000000" w:fill="000000"/>
            <w:noWrap/>
            <w:vAlign w:val="bottom"/>
            <w:hideMark/>
          </w:tcPr>
          <w:p w14:paraId="3C3EC79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Total</w:t>
            </w:r>
          </w:p>
        </w:tc>
      </w:tr>
      <w:tr w:rsidR="005C5CED" w:rsidRPr="005C5CED" w14:paraId="6759FBBD" w14:textId="77777777" w:rsidTr="0062462F">
        <w:trPr>
          <w:trHeight w:val="225"/>
        </w:trPr>
        <w:tc>
          <w:tcPr>
            <w:tcW w:w="2330" w:type="dxa"/>
            <w:tcBorders>
              <w:top w:val="nil"/>
              <w:left w:val="nil"/>
              <w:bottom w:val="single" w:sz="4" w:space="0" w:color="auto"/>
              <w:right w:val="nil"/>
            </w:tcBorders>
            <w:shd w:val="clear" w:color="000000" w:fill="000000"/>
            <w:noWrap/>
            <w:vAlign w:val="bottom"/>
            <w:hideMark/>
          </w:tcPr>
          <w:p w14:paraId="67B8CC70"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676" w:type="dxa"/>
            <w:tcBorders>
              <w:top w:val="nil"/>
              <w:left w:val="nil"/>
              <w:bottom w:val="single" w:sz="4" w:space="0" w:color="auto"/>
              <w:right w:val="nil"/>
            </w:tcBorders>
            <w:shd w:val="clear" w:color="000000" w:fill="000000"/>
            <w:noWrap/>
            <w:vAlign w:val="bottom"/>
            <w:hideMark/>
          </w:tcPr>
          <w:p w14:paraId="3787E1D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916" w:type="dxa"/>
            <w:tcBorders>
              <w:top w:val="nil"/>
              <w:left w:val="nil"/>
              <w:bottom w:val="single" w:sz="4" w:space="0" w:color="auto"/>
              <w:right w:val="nil"/>
            </w:tcBorders>
            <w:shd w:val="clear" w:color="000000" w:fill="000000"/>
            <w:noWrap/>
            <w:vAlign w:val="bottom"/>
            <w:hideMark/>
          </w:tcPr>
          <w:p w14:paraId="72EEF5CD"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96" w:type="dxa"/>
            <w:tcBorders>
              <w:top w:val="nil"/>
              <w:left w:val="nil"/>
              <w:bottom w:val="single" w:sz="4" w:space="0" w:color="auto"/>
              <w:right w:val="nil"/>
            </w:tcBorders>
            <w:shd w:val="clear" w:color="000000" w:fill="000000"/>
            <w:noWrap/>
            <w:vAlign w:val="bottom"/>
            <w:hideMark/>
          </w:tcPr>
          <w:p w14:paraId="5458A25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4F7AA245" w14:textId="77777777" w:rsidTr="0062462F">
        <w:trPr>
          <w:trHeight w:val="225"/>
        </w:trPr>
        <w:tc>
          <w:tcPr>
            <w:tcW w:w="2330" w:type="dxa"/>
            <w:tcBorders>
              <w:top w:val="nil"/>
              <w:left w:val="nil"/>
              <w:bottom w:val="single" w:sz="4" w:space="0" w:color="auto"/>
              <w:right w:val="nil"/>
            </w:tcBorders>
            <w:shd w:val="clear" w:color="auto" w:fill="auto"/>
            <w:noWrap/>
            <w:vAlign w:val="bottom"/>
            <w:hideMark/>
          </w:tcPr>
          <w:p w14:paraId="021B6AB7" w14:textId="77777777" w:rsidR="005C5CED" w:rsidRPr="005C5CED" w:rsidRDefault="005C5CED" w:rsidP="005C5CED">
            <w:pPr>
              <w:spacing w:after="0" w:line="240" w:lineRule="auto"/>
              <w:rPr>
                <w:rFonts w:eastAsia="Times New Roman" w:cs="Arial"/>
                <w:b/>
                <w:color w:val="auto"/>
                <w:sz w:val="16"/>
                <w:szCs w:val="16"/>
                <w:lang w:eastAsia="en-AU"/>
              </w:rPr>
            </w:pPr>
            <w:r w:rsidRPr="005C5CED">
              <w:rPr>
                <w:rFonts w:eastAsia="Times New Roman" w:cs="Arial"/>
                <w:b/>
                <w:color w:val="auto"/>
                <w:sz w:val="16"/>
                <w:szCs w:val="16"/>
                <w:lang w:eastAsia="en-AU"/>
              </w:rPr>
              <w:t xml:space="preserve">Balance </w:t>
            </w:r>
            <w:proofErr w:type="gramStart"/>
            <w:r w:rsidRPr="005C5CED">
              <w:rPr>
                <w:rFonts w:eastAsia="Times New Roman" w:cs="Arial"/>
                <w:b/>
                <w:color w:val="auto"/>
                <w:sz w:val="16"/>
                <w:szCs w:val="16"/>
                <w:lang w:eastAsia="en-AU"/>
              </w:rPr>
              <w:t>at</w:t>
            </w:r>
            <w:proofErr w:type="gramEnd"/>
            <w:r w:rsidRPr="005C5CED">
              <w:rPr>
                <w:rFonts w:eastAsia="Times New Roman" w:cs="Arial"/>
                <w:b/>
                <w:color w:val="auto"/>
                <w:sz w:val="16"/>
                <w:szCs w:val="16"/>
                <w:lang w:eastAsia="en-AU"/>
              </w:rPr>
              <w:t xml:space="preserve"> 01 July 2022</w:t>
            </w:r>
          </w:p>
        </w:tc>
        <w:tc>
          <w:tcPr>
            <w:tcW w:w="2676" w:type="dxa"/>
            <w:tcBorders>
              <w:top w:val="nil"/>
              <w:left w:val="nil"/>
              <w:bottom w:val="single" w:sz="4" w:space="0" w:color="auto"/>
              <w:right w:val="nil"/>
            </w:tcBorders>
            <w:shd w:val="clear" w:color="auto" w:fill="auto"/>
            <w:noWrap/>
            <w:vAlign w:val="center"/>
            <w:hideMark/>
          </w:tcPr>
          <w:p w14:paraId="70D994EB"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(3,</w:t>
            </w:r>
            <w:r w:rsidRPr="005C5CED">
              <w:rPr>
                <w:rFonts w:eastAsia="Times New Roman" w:cs="Arial"/>
                <w:b/>
                <w:bCs/>
                <w:color w:val="auto"/>
                <w:sz w:val="16"/>
                <w:szCs w:val="16"/>
                <w:lang w:eastAsia="en-AU"/>
              </w:rPr>
              <w:t>260</w:t>
            </w:r>
            <w:r w:rsidRPr="005C5CED">
              <w:rPr>
                <w:rFonts w:eastAsia="Times New Roman" w:cs="Arial"/>
                <w:b/>
                <w:color w:val="auto"/>
                <w:sz w:val="16"/>
                <w:szCs w:val="16"/>
                <w:lang w:eastAsia="en-AU"/>
              </w:rPr>
              <w:t>)</w:t>
            </w:r>
          </w:p>
        </w:tc>
        <w:tc>
          <w:tcPr>
            <w:tcW w:w="1916" w:type="dxa"/>
            <w:tcBorders>
              <w:top w:val="nil"/>
              <w:left w:val="nil"/>
              <w:bottom w:val="single" w:sz="4" w:space="0" w:color="auto"/>
              <w:right w:val="nil"/>
            </w:tcBorders>
            <w:shd w:val="clear" w:color="auto" w:fill="auto"/>
            <w:noWrap/>
            <w:vAlign w:val="center"/>
            <w:hideMark/>
          </w:tcPr>
          <w:p w14:paraId="6632DC2E"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25,996 </w:t>
            </w:r>
          </w:p>
        </w:tc>
        <w:tc>
          <w:tcPr>
            <w:tcW w:w="1196" w:type="dxa"/>
            <w:tcBorders>
              <w:top w:val="nil"/>
              <w:left w:val="nil"/>
              <w:bottom w:val="single" w:sz="4" w:space="0" w:color="auto"/>
              <w:right w:val="nil"/>
            </w:tcBorders>
            <w:shd w:val="clear" w:color="auto" w:fill="auto"/>
            <w:noWrap/>
            <w:vAlign w:val="center"/>
            <w:hideMark/>
          </w:tcPr>
          <w:p w14:paraId="4835B557"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w:t>
            </w:r>
            <w:r w:rsidRPr="005C5CED">
              <w:rPr>
                <w:rFonts w:eastAsia="Times New Roman" w:cs="Arial"/>
                <w:b/>
                <w:bCs/>
                <w:color w:val="auto"/>
                <w:sz w:val="16"/>
                <w:szCs w:val="16"/>
                <w:lang w:eastAsia="en-AU"/>
              </w:rPr>
              <w:t>22,736</w:t>
            </w:r>
            <w:r w:rsidRPr="005C5CED">
              <w:rPr>
                <w:rFonts w:eastAsia="Times New Roman" w:cs="Arial"/>
                <w:b/>
                <w:color w:val="auto"/>
                <w:sz w:val="16"/>
                <w:szCs w:val="16"/>
                <w:lang w:eastAsia="en-AU"/>
              </w:rPr>
              <w:t xml:space="preserve"> </w:t>
            </w:r>
          </w:p>
        </w:tc>
      </w:tr>
      <w:tr w:rsidR="005C5CED" w:rsidRPr="005C5CED" w14:paraId="6A49F2E6" w14:textId="77777777" w:rsidTr="0062462F">
        <w:trPr>
          <w:trHeight w:val="225"/>
        </w:trPr>
        <w:tc>
          <w:tcPr>
            <w:tcW w:w="2330" w:type="dxa"/>
            <w:tcBorders>
              <w:top w:val="nil"/>
              <w:left w:val="nil"/>
              <w:bottom w:val="single" w:sz="4" w:space="0" w:color="auto"/>
              <w:right w:val="nil"/>
            </w:tcBorders>
            <w:shd w:val="clear" w:color="auto" w:fill="auto"/>
            <w:noWrap/>
            <w:vAlign w:val="bottom"/>
            <w:hideMark/>
          </w:tcPr>
          <w:p w14:paraId="2EB01ED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Net surplus / (deficit) for the </w:t>
            </w:r>
            <w:r w:rsidRPr="005C5CED" w:rsidDel="008473A8">
              <w:rPr>
                <w:rFonts w:eastAsia="Times New Roman" w:cs="Arial"/>
                <w:color w:val="auto"/>
                <w:sz w:val="16"/>
                <w:szCs w:val="16"/>
                <w:lang w:eastAsia="en-AU"/>
              </w:rPr>
              <w:t>year</w:t>
            </w:r>
          </w:p>
        </w:tc>
        <w:tc>
          <w:tcPr>
            <w:tcW w:w="2676" w:type="dxa"/>
            <w:tcBorders>
              <w:top w:val="nil"/>
              <w:left w:val="nil"/>
              <w:bottom w:val="single" w:sz="4" w:space="0" w:color="auto"/>
              <w:right w:val="nil"/>
            </w:tcBorders>
            <w:shd w:val="clear" w:color="auto" w:fill="auto"/>
            <w:noWrap/>
            <w:vAlign w:val="center"/>
            <w:hideMark/>
          </w:tcPr>
          <w:p w14:paraId="359BD58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2,545</w:t>
            </w:r>
          </w:p>
        </w:tc>
        <w:tc>
          <w:tcPr>
            <w:tcW w:w="1916" w:type="dxa"/>
            <w:tcBorders>
              <w:top w:val="nil"/>
              <w:left w:val="nil"/>
              <w:bottom w:val="single" w:sz="4" w:space="0" w:color="auto"/>
              <w:right w:val="nil"/>
            </w:tcBorders>
            <w:shd w:val="clear" w:color="auto" w:fill="auto"/>
            <w:noWrap/>
            <w:vAlign w:val="center"/>
            <w:hideMark/>
          </w:tcPr>
          <w:p w14:paraId="365C6BF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w:t>
            </w:r>
          </w:p>
          <w:p w14:paraId="12A6081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96" w:type="dxa"/>
            <w:tcBorders>
              <w:top w:val="nil"/>
              <w:left w:val="nil"/>
              <w:bottom w:val="single" w:sz="4" w:space="0" w:color="auto"/>
              <w:right w:val="nil"/>
            </w:tcBorders>
            <w:shd w:val="clear" w:color="auto" w:fill="auto"/>
            <w:noWrap/>
            <w:vAlign w:val="center"/>
            <w:hideMark/>
          </w:tcPr>
          <w:p w14:paraId="0690564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2,545</w:t>
            </w:r>
          </w:p>
        </w:tc>
      </w:tr>
      <w:tr w:rsidR="005C5CED" w:rsidRPr="005C5CED" w14:paraId="52961D46" w14:textId="77777777" w:rsidTr="0062462F">
        <w:trPr>
          <w:trHeight w:val="342"/>
        </w:trPr>
        <w:tc>
          <w:tcPr>
            <w:tcW w:w="2330" w:type="dxa"/>
            <w:tcBorders>
              <w:top w:val="nil"/>
              <w:left w:val="nil"/>
              <w:bottom w:val="single" w:sz="4" w:space="0" w:color="auto"/>
              <w:right w:val="nil"/>
            </w:tcBorders>
            <w:shd w:val="clear" w:color="auto" w:fill="auto"/>
            <w:noWrap/>
            <w:vAlign w:val="center"/>
            <w:hideMark/>
          </w:tcPr>
          <w:p w14:paraId="31F841FD" w14:textId="77777777" w:rsidR="005C5CED" w:rsidRPr="005C5CED" w:rsidRDefault="005C5CED" w:rsidP="005C5CED">
            <w:pPr>
              <w:spacing w:after="0" w:line="240" w:lineRule="auto"/>
              <w:rPr>
                <w:rFonts w:eastAsia="Times New Roman" w:cs="Arial"/>
                <w:b/>
                <w:color w:val="auto"/>
                <w:sz w:val="16"/>
                <w:szCs w:val="16"/>
                <w:lang w:eastAsia="en-AU"/>
              </w:rPr>
            </w:pPr>
            <w:r w:rsidRPr="005C5CED">
              <w:rPr>
                <w:rFonts w:eastAsia="Times New Roman" w:cs="Arial"/>
                <w:b/>
                <w:color w:val="auto"/>
                <w:sz w:val="16"/>
                <w:szCs w:val="16"/>
                <w:lang w:eastAsia="en-AU"/>
              </w:rPr>
              <w:t xml:space="preserve">Balance </w:t>
            </w:r>
            <w:proofErr w:type="gramStart"/>
            <w:r w:rsidRPr="005C5CED">
              <w:rPr>
                <w:rFonts w:eastAsia="Times New Roman" w:cs="Arial"/>
                <w:b/>
                <w:color w:val="auto"/>
                <w:sz w:val="16"/>
                <w:szCs w:val="16"/>
                <w:lang w:eastAsia="en-AU"/>
              </w:rPr>
              <w:t>at</w:t>
            </w:r>
            <w:proofErr w:type="gramEnd"/>
            <w:r w:rsidRPr="005C5CED">
              <w:rPr>
                <w:rFonts w:eastAsia="Times New Roman" w:cs="Arial"/>
                <w:b/>
                <w:color w:val="auto"/>
                <w:sz w:val="16"/>
                <w:szCs w:val="16"/>
                <w:lang w:eastAsia="en-AU"/>
              </w:rPr>
              <w:t xml:space="preserve"> 30 June 2023</w:t>
            </w:r>
          </w:p>
        </w:tc>
        <w:tc>
          <w:tcPr>
            <w:tcW w:w="2676" w:type="dxa"/>
            <w:tcBorders>
              <w:top w:val="nil"/>
              <w:left w:val="nil"/>
              <w:bottom w:val="single" w:sz="4" w:space="0" w:color="auto"/>
              <w:right w:val="nil"/>
            </w:tcBorders>
            <w:shd w:val="clear" w:color="auto" w:fill="auto"/>
            <w:noWrap/>
            <w:vAlign w:val="center"/>
            <w:hideMark/>
          </w:tcPr>
          <w:p w14:paraId="1C0857FC"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w:t>
            </w:r>
          </w:p>
          <w:p w14:paraId="0724268F"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bCs/>
                <w:color w:val="auto"/>
                <w:sz w:val="16"/>
                <w:szCs w:val="16"/>
                <w:lang w:eastAsia="en-AU"/>
              </w:rPr>
              <w:t>(715)</w:t>
            </w:r>
          </w:p>
        </w:tc>
        <w:tc>
          <w:tcPr>
            <w:tcW w:w="1916" w:type="dxa"/>
            <w:tcBorders>
              <w:top w:val="nil"/>
              <w:left w:val="nil"/>
              <w:bottom w:val="single" w:sz="4" w:space="0" w:color="auto"/>
              <w:right w:val="nil"/>
            </w:tcBorders>
            <w:shd w:val="clear" w:color="auto" w:fill="auto"/>
            <w:noWrap/>
            <w:vAlign w:val="center"/>
            <w:hideMark/>
          </w:tcPr>
          <w:p w14:paraId="10E7DE6B"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25,996 </w:t>
            </w:r>
          </w:p>
        </w:tc>
        <w:tc>
          <w:tcPr>
            <w:tcW w:w="1196" w:type="dxa"/>
            <w:tcBorders>
              <w:top w:val="nil"/>
              <w:left w:val="nil"/>
              <w:bottom w:val="single" w:sz="4" w:space="0" w:color="auto"/>
              <w:right w:val="nil"/>
            </w:tcBorders>
            <w:shd w:val="clear" w:color="auto" w:fill="auto"/>
            <w:noWrap/>
            <w:vAlign w:val="center"/>
            <w:hideMark/>
          </w:tcPr>
          <w:p w14:paraId="2A4C77A1"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25,</w:t>
            </w:r>
            <w:r w:rsidRPr="005C5CED">
              <w:rPr>
                <w:rFonts w:eastAsia="Times New Roman" w:cs="Arial"/>
                <w:b/>
                <w:bCs/>
                <w:color w:val="auto"/>
                <w:sz w:val="16"/>
                <w:szCs w:val="16"/>
                <w:lang w:eastAsia="en-AU"/>
              </w:rPr>
              <w:t>281</w:t>
            </w:r>
            <w:r w:rsidRPr="005C5CED">
              <w:rPr>
                <w:rFonts w:eastAsia="Times New Roman" w:cs="Arial"/>
                <w:b/>
                <w:color w:val="auto"/>
                <w:sz w:val="16"/>
                <w:szCs w:val="16"/>
                <w:lang w:eastAsia="en-AU"/>
              </w:rPr>
              <w:t xml:space="preserve"> </w:t>
            </w:r>
          </w:p>
        </w:tc>
      </w:tr>
      <w:tr w:rsidR="005C5CED" w:rsidRPr="005C5CED" w14:paraId="17718BDF" w14:textId="77777777" w:rsidTr="0062462F">
        <w:trPr>
          <w:trHeight w:val="342"/>
        </w:trPr>
        <w:tc>
          <w:tcPr>
            <w:tcW w:w="2330" w:type="dxa"/>
            <w:tcBorders>
              <w:top w:val="nil"/>
              <w:left w:val="nil"/>
              <w:bottom w:val="nil"/>
              <w:right w:val="nil"/>
            </w:tcBorders>
            <w:shd w:val="clear" w:color="auto" w:fill="auto"/>
            <w:noWrap/>
            <w:vAlign w:val="center"/>
            <w:hideMark/>
          </w:tcPr>
          <w:p w14:paraId="63EDF2B3" w14:textId="77777777" w:rsidR="005C5CED" w:rsidRPr="005C5CED" w:rsidRDefault="005C5CED" w:rsidP="005C5CED">
            <w:pPr>
              <w:spacing w:after="0" w:line="240" w:lineRule="auto"/>
              <w:rPr>
                <w:rFonts w:eastAsia="Times New Roman" w:cs="Arial"/>
                <w:b/>
                <w:color w:val="auto"/>
                <w:sz w:val="16"/>
                <w:szCs w:val="16"/>
                <w:lang w:eastAsia="en-AU"/>
              </w:rPr>
            </w:pPr>
            <w:r w:rsidRPr="005C5CED">
              <w:rPr>
                <w:rFonts w:eastAsia="Times New Roman" w:cs="Arial"/>
                <w:b/>
                <w:color w:val="auto"/>
                <w:sz w:val="16"/>
                <w:szCs w:val="16"/>
                <w:lang w:eastAsia="en-AU"/>
              </w:rPr>
              <w:t xml:space="preserve">Balance </w:t>
            </w:r>
            <w:proofErr w:type="gramStart"/>
            <w:r w:rsidRPr="005C5CED">
              <w:rPr>
                <w:rFonts w:eastAsia="Times New Roman" w:cs="Arial"/>
                <w:b/>
                <w:color w:val="auto"/>
                <w:sz w:val="16"/>
                <w:szCs w:val="16"/>
                <w:lang w:eastAsia="en-AU"/>
              </w:rPr>
              <w:t>at</w:t>
            </w:r>
            <w:proofErr w:type="gramEnd"/>
            <w:r w:rsidRPr="005C5CED">
              <w:rPr>
                <w:rFonts w:eastAsia="Times New Roman" w:cs="Arial"/>
                <w:b/>
                <w:color w:val="auto"/>
                <w:sz w:val="16"/>
                <w:szCs w:val="16"/>
                <w:lang w:eastAsia="en-AU"/>
              </w:rPr>
              <w:t xml:space="preserve"> 01 July 2023</w:t>
            </w:r>
          </w:p>
        </w:tc>
        <w:tc>
          <w:tcPr>
            <w:tcW w:w="2676" w:type="dxa"/>
            <w:tcBorders>
              <w:top w:val="nil"/>
              <w:left w:val="nil"/>
              <w:bottom w:val="nil"/>
              <w:right w:val="nil"/>
            </w:tcBorders>
            <w:shd w:val="clear" w:color="auto" w:fill="auto"/>
            <w:noWrap/>
            <w:vAlign w:val="center"/>
            <w:hideMark/>
          </w:tcPr>
          <w:p w14:paraId="3A84A8ED"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w:t>
            </w:r>
          </w:p>
          <w:p w14:paraId="0E515528"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bCs/>
                <w:color w:val="auto"/>
                <w:sz w:val="16"/>
                <w:szCs w:val="16"/>
                <w:lang w:eastAsia="en-AU"/>
              </w:rPr>
              <w:t>(715)</w:t>
            </w:r>
          </w:p>
        </w:tc>
        <w:tc>
          <w:tcPr>
            <w:tcW w:w="1916" w:type="dxa"/>
            <w:tcBorders>
              <w:top w:val="nil"/>
              <w:left w:val="nil"/>
              <w:bottom w:val="nil"/>
              <w:right w:val="nil"/>
            </w:tcBorders>
            <w:shd w:val="clear" w:color="auto" w:fill="auto"/>
            <w:noWrap/>
            <w:vAlign w:val="center"/>
            <w:hideMark/>
          </w:tcPr>
          <w:p w14:paraId="613C96D4"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25,996 </w:t>
            </w:r>
          </w:p>
        </w:tc>
        <w:tc>
          <w:tcPr>
            <w:tcW w:w="1196" w:type="dxa"/>
            <w:tcBorders>
              <w:top w:val="nil"/>
              <w:left w:val="nil"/>
              <w:bottom w:val="nil"/>
              <w:right w:val="nil"/>
            </w:tcBorders>
            <w:shd w:val="clear" w:color="auto" w:fill="auto"/>
            <w:noWrap/>
            <w:vAlign w:val="center"/>
            <w:hideMark/>
          </w:tcPr>
          <w:p w14:paraId="6C731ECD"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w:t>
            </w:r>
            <w:r w:rsidRPr="005C5CED">
              <w:rPr>
                <w:rFonts w:eastAsia="Times New Roman" w:cs="Arial"/>
                <w:b/>
                <w:bCs/>
                <w:color w:val="auto"/>
                <w:sz w:val="16"/>
                <w:szCs w:val="16"/>
                <w:lang w:eastAsia="en-AU"/>
              </w:rPr>
              <w:t>25,281</w:t>
            </w:r>
            <w:r w:rsidRPr="005C5CED">
              <w:rPr>
                <w:rFonts w:eastAsia="Times New Roman" w:cs="Arial"/>
                <w:b/>
                <w:color w:val="auto"/>
                <w:sz w:val="16"/>
                <w:szCs w:val="16"/>
                <w:lang w:eastAsia="en-AU"/>
              </w:rPr>
              <w:t xml:space="preserve"> </w:t>
            </w:r>
          </w:p>
        </w:tc>
      </w:tr>
      <w:tr w:rsidR="005C5CED" w:rsidRPr="005C5CED" w14:paraId="28F2216E" w14:textId="77777777" w:rsidTr="0062462F">
        <w:trPr>
          <w:trHeight w:val="342"/>
        </w:trPr>
        <w:tc>
          <w:tcPr>
            <w:tcW w:w="2330" w:type="dxa"/>
            <w:tcBorders>
              <w:top w:val="nil"/>
              <w:left w:val="nil"/>
              <w:bottom w:val="single" w:sz="4" w:space="0" w:color="auto"/>
              <w:right w:val="nil"/>
            </w:tcBorders>
            <w:shd w:val="clear" w:color="auto" w:fill="auto"/>
            <w:noWrap/>
            <w:vAlign w:val="bottom"/>
            <w:hideMark/>
          </w:tcPr>
          <w:p w14:paraId="7A0FA4F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Net surplus / (deficit) for the year</w:t>
            </w:r>
          </w:p>
        </w:tc>
        <w:tc>
          <w:tcPr>
            <w:tcW w:w="2676" w:type="dxa"/>
            <w:tcBorders>
              <w:top w:val="nil"/>
              <w:left w:val="nil"/>
              <w:bottom w:val="nil"/>
              <w:right w:val="nil"/>
            </w:tcBorders>
            <w:shd w:val="clear" w:color="auto" w:fill="auto"/>
            <w:noWrap/>
            <w:vAlign w:val="center"/>
            <w:hideMark/>
          </w:tcPr>
          <w:p w14:paraId="4539092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1,187                                                </w:t>
            </w:r>
          </w:p>
        </w:tc>
        <w:tc>
          <w:tcPr>
            <w:tcW w:w="1916" w:type="dxa"/>
            <w:tcBorders>
              <w:top w:val="nil"/>
              <w:left w:val="nil"/>
              <w:bottom w:val="nil"/>
              <w:right w:val="nil"/>
            </w:tcBorders>
            <w:shd w:val="clear" w:color="auto" w:fill="auto"/>
            <w:noWrap/>
            <w:vAlign w:val="center"/>
            <w:hideMark/>
          </w:tcPr>
          <w:p w14:paraId="3820DA3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w:t>
            </w:r>
          </w:p>
        </w:tc>
        <w:tc>
          <w:tcPr>
            <w:tcW w:w="1196" w:type="dxa"/>
            <w:tcBorders>
              <w:top w:val="nil"/>
              <w:left w:val="nil"/>
              <w:bottom w:val="nil"/>
              <w:right w:val="nil"/>
            </w:tcBorders>
            <w:shd w:val="clear" w:color="auto" w:fill="auto"/>
            <w:noWrap/>
            <w:vAlign w:val="center"/>
            <w:hideMark/>
          </w:tcPr>
          <w:p w14:paraId="5F610B0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1,187               </w:t>
            </w:r>
          </w:p>
        </w:tc>
      </w:tr>
      <w:tr w:rsidR="005C5CED" w:rsidRPr="005C5CED" w14:paraId="4AA115FD" w14:textId="77777777" w:rsidTr="0062462F">
        <w:trPr>
          <w:trHeight w:val="342"/>
        </w:trPr>
        <w:tc>
          <w:tcPr>
            <w:tcW w:w="2330" w:type="dxa"/>
            <w:tcBorders>
              <w:top w:val="nil"/>
              <w:left w:val="nil"/>
              <w:bottom w:val="single" w:sz="8" w:space="0" w:color="auto"/>
              <w:right w:val="nil"/>
            </w:tcBorders>
            <w:shd w:val="clear" w:color="auto" w:fill="auto"/>
            <w:noWrap/>
            <w:vAlign w:val="center"/>
            <w:hideMark/>
          </w:tcPr>
          <w:p w14:paraId="6BF950C6" w14:textId="77777777" w:rsidR="005C5CED" w:rsidRPr="005C5CED" w:rsidRDefault="005C5CED" w:rsidP="005C5CED">
            <w:pPr>
              <w:spacing w:after="0" w:line="240" w:lineRule="auto"/>
              <w:rPr>
                <w:rFonts w:eastAsia="Times New Roman" w:cs="Arial"/>
                <w:b/>
                <w:color w:val="auto"/>
                <w:sz w:val="16"/>
                <w:szCs w:val="16"/>
                <w:lang w:eastAsia="en-AU"/>
              </w:rPr>
            </w:pPr>
            <w:r w:rsidRPr="005C5CED">
              <w:rPr>
                <w:rFonts w:eastAsia="Times New Roman" w:cs="Arial"/>
                <w:b/>
                <w:color w:val="auto"/>
                <w:sz w:val="16"/>
                <w:szCs w:val="16"/>
                <w:lang w:eastAsia="en-AU"/>
              </w:rPr>
              <w:t xml:space="preserve">Balance </w:t>
            </w:r>
            <w:proofErr w:type="gramStart"/>
            <w:r w:rsidRPr="005C5CED">
              <w:rPr>
                <w:rFonts w:eastAsia="Times New Roman" w:cs="Arial"/>
                <w:b/>
                <w:color w:val="auto"/>
                <w:sz w:val="16"/>
                <w:szCs w:val="16"/>
                <w:lang w:eastAsia="en-AU"/>
              </w:rPr>
              <w:t>at</w:t>
            </w:r>
            <w:proofErr w:type="gramEnd"/>
            <w:r w:rsidRPr="005C5CED">
              <w:rPr>
                <w:rFonts w:eastAsia="Times New Roman" w:cs="Arial"/>
                <w:b/>
                <w:color w:val="auto"/>
                <w:sz w:val="16"/>
                <w:szCs w:val="16"/>
                <w:lang w:eastAsia="en-AU"/>
              </w:rPr>
              <w:t xml:space="preserve"> 30 June 2024</w:t>
            </w:r>
          </w:p>
        </w:tc>
        <w:tc>
          <w:tcPr>
            <w:tcW w:w="2676" w:type="dxa"/>
            <w:tcBorders>
              <w:top w:val="single" w:sz="4" w:space="0" w:color="auto"/>
              <w:left w:val="nil"/>
              <w:bottom w:val="single" w:sz="8" w:space="0" w:color="auto"/>
              <w:right w:val="nil"/>
            </w:tcBorders>
            <w:shd w:val="clear" w:color="auto" w:fill="auto"/>
            <w:noWrap/>
            <w:vAlign w:val="center"/>
          </w:tcPr>
          <w:p w14:paraId="569CB7A3"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bCs/>
                <w:color w:val="auto"/>
                <w:sz w:val="16"/>
                <w:szCs w:val="16"/>
                <w:lang w:eastAsia="en-AU"/>
              </w:rPr>
              <w:t>472</w:t>
            </w:r>
          </w:p>
        </w:tc>
        <w:tc>
          <w:tcPr>
            <w:tcW w:w="1916" w:type="dxa"/>
            <w:tcBorders>
              <w:top w:val="single" w:sz="4" w:space="0" w:color="auto"/>
              <w:left w:val="nil"/>
              <w:bottom w:val="single" w:sz="8" w:space="0" w:color="auto"/>
              <w:right w:val="nil"/>
            </w:tcBorders>
            <w:shd w:val="clear" w:color="auto" w:fill="auto"/>
            <w:noWrap/>
            <w:vAlign w:val="center"/>
            <w:hideMark/>
          </w:tcPr>
          <w:p w14:paraId="553DBDDB"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color w:val="auto"/>
                <w:sz w:val="16"/>
                <w:szCs w:val="16"/>
                <w:lang w:eastAsia="en-AU"/>
              </w:rPr>
              <w:t xml:space="preserve">                          </w:t>
            </w:r>
            <w:r w:rsidRPr="005C5CED" w:rsidDel="00734177">
              <w:rPr>
                <w:rFonts w:eastAsia="Times New Roman" w:cs="Arial"/>
                <w:b/>
                <w:color w:val="auto"/>
                <w:sz w:val="16"/>
                <w:szCs w:val="16"/>
                <w:lang w:eastAsia="en-AU"/>
              </w:rPr>
              <w:t xml:space="preserve"> </w:t>
            </w:r>
            <w:r w:rsidRPr="005C5CED">
              <w:rPr>
                <w:rFonts w:eastAsia="Times New Roman" w:cs="Arial"/>
                <w:b/>
                <w:color w:val="auto"/>
                <w:sz w:val="16"/>
                <w:szCs w:val="16"/>
                <w:lang w:eastAsia="en-AU"/>
              </w:rPr>
              <w:t xml:space="preserve">25,996 </w:t>
            </w:r>
          </w:p>
        </w:tc>
        <w:tc>
          <w:tcPr>
            <w:tcW w:w="1196" w:type="dxa"/>
            <w:tcBorders>
              <w:top w:val="single" w:sz="4" w:space="0" w:color="auto"/>
              <w:left w:val="nil"/>
              <w:bottom w:val="single" w:sz="8" w:space="0" w:color="auto"/>
              <w:right w:val="nil"/>
            </w:tcBorders>
            <w:shd w:val="clear" w:color="auto" w:fill="auto"/>
            <w:noWrap/>
            <w:vAlign w:val="center"/>
            <w:hideMark/>
          </w:tcPr>
          <w:p w14:paraId="3CA96C00" w14:textId="77777777" w:rsidR="005C5CED" w:rsidRPr="005C5CED" w:rsidRDefault="005C5CED" w:rsidP="005C5CED">
            <w:pPr>
              <w:spacing w:after="0" w:line="240" w:lineRule="auto"/>
              <w:jc w:val="right"/>
              <w:rPr>
                <w:rFonts w:eastAsia="Times New Roman" w:cs="Arial"/>
                <w:b/>
                <w:color w:val="auto"/>
                <w:sz w:val="16"/>
                <w:szCs w:val="16"/>
                <w:lang w:eastAsia="en-AU"/>
              </w:rPr>
            </w:pPr>
            <w:r w:rsidRPr="005C5CED">
              <w:rPr>
                <w:rFonts w:eastAsia="Times New Roman" w:cs="Arial"/>
                <w:b/>
                <w:bCs/>
                <w:color w:val="auto"/>
                <w:sz w:val="16"/>
                <w:szCs w:val="16"/>
                <w:lang w:eastAsia="en-AU"/>
              </w:rPr>
              <w:t xml:space="preserve">26,468           </w:t>
            </w:r>
          </w:p>
        </w:tc>
      </w:tr>
    </w:tbl>
    <w:p w14:paraId="20D56A85" w14:textId="77777777" w:rsidR="005C5CED" w:rsidRPr="005C5CED" w:rsidRDefault="005C5CED" w:rsidP="005C5CED">
      <w:pPr>
        <w:spacing w:after="60" w:line="259" w:lineRule="auto"/>
        <w:rPr>
          <w:rFonts w:eastAsia="Calibri" w:cs="Arial"/>
          <w:color w:val="auto"/>
          <w:sz w:val="14"/>
          <w:szCs w:val="14"/>
        </w:rPr>
      </w:pPr>
    </w:p>
    <w:p w14:paraId="36644177" w14:textId="77777777" w:rsidR="005C5CED" w:rsidRPr="005C5CED" w:rsidRDefault="005C5CED" w:rsidP="005C5CED">
      <w:pPr>
        <w:spacing w:line="259" w:lineRule="auto"/>
        <w:rPr>
          <w:rFonts w:eastAsia="Calibri" w:cs="Arial"/>
          <w:color w:val="auto"/>
          <w:sz w:val="22"/>
          <w:szCs w:val="20"/>
          <w:lang w:eastAsia="en-AU"/>
        </w:rPr>
      </w:pPr>
      <w:r w:rsidRPr="005C5CED">
        <w:rPr>
          <w:rFonts w:eastAsia="Calibri" w:cs="Arial"/>
          <w:color w:val="auto"/>
          <w:sz w:val="16"/>
          <w:szCs w:val="20"/>
          <w:lang w:eastAsia="en-AU"/>
        </w:rPr>
        <w:t>The accompanying notes form part of these financial statements.</w:t>
      </w:r>
    </w:p>
    <w:p w14:paraId="3F304135"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w:t>
      </w:r>
    </w:p>
    <w:p w14:paraId="394252F7" w14:textId="77777777" w:rsidR="005C5CED" w:rsidRPr="005C5CED" w:rsidRDefault="005C5CED" w:rsidP="00196A67">
      <w:pPr>
        <w:numPr>
          <w:ilvl w:val="0"/>
          <w:numId w:val="60"/>
        </w:numPr>
        <w:spacing w:line="259" w:lineRule="auto"/>
        <w:rPr>
          <w:rFonts w:eastAsia="Calibri" w:cs="Arial"/>
          <w:i/>
          <w:iCs/>
          <w:color w:val="auto"/>
          <w:sz w:val="16"/>
          <w:szCs w:val="20"/>
        </w:rPr>
      </w:pPr>
      <w:r w:rsidRPr="005C5CED">
        <w:rPr>
          <w:rFonts w:eastAsia="Calibri" w:cs="Arial"/>
          <w:color w:val="auto"/>
          <w:sz w:val="16"/>
          <w:szCs w:val="20"/>
        </w:rPr>
        <w:t xml:space="preserve">This format is aligned to AASB 1049 </w:t>
      </w:r>
      <w:r w:rsidRPr="005C5CED">
        <w:rPr>
          <w:rFonts w:eastAsia="Calibri" w:cs="Arial"/>
          <w:i/>
          <w:iCs/>
          <w:color w:val="auto"/>
          <w:sz w:val="16"/>
          <w:szCs w:val="20"/>
        </w:rPr>
        <w:t>Whole of Government and General Government Sector Financial Reporting.</w:t>
      </w:r>
    </w:p>
    <w:p w14:paraId="407596DC" w14:textId="77777777" w:rsidR="005C5CED" w:rsidRPr="005C5CED" w:rsidRDefault="005C5CED" w:rsidP="005C5CED">
      <w:pPr>
        <w:spacing w:line="259" w:lineRule="auto"/>
        <w:ind w:left="720"/>
        <w:rPr>
          <w:rFonts w:eastAsia="Calibri" w:cs="Arial"/>
          <w:color w:val="auto"/>
          <w:sz w:val="16"/>
          <w:szCs w:val="20"/>
        </w:rPr>
      </w:pPr>
    </w:p>
    <w:p w14:paraId="7A295A8C"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br w:type="page"/>
      </w:r>
    </w:p>
    <w:p w14:paraId="1F83AAE4" w14:textId="77777777" w:rsidR="005C5CED" w:rsidRPr="005C5CED" w:rsidRDefault="005C5CED" w:rsidP="005C5CED">
      <w:pPr>
        <w:keepNext/>
        <w:keepLines/>
        <w:spacing w:before="360" w:after="100" w:line="240" w:lineRule="auto"/>
        <w:outlineLvl w:val="1"/>
        <w:rPr>
          <w:rFonts w:eastAsia="Yu Gothic Light" w:cs="Times New Roman"/>
          <w:b/>
          <w:bCs/>
          <w:color w:val="174F37"/>
          <w:sz w:val="34"/>
          <w:szCs w:val="34"/>
          <w:lang w:eastAsia="en-AU"/>
        </w:rPr>
      </w:pPr>
      <w:r w:rsidRPr="005C5CED">
        <w:rPr>
          <w:rFonts w:eastAsia="Yu Gothic Light" w:cs="Times New Roman"/>
          <w:b/>
          <w:bCs/>
          <w:color w:val="174F37"/>
          <w:sz w:val="34"/>
          <w:szCs w:val="34"/>
          <w:lang w:eastAsia="en-AU"/>
        </w:rPr>
        <w:lastRenderedPageBreak/>
        <w:t>Notes to the financial statements</w:t>
      </w:r>
    </w:p>
    <w:p w14:paraId="193FB463" w14:textId="77777777" w:rsidR="005C5CED" w:rsidRPr="005C5CED" w:rsidRDefault="005C5CED" w:rsidP="005C5CED">
      <w:pPr>
        <w:keepNext/>
        <w:keepLines/>
        <w:spacing w:before="300" w:after="60" w:line="240" w:lineRule="auto"/>
        <w:outlineLvl w:val="2"/>
        <w:rPr>
          <w:rFonts w:eastAsia="Yu Gothic Light" w:cs="Times New Roman"/>
          <w:b/>
          <w:bCs/>
          <w:color w:val="auto"/>
          <w:sz w:val="28"/>
          <w:szCs w:val="28"/>
        </w:rPr>
      </w:pPr>
      <w:r w:rsidRPr="005C5CED">
        <w:rPr>
          <w:rFonts w:eastAsia="Yu Gothic Light" w:cs="Times New Roman"/>
          <w:b/>
          <w:bCs/>
          <w:color w:val="auto"/>
          <w:sz w:val="28"/>
          <w:szCs w:val="28"/>
        </w:rPr>
        <w:t>Note 1: About this report</w:t>
      </w:r>
    </w:p>
    <w:p w14:paraId="3BF7FF59"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Sustainability Victoria is a Government Statutory Authority of the State of Victoria established under the </w:t>
      </w:r>
      <w:r w:rsidRPr="005C5CED">
        <w:rPr>
          <w:rFonts w:eastAsia="Calibri" w:cs="Arial"/>
          <w:i/>
          <w:color w:val="auto"/>
        </w:rPr>
        <w:t>Sustainability Victoria Act 2005 (Vic).</w:t>
      </w:r>
    </w:p>
    <w:p w14:paraId="340BDAD1" w14:textId="77777777" w:rsidR="005C5CED" w:rsidRPr="005C5CED" w:rsidRDefault="005C5CED" w:rsidP="005C5CED">
      <w:pPr>
        <w:numPr>
          <w:ilvl w:val="0"/>
          <w:numId w:val="11"/>
        </w:numPr>
        <w:spacing w:after="0" w:line="240" w:lineRule="auto"/>
        <w:ind w:left="0" w:firstLine="0"/>
        <w:rPr>
          <w:rFonts w:eastAsia="Yu Mincho" w:cs="Arial"/>
          <w:color w:val="auto"/>
          <w:szCs w:val="20"/>
          <w:shd w:val="clear" w:color="auto" w:fill="FFFFFF"/>
        </w:rPr>
      </w:pPr>
      <w:r w:rsidRPr="005C5CED">
        <w:rPr>
          <w:rFonts w:eastAsia="Yu Mincho" w:cs="Arial"/>
          <w:color w:val="auto"/>
          <w:szCs w:val="20"/>
          <w:shd w:val="clear" w:color="auto" w:fill="FFFFFF"/>
        </w:rPr>
        <w:t>Its principal address is:</w:t>
      </w:r>
    </w:p>
    <w:p w14:paraId="45D64377" w14:textId="77777777" w:rsidR="005C5CED" w:rsidRPr="005C5CED" w:rsidRDefault="005C5CED" w:rsidP="005C5CED">
      <w:pPr>
        <w:numPr>
          <w:ilvl w:val="0"/>
          <w:numId w:val="11"/>
        </w:numPr>
        <w:spacing w:after="0" w:line="240" w:lineRule="auto"/>
        <w:ind w:left="0" w:firstLine="0"/>
        <w:rPr>
          <w:rFonts w:eastAsia="Yu Mincho" w:cs="Arial"/>
          <w:color w:val="auto"/>
          <w:szCs w:val="20"/>
          <w:shd w:val="clear" w:color="auto" w:fill="FFFFFF"/>
        </w:rPr>
      </w:pPr>
      <w:r w:rsidRPr="005C5CED">
        <w:rPr>
          <w:rFonts w:eastAsia="Yu Mincho" w:cs="Arial"/>
          <w:color w:val="auto"/>
          <w:szCs w:val="20"/>
          <w:shd w:val="clear" w:color="auto" w:fill="FFFFFF"/>
        </w:rPr>
        <w:t xml:space="preserve">Levels 12 and 13 </w:t>
      </w:r>
    </w:p>
    <w:p w14:paraId="47E70745" w14:textId="77777777" w:rsidR="005C5CED" w:rsidRPr="005C5CED" w:rsidRDefault="005C5CED" w:rsidP="005C5CED">
      <w:pPr>
        <w:numPr>
          <w:ilvl w:val="0"/>
          <w:numId w:val="11"/>
        </w:numPr>
        <w:spacing w:after="0" w:line="240" w:lineRule="auto"/>
        <w:ind w:left="0" w:firstLine="0"/>
        <w:rPr>
          <w:rFonts w:eastAsia="Yu Mincho" w:cs="Arial"/>
          <w:color w:val="auto"/>
          <w:szCs w:val="20"/>
          <w:shd w:val="clear" w:color="auto" w:fill="FFFFFF"/>
        </w:rPr>
      </w:pPr>
      <w:r w:rsidRPr="005C5CED">
        <w:rPr>
          <w:rFonts w:eastAsia="Yu Mincho" w:cs="Arial"/>
          <w:color w:val="auto"/>
          <w:szCs w:val="20"/>
          <w:shd w:val="clear" w:color="auto" w:fill="FFFFFF"/>
        </w:rPr>
        <w:t>321 Exhibition Street</w:t>
      </w:r>
    </w:p>
    <w:p w14:paraId="050EB025" w14:textId="77777777" w:rsidR="005C5CED" w:rsidRPr="005C5CED" w:rsidRDefault="005C5CED" w:rsidP="005C5CED">
      <w:pPr>
        <w:numPr>
          <w:ilvl w:val="0"/>
          <w:numId w:val="11"/>
        </w:numPr>
        <w:spacing w:after="0" w:line="240" w:lineRule="auto"/>
        <w:ind w:left="0" w:firstLine="0"/>
        <w:rPr>
          <w:rFonts w:eastAsia="Yu Mincho" w:cs="Arial"/>
          <w:color w:val="auto"/>
          <w:szCs w:val="20"/>
          <w:shd w:val="clear" w:color="auto" w:fill="FFFFFF"/>
        </w:rPr>
      </w:pPr>
      <w:r w:rsidRPr="005C5CED">
        <w:rPr>
          <w:rFonts w:eastAsia="Yu Mincho" w:cs="Arial"/>
          <w:color w:val="auto"/>
          <w:szCs w:val="20"/>
          <w:shd w:val="clear" w:color="auto" w:fill="FFFFFF"/>
        </w:rPr>
        <w:t>Melbourne VIC 3000</w:t>
      </w:r>
    </w:p>
    <w:p w14:paraId="1F883942"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p>
    <w:p w14:paraId="48096D32" w14:textId="77777777" w:rsidR="005C5CED" w:rsidRPr="005C5CED" w:rsidRDefault="005C5CED" w:rsidP="005C5CED">
      <w:pPr>
        <w:spacing w:line="259" w:lineRule="auto"/>
        <w:rPr>
          <w:rFonts w:eastAsia="Calibri" w:cs="Arial"/>
          <w:color w:val="auto"/>
        </w:rPr>
      </w:pPr>
      <w:r w:rsidRPr="005C5CED">
        <w:rPr>
          <w:rFonts w:eastAsia="Calibri" w:cs="Arial"/>
          <w:color w:val="auto"/>
        </w:rPr>
        <w:t>A description of the nature of Sustainability Victoria's operations and its principal activities is included in the Report of Operations, which does not form part of these financial statements.</w:t>
      </w:r>
    </w:p>
    <w:p w14:paraId="2CAEF74C" w14:textId="77777777" w:rsidR="005C5CED" w:rsidRPr="005C5CED" w:rsidRDefault="005C5CED" w:rsidP="005C5CED">
      <w:pPr>
        <w:keepNext/>
        <w:keepLines/>
        <w:spacing w:before="240" w:after="60" w:line="240" w:lineRule="auto"/>
        <w:outlineLvl w:val="3"/>
        <w:rPr>
          <w:rFonts w:eastAsia="Times New Roman" w:cs="Times New Roman"/>
          <w:color w:val="000000"/>
          <w:sz w:val="24"/>
          <w:szCs w:val="24"/>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t>Basis of preparation</w:t>
      </w:r>
    </w:p>
    <w:p w14:paraId="4F51FA2C" w14:textId="77777777" w:rsidR="005C5CED" w:rsidRPr="005C5CED" w:rsidRDefault="005C5CED" w:rsidP="005C5CED">
      <w:pPr>
        <w:spacing w:line="259" w:lineRule="auto"/>
        <w:rPr>
          <w:rFonts w:eastAsia="Calibri" w:cs="Arial"/>
          <w:color w:val="auto"/>
        </w:rPr>
      </w:pPr>
      <w:r w:rsidRPr="005C5CED">
        <w:rPr>
          <w:rFonts w:eastAsia="Calibri" w:cs="Arial"/>
          <w:color w:val="auto"/>
        </w:rPr>
        <w:t>These financial statements are in Australian dollars and the historical cost convention is used unless a different measurement basis is specifically disclosed in the note associated with the item measured on a different basis.</w:t>
      </w:r>
    </w:p>
    <w:p w14:paraId="16F7427A" w14:textId="77777777" w:rsidR="005C5CED" w:rsidRPr="005C5CED" w:rsidRDefault="005C5CED" w:rsidP="005C5CED">
      <w:pPr>
        <w:spacing w:line="259" w:lineRule="auto"/>
        <w:rPr>
          <w:rFonts w:eastAsia="Calibri" w:cs="Arial"/>
          <w:color w:val="auto"/>
        </w:rPr>
      </w:pPr>
      <w:r w:rsidRPr="005C5CED">
        <w:rPr>
          <w:rFonts w:eastAsia="Calibri" w:cs="Arial"/>
          <w:color w:val="auto"/>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26BE09A7"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Consistent with the requirements of AASB 1004 </w:t>
      </w:r>
      <w:r w:rsidRPr="005C5CED">
        <w:rPr>
          <w:rFonts w:eastAsia="Calibri" w:cs="Arial"/>
          <w:i/>
          <w:iCs/>
          <w:color w:val="auto"/>
        </w:rPr>
        <w:t>Contributions</w:t>
      </w:r>
      <w:r w:rsidRPr="005C5CED">
        <w:rPr>
          <w:rFonts w:eastAsia="Calibri" w:cs="Arial"/>
          <w:color w:val="auto"/>
        </w:rPr>
        <w:t>, contributions by owners (that is, contributed capital and its repayment) are treated as equity transactions and, therefore, do not form part of the income and expenses of Sustainability Victoria.</w:t>
      </w:r>
    </w:p>
    <w:p w14:paraId="63852282"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Additions to net assets which have been designated as contributions by owners are recognised as contributed capital. Other transfers that are </w:t>
      </w:r>
      <w:proofErr w:type="gramStart"/>
      <w:r w:rsidRPr="005C5CED">
        <w:rPr>
          <w:rFonts w:eastAsia="Calibri" w:cs="Arial"/>
          <w:color w:val="auto"/>
        </w:rPr>
        <w:t>in the nature of contributions</w:t>
      </w:r>
      <w:proofErr w:type="gramEnd"/>
      <w:r w:rsidRPr="005C5CED">
        <w:rPr>
          <w:rFonts w:eastAsia="Calibri" w:cs="Arial"/>
          <w:color w:val="auto"/>
        </w:rPr>
        <w:t xml:space="preserve"> to or distributions by owners have also been designated as contributions by owners. </w:t>
      </w:r>
    </w:p>
    <w:p w14:paraId="0589C313" w14:textId="77777777" w:rsidR="005C5CED" w:rsidRPr="005C5CED" w:rsidRDefault="005C5CED" w:rsidP="005C5CED">
      <w:pPr>
        <w:spacing w:line="259" w:lineRule="auto"/>
        <w:rPr>
          <w:rFonts w:eastAsia="Calibri" w:cs="Arial"/>
          <w:color w:val="auto"/>
        </w:rPr>
      </w:pPr>
      <w:r w:rsidRPr="005C5CED">
        <w:rPr>
          <w:rFonts w:eastAsia="Calibri" w:cs="Arial"/>
          <w:color w:val="auto"/>
        </w:rPr>
        <w:t>Transfers of net assets arising from administrative restructurings are treated as distributions to or contributions by owners. Transfers of net liabilities arising from administrative restructurings are treated as distributions to owners.</w:t>
      </w:r>
    </w:p>
    <w:p w14:paraId="110D6E52" w14:textId="77777777" w:rsidR="005C5CED" w:rsidRPr="005C5CED" w:rsidRDefault="005C5CED" w:rsidP="005C5CED">
      <w:pPr>
        <w:spacing w:line="259" w:lineRule="auto"/>
        <w:rPr>
          <w:rFonts w:eastAsia="Calibri" w:cs="Arial"/>
          <w:color w:val="auto"/>
        </w:rPr>
      </w:pPr>
      <w:r w:rsidRPr="005C5CED">
        <w:rPr>
          <w:rFonts w:eastAsia="Calibri" w:cs="Arial"/>
          <w:color w:val="auto"/>
        </w:rP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14:paraId="4B4DFF07"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Judgements and assumptions made by management in applying </w:t>
      </w:r>
      <w:r w:rsidRPr="005C5CED">
        <w:rPr>
          <w:rFonts w:eastAsia="Calibri" w:cs="Arial"/>
          <w:color w:val="auto"/>
          <w:lang w:eastAsia="en-AU"/>
        </w:rPr>
        <w:t>Australian Accounting Standards (</w:t>
      </w:r>
      <w:r w:rsidRPr="005C5CED">
        <w:rPr>
          <w:rFonts w:eastAsia="Calibri" w:cs="Arial"/>
          <w:color w:val="auto"/>
        </w:rPr>
        <w:t xml:space="preserve">AAS) that have significant effects on the financial statements and estimates are disclosed in the notes under the heading: ‘Significant judgement or </w:t>
      </w:r>
      <w:proofErr w:type="gramStart"/>
      <w:r w:rsidRPr="005C5CED">
        <w:rPr>
          <w:rFonts w:eastAsia="Calibri" w:cs="Arial"/>
          <w:color w:val="auto"/>
        </w:rPr>
        <w:t>estimates’</w:t>
      </w:r>
      <w:proofErr w:type="gramEnd"/>
      <w:r w:rsidRPr="005C5CED">
        <w:rPr>
          <w:rFonts w:eastAsia="Calibri" w:cs="Arial"/>
          <w:color w:val="auto"/>
        </w:rPr>
        <w:t>.</w:t>
      </w:r>
    </w:p>
    <w:p w14:paraId="0A3D9513" w14:textId="77777777" w:rsidR="005C5CED" w:rsidRPr="005C5CED" w:rsidRDefault="005C5CED" w:rsidP="005C5CED">
      <w:pPr>
        <w:spacing w:line="259" w:lineRule="auto"/>
        <w:rPr>
          <w:rFonts w:eastAsia="Times New Roman" w:cs="Arial"/>
          <w:color w:val="000000"/>
          <w:lang w:eastAsia="en-AU"/>
        </w:rPr>
      </w:pPr>
      <w:r w:rsidRPr="005C5CED">
        <w:rPr>
          <w:rFonts w:eastAsia="Times New Roman" w:cs="Arial"/>
          <w:color w:val="000000"/>
          <w:lang w:eastAsia="en-AU"/>
        </w:rPr>
        <w:t>All amounts in the financial statements have been rounded to the nearest $1,000 unless otherwise stated.</w:t>
      </w:r>
    </w:p>
    <w:p w14:paraId="778CB218" w14:textId="77777777" w:rsidR="005C5CED" w:rsidRPr="005C5CED" w:rsidRDefault="005C5CED" w:rsidP="005C5CED">
      <w:pPr>
        <w:spacing w:line="259" w:lineRule="auto"/>
        <w:rPr>
          <w:rFonts w:eastAsia="Calibri" w:cs="Arial"/>
          <w:color w:val="auto"/>
        </w:rPr>
      </w:pPr>
      <w:r w:rsidRPr="005C5CED">
        <w:rPr>
          <w:rFonts w:eastAsia="Calibri" w:cs="Arial"/>
          <w:color w:val="auto"/>
        </w:rPr>
        <w:t>These financial statements cover Sustainability Victoria as an individual reporting entity and include all the controlled activities of Sustainability Victoria.</w:t>
      </w:r>
    </w:p>
    <w:p w14:paraId="6B994BC3" w14:textId="77777777" w:rsidR="005C5CED" w:rsidRPr="005C5CED" w:rsidRDefault="005C5CED" w:rsidP="005C5CED">
      <w:pPr>
        <w:keepNext/>
        <w:keepLines/>
        <w:spacing w:before="240" w:after="60" w:line="240" w:lineRule="auto"/>
        <w:outlineLvl w:val="3"/>
        <w:rPr>
          <w:rFonts w:eastAsia="Times New Roman" w:cs="Times New Roman"/>
          <w:color w:val="000000"/>
          <w:sz w:val="24"/>
          <w:szCs w:val="24"/>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br w:type="page"/>
      </w:r>
    </w:p>
    <w:p w14:paraId="72FC5A38" w14:textId="77777777" w:rsidR="005C5CED" w:rsidRPr="005C5CED" w:rsidRDefault="005C5CED" w:rsidP="005C5CED">
      <w:pPr>
        <w:keepNext/>
        <w:keepLines/>
        <w:spacing w:before="240" w:after="60" w:line="240" w:lineRule="auto"/>
        <w:outlineLvl w:val="3"/>
        <w:rPr>
          <w:rFonts w:eastAsia="Times New Roman" w:cs="Times New Roman"/>
          <w:color w:val="000000"/>
          <w:sz w:val="24"/>
          <w:szCs w:val="24"/>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lastRenderedPageBreak/>
        <w:t xml:space="preserve">Compliance information </w:t>
      </w:r>
    </w:p>
    <w:p w14:paraId="561E0337"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 xml:space="preserve">These general-purpose financial statements have been prepared in accordance with the </w:t>
      </w:r>
      <w:r w:rsidRPr="005C5CED">
        <w:rPr>
          <w:rFonts w:eastAsia="Calibri" w:cs="Arial"/>
          <w:i/>
          <w:iCs/>
          <w:color w:val="auto"/>
          <w:lang w:eastAsia="en-AU"/>
        </w:rPr>
        <w:t>Financial Management Act 1994</w:t>
      </w:r>
      <w:r w:rsidRPr="005C5CED">
        <w:rPr>
          <w:rFonts w:eastAsia="Calibri" w:cs="Arial"/>
          <w:color w:val="auto"/>
          <w:lang w:eastAsia="en-AU"/>
        </w:rPr>
        <w:t xml:space="preserve"> (FMA) and applicable AASs which include Interpretations, issued by the Australian Accounting Standards Board (AASB). </w:t>
      </w:r>
      <w:proofErr w:type="gramStart"/>
      <w:r w:rsidRPr="005C5CED">
        <w:rPr>
          <w:rFonts w:eastAsia="Calibri" w:cs="Arial"/>
          <w:color w:val="auto"/>
          <w:lang w:eastAsia="en-AU"/>
        </w:rPr>
        <w:t>In particular, they</w:t>
      </w:r>
      <w:proofErr w:type="gramEnd"/>
      <w:r w:rsidRPr="005C5CED">
        <w:rPr>
          <w:rFonts w:eastAsia="Calibri" w:cs="Arial"/>
          <w:color w:val="auto"/>
          <w:lang w:eastAsia="en-AU"/>
        </w:rPr>
        <w:t xml:space="preserve"> are presented in a manner consistent with the requirements of the </w:t>
      </w:r>
      <w:r w:rsidRPr="005C5CED">
        <w:rPr>
          <w:rFonts w:eastAsia="Calibri" w:cs="Arial"/>
          <w:i/>
          <w:iCs/>
          <w:color w:val="auto"/>
          <w:lang w:eastAsia="en-AU"/>
        </w:rPr>
        <w:t>AASB 1049 Whole of Government and General Government Sector Financial Reporting.</w:t>
      </w:r>
    </w:p>
    <w:p w14:paraId="586E2BF9" w14:textId="77777777" w:rsidR="005C5CED" w:rsidRPr="005C5CED" w:rsidRDefault="005C5CED" w:rsidP="005C5CED">
      <w:pPr>
        <w:spacing w:line="259" w:lineRule="auto"/>
        <w:rPr>
          <w:rFonts w:eastAsia="Times New Roman" w:cs="Arial"/>
          <w:b/>
          <w:bCs/>
          <w:color w:val="auto"/>
          <w:sz w:val="16"/>
          <w:szCs w:val="16"/>
          <w:lang w:eastAsia="en-AU"/>
        </w:rPr>
      </w:pPr>
      <w:r w:rsidRPr="005C5CED">
        <w:rPr>
          <w:rFonts w:eastAsia="Calibri" w:cs="Arial"/>
          <w:color w:val="auto"/>
          <w:lang w:eastAsia="en-AU"/>
        </w:rPr>
        <w:t>Where appropriate, those AASs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1599C4E1" w14:textId="77777777" w:rsidR="005C5CED" w:rsidRPr="005C5CED" w:rsidRDefault="005C5CED" w:rsidP="005C5CED">
      <w:pPr>
        <w:keepNext/>
        <w:keepLines/>
        <w:spacing w:before="300" w:after="60" w:line="240" w:lineRule="auto"/>
        <w:outlineLvl w:val="2"/>
        <w:rPr>
          <w:rFonts w:eastAsia="Yu Gothic Light" w:cs="Times New Roman"/>
          <w:b/>
          <w:bCs/>
          <w:color w:val="auto"/>
          <w:sz w:val="28"/>
          <w:szCs w:val="28"/>
        </w:rPr>
      </w:pPr>
      <w:r w:rsidRPr="005C5CED">
        <w:rPr>
          <w:rFonts w:eastAsia="Yu Gothic Light" w:cs="Times New Roman"/>
          <w:b/>
          <w:bCs/>
          <w:color w:val="auto"/>
          <w:sz w:val="28"/>
          <w:szCs w:val="28"/>
        </w:rPr>
        <w:t>Note 2: Funding delivery of our services</w:t>
      </w:r>
    </w:p>
    <w:p w14:paraId="4722A1E9"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Introduction</w:t>
      </w:r>
    </w:p>
    <w:p w14:paraId="16AA4E00"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Sustainability Victoria's overall objectives are to facilitate and promote environmental sustainability in the use of resources. It does this by helping households, businesses and groups within the broader community adopt more sustainable practices to ensure a healthy environment, community, and economy, now and for the future.</w:t>
      </w:r>
    </w:p>
    <w:p w14:paraId="1E7F0E20"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Significant judgement: grants revenue</w:t>
      </w:r>
    </w:p>
    <w:p w14:paraId="0B4D96FA"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Sustainability Victoria has made judgement on the recognition of grant revenue under AASB 1058 </w:t>
      </w:r>
      <w:r w:rsidRPr="005C5CED">
        <w:rPr>
          <w:rFonts w:eastAsia="Calibri" w:cs="Arial"/>
          <w:i/>
          <w:iCs/>
          <w:color w:val="auto"/>
        </w:rPr>
        <w:t>Income of Not-for-Profit Entities</w:t>
      </w:r>
      <w:r w:rsidRPr="005C5CED">
        <w:rPr>
          <w:rFonts w:eastAsia="Calibri" w:cs="Arial"/>
          <w:color w:val="auto"/>
        </w:rPr>
        <w:t xml:space="preserve"> where they do not contain sufficiently specific performance obligations. Income from grants that are enforceable and with sufficiently specific performance obligations and are accounted for under AASB 15 </w:t>
      </w:r>
      <w:r w:rsidRPr="005C5CED">
        <w:rPr>
          <w:rFonts w:eastAsia="Calibri" w:cs="Arial"/>
          <w:i/>
          <w:iCs/>
          <w:color w:val="auto"/>
        </w:rPr>
        <w:t>Revenue from Contracts with Customers</w:t>
      </w:r>
      <w:r w:rsidRPr="005C5CED">
        <w:rPr>
          <w:rFonts w:eastAsia="Calibri" w:cs="Arial"/>
          <w:color w:val="auto"/>
        </w:rPr>
        <w:t xml:space="preserve"> are recognised when Sustainability Victoria satisfies the performance obligation determined on analysis of the contract. For more detail refer to notes 2.1 and 2.2 </w:t>
      </w:r>
    </w:p>
    <w:p w14:paraId="3AA5B4E2"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Structure</w:t>
      </w:r>
    </w:p>
    <w:p w14:paraId="0219278F"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2.1 Summary of income that funds the delivery of our services</w:t>
      </w:r>
    </w:p>
    <w:p w14:paraId="1A0F4A2E"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 xml:space="preserve">2.2 Government grants </w:t>
      </w:r>
    </w:p>
    <w:p w14:paraId="579D8727"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r w:rsidRPr="005C5CED">
        <w:rPr>
          <w:rFonts w:eastAsia="Yu Mincho" w:cs="Calibri"/>
          <w:color w:val="auto"/>
          <w:szCs w:val="24"/>
          <w:shd w:val="clear" w:color="auto" w:fill="FFFFFF"/>
        </w:rPr>
        <w:t>2.3 Revenue from other transactions</w:t>
      </w:r>
    </w:p>
    <w:p w14:paraId="5156B5BD" w14:textId="77777777" w:rsidR="005C5CED" w:rsidRPr="005C5CED" w:rsidRDefault="005C5CED" w:rsidP="005C5CED">
      <w:pPr>
        <w:numPr>
          <w:ilvl w:val="0"/>
          <w:numId w:val="11"/>
        </w:numPr>
        <w:spacing w:after="0" w:line="240" w:lineRule="auto"/>
        <w:ind w:left="0" w:firstLine="0"/>
        <w:rPr>
          <w:rFonts w:eastAsia="Yu Mincho" w:cs="Calibri"/>
          <w:color w:val="auto"/>
          <w:szCs w:val="24"/>
          <w:shd w:val="clear" w:color="auto" w:fill="FFFFFF"/>
        </w:rPr>
      </w:pPr>
    </w:p>
    <w:p w14:paraId="0686F3F2" w14:textId="77777777" w:rsidR="005C5CED" w:rsidRPr="005C5CED" w:rsidRDefault="005C5CED" w:rsidP="005C5CED">
      <w:pPr>
        <w:keepNext/>
        <w:keepLines/>
        <w:spacing w:before="240" w:after="60" w:line="240" w:lineRule="auto"/>
        <w:outlineLvl w:val="3"/>
        <w:rPr>
          <w:rFonts w:eastAsia="Times New Roman" w:cs="Times New Roman"/>
          <w:color w:val="000000"/>
          <w:sz w:val="16"/>
          <w:szCs w:val="16"/>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t>Note 2.1 Summary of income that funds the delivery of our services</w:t>
      </w:r>
    </w:p>
    <w:tbl>
      <w:tblPr>
        <w:tblW w:w="7624" w:type="dxa"/>
        <w:tblLook w:val="04A0" w:firstRow="1" w:lastRow="0" w:firstColumn="1" w:lastColumn="0" w:noHBand="0" w:noVBand="1"/>
      </w:tblPr>
      <w:tblGrid>
        <w:gridCol w:w="3402"/>
        <w:gridCol w:w="1110"/>
        <w:gridCol w:w="1916"/>
        <w:gridCol w:w="1196"/>
      </w:tblGrid>
      <w:tr w:rsidR="005C5CED" w:rsidRPr="005C5CED" w14:paraId="417CC6C1" w14:textId="77777777" w:rsidTr="005C5CED">
        <w:trPr>
          <w:trHeight w:val="225"/>
        </w:trPr>
        <w:tc>
          <w:tcPr>
            <w:tcW w:w="3402" w:type="dxa"/>
            <w:tcBorders>
              <w:top w:val="single" w:sz="4" w:space="0" w:color="auto"/>
              <w:left w:val="nil"/>
              <w:bottom w:val="nil"/>
              <w:right w:val="nil"/>
            </w:tcBorders>
            <w:shd w:val="clear" w:color="auto" w:fill="000000"/>
            <w:noWrap/>
            <w:vAlign w:val="bottom"/>
            <w:hideMark/>
          </w:tcPr>
          <w:p w14:paraId="02494E0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10" w:type="dxa"/>
            <w:tcBorders>
              <w:top w:val="single" w:sz="4" w:space="0" w:color="auto"/>
              <w:left w:val="nil"/>
              <w:bottom w:val="nil"/>
              <w:right w:val="nil"/>
            </w:tcBorders>
            <w:shd w:val="clear" w:color="auto" w:fill="000000"/>
            <w:noWrap/>
            <w:vAlign w:val="bottom"/>
            <w:hideMark/>
          </w:tcPr>
          <w:p w14:paraId="514418F8"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Notes</w:t>
            </w:r>
          </w:p>
        </w:tc>
        <w:tc>
          <w:tcPr>
            <w:tcW w:w="1916" w:type="dxa"/>
            <w:tcBorders>
              <w:top w:val="single" w:sz="4" w:space="0" w:color="auto"/>
              <w:left w:val="nil"/>
              <w:bottom w:val="nil"/>
              <w:right w:val="nil"/>
            </w:tcBorders>
            <w:shd w:val="clear" w:color="auto" w:fill="000000"/>
            <w:noWrap/>
            <w:vAlign w:val="bottom"/>
            <w:hideMark/>
          </w:tcPr>
          <w:p w14:paraId="3C7ED08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196" w:type="dxa"/>
            <w:tcBorders>
              <w:top w:val="single" w:sz="4" w:space="0" w:color="auto"/>
              <w:left w:val="nil"/>
              <w:bottom w:val="nil"/>
              <w:right w:val="nil"/>
            </w:tcBorders>
            <w:shd w:val="clear" w:color="auto" w:fill="000000"/>
            <w:noWrap/>
            <w:vAlign w:val="bottom"/>
            <w:hideMark/>
          </w:tcPr>
          <w:p w14:paraId="681324E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54D6D40B" w14:textId="77777777" w:rsidTr="005C5CED">
        <w:trPr>
          <w:trHeight w:val="225"/>
        </w:trPr>
        <w:tc>
          <w:tcPr>
            <w:tcW w:w="3402" w:type="dxa"/>
            <w:tcBorders>
              <w:top w:val="nil"/>
              <w:left w:val="nil"/>
              <w:bottom w:val="single" w:sz="4" w:space="0" w:color="auto"/>
              <w:right w:val="nil"/>
            </w:tcBorders>
            <w:shd w:val="clear" w:color="auto" w:fill="000000"/>
            <w:noWrap/>
            <w:vAlign w:val="bottom"/>
            <w:hideMark/>
          </w:tcPr>
          <w:p w14:paraId="6AE1C376"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10" w:type="dxa"/>
            <w:tcBorders>
              <w:top w:val="nil"/>
              <w:left w:val="nil"/>
              <w:bottom w:val="single" w:sz="4" w:space="0" w:color="auto"/>
              <w:right w:val="nil"/>
            </w:tcBorders>
            <w:shd w:val="clear" w:color="auto" w:fill="000000"/>
            <w:noWrap/>
            <w:vAlign w:val="bottom"/>
            <w:hideMark/>
          </w:tcPr>
          <w:p w14:paraId="72146E8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916" w:type="dxa"/>
            <w:tcBorders>
              <w:top w:val="nil"/>
              <w:left w:val="nil"/>
              <w:bottom w:val="single" w:sz="4" w:space="0" w:color="auto"/>
              <w:right w:val="nil"/>
            </w:tcBorders>
            <w:shd w:val="clear" w:color="auto" w:fill="000000"/>
            <w:noWrap/>
            <w:vAlign w:val="bottom"/>
            <w:hideMark/>
          </w:tcPr>
          <w:p w14:paraId="14E19AE6"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96" w:type="dxa"/>
            <w:tcBorders>
              <w:top w:val="nil"/>
              <w:left w:val="nil"/>
              <w:bottom w:val="single" w:sz="4" w:space="0" w:color="auto"/>
              <w:right w:val="nil"/>
            </w:tcBorders>
            <w:shd w:val="clear" w:color="auto" w:fill="000000"/>
            <w:noWrap/>
            <w:vAlign w:val="bottom"/>
            <w:hideMark/>
          </w:tcPr>
          <w:p w14:paraId="2E00194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2C89B62D" w14:textId="77777777" w:rsidTr="005C5CED">
        <w:trPr>
          <w:trHeight w:val="342"/>
        </w:trPr>
        <w:tc>
          <w:tcPr>
            <w:tcW w:w="3402" w:type="dxa"/>
            <w:tcBorders>
              <w:top w:val="nil"/>
              <w:left w:val="nil"/>
              <w:bottom w:val="nil"/>
              <w:right w:val="nil"/>
            </w:tcBorders>
            <w:shd w:val="clear" w:color="auto" w:fill="auto"/>
            <w:noWrap/>
            <w:vAlign w:val="center"/>
            <w:hideMark/>
          </w:tcPr>
          <w:p w14:paraId="5091919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Municipal and Industrial Waste Levy</w:t>
            </w:r>
          </w:p>
        </w:tc>
        <w:tc>
          <w:tcPr>
            <w:tcW w:w="1110" w:type="dxa"/>
            <w:tcBorders>
              <w:top w:val="nil"/>
              <w:left w:val="nil"/>
              <w:bottom w:val="nil"/>
              <w:right w:val="nil"/>
            </w:tcBorders>
            <w:shd w:val="clear" w:color="auto" w:fill="auto"/>
            <w:noWrap/>
            <w:vAlign w:val="center"/>
            <w:hideMark/>
          </w:tcPr>
          <w:p w14:paraId="7B8C629D"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916" w:type="dxa"/>
            <w:tcBorders>
              <w:top w:val="nil"/>
              <w:left w:val="nil"/>
              <w:bottom w:val="nil"/>
              <w:right w:val="nil"/>
            </w:tcBorders>
            <w:shd w:val="clear" w:color="auto" w:fill="auto"/>
            <w:noWrap/>
            <w:vAlign w:val="center"/>
          </w:tcPr>
          <w:p w14:paraId="53B029C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18,947</w:t>
            </w:r>
          </w:p>
        </w:tc>
        <w:tc>
          <w:tcPr>
            <w:tcW w:w="1196" w:type="dxa"/>
            <w:tcBorders>
              <w:top w:val="nil"/>
              <w:left w:val="nil"/>
              <w:bottom w:val="nil"/>
              <w:right w:val="nil"/>
            </w:tcBorders>
            <w:shd w:val="clear" w:color="auto" w:fill="E7E6E6"/>
            <w:noWrap/>
            <w:vAlign w:val="center"/>
            <w:hideMark/>
          </w:tcPr>
          <w:p w14:paraId="283FA42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19,176</w:t>
            </w:r>
          </w:p>
        </w:tc>
      </w:tr>
      <w:tr w:rsidR="005C5CED" w:rsidRPr="005C5CED" w14:paraId="5D347BCC" w14:textId="77777777" w:rsidTr="005C5CED">
        <w:trPr>
          <w:trHeight w:val="342"/>
        </w:trPr>
        <w:tc>
          <w:tcPr>
            <w:tcW w:w="3402" w:type="dxa"/>
            <w:tcBorders>
              <w:top w:val="nil"/>
              <w:left w:val="nil"/>
              <w:bottom w:val="nil"/>
              <w:right w:val="nil"/>
            </w:tcBorders>
            <w:shd w:val="clear" w:color="auto" w:fill="auto"/>
            <w:noWrap/>
            <w:vAlign w:val="center"/>
            <w:hideMark/>
          </w:tcPr>
          <w:p w14:paraId="3A1EAAC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Government grants</w:t>
            </w:r>
          </w:p>
        </w:tc>
        <w:tc>
          <w:tcPr>
            <w:tcW w:w="1110" w:type="dxa"/>
            <w:tcBorders>
              <w:top w:val="nil"/>
              <w:left w:val="nil"/>
              <w:bottom w:val="nil"/>
              <w:right w:val="nil"/>
            </w:tcBorders>
            <w:shd w:val="clear" w:color="auto" w:fill="auto"/>
            <w:noWrap/>
            <w:vAlign w:val="center"/>
            <w:hideMark/>
          </w:tcPr>
          <w:p w14:paraId="458B34C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2.2</w:t>
            </w:r>
          </w:p>
        </w:tc>
        <w:tc>
          <w:tcPr>
            <w:tcW w:w="1916" w:type="dxa"/>
            <w:tcBorders>
              <w:top w:val="nil"/>
              <w:left w:val="nil"/>
              <w:bottom w:val="nil"/>
              <w:right w:val="nil"/>
            </w:tcBorders>
            <w:shd w:val="clear" w:color="auto" w:fill="auto"/>
            <w:noWrap/>
            <w:vAlign w:val="center"/>
          </w:tcPr>
          <w:p w14:paraId="0874292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67,352</w:t>
            </w:r>
          </w:p>
        </w:tc>
        <w:tc>
          <w:tcPr>
            <w:tcW w:w="1196" w:type="dxa"/>
            <w:tcBorders>
              <w:top w:val="nil"/>
              <w:left w:val="nil"/>
              <w:bottom w:val="nil"/>
              <w:right w:val="nil"/>
            </w:tcBorders>
            <w:shd w:val="clear" w:color="auto" w:fill="E7E6E6"/>
            <w:noWrap/>
            <w:vAlign w:val="center"/>
            <w:hideMark/>
          </w:tcPr>
          <w:p w14:paraId="6B5CABB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61,539</w:t>
            </w:r>
          </w:p>
        </w:tc>
      </w:tr>
      <w:tr w:rsidR="005C5CED" w:rsidRPr="005C5CED" w14:paraId="2F793939" w14:textId="77777777" w:rsidTr="005C5CED">
        <w:trPr>
          <w:trHeight w:val="342"/>
        </w:trPr>
        <w:tc>
          <w:tcPr>
            <w:tcW w:w="3402" w:type="dxa"/>
            <w:tcBorders>
              <w:top w:val="nil"/>
              <w:left w:val="nil"/>
              <w:bottom w:val="nil"/>
              <w:right w:val="nil"/>
            </w:tcBorders>
            <w:shd w:val="clear" w:color="auto" w:fill="auto"/>
            <w:noWrap/>
            <w:vAlign w:val="center"/>
            <w:hideMark/>
          </w:tcPr>
          <w:p w14:paraId="417E25B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Interest</w:t>
            </w:r>
          </w:p>
        </w:tc>
        <w:tc>
          <w:tcPr>
            <w:tcW w:w="1110" w:type="dxa"/>
            <w:tcBorders>
              <w:top w:val="nil"/>
              <w:left w:val="nil"/>
              <w:right w:val="nil"/>
            </w:tcBorders>
            <w:shd w:val="clear" w:color="auto" w:fill="auto"/>
            <w:noWrap/>
            <w:vAlign w:val="center"/>
            <w:hideMark/>
          </w:tcPr>
          <w:p w14:paraId="1F7A9B5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916" w:type="dxa"/>
            <w:tcBorders>
              <w:top w:val="nil"/>
              <w:left w:val="nil"/>
              <w:right w:val="nil"/>
            </w:tcBorders>
            <w:shd w:val="clear" w:color="auto" w:fill="auto"/>
            <w:noWrap/>
            <w:vAlign w:val="center"/>
          </w:tcPr>
          <w:p w14:paraId="3DA5ACE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3,503</w:t>
            </w:r>
          </w:p>
        </w:tc>
        <w:tc>
          <w:tcPr>
            <w:tcW w:w="1196" w:type="dxa"/>
            <w:tcBorders>
              <w:top w:val="nil"/>
              <w:left w:val="nil"/>
              <w:right w:val="nil"/>
            </w:tcBorders>
            <w:shd w:val="clear" w:color="auto" w:fill="E7E6E6"/>
            <w:noWrap/>
            <w:vAlign w:val="center"/>
            <w:hideMark/>
          </w:tcPr>
          <w:p w14:paraId="17E7B78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2,439</w:t>
            </w:r>
          </w:p>
        </w:tc>
      </w:tr>
      <w:tr w:rsidR="005C5CED" w:rsidRPr="005C5CED" w14:paraId="2E05C9CA" w14:textId="77777777" w:rsidTr="005C5CED">
        <w:trPr>
          <w:trHeight w:val="342"/>
        </w:trPr>
        <w:tc>
          <w:tcPr>
            <w:tcW w:w="3402" w:type="dxa"/>
            <w:tcBorders>
              <w:top w:val="nil"/>
              <w:left w:val="nil"/>
              <w:bottom w:val="nil"/>
              <w:right w:val="nil"/>
            </w:tcBorders>
            <w:shd w:val="clear" w:color="auto" w:fill="auto"/>
            <w:noWrap/>
            <w:vAlign w:val="center"/>
          </w:tcPr>
          <w:p w14:paraId="5894FE7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income from Government</w:t>
            </w:r>
          </w:p>
        </w:tc>
        <w:tc>
          <w:tcPr>
            <w:tcW w:w="1110" w:type="dxa"/>
            <w:tcBorders>
              <w:top w:val="nil"/>
              <w:left w:val="nil"/>
              <w:right w:val="nil"/>
            </w:tcBorders>
            <w:shd w:val="clear" w:color="auto" w:fill="auto"/>
            <w:noWrap/>
            <w:vAlign w:val="center"/>
          </w:tcPr>
          <w:p w14:paraId="66F4303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2.3</w:t>
            </w:r>
          </w:p>
        </w:tc>
        <w:tc>
          <w:tcPr>
            <w:tcW w:w="1916" w:type="dxa"/>
            <w:tcBorders>
              <w:top w:val="nil"/>
              <w:left w:val="nil"/>
              <w:right w:val="nil"/>
            </w:tcBorders>
            <w:shd w:val="clear" w:color="auto" w:fill="auto"/>
            <w:noWrap/>
            <w:vAlign w:val="center"/>
          </w:tcPr>
          <w:p w14:paraId="40EAA54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199</w:t>
            </w:r>
          </w:p>
        </w:tc>
        <w:tc>
          <w:tcPr>
            <w:tcW w:w="1196" w:type="dxa"/>
            <w:tcBorders>
              <w:top w:val="nil"/>
              <w:left w:val="nil"/>
              <w:right w:val="nil"/>
            </w:tcBorders>
            <w:shd w:val="clear" w:color="auto" w:fill="E7E6E6"/>
            <w:noWrap/>
            <w:vAlign w:val="center"/>
          </w:tcPr>
          <w:p w14:paraId="04D3022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255</w:t>
            </w:r>
          </w:p>
        </w:tc>
      </w:tr>
      <w:tr w:rsidR="005C5CED" w:rsidRPr="005C5CED" w14:paraId="53279690" w14:textId="77777777" w:rsidTr="005C5CED">
        <w:trPr>
          <w:trHeight w:val="342"/>
        </w:trPr>
        <w:tc>
          <w:tcPr>
            <w:tcW w:w="3402" w:type="dxa"/>
            <w:tcBorders>
              <w:top w:val="nil"/>
              <w:left w:val="nil"/>
              <w:bottom w:val="nil"/>
              <w:right w:val="nil"/>
            </w:tcBorders>
            <w:shd w:val="clear" w:color="auto" w:fill="auto"/>
            <w:noWrap/>
            <w:vAlign w:val="center"/>
            <w:hideMark/>
          </w:tcPr>
          <w:p w14:paraId="2F1B126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income</w:t>
            </w:r>
          </w:p>
        </w:tc>
        <w:tc>
          <w:tcPr>
            <w:tcW w:w="1110" w:type="dxa"/>
            <w:tcBorders>
              <w:left w:val="nil"/>
              <w:bottom w:val="single" w:sz="4" w:space="0" w:color="auto"/>
              <w:right w:val="nil"/>
            </w:tcBorders>
            <w:shd w:val="clear" w:color="auto" w:fill="auto"/>
            <w:noWrap/>
            <w:vAlign w:val="center"/>
            <w:hideMark/>
          </w:tcPr>
          <w:p w14:paraId="3C9D4F2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2.3</w:t>
            </w:r>
          </w:p>
        </w:tc>
        <w:tc>
          <w:tcPr>
            <w:tcW w:w="1916" w:type="dxa"/>
            <w:tcBorders>
              <w:left w:val="nil"/>
              <w:bottom w:val="single" w:sz="4" w:space="0" w:color="auto"/>
              <w:right w:val="nil"/>
            </w:tcBorders>
            <w:shd w:val="clear" w:color="auto" w:fill="auto"/>
            <w:noWrap/>
            <w:vAlign w:val="center"/>
          </w:tcPr>
          <w:p w14:paraId="79F2A0A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3,101</w:t>
            </w:r>
          </w:p>
        </w:tc>
        <w:tc>
          <w:tcPr>
            <w:tcW w:w="1196" w:type="dxa"/>
            <w:tcBorders>
              <w:left w:val="nil"/>
              <w:bottom w:val="single" w:sz="4" w:space="0" w:color="auto"/>
              <w:right w:val="nil"/>
            </w:tcBorders>
            <w:shd w:val="clear" w:color="auto" w:fill="E7E6E6"/>
            <w:noWrap/>
            <w:vAlign w:val="center"/>
            <w:hideMark/>
          </w:tcPr>
          <w:p w14:paraId="6C09E87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3,194</w:t>
            </w:r>
          </w:p>
        </w:tc>
      </w:tr>
      <w:tr w:rsidR="005C5CED" w:rsidRPr="005C5CED" w14:paraId="772C0069" w14:textId="77777777" w:rsidTr="005C5CED">
        <w:trPr>
          <w:trHeight w:val="424"/>
        </w:trPr>
        <w:tc>
          <w:tcPr>
            <w:tcW w:w="4512" w:type="dxa"/>
            <w:gridSpan w:val="2"/>
            <w:tcBorders>
              <w:top w:val="single" w:sz="4" w:space="0" w:color="auto"/>
              <w:left w:val="nil"/>
              <w:bottom w:val="single" w:sz="4" w:space="0" w:color="auto"/>
              <w:right w:val="nil"/>
            </w:tcBorders>
            <w:shd w:val="clear" w:color="auto" w:fill="auto"/>
            <w:noWrap/>
            <w:vAlign w:val="center"/>
            <w:hideMark/>
          </w:tcPr>
          <w:p w14:paraId="30C7E5DC"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income from transactions</w:t>
            </w:r>
          </w:p>
        </w:tc>
        <w:tc>
          <w:tcPr>
            <w:tcW w:w="1916" w:type="dxa"/>
            <w:tcBorders>
              <w:top w:val="nil"/>
              <w:left w:val="nil"/>
              <w:bottom w:val="single" w:sz="4" w:space="0" w:color="auto"/>
              <w:right w:val="nil"/>
            </w:tcBorders>
            <w:shd w:val="clear" w:color="auto" w:fill="auto"/>
            <w:noWrap/>
            <w:vAlign w:val="center"/>
          </w:tcPr>
          <w:p w14:paraId="7FC9F0B3" w14:textId="77777777" w:rsidR="005C5CED" w:rsidRPr="005C5CED" w:rsidRDefault="005C5CED" w:rsidP="005C5CED">
            <w:pPr>
              <w:spacing w:after="0" w:line="240" w:lineRule="auto"/>
              <w:jc w:val="right"/>
              <w:rPr>
                <w:rFonts w:eastAsia="Times New Roman" w:cs="Arial"/>
                <w:b/>
                <w:bCs/>
                <w:color w:val="auto"/>
                <w:sz w:val="16"/>
                <w:szCs w:val="16"/>
                <w:lang w:eastAsia="en-AU"/>
              </w:rPr>
            </w:pPr>
          </w:p>
          <w:p w14:paraId="012403A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93,102</w:t>
            </w:r>
          </w:p>
        </w:tc>
        <w:tc>
          <w:tcPr>
            <w:tcW w:w="1196" w:type="dxa"/>
            <w:tcBorders>
              <w:top w:val="nil"/>
              <w:left w:val="nil"/>
              <w:bottom w:val="single" w:sz="4" w:space="0" w:color="auto"/>
              <w:right w:val="nil"/>
            </w:tcBorders>
            <w:shd w:val="clear" w:color="auto" w:fill="E7E6E6"/>
            <w:noWrap/>
            <w:vAlign w:val="center"/>
            <w:hideMark/>
          </w:tcPr>
          <w:p w14:paraId="5DADFF6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86,603 </w:t>
            </w:r>
          </w:p>
        </w:tc>
      </w:tr>
    </w:tbl>
    <w:p w14:paraId="6E18BA52" w14:textId="77777777" w:rsidR="005C5CED" w:rsidRPr="005C5CED" w:rsidRDefault="005C5CED" w:rsidP="005C5CED">
      <w:pPr>
        <w:spacing w:after="0" w:line="240" w:lineRule="auto"/>
        <w:rPr>
          <w:rFonts w:eastAsia="Times New Roman" w:cs="Arial"/>
          <w:color w:val="auto"/>
          <w:sz w:val="16"/>
          <w:szCs w:val="16"/>
          <w:lang w:eastAsia="en-AU"/>
        </w:rPr>
      </w:pPr>
    </w:p>
    <w:p w14:paraId="45B0D77F" w14:textId="77777777" w:rsidR="005C5CED" w:rsidRPr="005C5CED" w:rsidRDefault="005C5CED" w:rsidP="005C5CED">
      <w:pPr>
        <w:spacing w:after="0" w:line="240" w:lineRule="auto"/>
        <w:rPr>
          <w:rFonts w:eastAsia="Times New Roman" w:cs="Arial"/>
          <w:color w:val="auto"/>
          <w:sz w:val="16"/>
          <w:szCs w:val="16"/>
          <w:lang w:eastAsia="en-AU"/>
        </w:rPr>
      </w:pPr>
    </w:p>
    <w:p w14:paraId="2C47F8C8"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 xml:space="preserve">The Municipal and Industrial Waste Levies are amounts received by Sustainability Victoria from the Department of Energy, Environment and Climate Action (DEECA) under the </w:t>
      </w:r>
      <w:r w:rsidRPr="005C5CED">
        <w:rPr>
          <w:rFonts w:eastAsia="Calibri" w:cs="Arial"/>
          <w:i/>
          <w:iCs/>
          <w:color w:val="auto"/>
          <w:lang w:eastAsia="en-AU"/>
        </w:rPr>
        <w:t>Environment Protection (Distribution of Landfill Levy) Regulations 2021</w:t>
      </w:r>
      <w:r w:rsidRPr="005C5CED">
        <w:rPr>
          <w:rFonts w:eastAsia="Calibri" w:cs="Arial"/>
          <w:color w:val="auto"/>
          <w:lang w:eastAsia="en-AU"/>
        </w:rPr>
        <w:t xml:space="preserve">, net of base and efficiency review savings. Landfill levies are recognised as income under AASB 1058 </w:t>
      </w:r>
      <w:r w:rsidRPr="005C5CED">
        <w:rPr>
          <w:rFonts w:eastAsia="Calibri" w:cs="Arial"/>
          <w:i/>
          <w:iCs/>
          <w:color w:val="auto"/>
          <w:lang w:eastAsia="en-AU"/>
        </w:rPr>
        <w:t xml:space="preserve">Income of Not-for-Profit Entities </w:t>
      </w:r>
      <w:r w:rsidRPr="005C5CED">
        <w:rPr>
          <w:rFonts w:eastAsia="Calibri" w:cs="Arial"/>
          <w:color w:val="auto"/>
          <w:lang w:eastAsia="en-AU"/>
        </w:rPr>
        <w:t xml:space="preserve">as non-contractual income arising from statutory requirements. Municipal and Industrial Waste Levy revenue is recorded in the period which Sustainability Victoria becomes party to the contractual provisions of </w:t>
      </w:r>
      <w:r w:rsidRPr="005C5CED">
        <w:rPr>
          <w:rFonts w:eastAsia="Calibri" w:cs="Arial"/>
          <w:color w:val="auto"/>
          <w:lang w:eastAsia="en-AU"/>
        </w:rPr>
        <w:lastRenderedPageBreak/>
        <w:t>the payments; therefore, revenue is accrued in advance during the relevant quarter while cash payment is received in the following quarter.</w:t>
      </w:r>
    </w:p>
    <w:p w14:paraId="601FDBBC"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Interest income includes interest received on financial assets held within the central banking system. Interest income is recognised using the effective interest method which allocates the interest over the relevant period.</w:t>
      </w:r>
      <w:r w:rsidRPr="005C5CED">
        <w:rPr>
          <w:rFonts w:eastAsia="Calibri" w:cs="Arial"/>
          <w:color w:val="auto"/>
          <w:lang w:eastAsia="en-AU"/>
        </w:rPr>
        <w:br w:type="page"/>
      </w:r>
    </w:p>
    <w:p w14:paraId="413D9549" w14:textId="77777777" w:rsidR="005C5CED" w:rsidRPr="005C5CED" w:rsidRDefault="005C5CED" w:rsidP="005C5CED">
      <w:pPr>
        <w:keepNext/>
        <w:keepLines/>
        <w:spacing w:before="240" w:after="60" w:line="240" w:lineRule="auto"/>
        <w:outlineLvl w:val="3"/>
        <w:rPr>
          <w:rFonts w:eastAsia="Times New Roman" w:cs="Times New Roman"/>
          <w:color w:val="000000"/>
          <w:sz w:val="16"/>
          <w:szCs w:val="16"/>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lastRenderedPageBreak/>
        <w:t>Note 2.2 Government grants</w:t>
      </w:r>
    </w:p>
    <w:tbl>
      <w:tblPr>
        <w:tblW w:w="8084" w:type="dxa"/>
        <w:tblLook w:val="04A0" w:firstRow="1" w:lastRow="0" w:firstColumn="1" w:lastColumn="0" w:noHBand="0" w:noVBand="1"/>
      </w:tblPr>
      <w:tblGrid>
        <w:gridCol w:w="4076"/>
        <w:gridCol w:w="1976"/>
        <w:gridCol w:w="836"/>
        <w:gridCol w:w="1196"/>
      </w:tblGrid>
      <w:tr w:rsidR="005C5CED" w:rsidRPr="005C5CED" w14:paraId="3CC1AA1C" w14:textId="77777777" w:rsidTr="0062462F">
        <w:trPr>
          <w:trHeight w:val="225"/>
        </w:trPr>
        <w:tc>
          <w:tcPr>
            <w:tcW w:w="4076" w:type="dxa"/>
            <w:tcBorders>
              <w:top w:val="single" w:sz="4" w:space="0" w:color="auto"/>
              <w:left w:val="nil"/>
              <w:bottom w:val="nil"/>
              <w:right w:val="nil"/>
            </w:tcBorders>
            <w:shd w:val="clear" w:color="000000" w:fill="000000"/>
            <w:noWrap/>
            <w:vAlign w:val="bottom"/>
            <w:hideMark/>
          </w:tcPr>
          <w:p w14:paraId="7294F120"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76" w:type="dxa"/>
            <w:tcBorders>
              <w:top w:val="single" w:sz="4" w:space="0" w:color="auto"/>
              <w:left w:val="nil"/>
              <w:bottom w:val="nil"/>
              <w:right w:val="nil"/>
            </w:tcBorders>
            <w:shd w:val="clear" w:color="000000" w:fill="000000"/>
            <w:noWrap/>
            <w:vAlign w:val="bottom"/>
            <w:hideMark/>
          </w:tcPr>
          <w:p w14:paraId="56F35022"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Notes</w:t>
            </w:r>
          </w:p>
        </w:tc>
        <w:tc>
          <w:tcPr>
            <w:tcW w:w="836" w:type="dxa"/>
            <w:tcBorders>
              <w:top w:val="single" w:sz="4" w:space="0" w:color="auto"/>
              <w:left w:val="nil"/>
              <w:bottom w:val="nil"/>
              <w:right w:val="nil"/>
            </w:tcBorders>
            <w:shd w:val="clear" w:color="000000" w:fill="000000"/>
            <w:noWrap/>
            <w:vAlign w:val="bottom"/>
            <w:hideMark/>
          </w:tcPr>
          <w:p w14:paraId="4F561DC3"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196" w:type="dxa"/>
            <w:tcBorders>
              <w:top w:val="single" w:sz="4" w:space="0" w:color="auto"/>
              <w:left w:val="nil"/>
              <w:bottom w:val="nil"/>
              <w:right w:val="nil"/>
            </w:tcBorders>
            <w:shd w:val="clear" w:color="000000" w:fill="000000"/>
            <w:noWrap/>
            <w:vAlign w:val="bottom"/>
            <w:hideMark/>
          </w:tcPr>
          <w:p w14:paraId="35C0B3E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2CFD57F7" w14:textId="77777777" w:rsidTr="0062462F">
        <w:trPr>
          <w:trHeight w:val="225"/>
        </w:trPr>
        <w:tc>
          <w:tcPr>
            <w:tcW w:w="4076" w:type="dxa"/>
            <w:tcBorders>
              <w:top w:val="nil"/>
              <w:left w:val="nil"/>
              <w:bottom w:val="single" w:sz="4" w:space="0" w:color="auto"/>
              <w:right w:val="nil"/>
            </w:tcBorders>
            <w:shd w:val="clear" w:color="000000" w:fill="000000"/>
            <w:noWrap/>
            <w:vAlign w:val="bottom"/>
            <w:hideMark/>
          </w:tcPr>
          <w:p w14:paraId="6CA7D92C"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76" w:type="dxa"/>
            <w:tcBorders>
              <w:top w:val="nil"/>
              <w:left w:val="nil"/>
              <w:bottom w:val="single" w:sz="4" w:space="0" w:color="auto"/>
              <w:right w:val="nil"/>
            </w:tcBorders>
            <w:shd w:val="clear" w:color="000000" w:fill="000000"/>
            <w:noWrap/>
            <w:vAlign w:val="bottom"/>
            <w:hideMark/>
          </w:tcPr>
          <w:p w14:paraId="7E43677D"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836" w:type="dxa"/>
            <w:tcBorders>
              <w:top w:val="nil"/>
              <w:left w:val="nil"/>
              <w:bottom w:val="single" w:sz="4" w:space="0" w:color="auto"/>
              <w:right w:val="nil"/>
            </w:tcBorders>
            <w:shd w:val="clear" w:color="000000" w:fill="000000"/>
            <w:noWrap/>
            <w:vAlign w:val="bottom"/>
            <w:hideMark/>
          </w:tcPr>
          <w:p w14:paraId="7AE62603"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96" w:type="dxa"/>
            <w:tcBorders>
              <w:top w:val="nil"/>
              <w:left w:val="nil"/>
              <w:bottom w:val="single" w:sz="4" w:space="0" w:color="auto"/>
              <w:right w:val="nil"/>
            </w:tcBorders>
            <w:shd w:val="clear" w:color="000000" w:fill="000000"/>
            <w:noWrap/>
            <w:vAlign w:val="bottom"/>
            <w:hideMark/>
          </w:tcPr>
          <w:p w14:paraId="6A4D27D0"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533966F6" w14:textId="77777777" w:rsidTr="0062462F">
        <w:trPr>
          <w:trHeight w:val="342"/>
        </w:trPr>
        <w:tc>
          <w:tcPr>
            <w:tcW w:w="4076" w:type="dxa"/>
            <w:tcBorders>
              <w:top w:val="nil"/>
              <w:left w:val="nil"/>
              <w:bottom w:val="nil"/>
              <w:right w:val="nil"/>
            </w:tcBorders>
            <w:shd w:val="clear" w:color="auto" w:fill="auto"/>
            <w:noWrap/>
            <w:vAlign w:val="center"/>
            <w:hideMark/>
          </w:tcPr>
          <w:p w14:paraId="0E246CC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Sustainability Fund grants to Sustainability Victoria</w:t>
            </w:r>
          </w:p>
        </w:tc>
        <w:tc>
          <w:tcPr>
            <w:tcW w:w="1976" w:type="dxa"/>
            <w:tcBorders>
              <w:top w:val="nil"/>
              <w:left w:val="nil"/>
              <w:bottom w:val="nil"/>
              <w:right w:val="nil"/>
            </w:tcBorders>
            <w:shd w:val="clear" w:color="auto" w:fill="auto"/>
            <w:noWrap/>
            <w:vAlign w:val="center"/>
            <w:hideMark/>
          </w:tcPr>
          <w:p w14:paraId="266EFF0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836" w:type="dxa"/>
            <w:tcBorders>
              <w:top w:val="nil"/>
              <w:left w:val="nil"/>
              <w:bottom w:val="nil"/>
              <w:right w:val="nil"/>
            </w:tcBorders>
            <w:shd w:val="clear" w:color="auto" w:fill="auto"/>
            <w:noWrap/>
            <w:vAlign w:val="center"/>
          </w:tcPr>
          <w:p w14:paraId="0B3A10A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51,100</w:t>
            </w:r>
          </w:p>
        </w:tc>
        <w:tc>
          <w:tcPr>
            <w:tcW w:w="1196" w:type="dxa"/>
            <w:tcBorders>
              <w:top w:val="nil"/>
              <w:left w:val="nil"/>
              <w:bottom w:val="nil"/>
              <w:right w:val="nil"/>
            </w:tcBorders>
            <w:shd w:val="clear" w:color="000000" w:fill="E7E6E6"/>
            <w:noWrap/>
            <w:vAlign w:val="center"/>
            <w:hideMark/>
          </w:tcPr>
          <w:p w14:paraId="4D9E769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58,802</w:t>
            </w:r>
          </w:p>
        </w:tc>
      </w:tr>
      <w:tr w:rsidR="005C5CED" w:rsidRPr="005C5CED" w14:paraId="5D7D7D53" w14:textId="77777777" w:rsidTr="0062462F">
        <w:trPr>
          <w:trHeight w:val="342"/>
        </w:trPr>
        <w:tc>
          <w:tcPr>
            <w:tcW w:w="4076" w:type="dxa"/>
            <w:tcBorders>
              <w:top w:val="nil"/>
              <w:left w:val="nil"/>
              <w:bottom w:val="nil"/>
              <w:right w:val="nil"/>
            </w:tcBorders>
            <w:shd w:val="clear" w:color="auto" w:fill="auto"/>
            <w:noWrap/>
            <w:vAlign w:val="center"/>
            <w:hideMark/>
          </w:tcPr>
          <w:p w14:paraId="5C2FC3D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Government initiatives funding</w:t>
            </w:r>
          </w:p>
        </w:tc>
        <w:tc>
          <w:tcPr>
            <w:tcW w:w="1976" w:type="dxa"/>
            <w:tcBorders>
              <w:top w:val="nil"/>
              <w:left w:val="nil"/>
              <w:bottom w:val="nil"/>
              <w:right w:val="nil"/>
            </w:tcBorders>
            <w:shd w:val="clear" w:color="auto" w:fill="auto"/>
            <w:noWrap/>
            <w:vAlign w:val="center"/>
            <w:hideMark/>
          </w:tcPr>
          <w:p w14:paraId="2F799641"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836" w:type="dxa"/>
            <w:tcBorders>
              <w:top w:val="nil"/>
              <w:left w:val="nil"/>
              <w:bottom w:val="nil"/>
              <w:right w:val="nil"/>
            </w:tcBorders>
            <w:shd w:val="clear" w:color="auto" w:fill="auto"/>
            <w:noWrap/>
            <w:vAlign w:val="center"/>
          </w:tcPr>
          <w:p w14:paraId="6686127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16,252</w:t>
            </w:r>
          </w:p>
        </w:tc>
        <w:tc>
          <w:tcPr>
            <w:tcW w:w="1196" w:type="dxa"/>
            <w:tcBorders>
              <w:top w:val="nil"/>
              <w:left w:val="nil"/>
              <w:bottom w:val="nil"/>
              <w:right w:val="nil"/>
            </w:tcBorders>
            <w:shd w:val="clear" w:color="000000" w:fill="E7E6E6"/>
            <w:noWrap/>
            <w:vAlign w:val="center"/>
            <w:hideMark/>
          </w:tcPr>
          <w:p w14:paraId="407ED9F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2,737</w:t>
            </w:r>
          </w:p>
        </w:tc>
      </w:tr>
      <w:tr w:rsidR="005C5CED" w:rsidRPr="005C5CED" w14:paraId="371BB713" w14:textId="77777777" w:rsidTr="0062462F">
        <w:trPr>
          <w:trHeight w:val="424"/>
        </w:trPr>
        <w:tc>
          <w:tcPr>
            <w:tcW w:w="4076" w:type="dxa"/>
            <w:tcBorders>
              <w:top w:val="single" w:sz="4" w:space="0" w:color="auto"/>
              <w:left w:val="nil"/>
              <w:bottom w:val="single" w:sz="4" w:space="0" w:color="auto"/>
              <w:right w:val="nil"/>
            </w:tcBorders>
            <w:shd w:val="clear" w:color="auto" w:fill="auto"/>
            <w:noWrap/>
            <w:vAlign w:val="center"/>
            <w:hideMark/>
          </w:tcPr>
          <w:p w14:paraId="323DBEC2"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revenue</w:t>
            </w:r>
          </w:p>
        </w:tc>
        <w:tc>
          <w:tcPr>
            <w:tcW w:w="1976" w:type="dxa"/>
            <w:tcBorders>
              <w:top w:val="single" w:sz="4" w:space="0" w:color="auto"/>
              <w:left w:val="nil"/>
              <w:bottom w:val="single" w:sz="4" w:space="0" w:color="auto"/>
              <w:right w:val="nil"/>
            </w:tcBorders>
            <w:shd w:val="clear" w:color="auto" w:fill="auto"/>
            <w:noWrap/>
            <w:vAlign w:val="center"/>
            <w:hideMark/>
          </w:tcPr>
          <w:p w14:paraId="05CBD7A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836" w:type="dxa"/>
            <w:tcBorders>
              <w:top w:val="single" w:sz="4" w:space="0" w:color="auto"/>
              <w:left w:val="nil"/>
              <w:bottom w:val="single" w:sz="4" w:space="0" w:color="auto"/>
              <w:right w:val="nil"/>
            </w:tcBorders>
            <w:shd w:val="clear" w:color="auto" w:fill="auto"/>
            <w:noWrap/>
            <w:vAlign w:val="center"/>
          </w:tcPr>
          <w:p w14:paraId="781C8D2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67,352</w:t>
            </w:r>
          </w:p>
        </w:tc>
        <w:tc>
          <w:tcPr>
            <w:tcW w:w="1196" w:type="dxa"/>
            <w:tcBorders>
              <w:top w:val="single" w:sz="4" w:space="0" w:color="auto"/>
              <w:left w:val="nil"/>
              <w:bottom w:val="single" w:sz="4" w:space="0" w:color="auto"/>
              <w:right w:val="nil"/>
            </w:tcBorders>
            <w:shd w:val="clear" w:color="000000" w:fill="E7E6E6"/>
            <w:noWrap/>
            <w:vAlign w:val="center"/>
            <w:hideMark/>
          </w:tcPr>
          <w:p w14:paraId="7A5F5A6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61,539</w:t>
            </w:r>
          </w:p>
        </w:tc>
      </w:tr>
      <w:tr w:rsidR="005C5CED" w:rsidRPr="005C5CED" w14:paraId="22C30B9E" w14:textId="77777777" w:rsidTr="0062462F">
        <w:trPr>
          <w:trHeight w:val="225"/>
        </w:trPr>
        <w:tc>
          <w:tcPr>
            <w:tcW w:w="4076" w:type="dxa"/>
            <w:tcBorders>
              <w:top w:val="nil"/>
              <w:left w:val="nil"/>
              <w:bottom w:val="nil"/>
              <w:right w:val="nil"/>
            </w:tcBorders>
            <w:shd w:val="clear" w:color="auto" w:fill="auto"/>
            <w:noWrap/>
            <w:vAlign w:val="bottom"/>
            <w:hideMark/>
          </w:tcPr>
          <w:p w14:paraId="3D4B1A69"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976" w:type="dxa"/>
            <w:tcBorders>
              <w:top w:val="nil"/>
              <w:left w:val="nil"/>
              <w:bottom w:val="nil"/>
              <w:right w:val="nil"/>
            </w:tcBorders>
            <w:shd w:val="clear" w:color="auto" w:fill="auto"/>
            <w:noWrap/>
            <w:vAlign w:val="bottom"/>
            <w:hideMark/>
          </w:tcPr>
          <w:p w14:paraId="05410511" w14:textId="77777777" w:rsidR="005C5CED" w:rsidRPr="005C5CED" w:rsidRDefault="005C5CED" w:rsidP="005C5CED">
            <w:pPr>
              <w:spacing w:after="0" w:line="240" w:lineRule="auto"/>
              <w:rPr>
                <w:rFonts w:eastAsia="Times New Roman" w:cs="Arial"/>
                <w:color w:val="auto"/>
                <w:szCs w:val="20"/>
                <w:lang w:eastAsia="en-AU"/>
              </w:rPr>
            </w:pPr>
          </w:p>
        </w:tc>
        <w:tc>
          <w:tcPr>
            <w:tcW w:w="836" w:type="dxa"/>
            <w:tcBorders>
              <w:top w:val="nil"/>
              <w:left w:val="nil"/>
              <w:bottom w:val="nil"/>
              <w:right w:val="nil"/>
            </w:tcBorders>
            <w:shd w:val="clear" w:color="auto" w:fill="auto"/>
            <w:noWrap/>
            <w:vAlign w:val="bottom"/>
          </w:tcPr>
          <w:p w14:paraId="2A6C0544" w14:textId="77777777" w:rsidR="005C5CED" w:rsidRPr="005C5CED" w:rsidRDefault="005C5CED" w:rsidP="005C5CED">
            <w:pPr>
              <w:spacing w:after="0" w:line="240" w:lineRule="auto"/>
              <w:rPr>
                <w:rFonts w:eastAsia="Times New Roman" w:cs="Arial"/>
                <w:color w:val="auto"/>
                <w:szCs w:val="20"/>
                <w:lang w:eastAsia="en-AU"/>
              </w:rPr>
            </w:pPr>
          </w:p>
        </w:tc>
        <w:tc>
          <w:tcPr>
            <w:tcW w:w="1196" w:type="dxa"/>
            <w:tcBorders>
              <w:top w:val="nil"/>
              <w:left w:val="nil"/>
              <w:bottom w:val="nil"/>
              <w:right w:val="nil"/>
            </w:tcBorders>
            <w:shd w:val="clear" w:color="000000" w:fill="E7E6E6"/>
            <w:noWrap/>
            <w:vAlign w:val="bottom"/>
            <w:hideMark/>
          </w:tcPr>
          <w:p w14:paraId="0D12BC00"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2F2267CB" w14:textId="77777777" w:rsidTr="0062462F">
        <w:trPr>
          <w:trHeight w:val="342"/>
        </w:trPr>
        <w:tc>
          <w:tcPr>
            <w:tcW w:w="4076" w:type="dxa"/>
            <w:tcBorders>
              <w:top w:val="nil"/>
              <w:left w:val="nil"/>
              <w:bottom w:val="nil"/>
              <w:right w:val="nil"/>
            </w:tcBorders>
            <w:shd w:val="clear" w:color="auto" w:fill="auto"/>
            <w:noWrap/>
            <w:vAlign w:val="center"/>
            <w:hideMark/>
          </w:tcPr>
          <w:p w14:paraId="2FA1680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Recognised at a point in time</w:t>
            </w:r>
          </w:p>
        </w:tc>
        <w:tc>
          <w:tcPr>
            <w:tcW w:w="1976" w:type="dxa"/>
            <w:tcBorders>
              <w:top w:val="nil"/>
              <w:left w:val="nil"/>
              <w:bottom w:val="nil"/>
              <w:right w:val="nil"/>
            </w:tcBorders>
            <w:shd w:val="clear" w:color="auto" w:fill="auto"/>
            <w:noWrap/>
            <w:vAlign w:val="center"/>
            <w:hideMark/>
          </w:tcPr>
          <w:p w14:paraId="5E2137F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836" w:type="dxa"/>
            <w:tcBorders>
              <w:top w:val="nil"/>
              <w:left w:val="nil"/>
              <w:bottom w:val="nil"/>
              <w:right w:val="nil"/>
            </w:tcBorders>
            <w:shd w:val="clear" w:color="auto" w:fill="auto"/>
            <w:noWrap/>
            <w:vAlign w:val="center"/>
          </w:tcPr>
          <w:p w14:paraId="3B6C49D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49,013</w:t>
            </w:r>
          </w:p>
        </w:tc>
        <w:tc>
          <w:tcPr>
            <w:tcW w:w="1196" w:type="dxa"/>
            <w:tcBorders>
              <w:top w:val="nil"/>
              <w:left w:val="nil"/>
              <w:bottom w:val="nil"/>
              <w:right w:val="nil"/>
            </w:tcBorders>
            <w:shd w:val="clear" w:color="000000" w:fill="E7E6E6"/>
            <w:noWrap/>
            <w:vAlign w:val="center"/>
            <w:hideMark/>
          </w:tcPr>
          <w:p w14:paraId="4459411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38,505</w:t>
            </w:r>
          </w:p>
        </w:tc>
      </w:tr>
      <w:tr w:rsidR="005C5CED" w:rsidRPr="005C5CED" w14:paraId="6C0D34DE" w14:textId="77777777" w:rsidTr="0062462F">
        <w:trPr>
          <w:trHeight w:val="342"/>
        </w:trPr>
        <w:tc>
          <w:tcPr>
            <w:tcW w:w="4076" w:type="dxa"/>
            <w:tcBorders>
              <w:top w:val="nil"/>
              <w:left w:val="nil"/>
              <w:bottom w:val="nil"/>
              <w:right w:val="nil"/>
            </w:tcBorders>
            <w:shd w:val="clear" w:color="auto" w:fill="auto"/>
            <w:noWrap/>
            <w:vAlign w:val="center"/>
            <w:hideMark/>
          </w:tcPr>
          <w:p w14:paraId="55F4B42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Recognised over time</w:t>
            </w:r>
          </w:p>
        </w:tc>
        <w:tc>
          <w:tcPr>
            <w:tcW w:w="1976" w:type="dxa"/>
            <w:tcBorders>
              <w:top w:val="nil"/>
              <w:left w:val="nil"/>
              <w:bottom w:val="nil"/>
              <w:right w:val="nil"/>
            </w:tcBorders>
            <w:shd w:val="clear" w:color="auto" w:fill="auto"/>
            <w:noWrap/>
            <w:vAlign w:val="center"/>
            <w:hideMark/>
          </w:tcPr>
          <w:p w14:paraId="27B135F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836" w:type="dxa"/>
            <w:tcBorders>
              <w:top w:val="nil"/>
              <w:left w:val="nil"/>
              <w:bottom w:val="nil"/>
              <w:right w:val="nil"/>
            </w:tcBorders>
            <w:shd w:val="clear" w:color="auto" w:fill="auto"/>
            <w:noWrap/>
            <w:vAlign w:val="center"/>
          </w:tcPr>
          <w:p w14:paraId="546FCB6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18,339</w:t>
            </w:r>
          </w:p>
        </w:tc>
        <w:tc>
          <w:tcPr>
            <w:tcW w:w="1196" w:type="dxa"/>
            <w:tcBorders>
              <w:top w:val="nil"/>
              <w:left w:val="nil"/>
              <w:bottom w:val="nil"/>
              <w:right w:val="nil"/>
            </w:tcBorders>
            <w:shd w:val="clear" w:color="000000" w:fill="E7E6E6"/>
            <w:noWrap/>
            <w:vAlign w:val="center"/>
            <w:hideMark/>
          </w:tcPr>
          <w:p w14:paraId="5FDAE84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23,034</w:t>
            </w:r>
          </w:p>
        </w:tc>
      </w:tr>
      <w:tr w:rsidR="005C5CED" w:rsidRPr="005C5CED" w14:paraId="1C329525" w14:textId="77777777" w:rsidTr="0062462F">
        <w:trPr>
          <w:trHeight w:val="424"/>
        </w:trPr>
        <w:tc>
          <w:tcPr>
            <w:tcW w:w="4076" w:type="dxa"/>
            <w:tcBorders>
              <w:top w:val="single" w:sz="4" w:space="0" w:color="auto"/>
              <w:left w:val="nil"/>
              <w:bottom w:val="single" w:sz="4" w:space="0" w:color="auto"/>
              <w:right w:val="nil"/>
            </w:tcBorders>
            <w:shd w:val="clear" w:color="auto" w:fill="auto"/>
            <w:noWrap/>
            <w:vAlign w:val="center"/>
            <w:hideMark/>
          </w:tcPr>
          <w:p w14:paraId="51B22361"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revenue</w:t>
            </w:r>
          </w:p>
        </w:tc>
        <w:tc>
          <w:tcPr>
            <w:tcW w:w="1976" w:type="dxa"/>
            <w:tcBorders>
              <w:top w:val="single" w:sz="4" w:space="0" w:color="auto"/>
              <w:left w:val="nil"/>
              <w:bottom w:val="single" w:sz="4" w:space="0" w:color="auto"/>
              <w:right w:val="nil"/>
            </w:tcBorders>
            <w:shd w:val="clear" w:color="auto" w:fill="auto"/>
            <w:noWrap/>
            <w:vAlign w:val="center"/>
            <w:hideMark/>
          </w:tcPr>
          <w:p w14:paraId="3A042E7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836" w:type="dxa"/>
            <w:tcBorders>
              <w:top w:val="single" w:sz="4" w:space="0" w:color="auto"/>
              <w:left w:val="nil"/>
              <w:bottom w:val="single" w:sz="4" w:space="0" w:color="auto"/>
              <w:right w:val="nil"/>
            </w:tcBorders>
            <w:shd w:val="clear" w:color="auto" w:fill="auto"/>
            <w:noWrap/>
            <w:vAlign w:val="center"/>
          </w:tcPr>
          <w:p w14:paraId="4D771FC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67,352</w:t>
            </w:r>
          </w:p>
        </w:tc>
        <w:tc>
          <w:tcPr>
            <w:tcW w:w="1196" w:type="dxa"/>
            <w:tcBorders>
              <w:top w:val="single" w:sz="4" w:space="0" w:color="auto"/>
              <w:left w:val="nil"/>
              <w:bottom w:val="single" w:sz="4" w:space="0" w:color="auto"/>
              <w:right w:val="nil"/>
            </w:tcBorders>
            <w:shd w:val="clear" w:color="000000" w:fill="E7E6E6"/>
            <w:noWrap/>
            <w:vAlign w:val="center"/>
            <w:hideMark/>
          </w:tcPr>
          <w:p w14:paraId="6E0A4CD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61,539</w:t>
            </w:r>
          </w:p>
        </w:tc>
      </w:tr>
    </w:tbl>
    <w:p w14:paraId="5B907964" w14:textId="77777777" w:rsidR="005C5CED" w:rsidRPr="005C5CED" w:rsidRDefault="005C5CED" w:rsidP="005C5CED">
      <w:pPr>
        <w:spacing w:after="0" w:line="240" w:lineRule="auto"/>
        <w:rPr>
          <w:rFonts w:eastAsia="Times New Roman" w:cs="Arial"/>
          <w:color w:val="FF0000"/>
          <w:sz w:val="16"/>
          <w:szCs w:val="16"/>
          <w:lang w:eastAsia="en-AU"/>
        </w:rPr>
      </w:pPr>
    </w:p>
    <w:p w14:paraId="508DE012"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 xml:space="preserve">Revenue from grants received under enforceable contracts containing sufficiently specific performance obligations is accounted for in accordance with AASB 15 </w:t>
      </w:r>
      <w:bookmarkStart w:id="320" w:name="_Hlk134795457"/>
      <w:r w:rsidRPr="005C5CED">
        <w:rPr>
          <w:rFonts w:eastAsia="Calibri" w:cs="Arial"/>
          <w:i/>
          <w:iCs/>
          <w:color w:val="auto"/>
          <w:lang w:eastAsia="en-AU"/>
        </w:rPr>
        <w:t>Revenue from Contracts with Customers</w:t>
      </w:r>
      <w:bookmarkEnd w:id="320"/>
      <w:r w:rsidRPr="005C5CED">
        <w:rPr>
          <w:rFonts w:eastAsia="Calibri" w:cs="Arial"/>
          <w:color w:val="auto"/>
          <w:lang w:eastAsia="en-AU"/>
        </w:rPr>
        <w:t>.</w:t>
      </w:r>
    </w:p>
    <w:p w14:paraId="6DD9FE35"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Grant income is overwhelmingly supplied in instalments in advance of planned expenditure and is carried as a contract liability until revenue is recognised.</w:t>
      </w:r>
    </w:p>
    <w:p w14:paraId="5EFA3821"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Sustainability Victoria provides a range of project and professional services to its customers, primarily other Government agencies and departments.  These services include, among others:</w:t>
      </w:r>
    </w:p>
    <w:p w14:paraId="40483403" w14:textId="77777777" w:rsidR="005C5CED" w:rsidRPr="005C5CED" w:rsidRDefault="005C5CED" w:rsidP="00196A67">
      <w:pPr>
        <w:numPr>
          <w:ilvl w:val="0"/>
          <w:numId w:val="34"/>
        </w:numPr>
        <w:spacing w:after="0" w:line="240" w:lineRule="auto"/>
        <w:rPr>
          <w:rFonts w:eastAsia="Times New Roman" w:cs="Calibri"/>
          <w:color w:val="auto"/>
          <w:szCs w:val="24"/>
          <w:shd w:val="clear" w:color="auto" w:fill="FFFFFF"/>
          <w:lang w:eastAsia="en-AU"/>
        </w:rPr>
      </w:pPr>
      <w:r w:rsidRPr="005C5CED">
        <w:rPr>
          <w:rFonts w:eastAsia="Times New Roman" w:cs="Calibri"/>
          <w:color w:val="auto"/>
          <w:szCs w:val="24"/>
          <w:shd w:val="clear" w:color="auto" w:fill="FFFFFF"/>
          <w:lang w:eastAsia="en-AU"/>
        </w:rPr>
        <w:t>stakeholder engagement and consultation</w:t>
      </w:r>
    </w:p>
    <w:p w14:paraId="2D0031C1" w14:textId="77777777" w:rsidR="005C5CED" w:rsidRPr="005C5CED" w:rsidRDefault="005C5CED" w:rsidP="00196A67">
      <w:pPr>
        <w:numPr>
          <w:ilvl w:val="0"/>
          <w:numId w:val="34"/>
        </w:numPr>
        <w:spacing w:after="0" w:line="240" w:lineRule="auto"/>
        <w:rPr>
          <w:rFonts w:eastAsia="Times New Roman" w:cs="Calibri"/>
          <w:color w:val="auto"/>
          <w:szCs w:val="24"/>
          <w:shd w:val="clear" w:color="auto" w:fill="FFFFFF"/>
          <w:lang w:eastAsia="en-AU"/>
        </w:rPr>
      </w:pPr>
      <w:r w:rsidRPr="005C5CED">
        <w:rPr>
          <w:rFonts w:eastAsia="Times New Roman" w:cs="Calibri"/>
          <w:color w:val="auto"/>
          <w:szCs w:val="24"/>
          <w:shd w:val="clear" w:color="auto" w:fill="FFFFFF"/>
          <w:lang w:eastAsia="en-AU"/>
        </w:rPr>
        <w:t>project design, management, and delivery</w:t>
      </w:r>
    </w:p>
    <w:p w14:paraId="7B818AB5" w14:textId="77777777" w:rsidR="005C5CED" w:rsidRPr="005C5CED" w:rsidRDefault="005C5CED" w:rsidP="00196A67">
      <w:pPr>
        <w:numPr>
          <w:ilvl w:val="0"/>
          <w:numId w:val="34"/>
        </w:numPr>
        <w:spacing w:after="0" w:line="240" w:lineRule="auto"/>
        <w:rPr>
          <w:rFonts w:eastAsia="Times New Roman" w:cs="Calibri"/>
          <w:color w:val="auto"/>
          <w:szCs w:val="24"/>
          <w:shd w:val="clear" w:color="auto" w:fill="FFFFFF"/>
          <w:lang w:eastAsia="en-AU"/>
        </w:rPr>
      </w:pPr>
      <w:r w:rsidRPr="005C5CED">
        <w:rPr>
          <w:rFonts w:eastAsia="Times New Roman" w:cs="Calibri"/>
          <w:color w:val="auto"/>
          <w:szCs w:val="24"/>
          <w:shd w:val="clear" w:color="auto" w:fill="FFFFFF"/>
          <w:lang w:eastAsia="en-AU"/>
        </w:rPr>
        <w:t>grant programme design and delivery</w:t>
      </w:r>
    </w:p>
    <w:p w14:paraId="33B33A8A" w14:textId="77777777" w:rsidR="005C5CED" w:rsidRPr="005C5CED" w:rsidRDefault="005C5CED" w:rsidP="00196A67">
      <w:pPr>
        <w:numPr>
          <w:ilvl w:val="0"/>
          <w:numId w:val="34"/>
        </w:numPr>
        <w:spacing w:after="0" w:line="240" w:lineRule="auto"/>
        <w:rPr>
          <w:rFonts w:eastAsia="Times New Roman" w:cs="Calibri"/>
          <w:color w:val="auto"/>
          <w:szCs w:val="24"/>
          <w:shd w:val="clear" w:color="auto" w:fill="FFFFFF"/>
          <w:lang w:eastAsia="en-AU"/>
        </w:rPr>
      </w:pPr>
      <w:r w:rsidRPr="005C5CED">
        <w:rPr>
          <w:rFonts w:eastAsia="Times New Roman" w:cs="Calibri"/>
          <w:color w:val="auto"/>
          <w:szCs w:val="24"/>
          <w:shd w:val="clear" w:color="auto" w:fill="FFFFFF"/>
          <w:lang w:eastAsia="en-AU"/>
        </w:rPr>
        <w:t>social research design, execution, and evaluation</w:t>
      </w:r>
    </w:p>
    <w:p w14:paraId="7DD9927A" w14:textId="77777777" w:rsidR="005C5CED" w:rsidRPr="005C5CED" w:rsidRDefault="005C5CED" w:rsidP="00196A67">
      <w:pPr>
        <w:numPr>
          <w:ilvl w:val="0"/>
          <w:numId w:val="34"/>
        </w:numPr>
        <w:spacing w:after="0" w:line="240" w:lineRule="auto"/>
        <w:rPr>
          <w:rFonts w:eastAsia="Times New Roman" w:cs="Calibri"/>
          <w:color w:val="auto"/>
          <w:szCs w:val="24"/>
          <w:shd w:val="clear" w:color="auto" w:fill="FFFFFF"/>
          <w:lang w:eastAsia="en-AU"/>
        </w:rPr>
      </w:pPr>
      <w:r w:rsidRPr="005C5CED">
        <w:rPr>
          <w:rFonts w:eastAsia="Times New Roman" w:cs="Calibri"/>
          <w:color w:val="auto"/>
          <w:szCs w:val="24"/>
          <w:shd w:val="clear" w:color="auto" w:fill="FFFFFF"/>
          <w:lang w:eastAsia="en-AU"/>
        </w:rPr>
        <w:t>education, professional development, and campaigns for behaviour change.</w:t>
      </w:r>
    </w:p>
    <w:p w14:paraId="1ED54410" w14:textId="77777777" w:rsidR="005C5CED" w:rsidRPr="005C5CED" w:rsidRDefault="005C5CED" w:rsidP="005C5CED">
      <w:pPr>
        <w:spacing w:after="0" w:line="240" w:lineRule="auto"/>
        <w:rPr>
          <w:rFonts w:eastAsia="Times New Roman" w:cs="Arial"/>
          <w:color w:val="auto"/>
          <w:sz w:val="16"/>
          <w:szCs w:val="16"/>
          <w:lang w:eastAsia="en-AU"/>
        </w:rPr>
      </w:pPr>
    </w:p>
    <w:p w14:paraId="76A0E975"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Projects for which Sustainability Victoria is funded are complex with multiple, co-dependent outcomes that are not readily separable or individually valued and are consequently treated as a single performance obligation.</w:t>
      </w:r>
    </w:p>
    <w:p w14:paraId="162930EE"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 xml:space="preserve">Underlying contracts are in all material respects of the same form and impose consistent obligations to account for and report progress, revenue and expenditure and the treatment adopted applies to the portfolio of </w:t>
      </w:r>
      <w:proofErr w:type="gramStart"/>
      <w:r w:rsidRPr="005C5CED">
        <w:rPr>
          <w:rFonts w:eastAsia="Calibri" w:cs="Arial"/>
          <w:color w:val="auto"/>
          <w:lang w:eastAsia="en-AU"/>
        </w:rPr>
        <w:t>contracts as a whole</w:t>
      </w:r>
      <w:proofErr w:type="gramEnd"/>
      <w:r w:rsidRPr="005C5CED">
        <w:rPr>
          <w:rFonts w:eastAsia="Calibri" w:cs="Arial"/>
          <w:color w:val="auto"/>
          <w:lang w:eastAsia="en-AU"/>
        </w:rPr>
        <w:t>.</w:t>
      </w:r>
    </w:p>
    <w:p w14:paraId="4546E504"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Sustainability Victoria has determined that contracts are ‘fixed price’, and that program progress is best determined using the ‘input’ method, measured by reference to the expenditure in the period. Revenue is recognised at a point in time in accordance with measured progress at reporting milestone dates.</w:t>
      </w:r>
    </w:p>
    <w:p w14:paraId="4BCC9A07"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Grants payable are recognised at the time of disbursement to the grantee.</w:t>
      </w:r>
    </w:p>
    <w:p w14:paraId="033DD4A4"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Program management costs are partially funded by programs, comprise a small proportion of the total expenditure under any contract, and are not disaggregated for the purposes of revenue recognition.</w:t>
      </w:r>
    </w:p>
    <w:p w14:paraId="76133FBD" w14:textId="77777777" w:rsidR="005C5CED" w:rsidRPr="005C5CED" w:rsidRDefault="005C5CED" w:rsidP="005C5CED">
      <w:pPr>
        <w:keepNext/>
        <w:keepLines/>
        <w:spacing w:before="240" w:after="60" w:line="240" w:lineRule="auto"/>
        <w:outlineLvl w:val="3"/>
        <w:rPr>
          <w:rFonts w:eastAsia="Times New Roman" w:cs="Times New Roman"/>
          <w:color w:val="000000"/>
          <w:sz w:val="16"/>
          <w:szCs w:val="16"/>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t>Note 2.3 Revenue from other transactions</w:t>
      </w:r>
    </w:p>
    <w:tbl>
      <w:tblPr>
        <w:tblW w:w="8222" w:type="dxa"/>
        <w:tblLook w:val="04A0" w:firstRow="1" w:lastRow="0" w:firstColumn="1" w:lastColumn="0" w:noHBand="0" w:noVBand="1"/>
      </w:tblPr>
      <w:tblGrid>
        <w:gridCol w:w="4962"/>
        <w:gridCol w:w="1738"/>
        <w:gridCol w:w="771"/>
        <w:gridCol w:w="771"/>
      </w:tblGrid>
      <w:tr w:rsidR="005C5CED" w:rsidRPr="005C5CED" w14:paraId="2A0D8759" w14:textId="77777777" w:rsidTr="00D12B52">
        <w:trPr>
          <w:trHeight w:val="225"/>
        </w:trPr>
        <w:tc>
          <w:tcPr>
            <w:tcW w:w="4962" w:type="dxa"/>
            <w:tcBorders>
              <w:top w:val="single" w:sz="4" w:space="0" w:color="auto"/>
              <w:left w:val="nil"/>
              <w:bottom w:val="nil"/>
              <w:right w:val="nil"/>
            </w:tcBorders>
            <w:shd w:val="clear" w:color="000000" w:fill="000000"/>
            <w:noWrap/>
            <w:vAlign w:val="bottom"/>
            <w:hideMark/>
          </w:tcPr>
          <w:p w14:paraId="5B811D49"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738" w:type="dxa"/>
            <w:tcBorders>
              <w:top w:val="single" w:sz="4" w:space="0" w:color="auto"/>
              <w:left w:val="nil"/>
              <w:bottom w:val="nil"/>
              <w:right w:val="nil"/>
            </w:tcBorders>
            <w:shd w:val="clear" w:color="000000" w:fill="000000"/>
            <w:noWrap/>
            <w:vAlign w:val="bottom"/>
            <w:hideMark/>
          </w:tcPr>
          <w:p w14:paraId="034D7262"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Notes </w:t>
            </w:r>
          </w:p>
        </w:tc>
        <w:tc>
          <w:tcPr>
            <w:tcW w:w="771" w:type="dxa"/>
            <w:tcBorders>
              <w:top w:val="single" w:sz="4" w:space="0" w:color="auto"/>
              <w:left w:val="nil"/>
              <w:bottom w:val="nil"/>
              <w:right w:val="nil"/>
            </w:tcBorders>
            <w:shd w:val="clear" w:color="000000" w:fill="000000"/>
            <w:noWrap/>
            <w:vAlign w:val="bottom"/>
            <w:hideMark/>
          </w:tcPr>
          <w:p w14:paraId="4D29CC8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751" w:type="dxa"/>
            <w:tcBorders>
              <w:top w:val="single" w:sz="4" w:space="0" w:color="auto"/>
              <w:left w:val="nil"/>
              <w:bottom w:val="nil"/>
              <w:right w:val="nil"/>
            </w:tcBorders>
            <w:shd w:val="clear" w:color="000000" w:fill="000000"/>
            <w:noWrap/>
            <w:vAlign w:val="bottom"/>
            <w:hideMark/>
          </w:tcPr>
          <w:p w14:paraId="57992AD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17DBADF1" w14:textId="77777777" w:rsidTr="00D12B52">
        <w:trPr>
          <w:trHeight w:val="225"/>
        </w:trPr>
        <w:tc>
          <w:tcPr>
            <w:tcW w:w="4962" w:type="dxa"/>
            <w:tcBorders>
              <w:top w:val="nil"/>
              <w:left w:val="nil"/>
              <w:bottom w:val="single" w:sz="4" w:space="0" w:color="auto"/>
              <w:right w:val="nil"/>
            </w:tcBorders>
            <w:shd w:val="clear" w:color="000000" w:fill="000000"/>
            <w:noWrap/>
            <w:vAlign w:val="bottom"/>
            <w:hideMark/>
          </w:tcPr>
          <w:p w14:paraId="640E23D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738" w:type="dxa"/>
            <w:tcBorders>
              <w:top w:val="nil"/>
              <w:left w:val="nil"/>
              <w:bottom w:val="single" w:sz="4" w:space="0" w:color="auto"/>
              <w:right w:val="nil"/>
            </w:tcBorders>
            <w:shd w:val="clear" w:color="000000" w:fill="000000"/>
            <w:noWrap/>
            <w:vAlign w:val="bottom"/>
            <w:hideMark/>
          </w:tcPr>
          <w:p w14:paraId="0D82E0E1" w14:textId="77777777" w:rsidR="005C5CED" w:rsidRPr="005C5CED" w:rsidRDefault="005C5CED" w:rsidP="005C5CED">
            <w:pPr>
              <w:spacing w:after="0" w:line="240" w:lineRule="auto"/>
              <w:jc w:val="center"/>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771" w:type="dxa"/>
            <w:tcBorders>
              <w:top w:val="nil"/>
              <w:left w:val="nil"/>
              <w:bottom w:val="single" w:sz="4" w:space="0" w:color="auto"/>
              <w:right w:val="nil"/>
            </w:tcBorders>
            <w:shd w:val="clear" w:color="000000" w:fill="000000"/>
            <w:noWrap/>
            <w:vAlign w:val="bottom"/>
            <w:hideMark/>
          </w:tcPr>
          <w:p w14:paraId="70F9DA6C"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751" w:type="dxa"/>
            <w:tcBorders>
              <w:top w:val="nil"/>
              <w:left w:val="nil"/>
              <w:bottom w:val="single" w:sz="4" w:space="0" w:color="auto"/>
              <w:right w:val="nil"/>
            </w:tcBorders>
            <w:shd w:val="clear" w:color="000000" w:fill="000000"/>
            <w:noWrap/>
            <w:vAlign w:val="bottom"/>
            <w:hideMark/>
          </w:tcPr>
          <w:p w14:paraId="3C3D546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6C783436" w14:textId="77777777" w:rsidTr="00D12B52">
        <w:trPr>
          <w:trHeight w:val="342"/>
        </w:trPr>
        <w:tc>
          <w:tcPr>
            <w:tcW w:w="4962" w:type="dxa"/>
            <w:tcBorders>
              <w:top w:val="nil"/>
              <w:left w:val="nil"/>
              <w:bottom w:val="nil"/>
              <w:right w:val="nil"/>
            </w:tcBorders>
            <w:shd w:val="clear" w:color="auto" w:fill="auto"/>
            <w:noWrap/>
            <w:vAlign w:val="center"/>
            <w:hideMark/>
          </w:tcPr>
          <w:p w14:paraId="61ACA4B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Revenue from sales of services including FirstRate5 (FR5) certificates and accreditation</w:t>
            </w:r>
          </w:p>
        </w:tc>
        <w:tc>
          <w:tcPr>
            <w:tcW w:w="1738" w:type="dxa"/>
            <w:tcBorders>
              <w:top w:val="nil"/>
              <w:left w:val="nil"/>
              <w:bottom w:val="nil"/>
              <w:right w:val="nil"/>
            </w:tcBorders>
            <w:shd w:val="clear" w:color="auto" w:fill="auto"/>
            <w:noWrap/>
            <w:vAlign w:val="center"/>
            <w:hideMark/>
          </w:tcPr>
          <w:p w14:paraId="37378966"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771" w:type="dxa"/>
            <w:tcBorders>
              <w:top w:val="nil"/>
              <w:left w:val="nil"/>
              <w:bottom w:val="nil"/>
              <w:right w:val="nil"/>
            </w:tcBorders>
            <w:shd w:val="clear" w:color="auto" w:fill="auto"/>
            <w:noWrap/>
            <w:vAlign w:val="center"/>
          </w:tcPr>
          <w:p w14:paraId="689ED92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3,048</w:t>
            </w:r>
          </w:p>
        </w:tc>
        <w:tc>
          <w:tcPr>
            <w:tcW w:w="751" w:type="dxa"/>
            <w:tcBorders>
              <w:top w:val="nil"/>
              <w:left w:val="nil"/>
              <w:bottom w:val="nil"/>
              <w:right w:val="nil"/>
            </w:tcBorders>
            <w:shd w:val="clear" w:color="000000" w:fill="E7E6E6"/>
            <w:noWrap/>
            <w:vAlign w:val="center"/>
            <w:hideMark/>
          </w:tcPr>
          <w:p w14:paraId="30FCC75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3,099</w:t>
            </w:r>
          </w:p>
        </w:tc>
      </w:tr>
      <w:tr w:rsidR="005C5CED" w:rsidRPr="005C5CED" w14:paraId="58451C9E" w14:textId="77777777" w:rsidTr="00D12B52">
        <w:trPr>
          <w:trHeight w:val="342"/>
        </w:trPr>
        <w:tc>
          <w:tcPr>
            <w:tcW w:w="4962" w:type="dxa"/>
            <w:tcBorders>
              <w:top w:val="nil"/>
              <w:left w:val="nil"/>
              <w:right w:val="nil"/>
            </w:tcBorders>
            <w:shd w:val="clear" w:color="auto" w:fill="auto"/>
            <w:noWrap/>
            <w:vAlign w:val="center"/>
          </w:tcPr>
          <w:p w14:paraId="5A77F32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income from Government - secondment fees</w:t>
            </w:r>
          </w:p>
        </w:tc>
        <w:tc>
          <w:tcPr>
            <w:tcW w:w="1738" w:type="dxa"/>
            <w:tcBorders>
              <w:top w:val="nil"/>
              <w:left w:val="nil"/>
              <w:right w:val="nil"/>
            </w:tcBorders>
            <w:shd w:val="clear" w:color="auto" w:fill="auto"/>
            <w:noWrap/>
            <w:vAlign w:val="center"/>
          </w:tcPr>
          <w:p w14:paraId="46B7080A" w14:textId="77777777" w:rsidR="005C5CED" w:rsidRPr="005C5CED" w:rsidRDefault="005C5CED" w:rsidP="005C5CED">
            <w:pPr>
              <w:spacing w:after="0" w:line="240" w:lineRule="auto"/>
              <w:jc w:val="center"/>
              <w:rPr>
                <w:rFonts w:eastAsia="Times New Roman" w:cs="Arial"/>
                <w:color w:val="auto"/>
                <w:sz w:val="16"/>
                <w:szCs w:val="16"/>
                <w:lang w:eastAsia="en-AU"/>
              </w:rPr>
            </w:pPr>
          </w:p>
        </w:tc>
        <w:tc>
          <w:tcPr>
            <w:tcW w:w="771" w:type="dxa"/>
            <w:tcBorders>
              <w:top w:val="nil"/>
              <w:left w:val="nil"/>
              <w:right w:val="nil"/>
            </w:tcBorders>
            <w:shd w:val="clear" w:color="auto" w:fill="auto"/>
            <w:noWrap/>
            <w:vAlign w:val="center"/>
          </w:tcPr>
          <w:p w14:paraId="76BC334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199</w:t>
            </w:r>
          </w:p>
        </w:tc>
        <w:tc>
          <w:tcPr>
            <w:tcW w:w="751" w:type="dxa"/>
            <w:tcBorders>
              <w:top w:val="nil"/>
              <w:left w:val="nil"/>
              <w:right w:val="nil"/>
            </w:tcBorders>
            <w:shd w:val="clear" w:color="000000" w:fill="E7E6E6"/>
            <w:noWrap/>
            <w:vAlign w:val="center"/>
          </w:tcPr>
          <w:p w14:paraId="2D09491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255</w:t>
            </w:r>
          </w:p>
        </w:tc>
      </w:tr>
      <w:tr w:rsidR="005C5CED" w:rsidRPr="005C5CED" w14:paraId="192FE5AA" w14:textId="77777777" w:rsidTr="00D12B52">
        <w:trPr>
          <w:trHeight w:val="342"/>
        </w:trPr>
        <w:tc>
          <w:tcPr>
            <w:tcW w:w="4962" w:type="dxa"/>
            <w:tcBorders>
              <w:top w:val="nil"/>
              <w:left w:val="nil"/>
              <w:bottom w:val="single" w:sz="4" w:space="0" w:color="auto"/>
              <w:right w:val="nil"/>
            </w:tcBorders>
            <w:shd w:val="clear" w:color="auto" w:fill="auto"/>
            <w:noWrap/>
            <w:vAlign w:val="center"/>
            <w:hideMark/>
          </w:tcPr>
          <w:p w14:paraId="6E67B48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income</w:t>
            </w:r>
          </w:p>
        </w:tc>
        <w:tc>
          <w:tcPr>
            <w:tcW w:w="1738" w:type="dxa"/>
            <w:tcBorders>
              <w:top w:val="nil"/>
              <w:left w:val="nil"/>
              <w:bottom w:val="single" w:sz="4" w:space="0" w:color="auto"/>
              <w:right w:val="nil"/>
            </w:tcBorders>
            <w:shd w:val="clear" w:color="auto" w:fill="auto"/>
            <w:noWrap/>
            <w:vAlign w:val="center"/>
            <w:hideMark/>
          </w:tcPr>
          <w:p w14:paraId="1B84DAA3"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 xml:space="preserve">(b) (c)  </w:t>
            </w:r>
          </w:p>
        </w:tc>
        <w:tc>
          <w:tcPr>
            <w:tcW w:w="771" w:type="dxa"/>
            <w:tcBorders>
              <w:top w:val="nil"/>
              <w:left w:val="nil"/>
              <w:bottom w:val="single" w:sz="4" w:space="0" w:color="auto"/>
              <w:right w:val="nil"/>
            </w:tcBorders>
            <w:shd w:val="clear" w:color="auto" w:fill="auto"/>
            <w:noWrap/>
            <w:vAlign w:val="center"/>
          </w:tcPr>
          <w:p w14:paraId="52C458F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53</w:t>
            </w:r>
          </w:p>
        </w:tc>
        <w:tc>
          <w:tcPr>
            <w:tcW w:w="751" w:type="dxa"/>
            <w:tcBorders>
              <w:top w:val="nil"/>
              <w:left w:val="nil"/>
              <w:bottom w:val="single" w:sz="4" w:space="0" w:color="auto"/>
              <w:right w:val="nil"/>
            </w:tcBorders>
            <w:shd w:val="clear" w:color="000000" w:fill="E7E6E6"/>
            <w:noWrap/>
            <w:vAlign w:val="center"/>
            <w:hideMark/>
          </w:tcPr>
          <w:p w14:paraId="5196971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94</w:t>
            </w:r>
          </w:p>
        </w:tc>
      </w:tr>
      <w:tr w:rsidR="005C5CED" w:rsidRPr="005C5CED" w14:paraId="0C345278" w14:textId="77777777" w:rsidTr="00D12B52">
        <w:trPr>
          <w:trHeight w:val="424"/>
        </w:trPr>
        <w:tc>
          <w:tcPr>
            <w:tcW w:w="4962" w:type="dxa"/>
            <w:tcBorders>
              <w:top w:val="single" w:sz="4" w:space="0" w:color="auto"/>
              <w:left w:val="nil"/>
              <w:bottom w:val="single" w:sz="4" w:space="0" w:color="auto"/>
              <w:right w:val="nil"/>
            </w:tcBorders>
            <w:shd w:val="clear" w:color="auto" w:fill="auto"/>
            <w:noWrap/>
            <w:vAlign w:val="center"/>
            <w:hideMark/>
          </w:tcPr>
          <w:p w14:paraId="5D8A7217"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revenue and income from other transactions</w:t>
            </w:r>
          </w:p>
        </w:tc>
        <w:tc>
          <w:tcPr>
            <w:tcW w:w="1738" w:type="dxa"/>
            <w:tcBorders>
              <w:top w:val="single" w:sz="4" w:space="0" w:color="auto"/>
              <w:left w:val="nil"/>
              <w:bottom w:val="single" w:sz="4" w:space="0" w:color="auto"/>
              <w:right w:val="nil"/>
            </w:tcBorders>
            <w:shd w:val="clear" w:color="auto" w:fill="auto"/>
            <w:noWrap/>
            <w:vAlign w:val="center"/>
            <w:hideMark/>
          </w:tcPr>
          <w:p w14:paraId="2347B333"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771" w:type="dxa"/>
            <w:tcBorders>
              <w:top w:val="single" w:sz="4" w:space="0" w:color="auto"/>
              <w:left w:val="nil"/>
              <w:bottom w:val="single" w:sz="4" w:space="0" w:color="auto"/>
              <w:right w:val="nil"/>
            </w:tcBorders>
            <w:shd w:val="clear" w:color="auto" w:fill="auto"/>
            <w:noWrap/>
            <w:vAlign w:val="center"/>
          </w:tcPr>
          <w:p w14:paraId="10B2730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3,300</w:t>
            </w:r>
          </w:p>
        </w:tc>
        <w:tc>
          <w:tcPr>
            <w:tcW w:w="751" w:type="dxa"/>
            <w:tcBorders>
              <w:top w:val="single" w:sz="4" w:space="0" w:color="auto"/>
              <w:left w:val="nil"/>
              <w:bottom w:val="single" w:sz="4" w:space="0" w:color="auto"/>
              <w:right w:val="nil"/>
            </w:tcBorders>
            <w:shd w:val="clear" w:color="000000" w:fill="E7E6E6"/>
            <w:noWrap/>
            <w:vAlign w:val="center"/>
            <w:hideMark/>
          </w:tcPr>
          <w:p w14:paraId="28F2F88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3,448</w:t>
            </w:r>
          </w:p>
        </w:tc>
      </w:tr>
      <w:tr w:rsidR="005C5CED" w:rsidRPr="005C5CED" w14:paraId="36BCA1F5" w14:textId="77777777" w:rsidTr="00D12B52">
        <w:trPr>
          <w:trHeight w:val="424"/>
        </w:trPr>
        <w:tc>
          <w:tcPr>
            <w:tcW w:w="4962" w:type="dxa"/>
            <w:tcBorders>
              <w:top w:val="single" w:sz="4" w:space="0" w:color="auto"/>
              <w:left w:val="nil"/>
              <w:bottom w:val="single" w:sz="4" w:space="0" w:color="auto"/>
              <w:right w:val="nil"/>
            </w:tcBorders>
            <w:shd w:val="clear" w:color="auto" w:fill="auto"/>
            <w:noWrap/>
            <w:vAlign w:val="center"/>
          </w:tcPr>
          <w:p w14:paraId="4E4C84C2" w14:textId="77777777" w:rsidR="005C5CED" w:rsidRPr="005C5CED" w:rsidRDefault="005C5CED" w:rsidP="005C5CED">
            <w:pPr>
              <w:spacing w:after="0" w:line="240" w:lineRule="auto"/>
              <w:ind w:firstLineChars="100" w:firstLine="160"/>
              <w:rPr>
                <w:rFonts w:eastAsia="Times New Roman" w:cs="Arial"/>
                <w:b/>
                <w:bCs/>
                <w:color w:val="auto"/>
                <w:sz w:val="16"/>
                <w:szCs w:val="16"/>
                <w:lang w:eastAsia="en-AU"/>
              </w:rPr>
            </w:pPr>
            <w:r w:rsidRPr="005C5CED">
              <w:rPr>
                <w:rFonts w:eastAsia="Times New Roman" w:cs="Arial"/>
                <w:color w:val="auto"/>
                <w:sz w:val="16"/>
                <w:szCs w:val="16"/>
                <w:lang w:eastAsia="en-AU"/>
              </w:rPr>
              <w:lastRenderedPageBreak/>
              <w:t>Recognised at a point in time</w:t>
            </w:r>
          </w:p>
        </w:tc>
        <w:tc>
          <w:tcPr>
            <w:tcW w:w="1738" w:type="dxa"/>
            <w:tcBorders>
              <w:top w:val="single" w:sz="4" w:space="0" w:color="auto"/>
              <w:left w:val="nil"/>
              <w:bottom w:val="single" w:sz="4" w:space="0" w:color="auto"/>
              <w:right w:val="nil"/>
            </w:tcBorders>
            <w:shd w:val="clear" w:color="auto" w:fill="auto"/>
            <w:noWrap/>
            <w:vAlign w:val="center"/>
          </w:tcPr>
          <w:p w14:paraId="688DE509" w14:textId="77777777" w:rsidR="005C5CED" w:rsidRPr="005C5CED" w:rsidRDefault="005C5CED" w:rsidP="005C5CED">
            <w:pPr>
              <w:spacing w:after="0" w:line="240" w:lineRule="auto"/>
              <w:jc w:val="center"/>
              <w:rPr>
                <w:rFonts w:eastAsia="Times New Roman" w:cs="Arial"/>
                <w:b/>
                <w:bCs/>
                <w:color w:val="auto"/>
                <w:sz w:val="16"/>
                <w:szCs w:val="16"/>
                <w:lang w:eastAsia="en-AU"/>
              </w:rPr>
            </w:pPr>
          </w:p>
        </w:tc>
        <w:tc>
          <w:tcPr>
            <w:tcW w:w="771" w:type="dxa"/>
            <w:tcBorders>
              <w:top w:val="single" w:sz="4" w:space="0" w:color="auto"/>
              <w:left w:val="nil"/>
              <w:bottom w:val="single" w:sz="4" w:space="0" w:color="auto"/>
              <w:right w:val="nil"/>
            </w:tcBorders>
            <w:shd w:val="clear" w:color="auto" w:fill="auto"/>
            <w:noWrap/>
            <w:vAlign w:val="center"/>
          </w:tcPr>
          <w:p w14:paraId="26986CF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3,300</w:t>
            </w:r>
          </w:p>
        </w:tc>
        <w:tc>
          <w:tcPr>
            <w:tcW w:w="751" w:type="dxa"/>
            <w:tcBorders>
              <w:top w:val="single" w:sz="4" w:space="0" w:color="auto"/>
              <w:left w:val="nil"/>
              <w:bottom w:val="single" w:sz="4" w:space="0" w:color="auto"/>
              <w:right w:val="nil"/>
            </w:tcBorders>
            <w:shd w:val="clear" w:color="000000" w:fill="E7E6E6"/>
            <w:noWrap/>
            <w:vAlign w:val="center"/>
          </w:tcPr>
          <w:p w14:paraId="4098889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3,448</w:t>
            </w:r>
          </w:p>
        </w:tc>
      </w:tr>
      <w:tr w:rsidR="005C5CED" w:rsidRPr="005C5CED" w14:paraId="1CD52686" w14:textId="77777777" w:rsidTr="00D12B52">
        <w:trPr>
          <w:trHeight w:val="424"/>
        </w:trPr>
        <w:tc>
          <w:tcPr>
            <w:tcW w:w="4962" w:type="dxa"/>
            <w:tcBorders>
              <w:top w:val="single" w:sz="4" w:space="0" w:color="auto"/>
              <w:left w:val="nil"/>
              <w:bottom w:val="single" w:sz="4" w:space="0" w:color="auto"/>
              <w:right w:val="nil"/>
            </w:tcBorders>
            <w:shd w:val="clear" w:color="auto" w:fill="auto"/>
            <w:noWrap/>
            <w:vAlign w:val="center"/>
          </w:tcPr>
          <w:p w14:paraId="7D9E0812"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revenue and income from other transactions</w:t>
            </w:r>
          </w:p>
        </w:tc>
        <w:tc>
          <w:tcPr>
            <w:tcW w:w="1738" w:type="dxa"/>
            <w:tcBorders>
              <w:top w:val="single" w:sz="4" w:space="0" w:color="auto"/>
              <w:left w:val="nil"/>
              <w:bottom w:val="single" w:sz="4" w:space="0" w:color="auto"/>
              <w:right w:val="nil"/>
            </w:tcBorders>
            <w:shd w:val="clear" w:color="auto" w:fill="auto"/>
            <w:noWrap/>
            <w:vAlign w:val="center"/>
          </w:tcPr>
          <w:p w14:paraId="32A8931A"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771" w:type="dxa"/>
            <w:tcBorders>
              <w:top w:val="single" w:sz="4" w:space="0" w:color="auto"/>
              <w:left w:val="nil"/>
              <w:bottom w:val="single" w:sz="4" w:space="0" w:color="auto"/>
              <w:right w:val="nil"/>
            </w:tcBorders>
            <w:shd w:val="clear" w:color="auto" w:fill="auto"/>
            <w:noWrap/>
            <w:vAlign w:val="center"/>
          </w:tcPr>
          <w:p w14:paraId="082009F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3,300</w:t>
            </w:r>
          </w:p>
        </w:tc>
        <w:tc>
          <w:tcPr>
            <w:tcW w:w="751" w:type="dxa"/>
            <w:tcBorders>
              <w:top w:val="single" w:sz="4" w:space="0" w:color="auto"/>
              <w:left w:val="nil"/>
              <w:bottom w:val="single" w:sz="4" w:space="0" w:color="auto"/>
              <w:right w:val="nil"/>
            </w:tcBorders>
            <w:shd w:val="clear" w:color="000000" w:fill="E7E6E6"/>
            <w:noWrap/>
            <w:vAlign w:val="center"/>
          </w:tcPr>
          <w:p w14:paraId="502B011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3,448</w:t>
            </w:r>
          </w:p>
        </w:tc>
      </w:tr>
    </w:tbl>
    <w:p w14:paraId="38339662" w14:textId="77777777" w:rsidR="005C5CED" w:rsidRPr="005C5CED" w:rsidRDefault="005C5CED" w:rsidP="005C5CED">
      <w:pPr>
        <w:spacing w:after="0" w:line="240" w:lineRule="auto"/>
        <w:rPr>
          <w:rFonts w:eastAsia="Times New Roman" w:cs="Arial"/>
          <w:color w:val="auto"/>
          <w:sz w:val="16"/>
          <w:szCs w:val="16"/>
          <w:lang w:eastAsia="en-AU"/>
        </w:rPr>
      </w:pPr>
    </w:p>
    <w:p w14:paraId="2E1CEDD1" w14:textId="77777777" w:rsidR="005C5CED" w:rsidRPr="005C5CED" w:rsidRDefault="005C5CED" w:rsidP="005C5CED">
      <w:pPr>
        <w:spacing w:line="259" w:lineRule="auto"/>
        <w:rPr>
          <w:rFonts w:eastAsia="Calibri" w:cs="Arial"/>
          <w:color w:val="auto"/>
          <w:sz w:val="16"/>
          <w:szCs w:val="20"/>
          <w:lang w:eastAsia="en-AU"/>
        </w:rPr>
      </w:pPr>
      <w:r w:rsidRPr="005C5CED">
        <w:rPr>
          <w:rFonts w:eastAsia="Calibri" w:cs="Arial"/>
          <w:color w:val="auto"/>
          <w:sz w:val="16"/>
          <w:szCs w:val="20"/>
          <w:lang w:eastAsia="en-AU"/>
        </w:rPr>
        <w:t>Notes:</w:t>
      </w:r>
    </w:p>
    <w:p w14:paraId="26DC37F4" w14:textId="77777777" w:rsidR="005C5CED" w:rsidRPr="005C5CED" w:rsidRDefault="005C5CED" w:rsidP="005C5CED">
      <w:pPr>
        <w:spacing w:line="259" w:lineRule="auto"/>
        <w:rPr>
          <w:rFonts w:eastAsia="Calibri" w:cs="Arial"/>
          <w:color w:val="auto"/>
          <w:sz w:val="16"/>
          <w:szCs w:val="20"/>
          <w:lang w:eastAsia="en-AU"/>
        </w:rPr>
      </w:pPr>
      <w:r w:rsidRPr="005C5CED">
        <w:rPr>
          <w:rFonts w:eastAsia="Calibri" w:cs="Arial"/>
          <w:color w:val="auto"/>
          <w:sz w:val="16"/>
          <w:szCs w:val="20"/>
          <w:lang w:eastAsia="en-AU"/>
        </w:rPr>
        <w:t xml:space="preserve">(a)  Revenue for FirstRate5 certificates and accreditation fees is recognised when the customer receives the right to the certificate, which is upon payment. </w:t>
      </w:r>
      <w:r w:rsidRPr="005C5CED">
        <w:rPr>
          <w:rFonts w:eastAsia="Calibri" w:cs="Arial"/>
          <w:color w:val="auto"/>
          <w:sz w:val="16"/>
          <w:szCs w:val="20"/>
          <w:lang w:eastAsia="en-AU"/>
        </w:rPr>
        <w:tab/>
        <w:t xml:space="preserve"> </w:t>
      </w:r>
    </w:p>
    <w:p w14:paraId="695B5AFD" w14:textId="77777777" w:rsidR="005C5CED" w:rsidRPr="005C5CED" w:rsidRDefault="005C5CED" w:rsidP="005C5CED">
      <w:pPr>
        <w:spacing w:line="259" w:lineRule="auto"/>
        <w:rPr>
          <w:rFonts w:eastAsia="Calibri" w:cs="Arial"/>
          <w:color w:val="auto"/>
          <w:sz w:val="16"/>
          <w:szCs w:val="20"/>
          <w:lang w:eastAsia="en-AU"/>
        </w:rPr>
      </w:pPr>
      <w:r w:rsidRPr="005C5CED">
        <w:rPr>
          <w:rFonts w:eastAsia="Calibri" w:cs="Arial"/>
          <w:color w:val="auto"/>
          <w:sz w:val="16"/>
          <w:szCs w:val="20"/>
          <w:lang w:eastAsia="en-AU"/>
        </w:rPr>
        <w:t xml:space="preserve">(b)  Other income included in the table above is classified as revenue from contracts with customers in accordance with AASB 15 </w:t>
      </w:r>
      <w:r w:rsidRPr="005C5CED">
        <w:rPr>
          <w:rFonts w:eastAsia="Calibri" w:cs="Arial"/>
          <w:i/>
          <w:iCs/>
          <w:color w:val="auto"/>
          <w:sz w:val="16"/>
          <w:szCs w:val="20"/>
          <w:lang w:eastAsia="en-AU"/>
        </w:rPr>
        <w:t>Revenue from Contracts with Customers</w:t>
      </w:r>
      <w:r w:rsidRPr="005C5CED">
        <w:rPr>
          <w:rFonts w:eastAsia="Calibri" w:cs="Arial"/>
          <w:color w:val="auto"/>
          <w:sz w:val="16"/>
          <w:szCs w:val="20"/>
          <w:lang w:eastAsia="en-AU"/>
        </w:rPr>
        <w:t xml:space="preserve"> and AASB 1058 </w:t>
      </w:r>
      <w:r w:rsidRPr="005C5CED">
        <w:rPr>
          <w:rFonts w:eastAsia="Calibri" w:cs="Arial"/>
          <w:i/>
          <w:iCs/>
          <w:color w:val="auto"/>
          <w:sz w:val="16"/>
          <w:szCs w:val="20"/>
          <w:lang w:eastAsia="en-AU"/>
        </w:rPr>
        <w:t>Income of Not-for-Profit Entities</w:t>
      </w:r>
      <w:r w:rsidRPr="005C5CED">
        <w:rPr>
          <w:rFonts w:eastAsia="Calibri" w:cs="Arial"/>
          <w:color w:val="auto"/>
          <w:sz w:val="16"/>
          <w:szCs w:val="20"/>
          <w:lang w:eastAsia="en-AU"/>
        </w:rPr>
        <w:t xml:space="preserve"> when sufficiently specific performance obligations are not present.</w:t>
      </w:r>
    </w:p>
    <w:p w14:paraId="70BE8375" w14:textId="77777777" w:rsidR="005C5CED" w:rsidRPr="005C5CED" w:rsidRDefault="005C5CED" w:rsidP="005C5CED">
      <w:pPr>
        <w:spacing w:line="259" w:lineRule="auto"/>
        <w:rPr>
          <w:rFonts w:eastAsia="Calibri" w:cs="Arial"/>
          <w:color w:val="auto"/>
          <w:sz w:val="16"/>
          <w:szCs w:val="16"/>
          <w:lang w:eastAsia="en-AU"/>
        </w:rPr>
      </w:pPr>
      <w:r w:rsidRPr="005C5CED">
        <w:rPr>
          <w:rFonts w:eastAsia="Calibri" w:cs="Arial"/>
          <w:color w:val="auto"/>
          <w:sz w:val="16"/>
          <w:szCs w:val="20"/>
          <w:lang w:eastAsia="en-AU"/>
        </w:rPr>
        <w:t>(c) Other income includes minor program contributions, sponsorship and ticket sales which are recognised upon receipt.</w:t>
      </w:r>
    </w:p>
    <w:p w14:paraId="57C620C1" w14:textId="77777777" w:rsidR="005C5CED" w:rsidRPr="005C5CED" w:rsidRDefault="005C5CED" w:rsidP="005C5CED">
      <w:pPr>
        <w:spacing w:line="259" w:lineRule="auto"/>
        <w:rPr>
          <w:rFonts w:eastAsia="Times New Roman" w:cs="Arial"/>
          <w:b/>
          <w:bCs/>
          <w:color w:val="auto"/>
          <w:sz w:val="16"/>
          <w:szCs w:val="16"/>
          <w:lang w:eastAsia="en-AU"/>
        </w:rPr>
      </w:pPr>
    </w:p>
    <w:p w14:paraId="66E372B0" w14:textId="77777777" w:rsidR="005C5CED" w:rsidRPr="005C5CED" w:rsidRDefault="005C5CED" w:rsidP="005C5CED">
      <w:pPr>
        <w:keepNext/>
        <w:keepLines/>
        <w:spacing w:before="300" w:after="60" w:line="240" w:lineRule="auto"/>
        <w:outlineLvl w:val="2"/>
        <w:rPr>
          <w:rFonts w:eastAsia="Yu Gothic Light" w:cs="Times New Roman"/>
          <w:b/>
          <w:bCs/>
          <w:color w:val="auto"/>
          <w:sz w:val="28"/>
          <w:szCs w:val="28"/>
        </w:rPr>
      </w:pPr>
      <w:r w:rsidRPr="005C5CED">
        <w:rPr>
          <w:rFonts w:eastAsia="Yu Gothic Light" w:cs="Times New Roman"/>
          <w:b/>
          <w:bCs/>
          <w:color w:val="auto"/>
          <w:sz w:val="28"/>
          <w:szCs w:val="28"/>
        </w:rPr>
        <w:t>Note 3: The cost of delivering services</w:t>
      </w:r>
    </w:p>
    <w:p w14:paraId="3EB3BD54"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Introduction</w:t>
      </w:r>
    </w:p>
    <w:p w14:paraId="10730EDE" w14:textId="77777777" w:rsidR="005C5CED" w:rsidRPr="005C5CED" w:rsidRDefault="005C5CED" w:rsidP="005C5CED">
      <w:pPr>
        <w:spacing w:line="259" w:lineRule="auto"/>
        <w:rPr>
          <w:rFonts w:eastAsia="Calibri" w:cs="Arial"/>
          <w:color w:val="auto"/>
        </w:rPr>
      </w:pPr>
      <w:r w:rsidRPr="005C5CED">
        <w:rPr>
          <w:rFonts w:eastAsia="Calibri" w:cs="Arial"/>
          <w:color w:val="auto"/>
        </w:rPr>
        <w:t>This section provides an account of the expenses incurred by Sustainability Victoria in delivering services and outputs. In Section 2, the funds that enable the provision of services were disclosed and in this note the cost associated with the provision of services are recorded.</w:t>
      </w:r>
    </w:p>
    <w:p w14:paraId="290E1BD6"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Structure</w:t>
      </w:r>
    </w:p>
    <w:p w14:paraId="1D4EBBA2" w14:textId="77777777" w:rsidR="005C5CED" w:rsidRPr="005C5CED" w:rsidRDefault="005C5CED" w:rsidP="005C5CED">
      <w:pPr>
        <w:spacing w:line="259" w:lineRule="auto"/>
        <w:rPr>
          <w:rFonts w:eastAsia="Calibri" w:cs="Arial"/>
          <w:color w:val="auto"/>
        </w:rPr>
      </w:pPr>
      <w:r w:rsidRPr="005C5CED">
        <w:rPr>
          <w:rFonts w:eastAsia="Calibri" w:cs="Arial"/>
          <w:color w:val="auto"/>
        </w:rPr>
        <w:t>3.1 Expenses incurred in delivery of services</w:t>
      </w:r>
    </w:p>
    <w:p w14:paraId="7080F5FD" w14:textId="77777777" w:rsidR="005C5CED" w:rsidRPr="005C5CED" w:rsidRDefault="005C5CED" w:rsidP="005C5CED">
      <w:pPr>
        <w:spacing w:line="259" w:lineRule="auto"/>
        <w:rPr>
          <w:rFonts w:eastAsia="Calibri" w:cs="Arial"/>
          <w:color w:val="auto"/>
        </w:rPr>
      </w:pPr>
      <w:r w:rsidRPr="005C5CED">
        <w:rPr>
          <w:rFonts w:eastAsia="Calibri" w:cs="Arial"/>
          <w:color w:val="auto"/>
        </w:rPr>
        <w:t>3.2 Grant expenses</w:t>
      </w:r>
    </w:p>
    <w:p w14:paraId="1E69D755"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3.3 Other operating expenses</w:t>
      </w:r>
    </w:p>
    <w:p w14:paraId="5D76AB6C"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3.1 Expenses incurred in delivery of services</w:t>
      </w:r>
    </w:p>
    <w:tbl>
      <w:tblPr>
        <w:tblW w:w="8084" w:type="dxa"/>
        <w:tblLook w:val="04A0" w:firstRow="1" w:lastRow="0" w:firstColumn="1" w:lastColumn="0" w:noHBand="0" w:noVBand="1"/>
      </w:tblPr>
      <w:tblGrid>
        <w:gridCol w:w="4076"/>
        <w:gridCol w:w="1976"/>
        <w:gridCol w:w="836"/>
        <w:gridCol w:w="1196"/>
      </w:tblGrid>
      <w:tr w:rsidR="005C5CED" w:rsidRPr="005C5CED" w14:paraId="5043A835" w14:textId="77777777" w:rsidTr="0062462F">
        <w:trPr>
          <w:trHeight w:val="469"/>
        </w:trPr>
        <w:tc>
          <w:tcPr>
            <w:tcW w:w="4076" w:type="dxa"/>
            <w:tcBorders>
              <w:top w:val="single" w:sz="4" w:space="0" w:color="auto"/>
              <w:left w:val="nil"/>
              <w:bottom w:val="nil"/>
              <w:right w:val="nil"/>
            </w:tcBorders>
            <w:shd w:val="clear" w:color="000000" w:fill="000000"/>
            <w:noWrap/>
            <w:vAlign w:val="bottom"/>
            <w:hideMark/>
          </w:tcPr>
          <w:p w14:paraId="2C9B3C6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76" w:type="dxa"/>
            <w:tcBorders>
              <w:top w:val="single" w:sz="4" w:space="0" w:color="auto"/>
              <w:left w:val="nil"/>
              <w:bottom w:val="nil"/>
              <w:right w:val="nil"/>
            </w:tcBorders>
            <w:shd w:val="clear" w:color="000000" w:fill="000000"/>
            <w:noWrap/>
            <w:vAlign w:val="bottom"/>
            <w:hideMark/>
          </w:tcPr>
          <w:p w14:paraId="5A682F87"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Notes</w:t>
            </w:r>
          </w:p>
        </w:tc>
        <w:tc>
          <w:tcPr>
            <w:tcW w:w="836" w:type="dxa"/>
            <w:tcBorders>
              <w:top w:val="single" w:sz="4" w:space="0" w:color="auto"/>
              <w:left w:val="nil"/>
              <w:bottom w:val="nil"/>
              <w:right w:val="nil"/>
            </w:tcBorders>
            <w:shd w:val="clear" w:color="000000" w:fill="000000"/>
            <w:noWrap/>
            <w:vAlign w:val="bottom"/>
            <w:hideMark/>
          </w:tcPr>
          <w:p w14:paraId="69F4232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196" w:type="dxa"/>
            <w:tcBorders>
              <w:top w:val="single" w:sz="4" w:space="0" w:color="auto"/>
              <w:left w:val="nil"/>
              <w:bottom w:val="nil"/>
              <w:right w:val="nil"/>
            </w:tcBorders>
            <w:shd w:val="clear" w:color="000000" w:fill="000000"/>
            <w:noWrap/>
            <w:vAlign w:val="bottom"/>
            <w:hideMark/>
          </w:tcPr>
          <w:p w14:paraId="55F5C2EB"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0D6AA2F1" w14:textId="77777777" w:rsidTr="0062462F">
        <w:trPr>
          <w:trHeight w:val="289"/>
        </w:trPr>
        <w:tc>
          <w:tcPr>
            <w:tcW w:w="4076" w:type="dxa"/>
            <w:tcBorders>
              <w:top w:val="nil"/>
              <w:left w:val="nil"/>
              <w:bottom w:val="single" w:sz="4" w:space="0" w:color="000000"/>
              <w:right w:val="nil"/>
            </w:tcBorders>
            <w:shd w:val="clear" w:color="000000" w:fill="000000"/>
            <w:noWrap/>
            <w:vAlign w:val="bottom"/>
            <w:hideMark/>
          </w:tcPr>
          <w:p w14:paraId="4E98D63D"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76" w:type="dxa"/>
            <w:tcBorders>
              <w:top w:val="nil"/>
              <w:left w:val="nil"/>
              <w:bottom w:val="single" w:sz="4" w:space="0" w:color="000000"/>
              <w:right w:val="nil"/>
            </w:tcBorders>
            <w:shd w:val="clear" w:color="000000" w:fill="000000"/>
            <w:noWrap/>
            <w:vAlign w:val="bottom"/>
            <w:hideMark/>
          </w:tcPr>
          <w:p w14:paraId="585FCBF5"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836" w:type="dxa"/>
            <w:tcBorders>
              <w:top w:val="nil"/>
              <w:left w:val="nil"/>
              <w:bottom w:val="single" w:sz="4" w:space="0" w:color="000000"/>
              <w:right w:val="nil"/>
            </w:tcBorders>
            <w:shd w:val="clear" w:color="000000" w:fill="000000"/>
            <w:noWrap/>
            <w:vAlign w:val="bottom"/>
            <w:hideMark/>
          </w:tcPr>
          <w:p w14:paraId="6E20621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96" w:type="dxa"/>
            <w:tcBorders>
              <w:top w:val="nil"/>
              <w:left w:val="nil"/>
              <w:bottom w:val="single" w:sz="4" w:space="0" w:color="000000"/>
              <w:right w:val="nil"/>
            </w:tcBorders>
            <w:shd w:val="clear" w:color="000000" w:fill="000000"/>
            <w:noWrap/>
            <w:vAlign w:val="bottom"/>
            <w:hideMark/>
          </w:tcPr>
          <w:p w14:paraId="6B614395"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0198908C" w14:textId="77777777" w:rsidTr="0062462F">
        <w:trPr>
          <w:trHeight w:val="342"/>
        </w:trPr>
        <w:tc>
          <w:tcPr>
            <w:tcW w:w="4076" w:type="dxa"/>
            <w:tcBorders>
              <w:top w:val="nil"/>
              <w:left w:val="nil"/>
              <w:bottom w:val="nil"/>
              <w:right w:val="nil"/>
            </w:tcBorders>
            <w:shd w:val="clear" w:color="auto" w:fill="auto"/>
            <w:noWrap/>
            <w:vAlign w:val="center"/>
            <w:hideMark/>
          </w:tcPr>
          <w:p w14:paraId="4EF9BC1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Employee benefits expense</w:t>
            </w:r>
          </w:p>
        </w:tc>
        <w:tc>
          <w:tcPr>
            <w:tcW w:w="1976" w:type="dxa"/>
            <w:tcBorders>
              <w:top w:val="nil"/>
              <w:left w:val="nil"/>
              <w:bottom w:val="nil"/>
              <w:right w:val="nil"/>
            </w:tcBorders>
            <w:shd w:val="clear" w:color="auto" w:fill="auto"/>
            <w:noWrap/>
            <w:vAlign w:val="center"/>
            <w:hideMark/>
          </w:tcPr>
          <w:p w14:paraId="5DB25FBA"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3.1.1</w:t>
            </w:r>
          </w:p>
        </w:tc>
        <w:tc>
          <w:tcPr>
            <w:tcW w:w="836" w:type="dxa"/>
            <w:tcBorders>
              <w:top w:val="nil"/>
              <w:left w:val="nil"/>
              <w:bottom w:val="nil"/>
              <w:right w:val="nil"/>
            </w:tcBorders>
            <w:shd w:val="clear" w:color="auto" w:fill="auto"/>
            <w:noWrap/>
            <w:vAlign w:val="center"/>
          </w:tcPr>
          <w:p w14:paraId="1F0F4F7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24,441</w:t>
            </w:r>
          </w:p>
        </w:tc>
        <w:tc>
          <w:tcPr>
            <w:tcW w:w="1196" w:type="dxa"/>
            <w:tcBorders>
              <w:top w:val="nil"/>
              <w:left w:val="nil"/>
              <w:bottom w:val="nil"/>
              <w:right w:val="nil"/>
            </w:tcBorders>
            <w:shd w:val="clear" w:color="000000" w:fill="E7E6E6"/>
            <w:noWrap/>
            <w:vAlign w:val="center"/>
            <w:hideMark/>
          </w:tcPr>
          <w:p w14:paraId="296778F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25,561</w:t>
            </w:r>
          </w:p>
        </w:tc>
      </w:tr>
      <w:tr w:rsidR="005C5CED" w:rsidRPr="005C5CED" w14:paraId="00F764C3" w14:textId="77777777" w:rsidTr="0062462F">
        <w:trPr>
          <w:trHeight w:val="342"/>
        </w:trPr>
        <w:tc>
          <w:tcPr>
            <w:tcW w:w="4076" w:type="dxa"/>
            <w:tcBorders>
              <w:top w:val="nil"/>
              <w:left w:val="nil"/>
              <w:bottom w:val="nil"/>
              <w:right w:val="nil"/>
            </w:tcBorders>
            <w:shd w:val="clear" w:color="auto" w:fill="auto"/>
            <w:noWrap/>
            <w:vAlign w:val="center"/>
            <w:hideMark/>
          </w:tcPr>
          <w:p w14:paraId="54EE052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Grant expenses </w:t>
            </w:r>
          </w:p>
        </w:tc>
        <w:tc>
          <w:tcPr>
            <w:tcW w:w="1976" w:type="dxa"/>
            <w:tcBorders>
              <w:top w:val="nil"/>
              <w:left w:val="nil"/>
              <w:bottom w:val="nil"/>
              <w:right w:val="nil"/>
            </w:tcBorders>
            <w:shd w:val="clear" w:color="auto" w:fill="auto"/>
            <w:noWrap/>
            <w:vAlign w:val="center"/>
            <w:hideMark/>
          </w:tcPr>
          <w:p w14:paraId="4A488F25"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3.2</w:t>
            </w:r>
          </w:p>
        </w:tc>
        <w:tc>
          <w:tcPr>
            <w:tcW w:w="836" w:type="dxa"/>
            <w:tcBorders>
              <w:top w:val="nil"/>
              <w:left w:val="nil"/>
              <w:bottom w:val="nil"/>
              <w:right w:val="nil"/>
            </w:tcBorders>
            <w:shd w:val="clear" w:color="auto" w:fill="auto"/>
            <w:noWrap/>
            <w:vAlign w:val="center"/>
          </w:tcPr>
          <w:p w14:paraId="5CA86BE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49,013</w:t>
            </w:r>
          </w:p>
        </w:tc>
        <w:tc>
          <w:tcPr>
            <w:tcW w:w="1196" w:type="dxa"/>
            <w:tcBorders>
              <w:top w:val="nil"/>
              <w:left w:val="nil"/>
              <w:bottom w:val="nil"/>
              <w:right w:val="nil"/>
            </w:tcBorders>
            <w:shd w:val="clear" w:color="000000" w:fill="E7E6E6"/>
            <w:noWrap/>
            <w:vAlign w:val="center"/>
            <w:hideMark/>
          </w:tcPr>
          <w:p w14:paraId="4440B1F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38,505</w:t>
            </w:r>
          </w:p>
        </w:tc>
      </w:tr>
      <w:tr w:rsidR="005C5CED" w:rsidRPr="005C5CED" w14:paraId="043FAB73" w14:textId="77777777" w:rsidTr="0062462F">
        <w:trPr>
          <w:trHeight w:val="342"/>
        </w:trPr>
        <w:tc>
          <w:tcPr>
            <w:tcW w:w="4076" w:type="dxa"/>
            <w:tcBorders>
              <w:top w:val="nil"/>
              <w:left w:val="nil"/>
              <w:bottom w:val="nil"/>
              <w:right w:val="nil"/>
            </w:tcBorders>
            <w:shd w:val="clear" w:color="auto" w:fill="auto"/>
            <w:noWrap/>
            <w:vAlign w:val="center"/>
            <w:hideMark/>
          </w:tcPr>
          <w:p w14:paraId="2DE14A2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Contractors and consultants</w:t>
            </w:r>
          </w:p>
        </w:tc>
        <w:tc>
          <w:tcPr>
            <w:tcW w:w="1976" w:type="dxa"/>
            <w:tcBorders>
              <w:top w:val="nil"/>
              <w:left w:val="nil"/>
              <w:bottom w:val="nil"/>
              <w:right w:val="nil"/>
            </w:tcBorders>
            <w:shd w:val="clear" w:color="auto" w:fill="auto"/>
            <w:noWrap/>
            <w:vAlign w:val="center"/>
            <w:hideMark/>
          </w:tcPr>
          <w:p w14:paraId="36E5C428"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836" w:type="dxa"/>
            <w:tcBorders>
              <w:top w:val="nil"/>
              <w:left w:val="nil"/>
              <w:bottom w:val="nil"/>
              <w:right w:val="nil"/>
            </w:tcBorders>
            <w:shd w:val="clear" w:color="auto" w:fill="auto"/>
            <w:noWrap/>
            <w:vAlign w:val="center"/>
          </w:tcPr>
          <w:p w14:paraId="27A314A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4,530</w:t>
            </w:r>
          </w:p>
        </w:tc>
        <w:tc>
          <w:tcPr>
            <w:tcW w:w="1196" w:type="dxa"/>
            <w:tcBorders>
              <w:top w:val="nil"/>
              <w:left w:val="nil"/>
              <w:bottom w:val="nil"/>
              <w:right w:val="nil"/>
            </w:tcBorders>
            <w:shd w:val="clear" w:color="000000" w:fill="E7E6E6"/>
            <w:noWrap/>
            <w:vAlign w:val="center"/>
            <w:hideMark/>
          </w:tcPr>
          <w:p w14:paraId="365C0BD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8,625</w:t>
            </w:r>
          </w:p>
        </w:tc>
      </w:tr>
      <w:tr w:rsidR="005C5CED" w:rsidRPr="005C5CED" w14:paraId="3A5B4620" w14:textId="77777777" w:rsidTr="0062462F">
        <w:trPr>
          <w:trHeight w:val="342"/>
        </w:trPr>
        <w:tc>
          <w:tcPr>
            <w:tcW w:w="4076" w:type="dxa"/>
            <w:tcBorders>
              <w:top w:val="nil"/>
              <w:left w:val="nil"/>
              <w:bottom w:val="nil"/>
              <w:right w:val="nil"/>
            </w:tcBorders>
            <w:shd w:val="clear" w:color="auto" w:fill="auto"/>
            <w:noWrap/>
            <w:vAlign w:val="center"/>
            <w:hideMark/>
          </w:tcPr>
          <w:p w14:paraId="19A11AE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IT and telecommunications</w:t>
            </w:r>
          </w:p>
        </w:tc>
        <w:tc>
          <w:tcPr>
            <w:tcW w:w="1976" w:type="dxa"/>
            <w:tcBorders>
              <w:top w:val="nil"/>
              <w:left w:val="nil"/>
              <w:right w:val="nil"/>
            </w:tcBorders>
            <w:shd w:val="clear" w:color="auto" w:fill="auto"/>
            <w:noWrap/>
            <w:vAlign w:val="center"/>
            <w:hideMark/>
          </w:tcPr>
          <w:p w14:paraId="54926F6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836" w:type="dxa"/>
            <w:tcBorders>
              <w:top w:val="nil"/>
              <w:left w:val="nil"/>
              <w:bottom w:val="nil"/>
              <w:right w:val="nil"/>
            </w:tcBorders>
            <w:shd w:val="clear" w:color="auto" w:fill="auto"/>
            <w:noWrap/>
            <w:vAlign w:val="center"/>
          </w:tcPr>
          <w:p w14:paraId="10C9A26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4,005</w:t>
            </w:r>
          </w:p>
        </w:tc>
        <w:tc>
          <w:tcPr>
            <w:tcW w:w="1196" w:type="dxa"/>
            <w:tcBorders>
              <w:top w:val="nil"/>
              <w:left w:val="nil"/>
              <w:right w:val="nil"/>
            </w:tcBorders>
            <w:shd w:val="clear" w:color="000000" w:fill="E7E6E6"/>
            <w:noWrap/>
            <w:vAlign w:val="center"/>
            <w:hideMark/>
          </w:tcPr>
          <w:p w14:paraId="22693D2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4,553</w:t>
            </w:r>
          </w:p>
        </w:tc>
      </w:tr>
      <w:tr w:rsidR="005C5CED" w:rsidRPr="005C5CED" w14:paraId="44E0BEA1" w14:textId="77777777" w:rsidTr="0062462F">
        <w:trPr>
          <w:trHeight w:val="342"/>
        </w:trPr>
        <w:tc>
          <w:tcPr>
            <w:tcW w:w="4076" w:type="dxa"/>
            <w:tcBorders>
              <w:top w:val="nil"/>
              <w:left w:val="nil"/>
              <w:bottom w:val="nil"/>
              <w:right w:val="nil"/>
            </w:tcBorders>
            <w:shd w:val="clear" w:color="auto" w:fill="auto"/>
            <w:noWrap/>
            <w:vAlign w:val="center"/>
            <w:hideMark/>
          </w:tcPr>
          <w:p w14:paraId="5A9E0E5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operating expenses</w:t>
            </w:r>
          </w:p>
        </w:tc>
        <w:tc>
          <w:tcPr>
            <w:tcW w:w="1976" w:type="dxa"/>
            <w:tcBorders>
              <w:top w:val="nil"/>
              <w:left w:val="nil"/>
              <w:bottom w:val="single" w:sz="4" w:space="0" w:color="auto"/>
              <w:right w:val="nil"/>
            </w:tcBorders>
            <w:shd w:val="clear" w:color="auto" w:fill="auto"/>
            <w:noWrap/>
            <w:vAlign w:val="center"/>
            <w:hideMark/>
          </w:tcPr>
          <w:p w14:paraId="7C9A16B1"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3.3</w:t>
            </w:r>
          </w:p>
        </w:tc>
        <w:tc>
          <w:tcPr>
            <w:tcW w:w="836" w:type="dxa"/>
            <w:tcBorders>
              <w:top w:val="nil"/>
              <w:left w:val="nil"/>
              <w:bottom w:val="nil"/>
              <w:right w:val="nil"/>
            </w:tcBorders>
            <w:shd w:val="clear" w:color="auto" w:fill="auto"/>
            <w:noWrap/>
            <w:vAlign w:val="center"/>
          </w:tcPr>
          <w:p w14:paraId="3E658FB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5,340</w:t>
            </w:r>
          </w:p>
        </w:tc>
        <w:tc>
          <w:tcPr>
            <w:tcW w:w="1196" w:type="dxa"/>
            <w:tcBorders>
              <w:top w:val="nil"/>
              <w:left w:val="nil"/>
              <w:bottom w:val="single" w:sz="4" w:space="0" w:color="auto"/>
              <w:right w:val="nil"/>
            </w:tcBorders>
            <w:shd w:val="clear" w:color="000000" w:fill="E7E6E6"/>
            <w:noWrap/>
            <w:vAlign w:val="center"/>
            <w:hideMark/>
          </w:tcPr>
          <w:p w14:paraId="5948473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4,553</w:t>
            </w:r>
          </w:p>
        </w:tc>
      </w:tr>
      <w:tr w:rsidR="005C5CED" w:rsidRPr="005C5CED" w14:paraId="0878C18B" w14:textId="77777777" w:rsidTr="0062462F">
        <w:trPr>
          <w:trHeight w:val="424"/>
        </w:trPr>
        <w:tc>
          <w:tcPr>
            <w:tcW w:w="4076" w:type="dxa"/>
            <w:tcBorders>
              <w:top w:val="single" w:sz="4" w:space="0" w:color="auto"/>
              <w:left w:val="nil"/>
              <w:bottom w:val="single" w:sz="4" w:space="0" w:color="auto"/>
              <w:right w:val="nil"/>
            </w:tcBorders>
            <w:shd w:val="clear" w:color="auto" w:fill="auto"/>
            <w:noWrap/>
            <w:vAlign w:val="center"/>
            <w:hideMark/>
          </w:tcPr>
          <w:p w14:paraId="7CFE026C"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expenses from transactions</w:t>
            </w:r>
          </w:p>
        </w:tc>
        <w:tc>
          <w:tcPr>
            <w:tcW w:w="1976" w:type="dxa"/>
            <w:tcBorders>
              <w:top w:val="single" w:sz="4" w:space="0" w:color="auto"/>
              <w:left w:val="nil"/>
              <w:bottom w:val="single" w:sz="4" w:space="0" w:color="000000"/>
              <w:right w:val="nil"/>
            </w:tcBorders>
            <w:shd w:val="clear" w:color="auto" w:fill="auto"/>
            <w:noWrap/>
            <w:vAlign w:val="center"/>
            <w:hideMark/>
          </w:tcPr>
          <w:p w14:paraId="37AFE491"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836" w:type="dxa"/>
            <w:tcBorders>
              <w:top w:val="single" w:sz="4" w:space="0" w:color="auto"/>
              <w:left w:val="nil"/>
              <w:bottom w:val="single" w:sz="4" w:space="0" w:color="000000"/>
              <w:right w:val="nil"/>
            </w:tcBorders>
            <w:shd w:val="clear" w:color="auto" w:fill="auto"/>
            <w:noWrap/>
            <w:vAlign w:val="center"/>
          </w:tcPr>
          <w:p w14:paraId="71E067E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87,329</w:t>
            </w:r>
          </w:p>
        </w:tc>
        <w:tc>
          <w:tcPr>
            <w:tcW w:w="1196" w:type="dxa"/>
            <w:tcBorders>
              <w:top w:val="single" w:sz="4" w:space="0" w:color="auto"/>
              <w:left w:val="nil"/>
              <w:bottom w:val="single" w:sz="4" w:space="0" w:color="auto"/>
              <w:right w:val="nil"/>
            </w:tcBorders>
            <w:shd w:val="clear" w:color="000000" w:fill="E7E6E6"/>
            <w:noWrap/>
            <w:vAlign w:val="center"/>
            <w:hideMark/>
          </w:tcPr>
          <w:p w14:paraId="48FF62A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81,797</w:t>
            </w:r>
          </w:p>
        </w:tc>
      </w:tr>
    </w:tbl>
    <w:p w14:paraId="1BA5A44D" w14:textId="77777777" w:rsidR="005C5CED" w:rsidRPr="005C5CED" w:rsidRDefault="005C5CED" w:rsidP="005C5CED">
      <w:pPr>
        <w:spacing w:after="60" w:line="259" w:lineRule="auto"/>
        <w:rPr>
          <w:rFonts w:eastAsia="Calibri" w:cs="Arial"/>
          <w:color w:val="auto"/>
          <w:sz w:val="16"/>
          <w:szCs w:val="16"/>
        </w:rPr>
      </w:pPr>
    </w:p>
    <w:p w14:paraId="3C9CD74B"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w:t>
      </w:r>
    </w:p>
    <w:p w14:paraId="67FC305C"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sz w:val="16"/>
          <w:szCs w:val="20"/>
        </w:rPr>
        <w:t xml:space="preserve">(a) In line with Financial Reporting Direction 22 </w:t>
      </w:r>
      <w:r w:rsidRPr="005C5CED">
        <w:rPr>
          <w:rFonts w:eastAsia="Calibri" w:cs="Arial"/>
          <w:i/>
          <w:iCs/>
          <w:color w:val="auto"/>
          <w:sz w:val="16"/>
          <w:szCs w:val="20"/>
        </w:rPr>
        <w:t>Standard disclosures in the Report of Operations</w:t>
      </w:r>
      <w:r w:rsidRPr="005C5CED">
        <w:rPr>
          <w:rFonts w:eastAsia="Calibri" w:cs="Arial"/>
          <w:color w:val="auto"/>
          <w:sz w:val="16"/>
          <w:szCs w:val="20"/>
        </w:rPr>
        <w:t>, consultants provide advice while contractors are engaged to support program delivery.</w:t>
      </w:r>
    </w:p>
    <w:p w14:paraId="0D661B7F" w14:textId="77777777" w:rsidR="00D12B52" w:rsidRDefault="00D12B52">
      <w:pPr>
        <w:spacing w:line="259" w:lineRule="auto"/>
        <w:rPr>
          <w:rFonts w:eastAsia="Yu Gothic Light" w:cs="SegoeUI"/>
          <w:b/>
          <w:bCs/>
          <w:color w:val="595959"/>
        </w:rPr>
      </w:pPr>
      <w:r>
        <w:rPr>
          <w:rFonts w:eastAsia="Yu Gothic Light" w:cs="SegoeUI"/>
          <w:b/>
          <w:bCs/>
          <w:color w:val="595959"/>
        </w:rPr>
        <w:br w:type="page"/>
      </w:r>
    </w:p>
    <w:p w14:paraId="50D82AA3"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lastRenderedPageBreak/>
        <w:t>Note 3.1.1 Employee benefits in the comprehensive operating statement</w:t>
      </w:r>
    </w:p>
    <w:tbl>
      <w:tblPr>
        <w:tblW w:w="7137" w:type="dxa"/>
        <w:tblLook w:val="04A0" w:firstRow="1" w:lastRow="0" w:firstColumn="1" w:lastColumn="0" w:noHBand="0" w:noVBand="1"/>
      </w:tblPr>
      <w:tblGrid>
        <w:gridCol w:w="4325"/>
        <w:gridCol w:w="1976"/>
        <w:gridCol w:w="836"/>
      </w:tblGrid>
      <w:tr w:rsidR="005C5CED" w:rsidRPr="005C5CED" w14:paraId="76627885" w14:textId="77777777" w:rsidTr="0062462F">
        <w:trPr>
          <w:trHeight w:val="225"/>
        </w:trPr>
        <w:tc>
          <w:tcPr>
            <w:tcW w:w="4325" w:type="dxa"/>
            <w:tcBorders>
              <w:top w:val="single" w:sz="4" w:space="0" w:color="auto"/>
              <w:left w:val="nil"/>
              <w:bottom w:val="nil"/>
              <w:right w:val="nil"/>
            </w:tcBorders>
            <w:shd w:val="clear" w:color="000000" w:fill="000000"/>
            <w:noWrap/>
            <w:vAlign w:val="bottom"/>
            <w:hideMark/>
          </w:tcPr>
          <w:p w14:paraId="0FE89AAA"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76" w:type="dxa"/>
            <w:tcBorders>
              <w:top w:val="single" w:sz="4" w:space="0" w:color="auto"/>
              <w:left w:val="nil"/>
              <w:bottom w:val="nil"/>
              <w:right w:val="nil"/>
            </w:tcBorders>
            <w:shd w:val="clear" w:color="000000" w:fill="000000"/>
            <w:noWrap/>
            <w:vAlign w:val="bottom"/>
            <w:hideMark/>
          </w:tcPr>
          <w:p w14:paraId="6982315D"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836" w:type="dxa"/>
            <w:tcBorders>
              <w:top w:val="single" w:sz="4" w:space="0" w:color="auto"/>
              <w:left w:val="nil"/>
              <w:bottom w:val="nil"/>
              <w:right w:val="nil"/>
            </w:tcBorders>
            <w:shd w:val="clear" w:color="000000" w:fill="000000"/>
            <w:noWrap/>
            <w:vAlign w:val="bottom"/>
            <w:hideMark/>
          </w:tcPr>
          <w:p w14:paraId="42ACB32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733F4E43" w14:textId="77777777" w:rsidTr="0062462F">
        <w:trPr>
          <w:trHeight w:val="225"/>
        </w:trPr>
        <w:tc>
          <w:tcPr>
            <w:tcW w:w="4325" w:type="dxa"/>
            <w:tcBorders>
              <w:top w:val="nil"/>
              <w:left w:val="nil"/>
              <w:bottom w:val="single" w:sz="4" w:space="0" w:color="auto"/>
              <w:right w:val="nil"/>
            </w:tcBorders>
            <w:shd w:val="clear" w:color="000000" w:fill="000000"/>
            <w:noWrap/>
            <w:vAlign w:val="bottom"/>
            <w:hideMark/>
          </w:tcPr>
          <w:p w14:paraId="3AB688D8"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76" w:type="dxa"/>
            <w:tcBorders>
              <w:top w:val="nil"/>
              <w:left w:val="nil"/>
              <w:bottom w:val="single" w:sz="4" w:space="0" w:color="auto"/>
              <w:right w:val="nil"/>
            </w:tcBorders>
            <w:shd w:val="clear" w:color="000000" w:fill="000000"/>
            <w:noWrap/>
            <w:vAlign w:val="bottom"/>
            <w:hideMark/>
          </w:tcPr>
          <w:p w14:paraId="07AC8A2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836" w:type="dxa"/>
            <w:tcBorders>
              <w:top w:val="nil"/>
              <w:left w:val="nil"/>
              <w:bottom w:val="single" w:sz="4" w:space="0" w:color="auto"/>
              <w:right w:val="nil"/>
            </w:tcBorders>
            <w:shd w:val="clear" w:color="000000" w:fill="000000"/>
            <w:noWrap/>
            <w:vAlign w:val="bottom"/>
            <w:hideMark/>
          </w:tcPr>
          <w:p w14:paraId="013BEEA8"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71576567" w14:textId="77777777" w:rsidTr="0062462F">
        <w:trPr>
          <w:trHeight w:val="342"/>
        </w:trPr>
        <w:tc>
          <w:tcPr>
            <w:tcW w:w="4325" w:type="dxa"/>
            <w:tcBorders>
              <w:top w:val="nil"/>
              <w:left w:val="nil"/>
              <w:bottom w:val="nil"/>
              <w:right w:val="nil"/>
            </w:tcBorders>
            <w:shd w:val="clear" w:color="auto" w:fill="auto"/>
            <w:noWrap/>
            <w:vAlign w:val="center"/>
            <w:hideMark/>
          </w:tcPr>
          <w:p w14:paraId="5EAA592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Salaries and wages, annual leave and long service leave</w:t>
            </w:r>
          </w:p>
        </w:tc>
        <w:tc>
          <w:tcPr>
            <w:tcW w:w="1976" w:type="dxa"/>
            <w:tcBorders>
              <w:top w:val="nil"/>
              <w:left w:val="nil"/>
              <w:bottom w:val="nil"/>
              <w:right w:val="nil"/>
            </w:tcBorders>
            <w:shd w:val="clear" w:color="auto" w:fill="auto"/>
            <w:noWrap/>
            <w:vAlign w:val="center"/>
          </w:tcPr>
          <w:p w14:paraId="4829FE8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22,236</w:t>
            </w:r>
          </w:p>
        </w:tc>
        <w:tc>
          <w:tcPr>
            <w:tcW w:w="836" w:type="dxa"/>
            <w:tcBorders>
              <w:top w:val="nil"/>
              <w:left w:val="nil"/>
              <w:bottom w:val="nil"/>
              <w:right w:val="nil"/>
            </w:tcBorders>
            <w:shd w:val="clear" w:color="000000" w:fill="E7E6E6"/>
            <w:noWrap/>
            <w:vAlign w:val="center"/>
            <w:hideMark/>
          </w:tcPr>
          <w:p w14:paraId="0E15B1E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23,332</w:t>
            </w:r>
          </w:p>
        </w:tc>
      </w:tr>
      <w:tr w:rsidR="005C5CED" w:rsidRPr="005C5CED" w14:paraId="1A2D89FE" w14:textId="77777777" w:rsidTr="0062462F">
        <w:trPr>
          <w:trHeight w:val="342"/>
        </w:trPr>
        <w:tc>
          <w:tcPr>
            <w:tcW w:w="4325" w:type="dxa"/>
            <w:tcBorders>
              <w:top w:val="nil"/>
              <w:left w:val="nil"/>
              <w:bottom w:val="nil"/>
              <w:right w:val="nil"/>
            </w:tcBorders>
            <w:shd w:val="clear" w:color="auto" w:fill="auto"/>
            <w:noWrap/>
            <w:vAlign w:val="center"/>
            <w:hideMark/>
          </w:tcPr>
          <w:p w14:paraId="40DA02E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Defined contribution superannuation expense</w:t>
            </w:r>
          </w:p>
        </w:tc>
        <w:tc>
          <w:tcPr>
            <w:tcW w:w="1976" w:type="dxa"/>
            <w:tcBorders>
              <w:top w:val="nil"/>
              <w:left w:val="nil"/>
              <w:bottom w:val="nil"/>
              <w:right w:val="nil"/>
            </w:tcBorders>
            <w:shd w:val="clear" w:color="auto" w:fill="auto"/>
            <w:noWrap/>
            <w:vAlign w:val="center"/>
          </w:tcPr>
          <w:p w14:paraId="06AD18E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2,205</w:t>
            </w:r>
          </w:p>
        </w:tc>
        <w:tc>
          <w:tcPr>
            <w:tcW w:w="836" w:type="dxa"/>
            <w:tcBorders>
              <w:top w:val="nil"/>
              <w:left w:val="nil"/>
              <w:bottom w:val="nil"/>
              <w:right w:val="nil"/>
            </w:tcBorders>
            <w:shd w:val="clear" w:color="000000" w:fill="E7E6E6"/>
            <w:noWrap/>
            <w:vAlign w:val="center"/>
            <w:hideMark/>
          </w:tcPr>
          <w:p w14:paraId="39A215D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2,229</w:t>
            </w:r>
          </w:p>
        </w:tc>
      </w:tr>
      <w:tr w:rsidR="005C5CED" w:rsidRPr="005C5CED" w14:paraId="51404149" w14:textId="77777777" w:rsidTr="0062462F">
        <w:trPr>
          <w:trHeight w:val="424"/>
        </w:trPr>
        <w:tc>
          <w:tcPr>
            <w:tcW w:w="4325" w:type="dxa"/>
            <w:tcBorders>
              <w:top w:val="single" w:sz="4" w:space="0" w:color="auto"/>
              <w:left w:val="nil"/>
              <w:bottom w:val="single" w:sz="4" w:space="0" w:color="auto"/>
              <w:right w:val="nil"/>
            </w:tcBorders>
            <w:shd w:val="clear" w:color="auto" w:fill="auto"/>
            <w:noWrap/>
            <w:vAlign w:val="center"/>
            <w:hideMark/>
          </w:tcPr>
          <w:p w14:paraId="60138C6B"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employee expenses</w:t>
            </w:r>
          </w:p>
        </w:tc>
        <w:tc>
          <w:tcPr>
            <w:tcW w:w="1976" w:type="dxa"/>
            <w:tcBorders>
              <w:top w:val="single" w:sz="4" w:space="0" w:color="auto"/>
              <w:left w:val="nil"/>
              <w:bottom w:val="single" w:sz="4" w:space="0" w:color="auto"/>
              <w:right w:val="nil"/>
            </w:tcBorders>
            <w:shd w:val="clear" w:color="auto" w:fill="auto"/>
            <w:noWrap/>
            <w:vAlign w:val="center"/>
          </w:tcPr>
          <w:p w14:paraId="68FED91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24,441</w:t>
            </w:r>
          </w:p>
        </w:tc>
        <w:tc>
          <w:tcPr>
            <w:tcW w:w="836" w:type="dxa"/>
            <w:tcBorders>
              <w:top w:val="single" w:sz="4" w:space="0" w:color="auto"/>
              <w:left w:val="nil"/>
              <w:bottom w:val="single" w:sz="4" w:space="0" w:color="auto"/>
              <w:right w:val="nil"/>
            </w:tcBorders>
            <w:shd w:val="clear" w:color="000000" w:fill="E7E6E6"/>
            <w:noWrap/>
            <w:vAlign w:val="center"/>
            <w:hideMark/>
          </w:tcPr>
          <w:p w14:paraId="13DAF04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25,561</w:t>
            </w:r>
          </w:p>
        </w:tc>
      </w:tr>
    </w:tbl>
    <w:p w14:paraId="29156C88" w14:textId="77777777" w:rsidR="005C5CED" w:rsidRPr="005C5CED" w:rsidRDefault="005C5CED" w:rsidP="005C5CED">
      <w:pPr>
        <w:spacing w:after="60" w:line="259" w:lineRule="auto"/>
        <w:rPr>
          <w:rFonts w:eastAsia="Calibri" w:cs="Arial"/>
          <w:color w:val="auto"/>
          <w:sz w:val="16"/>
          <w:szCs w:val="16"/>
        </w:rPr>
      </w:pPr>
    </w:p>
    <w:p w14:paraId="35F15D2C"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Employee expenses include all costs related to employment including wages and salaries, fringe benefits tax, leave entitlements, termination payments and </w:t>
      </w:r>
      <w:proofErr w:type="spellStart"/>
      <w:r w:rsidRPr="005C5CED">
        <w:rPr>
          <w:rFonts w:eastAsia="Calibri" w:cs="Arial"/>
          <w:color w:val="auto"/>
        </w:rPr>
        <w:t>WorkCover</w:t>
      </w:r>
      <w:proofErr w:type="spellEnd"/>
      <w:r w:rsidRPr="005C5CED">
        <w:rPr>
          <w:rFonts w:eastAsia="Calibri" w:cs="Arial"/>
          <w:color w:val="auto"/>
        </w:rPr>
        <w:t xml:space="preserve"> premiums.</w:t>
      </w:r>
    </w:p>
    <w:p w14:paraId="07902A91" w14:textId="77777777" w:rsidR="005C5CED" w:rsidRPr="005C5CED" w:rsidRDefault="005C5CED" w:rsidP="005C5CED">
      <w:pPr>
        <w:spacing w:line="259" w:lineRule="auto"/>
        <w:rPr>
          <w:rFonts w:eastAsia="Calibri" w:cs="Arial"/>
          <w:color w:val="auto"/>
        </w:rPr>
      </w:pPr>
      <w:r w:rsidRPr="005C5CED">
        <w:rPr>
          <w:rFonts w:eastAsia="Calibri" w:cs="Arial"/>
          <w:color w:val="auto"/>
        </w:rPr>
        <w:t>The amount recognised in the comprehensive operating statement in relation to superannuation is the employer contributions for members of defined contribution superannuation plans that are paid or payable during the reporting period. Sustainability Victoria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40BDBE63"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Termination benefits are payable when employment is terminated before normal retirement date, or when an employee accepts an offer of benefits in exchange for the termination of employment. Termination benefits are recognised when Sustainability Victoria is demonstrably committed to terminating the employment of current employees according to a detailed formal plan without possibility of withdrawal or providing termination benefits </w:t>
      </w:r>
      <w:proofErr w:type="gramStart"/>
      <w:r w:rsidRPr="005C5CED">
        <w:rPr>
          <w:rFonts w:eastAsia="Calibri" w:cs="Arial"/>
          <w:color w:val="auto"/>
        </w:rPr>
        <w:t>as a result of</w:t>
      </w:r>
      <w:proofErr w:type="gramEnd"/>
      <w:r w:rsidRPr="005C5CED">
        <w:rPr>
          <w:rFonts w:eastAsia="Calibri" w:cs="Arial"/>
          <w:color w:val="auto"/>
        </w:rPr>
        <w:t xml:space="preserve"> an offer made to encourage voluntary redundancy.</w:t>
      </w:r>
    </w:p>
    <w:p w14:paraId="4A3DC145"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Note 3.1.2 Employee benefits in the balance sheet</w:t>
      </w:r>
    </w:p>
    <w:p w14:paraId="3E2C3DB9" w14:textId="77777777" w:rsidR="005C5CED" w:rsidRPr="005C5CED" w:rsidRDefault="005C5CED" w:rsidP="005C5CED">
      <w:pPr>
        <w:spacing w:line="259" w:lineRule="auto"/>
        <w:rPr>
          <w:rFonts w:eastAsia="Calibri" w:cs="Arial"/>
          <w:color w:val="auto"/>
        </w:rPr>
      </w:pPr>
      <w:r w:rsidRPr="005C5CED">
        <w:rPr>
          <w:rFonts w:eastAsia="Calibri" w:cs="Arial"/>
          <w:color w:val="auto"/>
        </w:rPr>
        <w:t>Provision is made for benefits accruing to employees in respect of wages and salaries, annual leave, and long service leave (LSL) for services rendered to the reporting date and recorded as an expense during the period the services are delivered.</w:t>
      </w:r>
    </w:p>
    <w:tbl>
      <w:tblPr>
        <w:tblW w:w="8392" w:type="dxa"/>
        <w:tblLook w:val="04A0" w:firstRow="1" w:lastRow="0" w:firstColumn="1" w:lastColumn="0" w:noHBand="0" w:noVBand="1"/>
      </w:tblPr>
      <w:tblGrid>
        <w:gridCol w:w="4656"/>
        <w:gridCol w:w="1908"/>
        <w:gridCol w:w="1828"/>
      </w:tblGrid>
      <w:tr w:rsidR="005C5CED" w:rsidRPr="005C5CED" w14:paraId="0F228968" w14:textId="77777777" w:rsidTr="0062462F">
        <w:trPr>
          <w:trHeight w:val="225"/>
        </w:trPr>
        <w:tc>
          <w:tcPr>
            <w:tcW w:w="4656" w:type="dxa"/>
            <w:tcBorders>
              <w:top w:val="single" w:sz="4" w:space="0" w:color="auto"/>
              <w:left w:val="nil"/>
              <w:bottom w:val="nil"/>
              <w:right w:val="nil"/>
            </w:tcBorders>
            <w:shd w:val="clear" w:color="000000" w:fill="000000"/>
            <w:noWrap/>
            <w:vAlign w:val="bottom"/>
            <w:hideMark/>
          </w:tcPr>
          <w:p w14:paraId="4248AAE3"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08" w:type="dxa"/>
            <w:tcBorders>
              <w:top w:val="single" w:sz="4" w:space="0" w:color="auto"/>
              <w:left w:val="nil"/>
              <w:bottom w:val="nil"/>
              <w:right w:val="nil"/>
            </w:tcBorders>
            <w:shd w:val="clear" w:color="000000" w:fill="000000"/>
            <w:noWrap/>
            <w:vAlign w:val="bottom"/>
            <w:hideMark/>
          </w:tcPr>
          <w:p w14:paraId="78D0A7A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828" w:type="dxa"/>
            <w:tcBorders>
              <w:top w:val="single" w:sz="4" w:space="0" w:color="auto"/>
              <w:left w:val="nil"/>
              <w:bottom w:val="nil"/>
              <w:right w:val="nil"/>
            </w:tcBorders>
            <w:shd w:val="clear" w:color="000000" w:fill="000000"/>
            <w:noWrap/>
            <w:vAlign w:val="bottom"/>
            <w:hideMark/>
          </w:tcPr>
          <w:p w14:paraId="77BC555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0C35EF35" w14:textId="77777777" w:rsidTr="0062462F">
        <w:trPr>
          <w:trHeight w:val="225"/>
        </w:trPr>
        <w:tc>
          <w:tcPr>
            <w:tcW w:w="4656" w:type="dxa"/>
            <w:tcBorders>
              <w:top w:val="nil"/>
              <w:left w:val="nil"/>
              <w:bottom w:val="single" w:sz="4" w:space="0" w:color="auto"/>
              <w:right w:val="nil"/>
            </w:tcBorders>
            <w:shd w:val="clear" w:color="000000" w:fill="000000"/>
            <w:noWrap/>
            <w:vAlign w:val="bottom"/>
            <w:hideMark/>
          </w:tcPr>
          <w:p w14:paraId="3AFE0112"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08" w:type="dxa"/>
            <w:tcBorders>
              <w:top w:val="nil"/>
              <w:left w:val="nil"/>
              <w:bottom w:val="single" w:sz="4" w:space="0" w:color="auto"/>
              <w:right w:val="nil"/>
            </w:tcBorders>
            <w:shd w:val="clear" w:color="000000" w:fill="000000"/>
            <w:noWrap/>
            <w:vAlign w:val="bottom"/>
            <w:hideMark/>
          </w:tcPr>
          <w:p w14:paraId="3D7BE26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828" w:type="dxa"/>
            <w:tcBorders>
              <w:top w:val="nil"/>
              <w:left w:val="nil"/>
              <w:bottom w:val="single" w:sz="4" w:space="0" w:color="auto"/>
              <w:right w:val="nil"/>
            </w:tcBorders>
            <w:shd w:val="clear" w:color="000000" w:fill="000000"/>
            <w:noWrap/>
            <w:vAlign w:val="bottom"/>
            <w:hideMark/>
          </w:tcPr>
          <w:p w14:paraId="54A9ABF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2F66D45B" w14:textId="77777777" w:rsidTr="0062462F">
        <w:trPr>
          <w:trHeight w:val="342"/>
        </w:trPr>
        <w:tc>
          <w:tcPr>
            <w:tcW w:w="4656" w:type="dxa"/>
            <w:tcBorders>
              <w:top w:val="nil"/>
              <w:left w:val="nil"/>
              <w:bottom w:val="nil"/>
              <w:right w:val="nil"/>
            </w:tcBorders>
            <w:shd w:val="clear" w:color="auto" w:fill="auto"/>
            <w:noWrap/>
            <w:vAlign w:val="center"/>
            <w:hideMark/>
          </w:tcPr>
          <w:p w14:paraId="0C266FA4"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Current provisions</w:t>
            </w:r>
          </w:p>
        </w:tc>
        <w:tc>
          <w:tcPr>
            <w:tcW w:w="1908" w:type="dxa"/>
            <w:tcBorders>
              <w:top w:val="nil"/>
              <w:left w:val="nil"/>
              <w:bottom w:val="nil"/>
              <w:right w:val="nil"/>
            </w:tcBorders>
            <w:shd w:val="clear" w:color="auto" w:fill="auto"/>
            <w:noWrap/>
            <w:vAlign w:val="center"/>
            <w:hideMark/>
          </w:tcPr>
          <w:p w14:paraId="3995A09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828" w:type="dxa"/>
            <w:tcBorders>
              <w:top w:val="nil"/>
              <w:left w:val="nil"/>
              <w:bottom w:val="nil"/>
              <w:right w:val="nil"/>
            </w:tcBorders>
            <w:shd w:val="clear" w:color="000000" w:fill="E7E6E6"/>
            <w:noWrap/>
            <w:vAlign w:val="center"/>
            <w:hideMark/>
          </w:tcPr>
          <w:p w14:paraId="3C3DF18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5DEDC10D" w14:textId="77777777" w:rsidTr="0062462F">
        <w:trPr>
          <w:trHeight w:val="342"/>
        </w:trPr>
        <w:tc>
          <w:tcPr>
            <w:tcW w:w="4656" w:type="dxa"/>
            <w:tcBorders>
              <w:top w:val="nil"/>
              <w:left w:val="nil"/>
              <w:bottom w:val="nil"/>
              <w:right w:val="nil"/>
            </w:tcBorders>
            <w:shd w:val="clear" w:color="auto" w:fill="auto"/>
            <w:noWrap/>
            <w:vAlign w:val="center"/>
            <w:hideMark/>
          </w:tcPr>
          <w:p w14:paraId="16ED6F8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Annual leave</w:t>
            </w:r>
          </w:p>
        </w:tc>
        <w:tc>
          <w:tcPr>
            <w:tcW w:w="1908" w:type="dxa"/>
            <w:tcBorders>
              <w:top w:val="nil"/>
              <w:left w:val="nil"/>
              <w:bottom w:val="nil"/>
              <w:right w:val="nil"/>
            </w:tcBorders>
            <w:shd w:val="clear" w:color="auto" w:fill="auto"/>
            <w:noWrap/>
            <w:vAlign w:val="center"/>
            <w:hideMark/>
          </w:tcPr>
          <w:p w14:paraId="2DDBE73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828" w:type="dxa"/>
            <w:tcBorders>
              <w:top w:val="nil"/>
              <w:left w:val="nil"/>
              <w:bottom w:val="nil"/>
              <w:right w:val="nil"/>
            </w:tcBorders>
            <w:shd w:val="clear" w:color="000000" w:fill="E7E6E6"/>
            <w:noWrap/>
            <w:vAlign w:val="center"/>
            <w:hideMark/>
          </w:tcPr>
          <w:p w14:paraId="684298D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48FE041D" w14:textId="77777777" w:rsidTr="0062462F">
        <w:trPr>
          <w:trHeight w:val="342"/>
        </w:trPr>
        <w:tc>
          <w:tcPr>
            <w:tcW w:w="4656" w:type="dxa"/>
            <w:tcBorders>
              <w:top w:val="nil"/>
              <w:left w:val="nil"/>
              <w:bottom w:val="nil"/>
              <w:right w:val="nil"/>
            </w:tcBorders>
            <w:shd w:val="clear" w:color="auto" w:fill="auto"/>
            <w:noWrap/>
            <w:vAlign w:val="center"/>
            <w:hideMark/>
          </w:tcPr>
          <w:p w14:paraId="0513E6D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Unconditional and expected to settle within 12 months</w:t>
            </w:r>
          </w:p>
        </w:tc>
        <w:tc>
          <w:tcPr>
            <w:tcW w:w="1908" w:type="dxa"/>
            <w:tcBorders>
              <w:top w:val="nil"/>
              <w:left w:val="nil"/>
              <w:bottom w:val="nil"/>
              <w:right w:val="nil"/>
            </w:tcBorders>
            <w:shd w:val="clear" w:color="auto" w:fill="auto"/>
            <w:noWrap/>
            <w:vAlign w:val="center"/>
          </w:tcPr>
          <w:p w14:paraId="678C8FA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947</w:t>
            </w:r>
          </w:p>
        </w:tc>
        <w:tc>
          <w:tcPr>
            <w:tcW w:w="1828" w:type="dxa"/>
            <w:tcBorders>
              <w:top w:val="nil"/>
              <w:left w:val="nil"/>
              <w:bottom w:val="nil"/>
              <w:right w:val="nil"/>
            </w:tcBorders>
            <w:shd w:val="clear" w:color="000000" w:fill="E7E6E6"/>
            <w:noWrap/>
            <w:vAlign w:val="center"/>
            <w:hideMark/>
          </w:tcPr>
          <w:p w14:paraId="166F5AE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866</w:t>
            </w:r>
          </w:p>
        </w:tc>
      </w:tr>
      <w:tr w:rsidR="005C5CED" w:rsidRPr="005C5CED" w14:paraId="337174FD" w14:textId="77777777" w:rsidTr="0062462F">
        <w:trPr>
          <w:trHeight w:val="342"/>
        </w:trPr>
        <w:tc>
          <w:tcPr>
            <w:tcW w:w="4656" w:type="dxa"/>
            <w:tcBorders>
              <w:top w:val="nil"/>
              <w:left w:val="nil"/>
              <w:bottom w:val="nil"/>
              <w:right w:val="nil"/>
            </w:tcBorders>
            <w:shd w:val="clear" w:color="auto" w:fill="auto"/>
            <w:noWrap/>
            <w:vAlign w:val="center"/>
            <w:hideMark/>
          </w:tcPr>
          <w:p w14:paraId="53F0A3F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Unconditional and expected to settle after 12 months </w:t>
            </w:r>
          </w:p>
        </w:tc>
        <w:tc>
          <w:tcPr>
            <w:tcW w:w="1908" w:type="dxa"/>
            <w:tcBorders>
              <w:top w:val="nil"/>
              <w:left w:val="nil"/>
              <w:bottom w:val="nil"/>
              <w:right w:val="nil"/>
            </w:tcBorders>
            <w:shd w:val="clear" w:color="auto" w:fill="auto"/>
            <w:noWrap/>
            <w:vAlign w:val="center"/>
          </w:tcPr>
          <w:p w14:paraId="51CF86A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475</w:t>
            </w:r>
          </w:p>
        </w:tc>
        <w:tc>
          <w:tcPr>
            <w:tcW w:w="1828" w:type="dxa"/>
            <w:tcBorders>
              <w:top w:val="nil"/>
              <w:left w:val="nil"/>
              <w:bottom w:val="nil"/>
              <w:right w:val="nil"/>
            </w:tcBorders>
            <w:shd w:val="clear" w:color="000000" w:fill="E7E6E6"/>
            <w:noWrap/>
            <w:vAlign w:val="center"/>
            <w:hideMark/>
          </w:tcPr>
          <w:p w14:paraId="216ED1C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452</w:t>
            </w:r>
          </w:p>
        </w:tc>
      </w:tr>
      <w:tr w:rsidR="005C5CED" w:rsidRPr="005C5CED" w14:paraId="2E0FD5BE" w14:textId="77777777" w:rsidTr="0062462F">
        <w:trPr>
          <w:trHeight w:val="342"/>
        </w:trPr>
        <w:tc>
          <w:tcPr>
            <w:tcW w:w="4656" w:type="dxa"/>
            <w:tcBorders>
              <w:top w:val="nil"/>
              <w:left w:val="nil"/>
              <w:bottom w:val="nil"/>
              <w:right w:val="nil"/>
            </w:tcBorders>
            <w:shd w:val="clear" w:color="auto" w:fill="auto"/>
            <w:noWrap/>
            <w:vAlign w:val="center"/>
            <w:hideMark/>
          </w:tcPr>
          <w:p w14:paraId="22A1D74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Long service leave</w:t>
            </w:r>
          </w:p>
        </w:tc>
        <w:tc>
          <w:tcPr>
            <w:tcW w:w="1908" w:type="dxa"/>
            <w:tcBorders>
              <w:top w:val="nil"/>
              <w:left w:val="nil"/>
              <w:bottom w:val="nil"/>
              <w:right w:val="nil"/>
            </w:tcBorders>
            <w:shd w:val="clear" w:color="auto" w:fill="auto"/>
            <w:noWrap/>
            <w:vAlign w:val="center"/>
          </w:tcPr>
          <w:p w14:paraId="35CC1EE0"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p>
        </w:tc>
        <w:tc>
          <w:tcPr>
            <w:tcW w:w="1828" w:type="dxa"/>
            <w:tcBorders>
              <w:top w:val="nil"/>
              <w:left w:val="nil"/>
              <w:bottom w:val="nil"/>
              <w:right w:val="nil"/>
            </w:tcBorders>
            <w:shd w:val="clear" w:color="000000" w:fill="E7E6E6"/>
            <w:noWrap/>
            <w:vAlign w:val="center"/>
            <w:hideMark/>
          </w:tcPr>
          <w:p w14:paraId="72C942AD"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4643D513" w14:textId="77777777" w:rsidTr="0062462F">
        <w:trPr>
          <w:trHeight w:val="342"/>
        </w:trPr>
        <w:tc>
          <w:tcPr>
            <w:tcW w:w="4656" w:type="dxa"/>
            <w:tcBorders>
              <w:top w:val="nil"/>
              <w:left w:val="nil"/>
              <w:bottom w:val="nil"/>
              <w:right w:val="nil"/>
            </w:tcBorders>
            <w:shd w:val="clear" w:color="auto" w:fill="auto"/>
            <w:noWrap/>
            <w:vAlign w:val="center"/>
            <w:hideMark/>
          </w:tcPr>
          <w:p w14:paraId="3087AD4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Unconditional and expected to settle within 12 months</w:t>
            </w:r>
          </w:p>
        </w:tc>
        <w:tc>
          <w:tcPr>
            <w:tcW w:w="1908" w:type="dxa"/>
            <w:tcBorders>
              <w:top w:val="nil"/>
              <w:left w:val="nil"/>
              <w:bottom w:val="nil"/>
              <w:right w:val="nil"/>
            </w:tcBorders>
            <w:shd w:val="clear" w:color="auto" w:fill="auto"/>
            <w:noWrap/>
            <w:vAlign w:val="center"/>
          </w:tcPr>
          <w:p w14:paraId="600F025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140</w:t>
            </w:r>
          </w:p>
        </w:tc>
        <w:tc>
          <w:tcPr>
            <w:tcW w:w="1828" w:type="dxa"/>
            <w:tcBorders>
              <w:top w:val="nil"/>
              <w:left w:val="nil"/>
              <w:bottom w:val="nil"/>
              <w:right w:val="nil"/>
            </w:tcBorders>
            <w:shd w:val="clear" w:color="000000" w:fill="E7E6E6"/>
            <w:noWrap/>
            <w:vAlign w:val="center"/>
            <w:hideMark/>
          </w:tcPr>
          <w:p w14:paraId="3AD9880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114</w:t>
            </w:r>
          </w:p>
        </w:tc>
      </w:tr>
      <w:tr w:rsidR="005C5CED" w:rsidRPr="005C5CED" w14:paraId="3BAFB061" w14:textId="77777777" w:rsidTr="0062462F">
        <w:trPr>
          <w:trHeight w:val="342"/>
        </w:trPr>
        <w:tc>
          <w:tcPr>
            <w:tcW w:w="4656" w:type="dxa"/>
            <w:tcBorders>
              <w:top w:val="nil"/>
              <w:left w:val="nil"/>
              <w:bottom w:val="nil"/>
              <w:right w:val="nil"/>
            </w:tcBorders>
            <w:shd w:val="clear" w:color="auto" w:fill="auto"/>
            <w:noWrap/>
            <w:vAlign w:val="center"/>
            <w:hideMark/>
          </w:tcPr>
          <w:p w14:paraId="335208A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Unconditional and expected to settle after 12 months</w:t>
            </w:r>
          </w:p>
        </w:tc>
        <w:tc>
          <w:tcPr>
            <w:tcW w:w="1908" w:type="dxa"/>
            <w:tcBorders>
              <w:top w:val="nil"/>
              <w:left w:val="nil"/>
              <w:bottom w:val="nil"/>
              <w:right w:val="nil"/>
            </w:tcBorders>
            <w:shd w:val="clear" w:color="auto" w:fill="auto"/>
            <w:noWrap/>
            <w:vAlign w:val="center"/>
          </w:tcPr>
          <w:p w14:paraId="6D22C4D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1,015</w:t>
            </w:r>
          </w:p>
        </w:tc>
        <w:tc>
          <w:tcPr>
            <w:tcW w:w="1828" w:type="dxa"/>
            <w:tcBorders>
              <w:top w:val="nil"/>
              <w:left w:val="nil"/>
              <w:bottom w:val="nil"/>
              <w:right w:val="nil"/>
            </w:tcBorders>
            <w:shd w:val="clear" w:color="000000" w:fill="E7E6E6"/>
            <w:noWrap/>
            <w:vAlign w:val="center"/>
            <w:hideMark/>
          </w:tcPr>
          <w:p w14:paraId="69E61B3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896</w:t>
            </w:r>
          </w:p>
        </w:tc>
      </w:tr>
      <w:tr w:rsidR="005C5CED" w:rsidRPr="005C5CED" w14:paraId="52544CBE" w14:textId="77777777" w:rsidTr="0062462F">
        <w:trPr>
          <w:trHeight w:val="342"/>
        </w:trPr>
        <w:tc>
          <w:tcPr>
            <w:tcW w:w="4656" w:type="dxa"/>
            <w:tcBorders>
              <w:top w:val="nil"/>
              <w:left w:val="nil"/>
              <w:bottom w:val="nil"/>
              <w:right w:val="nil"/>
            </w:tcBorders>
            <w:shd w:val="clear" w:color="auto" w:fill="auto"/>
            <w:noWrap/>
            <w:vAlign w:val="center"/>
            <w:hideMark/>
          </w:tcPr>
          <w:p w14:paraId="5E0E3C1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Provisions for on-costs</w:t>
            </w:r>
          </w:p>
        </w:tc>
        <w:tc>
          <w:tcPr>
            <w:tcW w:w="1908" w:type="dxa"/>
            <w:tcBorders>
              <w:top w:val="nil"/>
              <w:left w:val="nil"/>
              <w:bottom w:val="nil"/>
              <w:right w:val="nil"/>
            </w:tcBorders>
            <w:shd w:val="clear" w:color="auto" w:fill="auto"/>
            <w:noWrap/>
            <w:vAlign w:val="center"/>
          </w:tcPr>
          <w:p w14:paraId="63237FA4"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p>
        </w:tc>
        <w:tc>
          <w:tcPr>
            <w:tcW w:w="1828" w:type="dxa"/>
            <w:tcBorders>
              <w:top w:val="nil"/>
              <w:left w:val="nil"/>
              <w:bottom w:val="nil"/>
              <w:right w:val="nil"/>
            </w:tcBorders>
            <w:shd w:val="clear" w:color="000000" w:fill="E7E6E6"/>
            <w:noWrap/>
            <w:vAlign w:val="center"/>
            <w:hideMark/>
          </w:tcPr>
          <w:p w14:paraId="63E48F24"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36F3CAA8" w14:textId="77777777" w:rsidTr="0062462F">
        <w:trPr>
          <w:trHeight w:val="342"/>
        </w:trPr>
        <w:tc>
          <w:tcPr>
            <w:tcW w:w="4656" w:type="dxa"/>
            <w:tcBorders>
              <w:top w:val="nil"/>
              <w:left w:val="nil"/>
              <w:bottom w:val="nil"/>
              <w:right w:val="nil"/>
            </w:tcBorders>
            <w:shd w:val="clear" w:color="auto" w:fill="auto"/>
            <w:noWrap/>
            <w:vAlign w:val="center"/>
            <w:hideMark/>
          </w:tcPr>
          <w:p w14:paraId="0710E7C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Unconditional and expected to settle within 12 months</w:t>
            </w:r>
          </w:p>
        </w:tc>
        <w:tc>
          <w:tcPr>
            <w:tcW w:w="1908" w:type="dxa"/>
            <w:tcBorders>
              <w:top w:val="nil"/>
              <w:left w:val="nil"/>
              <w:bottom w:val="nil"/>
              <w:right w:val="nil"/>
            </w:tcBorders>
            <w:shd w:val="clear" w:color="auto" w:fill="auto"/>
            <w:noWrap/>
            <w:vAlign w:val="center"/>
          </w:tcPr>
          <w:p w14:paraId="2E97523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187</w:t>
            </w:r>
          </w:p>
        </w:tc>
        <w:tc>
          <w:tcPr>
            <w:tcW w:w="1828" w:type="dxa"/>
            <w:tcBorders>
              <w:top w:val="nil"/>
              <w:left w:val="nil"/>
              <w:bottom w:val="nil"/>
              <w:right w:val="nil"/>
            </w:tcBorders>
            <w:shd w:val="clear" w:color="000000" w:fill="E7E6E6"/>
            <w:noWrap/>
            <w:vAlign w:val="center"/>
            <w:hideMark/>
          </w:tcPr>
          <w:p w14:paraId="7E3AF5C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299</w:t>
            </w:r>
          </w:p>
        </w:tc>
      </w:tr>
      <w:tr w:rsidR="005C5CED" w:rsidRPr="005C5CED" w14:paraId="24051D1F" w14:textId="77777777" w:rsidTr="0062462F">
        <w:trPr>
          <w:trHeight w:val="342"/>
        </w:trPr>
        <w:tc>
          <w:tcPr>
            <w:tcW w:w="4656" w:type="dxa"/>
            <w:tcBorders>
              <w:top w:val="nil"/>
              <w:left w:val="nil"/>
              <w:bottom w:val="nil"/>
              <w:right w:val="nil"/>
            </w:tcBorders>
            <w:shd w:val="clear" w:color="auto" w:fill="auto"/>
            <w:noWrap/>
            <w:vAlign w:val="center"/>
            <w:hideMark/>
          </w:tcPr>
          <w:p w14:paraId="41B2502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Unconditional and expected to settle after 12 months</w:t>
            </w:r>
          </w:p>
        </w:tc>
        <w:tc>
          <w:tcPr>
            <w:tcW w:w="1908" w:type="dxa"/>
            <w:tcBorders>
              <w:top w:val="nil"/>
              <w:left w:val="nil"/>
              <w:bottom w:val="nil"/>
              <w:right w:val="nil"/>
            </w:tcBorders>
            <w:shd w:val="clear" w:color="auto" w:fill="auto"/>
            <w:noWrap/>
            <w:vAlign w:val="center"/>
          </w:tcPr>
          <w:p w14:paraId="70B96F5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261</w:t>
            </w:r>
          </w:p>
        </w:tc>
        <w:tc>
          <w:tcPr>
            <w:tcW w:w="1828" w:type="dxa"/>
            <w:tcBorders>
              <w:top w:val="nil"/>
              <w:left w:val="nil"/>
              <w:bottom w:val="nil"/>
              <w:right w:val="nil"/>
            </w:tcBorders>
            <w:shd w:val="clear" w:color="000000" w:fill="E7E6E6"/>
            <w:noWrap/>
            <w:vAlign w:val="center"/>
            <w:hideMark/>
          </w:tcPr>
          <w:p w14:paraId="14F2070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77</w:t>
            </w:r>
          </w:p>
        </w:tc>
      </w:tr>
      <w:tr w:rsidR="005C5CED" w:rsidRPr="005C5CED" w14:paraId="36DE6751" w14:textId="77777777" w:rsidTr="0062462F">
        <w:trPr>
          <w:trHeight w:val="342"/>
        </w:trPr>
        <w:tc>
          <w:tcPr>
            <w:tcW w:w="4656" w:type="dxa"/>
            <w:tcBorders>
              <w:top w:val="single" w:sz="4" w:space="0" w:color="auto"/>
              <w:left w:val="nil"/>
              <w:bottom w:val="single" w:sz="4" w:space="0" w:color="auto"/>
              <w:right w:val="nil"/>
            </w:tcBorders>
            <w:shd w:val="clear" w:color="auto" w:fill="auto"/>
            <w:noWrap/>
            <w:vAlign w:val="center"/>
            <w:hideMark/>
          </w:tcPr>
          <w:p w14:paraId="733AE5DB"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current provisions for employee benefits</w:t>
            </w:r>
          </w:p>
        </w:tc>
        <w:tc>
          <w:tcPr>
            <w:tcW w:w="1908" w:type="dxa"/>
            <w:tcBorders>
              <w:top w:val="single" w:sz="4" w:space="0" w:color="auto"/>
              <w:left w:val="nil"/>
              <w:bottom w:val="single" w:sz="4" w:space="0" w:color="auto"/>
              <w:right w:val="nil"/>
            </w:tcBorders>
            <w:shd w:val="clear" w:color="auto" w:fill="auto"/>
            <w:noWrap/>
            <w:vAlign w:val="center"/>
          </w:tcPr>
          <w:p w14:paraId="3590FA3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3,025</w:t>
            </w:r>
          </w:p>
        </w:tc>
        <w:tc>
          <w:tcPr>
            <w:tcW w:w="1828" w:type="dxa"/>
            <w:tcBorders>
              <w:top w:val="single" w:sz="4" w:space="0" w:color="auto"/>
              <w:left w:val="nil"/>
              <w:bottom w:val="single" w:sz="4" w:space="0" w:color="auto"/>
              <w:right w:val="nil"/>
            </w:tcBorders>
            <w:shd w:val="clear" w:color="000000" w:fill="E7E6E6"/>
            <w:noWrap/>
            <w:vAlign w:val="center"/>
            <w:hideMark/>
          </w:tcPr>
          <w:p w14:paraId="15DC135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2,704</w:t>
            </w:r>
          </w:p>
        </w:tc>
      </w:tr>
      <w:tr w:rsidR="005C5CED" w:rsidRPr="005C5CED" w14:paraId="05B26E97" w14:textId="77777777" w:rsidTr="0062462F">
        <w:trPr>
          <w:trHeight w:val="342"/>
        </w:trPr>
        <w:tc>
          <w:tcPr>
            <w:tcW w:w="4656" w:type="dxa"/>
            <w:tcBorders>
              <w:top w:val="nil"/>
              <w:left w:val="nil"/>
              <w:bottom w:val="nil"/>
              <w:right w:val="nil"/>
            </w:tcBorders>
            <w:shd w:val="clear" w:color="auto" w:fill="auto"/>
            <w:noWrap/>
            <w:vAlign w:val="center"/>
            <w:hideMark/>
          </w:tcPr>
          <w:p w14:paraId="0D2E5430"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Non-current provisions</w:t>
            </w:r>
          </w:p>
        </w:tc>
        <w:tc>
          <w:tcPr>
            <w:tcW w:w="1908" w:type="dxa"/>
            <w:tcBorders>
              <w:top w:val="nil"/>
              <w:left w:val="nil"/>
              <w:bottom w:val="nil"/>
              <w:right w:val="nil"/>
            </w:tcBorders>
            <w:shd w:val="clear" w:color="auto" w:fill="auto"/>
            <w:noWrap/>
            <w:vAlign w:val="center"/>
          </w:tcPr>
          <w:p w14:paraId="45606D09" w14:textId="77777777" w:rsidR="005C5CED" w:rsidRPr="005C5CED" w:rsidRDefault="005C5CED" w:rsidP="005C5CED">
            <w:pPr>
              <w:spacing w:after="0" w:line="240" w:lineRule="auto"/>
              <w:ind w:firstLineChars="100" w:firstLine="161"/>
              <w:jc w:val="right"/>
              <w:rPr>
                <w:rFonts w:eastAsia="Times New Roman" w:cs="Arial"/>
                <w:b/>
                <w:bCs/>
                <w:color w:val="auto"/>
                <w:sz w:val="16"/>
                <w:szCs w:val="16"/>
                <w:lang w:eastAsia="en-AU"/>
              </w:rPr>
            </w:pPr>
          </w:p>
        </w:tc>
        <w:tc>
          <w:tcPr>
            <w:tcW w:w="1828" w:type="dxa"/>
            <w:tcBorders>
              <w:top w:val="nil"/>
              <w:left w:val="nil"/>
              <w:bottom w:val="nil"/>
              <w:right w:val="nil"/>
            </w:tcBorders>
            <w:shd w:val="clear" w:color="000000" w:fill="E7E6E6"/>
            <w:noWrap/>
            <w:vAlign w:val="center"/>
            <w:hideMark/>
          </w:tcPr>
          <w:p w14:paraId="1F43C392"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3282AFAB" w14:textId="77777777" w:rsidTr="0062462F">
        <w:trPr>
          <w:trHeight w:val="342"/>
        </w:trPr>
        <w:tc>
          <w:tcPr>
            <w:tcW w:w="4656" w:type="dxa"/>
            <w:tcBorders>
              <w:top w:val="nil"/>
              <w:left w:val="nil"/>
              <w:bottom w:val="nil"/>
              <w:right w:val="nil"/>
            </w:tcBorders>
            <w:shd w:val="clear" w:color="auto" w:fill="auto"/>
            <w:noWrap/>
            <w:vAlign w:val="center"/>
            <w:hideMark/>
          </w:tcPr>
          <w:p w14:paraId="2949535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Employee benefits – long service leave</w:t>
            </w:r>
          </w:p>
        </w:tc>
        <w:tc>
          <w:tcPr>
            <w:tcW w:w="1908" w:type="dxa"/>
            <w:tcBorders>
              <w:top w:val="nil"/>
              <w:left w:val="nil"/>
              <w:bottom w:val="nil"/>
              <w:right w:val="nil"/>
            </w:tcBorders>
            <w:shd w:val="clear" w:color="auto" w:fill="auto"/>
            <w:noWrap/>
            <w:vAlign w:val="center"/>
          </w:tcPr>
          <w:p w14:paraId="7D0E610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551</w:t>
            </w:r>
          </w:p>
        </w:tc>
        <w:tc>
          <w:tcPr>
            <w:tcW w:w="1828" w:type="dxa"/>
            <w:tcBorders>
              <w:top w:val="nil"/>
              <w:left w:val="nil"/>
              <w:bottom w:val="nil"/>
              <w:right w:val="nil"/>
            </w:tcBorders>
            <w:shd w:val="clear" w:color="000000" w:fill="E7E6E6"/>
            <w:noWrap/>
            <w:vAlign w:val="center"/>
            <w:hideMark/>
          </w:tcPr>
          <w:p w14:paraId="2BAD4D7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489</w:t>
            </w:r>
          </w:p>
        </w:tc>
      </w:tr>
      <w:tr w:rsidR="005C5CED" w:rsidRPr="005C5CED" w14:paraId="585D6785" w14:textId="77777777" w:rsidTr="0062462F">
        <w:trPr>
          <w:trHeight w:val="342"/>
        </w:trPr>
        <w:tc>
          <w:tcPr>
            <w:tcW w:w="4656" w:type="dxa"/>
            <w:tcBorders>
              <w:top w:val="nil"/>
              <w:left w:val="nil"/>
              <w:bottom w:val="nil"/>
              <w:right w:val="nil"/>
            </w:tcBorders>
            <w:shd w:val="clear" w:color="auto" w:fill="auto"/>
            <w:noWrap/>
            <w:vAlign w:val="center"/>
            <w:hideMark/>
          </w:tcPr>
          <w:p w14:paraId="5A9A053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On-costs</w:t>
            </w:r>
          </w:p>
        </w:tc>
        <w:tc>
          <w:tcPr>
            <w:tcW w:w="1908" w:type="dxa"/>
            <w:tcBorders>
              <w:top w:val="nil"/>
              <w:left w:val="nil"/>
              <w:bottom w:val="nil"/>
              <w:right w:val="nil"/>
            </w:tcBorders>
            <w:shd w:val="clear" w:color="auto" w:fill="auto"/>
            <w:noWrap/>
            <w:vAlign w:val="center"/>
          </w:tcPr>
          <w:p w14:paraId="61C7F85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98</w:t>
            </w:r>
          </w:p>
        </w:tc>
        <w:tc>
          <w:tcPr>
            <w:tcW w:w="1828" w:type="dxa"/>
            <w:tcBorders>
              <w:top w:val="nil"/>
              <w:left w:val="nil"/>
              <w:bottom w:val="nil"/>
              <w:right w:val="nil"/>
            </w:tcBorders>
            <w:shd w:val="clear" w:color="000000" w:fill="E7E6E6"/>
            <w:noWrap/>
            <w:vAlign w:val="center"/>
            <w:hideMark/>
          </w:tcPr>
          <w:p w14:paraId="4F8FBD4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w:t>
            </w:r>
          </w:p>
        </w:tc>
      </w:tr>
      <w:tr w:rsidR="005C5CED" w:rsidRPr="005C5CED" w14:paraId="00449483" w14:textId="77777777" w:rsidTr="0062462F">
        <w:trPr>
          <w:trHeight w:val="342"/>
        </w:trPr>
        <w:tc>
          <w:tcPr>
            <w:tcW w:w="4656" w:type="dxa"/>
            <w:tcBorders>
              <w:top w:val="single" w:sz="4" w:space="0" w:color="auto"/>
              <w:left w:val="nil"/>
              <w:bottom w:val="single" w:sz="4" w:space="0" w:color="auto"/>
              <w:right w:val="nil"/>
            </w:tcBorders>
            <w:shd w:val="clear" w:color="auto" w:fill="auto"/>
            <w:noWrap/>
            <w:vAlign w:val="center"/>
            <w:hideMark/>
          </w:tcPr>
          <w:p w14:paraId="12593688"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non-current provisions for employee benefits</w:t>
            </w:r>
          </w:p>
        </w:tc>
        <w:tc>
          <w:tcPr>
            <w:tcW w:w="1908" w:type="dxa"/>
            <w:tcBorders>
              <w:top w:val="single" w:sz="4" w:space="0" w:color="auto"/>
              <w:left w:val="nil"/>
              <w:bottom w:val="single" w:sz="4" w:space="0" w:color="auto"/>
              <w:right w:val="nil"/>
            </w:tcBorders>
            <w:shd w:val="clear" w:color="auto" w:fill="auto"/>
            <w:noWrap/>
            <w:vAlign w:val="center"/>
          </w:tcPr>
          <w:p w14:paraId="038DB16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649</w:t>
            </w:r>
          </w:p>
        </w:tc>
        <w:tc>
          <w:tcPr>
            <w:tcW w:w="1828" w:type="dxa"/>
            <w:tcBorders>
              <w:top w:val="single" w:sz="4" w:space="0" w:color="auto"/>
              <w:left w:val="nil"/>
              <w:bottom w:val="single" w:sz="4" w:space="0" w:color="auto"/>
              <w:right w:val="nil"/>
            </w:tcBorders>
            <w:shd w:val="clear" w:color="000000" w:fill="E7E6E6"/>
            <w:noWrap/>
            <w:vAlign w:val="center"/>
            <w:hideMark/>
          </w:tcPr>
          <w:p w14:paraId="6DDADC5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568</w:t>
            </w:r>
          </w:p>
        </w:tc>
      </w:tr>
      <w:tr w:rsidR="005C5CED" w:rsidRPr="005C5CED" w14:paraId="1540549B" w14:textId="77777777" w:rsidTr="0062462F">
        <w:trPr>
          <w:trHeight w:val="342"/>
        </w:trPr>
        <w:tc>
          <w:tcPr>
            <w:tcW w:w="4656" w:type="dxa"/>
            <w:tcBorders>
              <w:top w:val="nil"/>
              <w:left w:val="nil"/>
              <w:bottom w:val="single" w:sz="4" w:space="0" w:color="auto"/>
              <w:right w:val="nil"/>
            </w:tcBorders>
            <w:shd w:val="clear" w:color="auto" w:fill="auto"/>
            <w:noWrap/>
            <w:vAlign w:val="center"/>
            <w:hideMark/>
          </w:tcPr>
          <w:p w14:paraId="62020608"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provisions for employee benefits</w:t>
            </w:r>
          </w:p>
        </w:tc>
        <w:tc>
          <w:tcPr>
            <w:tcW w:w="1908" w:type="dxa"/>
            <w:tcBorders>
              <w:top w:val="nil"/>
              <w:left w:val="nil"/>
              <w:bottom w:val="single" w:sz="4" w:space="0" w:color="auto"/>
              <w:right w:val="nil"/>
            </w:tcBorders>
            <w:shd w:val="clear" w:color="auto" w:fill="auto"/>
            <w:noWrap/>
            <w:vAlign w:val="center"/>
          </w:tcPr>
          <w:p w14:paraId="02AE53B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3,674</w:t>
            </w:r>
          </w:p>
        </w:tc>
        <w:tc>
          <w:tcPr>
            <w:tcW w:w="1828" w:type="dxa"/>
            <w:tcBorders>
              <w:top w:val="nil"/>
              <w:left w:val="nil"/>
              <w:bottom w:val="single" w:sz="4" w:space="0" w:color="auto"/>
              <w:right w:val="nil"/>
            </w:tcBorders>
            <w:shd w:val="clear" w:color="000000" w:fill="E7E6E6"/>
            <w:noWrap/>
            <w:vAlign w:val="center"/>
            <w:hideMark/>
          </w:tcPr>
          <w:p w14:paraId="74CDC66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3,272</w:t>
            </w:r>
          </w:p>
        </w:tc>
      </w:tr>
    </w:tbl>
    <w:p w14:paraId="5FFA6EEF" w14:textId="77777777" w:rsidR="005C5CED" w:rsidRPr="005C5CED" w:rsidRDefault="005C5CED" w:rsidP="005C5CED">
      <w:pPr>
        <w:spacing w:after="60" w:line="259" w:lineRule="auto"/>
        <w:rPr>
          <w:rFonts w:eastAsia="Calibri" w:cs="Arial"/>
          <w:color w:val="auto"/>
          <w:sz w:val="16"/>
          <w:szCs w:val="16"/>
        </w:rPr>
      </w:pPr>
    </w:p>
    <w:p w14:paraId="257EC29C" w14:textId="77777777" w:rsidR="005C5CED" w:rsidRDefault="005C5CED" w:rsidP="005C5CED">
      <w:pPr>
        <w:spacing w:after="0" w:line="240" w:lineRule="auto"/>
        <w:rPr>
          <w:rFonts w:eastAsia="Times New Roman" w:cs="Arial"/>
          <w:b/>
          <w:bCs/>
          <w:color w:val="auto"/>
          <w:sz w:val="16"/>
          <w:szCs w:val="16"/>
          <w:lang w:eastAsia="en-AU"/>
        </w:rPr>
      </w:pPr>
    </w:p>
    <w:p w14:paraId="6AA49F9C" w14:textId="77777777" w:rsidR="00D12B52" w:rsidRPr="005C5CED" w:rsidRDefault="00D12B52" w:rsidP="005C5CED">
      <w:pPr>
        <w:spacing w:after="0" w:line="240" w:lineRule="auto"/>
        <w:rPr>
          <w:rFonts w:eastAsia="Times New Roman" w:cs="Arial"/>
          <w:b/>
          <w:bCs/>
          <w:color w:val="auto"/>
          <w:sz w:val="16"/>
          <w:szCs w:val="16"/>
          <w:lang w:eastAsia="en-AU"/>
        </w:rPr>
      </w:pPr>
    </w:p>
    <w:p w14:paraId="0AFC90D9" w14:textId="77777777" w:rsidR="005C5CED" w:rsidRPr="005C5CED" w:rsidRDefault="005C5CED" w:rsidP="00D12B52">
      <w:pPr>
        <w:spacing w:line="259"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Reconciliation of movement in on-cost provision</w:t>
      </w:r>
    </w:p>
    <w:tbl>
      <w:tblPr>
        <w:tblW w:w="8408" w:type="dxa"/>
        <w:tblLook w:val="04A0" w:firstRow="1" w:lastRow="0" w:firstColumn="1" w:lastColumn="0" w:noHBand="0" w:noVBand="1"/>
      </w:tblPr>
      <w:tblGrid>
        <w:gridCol w:w="4656"/>
        <w:gridCol w:w="1916"/>
        <w:gridCol w:w="1836"/>
      </w:tblGrid>
      <w:tr w:rsidR="005C5CED" w:rsidRPr="005C5CED" w14:paraId="0C13EF02" w14:textId="77777777" w:rsidTr="0062462F">
        <w:trPr>
          <w:trHeight w:val="225"/>
        </w:trPr>
        <w:tc>
          <w:tcPr>
            <w:tcW w:w="4656" w:type="dxa"/>
            <w:tcBorders>
              <w:top w:val="single" w:sz="4" w:space="0" w:color="auto"/>
              <w:left w:val="nil"/>
              <w:bottom w:val="nil"/>
              <w:right w:val="nil"/>
            </w:tcBorders>
            <w:shd w:val="clear" w:color="000000" w:fill="000000"/>
            <w:noWrap/>
            <w:vAlign w:val="bottom"/>
            <w:hideMark/>
          </w:tcPr>
          <w:p w14:paraId="164D94D3"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16" w:type="dxa"/>
            <w:tcBorders>
              <w:top w:val="single" w:sz="4" w:space="0" w:color="auto"/>
              <w:left w:val="nil"/>
              <w:bottom w:val="nil"/>
              <w:right w:val="nil"/>
            </w:tcBorders>
            <w:shd w:val="clear" w:color="000000" w:fill="000000"/>
            <w:noWrap/>
            <w:vAlign w:val="bottom"/>
            <w:hideMark/>
          </w:tcPr>
          <w:p w14:paraId="39531AC6"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836" w:type="dxa"/>
            <w:tcBorders>
              <w:top w:val="single" w:sz="4" w:space="0" w:color="auto"/>
              <w:left w:val="nil"/>
              <w:bottom w:val="nil"/>
              <w:right w:val="nil"/>
            </w:tcBorders>
            <w:shd w:val="clear" w:color="000000" w:fill="000000"/>
            <w:noWrap/>
            <w:vAlign w:val="bottom"/>
            <w:hideMark/>
          </w:tcPr>
          <w:p w14:paraId="4436F9A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61196AEA" w14:textId="77777777" w:rsidTr="0062462F">
        <w:trPr>
          <w:trHeight w:val="225"/>
        </w:trPr>
        <w:tc>
          <w:tcPr>
            <w:tcW w:w="4656" w:type="dxa"/>
            <w:tcBorders>
              <w:top w:val="nil"/>
              <w:left w:val="nil"/>
              <w:bottom w:val="single" w:sz="4" w:space="0" w:color="auto"/>
              <w:right w:val="nil"/>
            </w:tcBorders>
            <w:shd w:val="clear" w:color="000000" w:fill="000000"/>
            <w:noWrap/>
            <w:vAlign w:val="bottom"/>
            <w:hideMark/>
          </w:tcPr>
          <w:p w14:paraId="73C4DED0"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16" w:type="dxa"/>
            <w:tcBorders>
              <w:top w:val="nil"/>
              <w:left w:val="nil"/>
              <w:bottom w:val="single" w:sz="4" w:space="0" w:color="auto"/>
              <w:right w:val="nil"/>
            </w:tcBorders>
            <w:shd w:val="clear" w:color="000000" w:fill="000000"/>
            <w:noWrap/>
            <w:vAlign w:val="bottom"/>
            <w:hideMark/>
          </w:tcPr>
          <w:p w14:paraId="62A4CF8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836" w:type="dxa"/>
            <w:tcBorders>
              <w:top w:val="nil"/>
              <w:left w:val="nil"/>
              <w:bottom w:val="single" w:sz="4" w:space="0" w:color="auto"/>
              <w:right w:val="nil"/>
            </w:tcBorders>
            <w:shd w:val="clear" w:color="000000" w:fill="000000"/>
            <w:noWrap/>
            <w:vAlign w:val="bottom"/>
            <w:hideMark/>
          </w:tcPr>
          <w:p w14:paraId="67B9E1D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3F2682A9" w14:textId="77777777" w:rsidTr="0062462F">
        <w:trPr>
          <w:trHeight w:val="342"/>
        </w:trPr>
        <w:tc>
          <w:tcPr>
            <w:tcW w:w="4656" w:type="dxa"/>
            <w:tcBorders>
              <w:top w:val="nil"/>
              <w:left w:val="nil"/>
              <w:bottom w:val="nil"/>
              <w:right w:val="nil"/>
            </w:tcBorders>
            <w:shd w:val="clear" w:color="auto" w:fill="auto"/>
            <w:noWrap/>
            <w:vAlign w:val="center"/>
            <w:hideMark/>
          </w:tcPr>
          <w:p w14:paraId="2727783D"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Opening balance</w:t>
            </w:r>
          </w:p>
        </w:tc>
        <w:tc>
          <w:tcPr>
            <w:tcW w:w="1916" w:type="dxa"/>
            <w:tcBorders>
              <w:top w:val="nil"/>
              <w:left w:val="nil"/>
              <w:bottom w:val="nil"/>
              <w:right w:val="nil"/>
            </w:tcBorders>
            <w:shd w:val="clear" w:color="auto" w:fill="auto"/>
            <w:noWrap/>
            <w:vAlign w:val="center"/>
          </w:tcPr>
          <w:p w14:paraId="303C7ED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455</w:t>
            </w:r>
          </w:p>
        </w:tc>
        <w:tc>
          <w:tcPr>
            <w:tcW w:w="1836" w:type="dxa"/>
            <w:tcBorders>
              <w:top w:val="nil"/>
              <w:left w:val="nil"/>
              <w:bottom w:val="nil"/>
              <w:right w:val="nil"/>
            </w:tcBorders>
            <w:shd w:val="clear" w:color="000000" w:fill="E7E6E6"/>
            <w:noWrap/>
            <w:vAlign w:val="center"/>
            <w:hideMark/>
          </w:tcPr>
          <w:p w14:paraId="1BDB17A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b/>
                <w:bCs/>
                <w:color w:val="auto"/>
                <w:sz w:val="16"/>
                <w:szCs w:val="16"/>
                <w:lang w:eastAsia="en-AU"/>
              </w:rPr>
              <w:t>446</w:t>
            </w:r>
          </w:p>
        </w:tc>
      </w:tr>
      <w:tr w:rsidR="005C5CED" w:rsidRPr="005C5CED" w14:paraId="7991BE84" w14:textId="77777777" w:rsidTr="0062462F">
        <w:trPr>
          <w:trHeight w:val="342"/>
        </w:trPr>
        <w:tc>
          <w:tcPr>
            <w:tcW w:w="4656" w:type="dxa"/>
            <w:tcBorders>
              <w:top w:val="nil"/>
              <w:left w:val="nil"/>
              <w:bottom w:val="nil"/>
              <w:right w:val="nil"/>
            </w:tcBorders>
            <w:shd w:val="clear" w:color="auto" w:fill="auto"/>
            <w:noWrap/>
            <w:vAlign w:val="center"/>
            <w:hideMark/>
          </w:tcPr>
          <w:p w14:paraId="436F5AF2"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Additional provisions recognised</w:t>
            </w:r>
          </w:p>
        </w:tc>
        <w:tc>
          <w:tcPr>
            <w:tcW w:w="1916" w:type="dxa"/>
            <w:tcBorders>
              <w:top w:val="nil"/>
              <w:left w:val="nil"/>
              <w:bottom w:val="nil"/>
              <w:right w:val="nil"/>
            </w:tcBorders>
            <w:shd w:val="clear" w:color="auto" w:fill="auto"/>
            <w:noWrap/>
            <w:vAlign w:val="center"/>
          </w:tcPr>
          <w:p w14:paraId="2200CFA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430</w:t>
            </w:r>
          </w:p>
        </w:tc>
        <w:tc>
          <w:tcPr>
            <w:tcW w:w="1836" w:type="dxa"/>
            <w:tcBorders>
              <w:top w:val="nil"/>
              <w:left w:val="nil"/>
              <w:bottom w:val="nil"/>
              <w:right w:val="nil"/>
            </w:tcBorders>
            <w:shd w:val="clear" w:color="000000" w:fill="E7E6E6"/>
            <w:noWrap/>
            <w:vAlign w:val="center"/>
            <w:hideMark/>
          </w:tcPr>
          <w:p w14:paraId="142C10E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340</w:t>
            </w:r>
          </w:p>
        </w:tc>
      </w:tr>
      <w:tr w:rsidR="005C5CED" w:rsidRPr="005C5CED" w14:paraId="552ACBD4" w14:textId="77777777" w:rsidTr="0062462F">
        <w:trPr>
          <w:trHeight w:val="240"/>
        </w:trPr>
        <w:tc>
          <w:tcPr>
            <w:tcW w:w="4656" w:type="dxa"/>
            <w:tcBorders>
              <w:top w:val="nil"/>
              <w:left w:val="nil"/>
              <w:bottom w:val="single" w:sz="4" w:space="0" w:color="auto"/>
              <w:right w:val="nil"/>
            </w:tcBorders>
            <w:shd w:val="clear" w:color="auto" w:fill="auto"/>
            <w:hideMark/>
          </w:tcPr>
          <w:p w14:paraId="6746C22A" w14:textId="77777777" w:rsidR="005C5CED" w:rsidRPr="005C5CED" w:rsidRDefault="005C5CED" w:rsidP="005C5CED">
            <w:pPr>
              <w:spacing w:after="0" w:line="240" w:lineRule="auto"/>
              <w:ind w:left="321" w:hanging="1"/>
              <w:rPr>
                <w:rFonts w:eastAsia="Times New Roman" w:cs="Arial"/>
                <w:color w:val="auto"/>
                <w:sz w:val="16"/>
                <w:szCs w:val="16"/>
                <w:lang w:eastAsia="en-AU"/>
              </w:rPr>
            </w:pPr>
            <w:r w:rsidRPr="005C5CED">
              <w:rPr>
                <w:rFonts w:eastAsia="Times New Roman" w:cs="Arial"/>
                <w:color w:val="auto"/>
                <w:sz w:val="16"/>
                <w:szCs w:val="16"/>
                <w:lang w:eastAsia="en-AU"/>
              </w:rPr>
              <w:t>Reductions arising from payments/other sacrifices of future economic benefit</w:t>
            </w:r>
          </w:p>
        </w:tc>
        <w:tc>
          <w:tcPr>
            <w:tcW w:w="1916" w:type="dxa"/>
            <w:tcBorders>
              <w:top w:val="nil"/>
              <w:left w:val="nil"/>
              <w:bottom w:val="single" w:sz="4" w:space="0" w:color="auto"/>
              <w:right w:val="nil"/>
            </w:tcBorders>
            <w:shd w:val="clear" w:color="auto" w:fill="auto"/>
            <w:noWrap/>
            <w:vAlign w:val="center"/>
          </w:tcPr>
          <w:p w14:paraId="2093BAF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(339)</w:t>
            </w:r>
          </w:p>
        </w:tc>
        <w:tc>
          <w:tcPr>
            <w:tcW w:w="1836" w:type="dxa"/>
            <w:tcBorders>
              <w:top w:val="nil"/>
              <w:left w:val="nil"/>
              <w:bottom w:val="single" w:sz="4" w:space="0" w:color="auto"/>
              <w:right w:val="nil"/>
            </w:tcBorders>
            <w:shd w:val="clear" w:color="000000" w:fill="E7E6E6"/>
            <w:noWrap/>
            <w:vAlign w:val="center"/>
            <w:hideMark/>
          </w:tcPr>
          <w:p w14:paraId="5E78A3A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(331)</w:t>
            </w:r>
          </w:p>
        </w:tc>
      </w:tr>
      <w:tr w:rsidR="005C5CED" w:rsidRPr="005C5CED" w14:paraId="39A61B25" w14:textId="77777777" w:rsidTr="0062462F">
        <w:trPr>
          <w:trHeight w:val="240"/>
        </w:trPr>
        <w:tc>
          <w:tcPr>
            <w:tcW w:w="4656" w:type="dxa"/>
            <w:tcBorders>
              <w:top w:val="single" w:sz="4" w:space="0" w:color="auto"/>
              <w:left w:val="nil"/>
              <w:bottom w:val="single" w:sz="4" w:space="0" w:color="auto"/>
              <w:right w:val="nil"/>
            </w:tcBorders>
            <w:shd w:val="clear" w:color="auto" w:fill="auto"/>
            <w:hideMark/>
          </w:tcPr>
          <w:p w14:paraId="65DA6A84"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on-cost provision</w:t>
            </w:r>
          </w:p>
        </w:tc>
        <w:tc>
          <w:tcPr>
            <w:tcW w:w="1916" w:type="dxa"/>
            <w:tcBorders>
              <w:top w:val="single" w:sz="4" w:space="0" w:color="auto"/>
              <w:left w:val="nil"/>
              <w:bottom w:val="single" w:sz="4" w:space="0" w:color="auto"/>
              <w:right w:val="nil"/>
            </w:tcBorders>
            <w:shd w:val="clear" w:color="auto" w:fill="auto"/>
            <w:noWrap/>
            <w:vAlign w:val="center"/>
          </w:tcPr>
          <w:p w14:paraId="0735366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546</w:t>
            </w:r>
          </w:p>
        </w:tc>
        <w:tc>
          <w:tcPr>
            <w:tcW w:w="1836" w:type="dxa"/>
            <w:tcBorders>
              <w:top w:val="single" w:sz="4" w:space="0" w:color="auto"/>
              <w:left w:val="nil"/>
              <w:bottom w:val="single" w:sz="4" w:space="0" w:color="auto"/>
              <w:right w:val="nil"/>
            </w:tcBorders>
            <w:shd w:val="clear" w:color="000000" w:fill="E7E6E6"/>
            <w:noWrap/>
            <w:vAlign w:val="center"/>
            <w:hideMark/>
          </w:tcPr>
          <w:p w14:paraId="1F73D45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455</w:t>
            </w:r>
          </w:p>
        </w:tc>
      </w:tr>
      <w:tr w:rsidR="005C5CED" w:rsidRPr="005C5CED" w14:paraId="25A99D61" w14:textId="77777777" w:rsidTr="0062462F">
        <w:trPr>
          <w:trHeight w:val="342"/>
        </w:trPr>
        <w:tc>
          <w:tcPr>
            <w:tcW w:w="4656" w:type="dxa"/>
            <w:tcBorders>
              <w:top w:val="single" w:sz="4" w:space="0" w:color="auto"/>
              <w:left w:val="nil"/>
              <w:bottom w:val="nil"/>
              <w:right w:val="nil"/>
            </w:tcBorders>
            <w:shd w:val="clear" w:color="auto" w:fill="auto"/>
            <w:noWrap/>
            <w:vAlign w:val="center"/>
            <w:hideMark/>
          </w:tcPr>
          <w:p w14:paraId="346C38DA"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Current</w:t>
            </w:r>
          </w:p>
        </w:tc>
        <w:tc>
          <w:tcPr>
            <w:tcW w:w="1916" w:type="dxa"/>
            <w:tcBorders>
              <w:top w:val="single" w:sz="4" w:space="0" w:color="auto"/>
              <w:left w:val="nil"/>
              <w:bottom w:val="nil"/>
              <w:right w:val="nil"/>
            </w:tcBorders>
            <w:shd w:val="clear" w:color="auto" w:fill="auto"/>
            <w:noWrap/>
            <w:vAlign w:val="center"/>
          </w:tcPr>
          <w:p w14:paraId="36CDD7F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448</w:t>
            </w:r>
          </w:p>
        </w:tc>
        <w:tc>
          <w:tcPr>
            <w:tcW w:w="1836" w:type="dxa"/>
            <w:tcBorders>
              <w:top w:val="single" w:sz="4" w:space="0" w:color="auto"/>
              <w:left w:val="nil"/>
              <w:bottom w:val="nil"/>
              <w:right w:val="nil"/>
            </w:tcBorders>
            <w:shd w:val="clear" w:color="000000" w:fill="E7E6E6"/>
            <w:noWrap/>
            <w:vAlign w:val="center"/>
            <w:hideMark/>
          </w:tcPr>
          <w:p w14:paraId="11E1FCB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376</w:t>
            </w:r>
          </w:p>
        </w:tc>
      </w:tr>
      <w:tr w:rsidR="005C5CED" w:rsidRPr="005C5CED" w14:paraId="19B1C392" w14:textId="77777777" w:rsidTr="0062462F">
        <w:trPr>
          <w:trHeight w:val="342"/>
        </w:trPr>
        <w:tc>
          <w:tcPr>
            <w:tcW w:w="4656" w:type="dxa"/>
            <w:tcBorders>
              <w:top w:val="nil"/>
              <w:left w:val="nil"/>
              <w:bottom w:val="single" w:sz="8" w:space="0" w:color="auto"/>
              <w:right w:val="nil"/>
            </w:tcBorders>
            <w:shd w:val="clear" w:color="auto" w:fill="auto"/>
            <w:noWrap/>
            <w:vAlign w:val="center"/>
            <w:hideMark/>
          </w:tcPr>
          <w:p w14:paraId="770746FC"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Non-current</w:t>
            </w:r>
          </w:p>
        </w:tc>
        <w:tc>
          <w:tcPr>
            <w:tcW w:w="1916" w:type="dxa"/>
            <w:tcBorders>
              <w:top w:val="nil"/>
              <w:left w:val="nil"/>
              <w:bottom w:val="single" w:sz="8" w:space="0" w:color="auto"/>
              <w:right w:val="nil"/>
            </w:tcBorders>
            <w:shd w:val="clear" w:color="auto" w:fill="auto"/>
            <w:noWrap/>
            <w:vAlign w:val="center"/>
          </w:tcPr>
          <w:p w14:paraId="6D3B2CF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98</w:t>
            </w:r>
          </w:p>
        </w:tc>
        <w:tc>
          <w:tcPr>
            <w:tcW w:w="1836" w:type="dxa"/>
            <w:tcBorders>
              <w:top w:val="nil"/>
              <w:left w:val="nil"/>
              <w:bottom w:val="single" w:sz="8" w:space="0" w:color="auto"/>
              <w:right w:val="nil"/>
            </w:tcBorders>
            <w:shd w:val="clear" w:color="000000" w:fill="E7E6E6"/>
            <w:noWrap/>
            <w:vAlign w:val="center"/>
            <w:hideMark/>
          </w:tcPr>
          <w:p w14:paraId="12386CC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w:t>
            </w:r>
          </w:p>
        </w:tc>
      </w:tr>
    </w:tbl>
    <w:p w14:paraId="53A87122" w14:textId="77777777" w:rsidR="005C5CED" w:rsidRPr="005C5CED" w:rsidRDefault="005C5CED" w:rsidP="005C5CED">
      <w:pPr>
        <w:spacing w:after="60" w:line="259" w:lineRule="auto"/>
        <w:rPr>
          <w:rFonts w:eastAsia="Calibri" w:cs="Arial"/>
          <w:color w:val="auto"/>
          <w:sz w:val="16"/>
          <w:szCs w:val="16"/>
        </w:rPr>
      </w:pPr>
    </w:p>
    <w:p w14:paraId="00090EEE"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 xml:space="preserve">Wages and salaries, annual leave, and sick leave: </w:t>
      </w:r>
      <w:r w:rsidRPr="005C5CED">
        <w:rPr>
          <w:rFonts w:eastAsia="Calibri" w:cs="Arial"/>
          <w:color w:val="auto"/>
        </w:rPr>
        <w:t>Liabilities for wages and salaries (including non-monetary benefits, annual leave, and on-costs) are recognised as part of the employee benefit provision as current liabilities, because Sustainability Victoria does not have an unconditional right to defer settlements of these liabilities.</w:t>
      </w:r>
    </w:p>
    <w:p w14:paraId="768E7150" w14:textId="77777777" w:rsidR="005C5CED" w:rsidRPr="005C5CED" w:rsidRDefault="005C5CED" w:rsidP="005C5CED">
      <w:pPr>
        <w:spacing w:line="259" w:lineRule="auto"/>
        <w:rPr>
          <w:rFonts w:eastAsia="Calibri" w:cs="Arial"/>
          <w:color w:val="auto"/>
        </w:rPr>
      </w:pPr>
      <w:r w:rsidRPr="005C5CED">
        <w:rPr>
          <w:rFonts w:eastAsia="Calibri" w:cs="Arial"/>
          <w:color w:val="auto"/>
        </w:rPr>
        <w:t>The liability for salaries and wages is recognised in the balance sheet at remuneration rates which are current at the reporting date. As Sustainability Victoria expects the liabilities to be wholly settled within 12 months of reporting date, they are measured at undiscounted amounts.</w:t>
      </w:r>
    </w:p>
    <w:p w14:paraId="519DF463" w14:textId="77777777" w:rsidR="005C5CED" w:rsidRPr="005C5CED" w:rsidRDefault="005C5CED" w:rsidP="005C5CED">
      <w:pPr>
        <w:spacing w:line="259" w:lineRule="auto"/>
        <w:rPr>
          <w:rFonts w:eastAsia="Calibri" w:cs="Arial"/>
          <w:color w:val="auto"/>
        </w:rPr>
      </w:pPr>
      <w:r w:rsidRPr="005C5CED">
        <w:rPr>
          <w:rFonts w:eastAsia="Calibri" w:cs="Arial"/>
          <w:color w:val="auto"/>
        </w:rPr>
        <w:t>The annual leave liability is classified as a current liability and measured at the undiscounted amount expected to be paid, as Sustainability Victoria does not have an unconditional right to defer settlement of the liability for at least 12 months after the end of the reporting period.</w:t>
      </w:r>
    </w:p>
    <w:p w14:paraId="33B557DA" w14:textId="77777777" w:rsidR="005C5CED" w:rsidRPr="005C5CED" w:rsidRDefault="005C5CED" w:rsidP="005C5CED">
      <w:pPr>
        <w:spacing w:line="259" w:lineRule="auto"/>
        <w:rPr>
          <w:rFonts w:eastAsia="Calibri" w:cs="Arial"/>
          <w:color w:val="auto"/>
        </w:rPr>
      </w:pPr>
      <w:r w:rsidRPr="005C5CED">
        <w:rPr>
          <w:rFonts w:eastAsia="Calibri" w:cs="Arial"/>
          <w:color w:val="auto"/>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4EF81086" w14:textId="77777777" w:rsidR="005C5CED" w:rsidRPr="005C5CED" w:rsidRDefault="005C5CED" w:rsidP="005C5CED">
      <w:pPr>
        <w:spacing w:line="259" w:lineRule="auto"/>
        <w:rPr>
          <w:rFonts w:eastAsia="Calibri" w:cs="Arial"/>
          <w:color w:val="auto"/>
        </w:rPr>
      </w:pPr>
      <w:r w:rsidRPr="005C5CED">
        <w:rPr>
          <w:rFonts w:eastAsia="Calibri" w:cs="Arial"/>
          <w:color w:val="auto"/>
        </w:rPr>
        <w:t>Employment on-costs such as payroll tax, workers compensation and superannuation are not employee benefits. They are disclosed separately as a component of the provision for employee benefits when the employment to which they relate has occurred.</w:t>
      </w:r>
    </w:p>
    <w:p w14:paraId="1D9EC5B7"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Unconditional LSL</w:t>
      </w:r>
      <w:r w:rsidRPr="005C5CED">
        <w:rPr>
          <w:rFonts w:eastAsia="Calibri" w:cs="Arial"/>
          <w:color w:val="auto"/>
        </w:rPr>
        <w:t xml:space="preserve"> is disclosed as a current liability; even where Sustainability Victoria does not expect to settle the liability within 12 months because it will not have the unconditional right to defer the settlement of the entitlement should an employee take leave within 12 months.  The components of this current LSL liability are measured at:</w:t>
      </w:r>
      <w:r w:rsidRPr="005C5CED">
        <w:rPr>
          <w:rFonts w:eastAsia="Calibri" w:cs="Arial"/>
          <w:color w:val="auto"/>
        </w:rPr>
        <w:tab/>
      </w:r>
    </w:p>
    <w:p w14:paraId="6F13B992" w14:textId="77777777" w:rsidR="005C5CED" w:rsidRPr="005C5CED" w:rsidRDefault="005C5CED" w:rsidP="00196A67">
      <w:pPr>
        <w:numPr>
          <w:ilvl w:val="0"/>
          <w:numId w:val="35"/>
        </w:numPr>
        <w:spacing w:line="259" w:lineRule="auto"/>
        <w:rPr>
          <w:rFonts w:eastAsia="Calibri" w:cs="Arial"/>
          <w:color w:val="auto"/>
        </w:rPr>
      </w:pPr>
      <w:r w:rsidRPr="005C5CED">
        <w:rPr>
          <w:rFonts w:eastAsia="Calibri" w:cs="Arial"/>
          <w:color w:val="auto"/>
        </w:rPr>
        <w:t>undiscounted value – if Sustainability Victoria expects to wholly settle within 12 months or</w:t>
      </w:r>
    </w:p>
    <w:p w14:paraId="62C309CD" w14:textId="77777777" w:rsidR="005C5CED" w:rsidRPr="005C5CED" w:rsidRDefault="005C5CED" w:rsidP="00196A67">
      <w:pPr>
        <w:numPr>
          <w:ilvl w:val="0"/>
          <w:numId w:val="35"/>
        </w:numPr>
        <w:spacing w:line="259" w:lineRule="auto"/>
        <w:rPr>
          <w:rFonts w:eastAsia="Calibri" w:cs="Arial"/>
          <w:color w:val="auto"/>
        </w:rPr>
      </w:pPr>
      <w:r w:rsidRPr="005C5CED">
        <w:rPr>
          <w:rFonts w:eastAsia="Calibri" w:cs="Arial"/>
          <w:color w:val="auto"/>
        </w:rPr>
        <w:t>present value – if Sustainability Victoria does not expect to wholly settle within 12 months</w:t>
      </w:r>
    </w:p>
    <w:p w14:paraId="6F5BEFBC"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Conditional LSL</w:t>
      </w:r>
      <w:r w:rsidRPr="005C5CED">
        <w:rPr>
          <w:rFonts w:eastAsia="Calibri" w:cs="Arial"/>
          <w:color w:val="auto"/>
        </w:rPr>
        <w:t xml:space="preserve"> is disclosed as a non-current liability. There is an unconditional right to defer the settlement of the entitlement until the employee has completed the requisite years of service. This non-current LSL is measured at present value.</w:t>
      </w:r>
    </w:p>
    <w:p w14:paraId="3508FF93" w14:textId="77777777" w:rsidR="005C5CED" w:rsidRPr="005C5CED" w:rsidRDefault="005C5CED" w:rsidP="005C5CED">
      <w:pPr>
        <w:spacing w:line="259" w:lineRule="auto"/>
        <w:rPr>
          <w:rFonts w:eastAsia="Calibri" w:cs="Arial"/>
          <w:color w:val="auto"/>
        </w:rPr>
      </w:pPr>
      <w:r w:rsidRPr="005C5CED">
        <w:rPr>
          <w:rFonts w:eastAsia="Calibri" w:cs="Arial"/>
          <w:color w:val="auto"/>
        </w:rP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r w:rsidRPr="005C5CED">
        <w:rPr>
          <w:rFonts w:eastAsia="Calibri" w:cs="Arial"/>
          <w:color w:val="auto"/>
        </w:rPr>
        <w:br w:type="page"/>
      </w:r>
    </w:p>
    <w:p w14:paraId="3541830B" w14:textId="77777777" w:rsidR="005C5CED" w:rsidRPr="005C5CED" w:rsidRDefault="005C5CED" w:rsidP="005C5CED">
      <w:pPr>
        <w:keepNext/>
        <w:keepLines/>
        <w:spacing w:before="200" w:after="40" w:line="259" w:lineRule="auto"/>
        <w:outlineLvl w:val="4"/>
        <w:rPr>
          <w:rFonts w:eastAsia="Times New Roman" w:cs="SegoeUI"/>
          <w:b/>
          <w:bCs/>
          <w:color w:val="595959"/>
          <w:lang w:eastAsia="en-AU"/>
        </w:rPr>
      </w:pPr>
      <w:r w:rsidRPr="005C5CED">
        <w:rPr>
          <w:rFonts w:eastAsia="Times New Roman" w:cs="SegoeUI"/>
          <w:b/>
          <w:bCs/>
          <w:color w:val="595959"/>
          <w:lang w:eastAsia="en-AU"/>
        </w:rPr>
        <w:lastRenderedPageBreak/>
        <w:t>Note 3.1.3 Superannuation contributions</w:t>
      </w:r>
    </w:p>
    <w:p w14:paraId="2D4D1244"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Employees of Sustainability Victoria are entitled to receive superannuation benefits and Sustainability Victoria contributes to defined contribution plans.</w:t>
      </w:r>
    </w:p>
    <w:tbl>
      <w:tblPr>
        <w:tblW w:w="8945" w:type="dxa"/>
        <w:tblLook w:val="04A0" w:firstRow="1" w:lastRow="0" w:firstColumn="1" w:lastColumn="0" w:noHBand="0" w:noVBand="1"/>
      </w:tblPr>
      <w:tblGrid>
        <w:gridCol w:w="3200"/>
        <w:gridCol w:w="1900"/>
        <w:gridCol w:w="1300"/>
        <w:gridCol w:w="1265"/>
        <w:gridCol w:w="1280"/>
      </w:tblGrid>
      <w:tr w:rsidR="005C5CED" w:rsidRPr="005C5CED" w14:paraId="3439A2FF" w14:textId="77777777" w:rsidTr="0062462F">
        <w:trPr>
          <w:trHeight w:val="510"/>
        </w:trPr>
        <w:tc>
          <w:tcPr>
            <w:tcW w:w="3200" w:type="dxa"/>
            <w:tcBorders>
              <w:top w:val="single" w:sz="4" w:space="0" w:color="auto"/>
              <w:left w:val="nil"/>
              <w:bottom w:val="nil"/>
              <w:right w:val="nil"/>
            </w:tcBorders>
            <w:shd w:val="clear" w:color="000000" w:fill="000000"/>
            <w:hideMark/>
          </w:tcPr>
          <w:p w14:paraId="00C2894F"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3200" w:type="dxa"/>
            <w:gridSpan w:val="2"/>
            <w:tcBorders>
              <w:top w:val="single" w:sz="4" w:space="0" w:color="auto"/>
              <w:left w:val="nil"/>
              <w:bottom w:val="nil"/>
              <w:right w:val="nil"/>
            </w:tcBorders>
            <w:shd w:val="clear" w:color="000000" w:fill="000000"/>
            <w:hideMark/>
          </w:tcPr>
          <w:p w14:paraId="421A3D91"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Contributions paid in the year</w:t>
            </w:r>
          </w:p>
          <w:p w14:paraId="03B8C16B"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545" w:type="dxa"/>
            <w:gridSpan w:val="2"/>
            <w:tcBorders>
              <w:top w:val="single" w:sz="4" w:space="0" w:color="auto"/>
              <w:left w:val="nil"/>
              <w:bottom w:val="nil"/>
              <w:right w:val="nil"/>
            </w:tcBorders>
            <w:shd w:val="clear" w:color="000000" w:fill="000000"/>
            <w:hideMark/>
          </w:tcPr>
          <w:p w14:paraId="61E0C75D"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xml:space="preserve">Contributions unpaid </w:t>
            </w:r>
            <w:proofErr w:type="gramStart"/>
            <w:r w:rsidRPr="005C5CED">
              <w:rPr>
                <w:rFonts w:eastAsia="Times New Roman" w:cs="Arial"/>
                <w:b/>
                <w:bCs/>
                <w:color w:val="FFFFFF"/>
                <w:sz w:val="16"/>
                <w:szCs w:val="16"/>
                <w:lang w:eastAsia="en-AU"/>
              </w:rPr>
              <w:t>at</w:t>
            </w:r>
            <w:proofErr w:type="gramEnd"/>
            <w:r w:rsidRPr="005C5CED">
              <w:rPr>
                <w:rFonts w:eastAsia="Times New Roman" w:cs="Arial"/>
                <w:b/>
                <w:bCs/>
                <w:color w:val="FFFFFF"/>
                <w:sz w:val="16"/>
                <w:szCs w:val="16"/>
                <w:lang w:eastAsia="en-AU"/>
              </w:rPr>
              <w:t xml:space="preserve"> 30 June</w:t>
            </w:r>
          </w:p>
          <w:p w14:paraId="074D1C0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r>
      <w:tr w:rsidR="005C5CED" w:rsidRPr="005C5CED" w14:paraId="103CF1B4" w14:textId="77777777" w:rsidTr="0062462F">
        <w:trPr>
          <w:trHeight w:val="300"/>
        </w:trPr>
        <w:tc>
          <w:tcPr>
            <w:tcW w:w="3200" w:type="dxa"/>
            <w:tcBorders>
              <w:top w:val="nil"/>
              <w:left w:val="nil"/>
              <w:bottom w:val="nil"/>
              <w:right w:val="nil"/>
            </w:tcBorders>
            <w:shd w:val="clear" w:color="000000" w:fill="000000"/>
            <w:noWrap/>
            <w:vAlign w:val="bottom"/>
            <w:hideMark/>
          </w:tcPr>
          <w:p w14:paraId="222ED1AD"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00" w:type="dxa"/>
            <w:tcBorders>
              <w:top w:val="nil"/>
              <w:left w:val="nil"/>
              <w:bottom w:val="nil"/>
              <w:right w:val="nil"/>
            </w:tcBorders>
            <w:shd w:val="clear" w:color="000000" w:fill="000000"/>
            <w:noWrap/>
            <w:vAlign w:val="bottom"/>
            <w:hideMark/>
          </w:tcPr>
          <w:p w14:paraId="792EA6C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300" w:type="dxa"/>
            <w:tcBorders>
              <w:top w:val="nil"/>
              <w:left w:val="nil"/>
              <w:bottom w:val="nil"/>
              <w:right w:val="nil"/>
            </w:tcBorders>
            <w:shd w:val="clear" w:color="000000" w:fill="000000"/>
            <w:noWrap/>
            <w:vAlign w:val="bottom"/>
            <w:hideMark/>
          </w:tcPr>
          <w:p w14:paraId="0DC1CEDB"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c>
          <w:tcPr>
            <w:tcW w:w="1265" w:type="dxa"/>
            <w:tcBorders>
              <w:top w:val="nil"/>
              <w:left w:val="nil"/>
              <w:bottom w:val="nil"/>
              <w:right w:val="nil"/>
            </w:tcBorders>
            <w:shd w:val="clear" w:color="000000" w:fill="000000"/>
            <w:noWrap/>
            <w:vAlign w:val="bottom"/>
            <w:hideMark/>
          </w:tcPr>
          <w:p w14:paraId="5F296D0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280" w:type="dxa"/>
            <w:tcBorders>
              <w:top w:val="nil"/>
              <w:left w:val="nil"/>
              <w:bottom w:val="nil"/>
              <w:right w:val="nil"/>
            </w:tcBorders>
            <w:shd w:val="clear" w:color="000000" w:fill="000000"/>
            <w:noWrap/>
            <w:vAlign w:val="bottom"/>
            <w:hideMark/>
          </w:tcPr>
          <w:p w14:paraId="53481AE7"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40150C90" w14:textId="77777777" w:rsidTr="0062462F">
        <w:trPr>
          <w:trHeight w:val="300"/>
        </w:trPr>
        <w:tc>
          <w:tcPr>
            <w:tcW w:w="3200" w:type="dxa"/>
            <w:tcBorders>
              <w:top w:val="nil"/>
              <w:left w:val="nil"/>
              <w:bottom w:val="single" w:sz="4" w:space="0" w:color="auto"/>
              <w:right w:val="nil"/>
            </w:tcBorders>
            <w:shd w:val="clear" w:color="000000" w:fill="000000"/>
            <w:noWrap/>
            <w:vAlign w:val="bottom"/>
            <w:hideMark/>
          </w:tcPr>
          <w:p w14:paraId="0D113B7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00" w:type="dxa"/>
            <w:tcBorders>
              <w:top w:val="nil"/>
              <w:left w:val="nil"/>
              <w:bottom w:val="single" w:sz="4" w:space="0" w:color="auto"/>
              <w:right w:val="nil"/>
            </w:tcBorders>
            <w:shd w:val="clear" w:color="000000" w:fill="000000"/>
            <w:noWrap/>
            <w:vAlign w:val="bottom"/>
            <w:hideMark/>
          </w:tcPr>
          <w:p w14:paraId="6922289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300" w:type="dxa"/>
            <w:tcBorders>
              <w:top w:val="nil"/>
              <w:left w:val="nil"/>
              <w:bottom w:val="single" w:sz="4" w:space="0" w:color="auto"/>
              <w:right w:val="nil"/>
            </w:tcBorders>
            <w:shd w:val="clear" w:color="000000" w:fill="000000"/>
            <w:noWrap/>
            <w:vAlign w:val="bottom"/>
            <w:hideMark/>
          </w:tcPr>
          <w:p w14:paraId="5E7C91E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65" w:type="dxa"/>
            <w:tcBorders>
              <w:top w:val="nil"/>
              <w:left w:val="nil"/>
              <w:bottom w:val="single" w:sz="4" w:space="0" w:color="auto"/>
              <w:right w:val="nil"/>
            </w:tcBorders>
            <w:shd w:val="clear" w:color="000000" w:fill="000000"/>
            <w:noWrap/>
            <w:vAlign w:val="bottom"/>
            <w:hideMark/>
          </w:tcPr>
          <w:p w14:paraId="6BF56131"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80" w:type="dxa"/>
            <w:tcBorders>
              <w:top w:val="nil"/>
              <w:left w:val="nil"/>
              <w:bottom w:val="single" w:sz="4" w:space="0" w:color="auto"/>
              <w:right w:val="nil"/>
            </w:tcBorders>
            <w:shd w:val="clear" w:color="000000" w:fill="000000"/>
            <w:noWrap/>
            <w:vAlign w:val="bottom"/>
            <w:hideMark/>
          </w:tcPr>
          <w:p w14:paraId="3F9E89B0"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239FB289" w14:textId="77777777" w:rsidTr="0062462F">
        <w:trPr>
          <w:trHeight w:val="342"/>
        </w:trPr>
        <w:tc>
          <w:tcPr>
            <w:tcW w:w="3200" w:type="dxa"/>
            <w:tcBorders>
              <w:top w:val="nil"/>
              <w:left w:val="nil"/>
              <w:bottom w:val="nil"/>
              <w:right w:val="nil"/>
            </w:tcBorders>
            <w:shd w:val="clear" w:color="auto" w:fill="auto"/>
            <w:noWrap/>
            <w:vAlign w:val="center"/>
            <w:hideMark/>
          </w:tcPr>
          <w:p w14:paraId="028FD22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Defined contribution plans</w:t>
            </w:r>
          </w:p>
        </w:tc>
        <w:tc>
          <w:tcPr>
            <w:tcW w:w="1900" w:type="dxa"/>
            <w:tcBorders>
              <w:top w:val="nil"/>
              <w:left w:val="nil"/>
              <w:bottom w:val="nil"/>
              <w:right w:val="nil"/>
            </w:tcBorders>
            <w:shd w:val="clear" w:color="auto" w:fill="auto"/>
            <w:noWrap/>
            <w:vAlign w:val="center"/>
            <w:hideMark/>
          </w:tcPr>
          <w:p w14:paraId="627E9E0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00" w:type="dxa"/>
            <w:tcBorders>
              <w:top w:val="nil"/>
              <w:left w:val="nil"/>
              <w:bottom w:val="nil"/>
              <w:right w:val="nil"/>
            </w:tcBorders>
            <w:shd w:val="clear" w:color="000000" w:fill="E7E6E6"/>
            <w:noWrap/>
            <w:vAlign w:val="center"/>
            <w:hideMark/>
          </w:tcPr>
          <w:p w14:paraId="2E8052C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65" w:type="dxa"/>
            <w:tcBorders>
              <w:top w:val="nil"/>
              <w:left w:val="nil"/>
              <w:bottom w:val="nil"/>
              <w:right w:val="nil"/>
            </w:tcBorders>
            <w:shd w:val="clear" w:color="auto" w:fill="auto"/>
            <w:noWrap/>
            <w:vAlign w:val="center"/>
            <w:hideMark/>
          </w:tcPr>
          <w:p w14:paraId="0BF5431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80" w:type="dxa"/>
            <w:tcBorders>
              <w:top w:val="nil"/>
              <w:left w:val="nil"/>
              <w:bottom w:val="nil"/>
              <w:right w:val="nil"/>
            </w:tcBorders>
            <w:shd w:val="clear" w:color="000000" w:fill="E7E6E6"/>
            <w:noWrap/>
            <w:vAlign w:val="center"/>
            <w:hideMark/>
          </w:tcPr>
          <w:p w14:paraId="5B1A865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2EC2D0DF" w14:textId="77777777" w:rsidTr="0062462F">
        <w:trPr>
          <w:trHeight w:val="342"/>
        </w:trPr>
        <w:tc>
          <w:tcPr>
            <w:tcW w:w="3200" w:type="dxa"/>
            <w:tcBorders>
              <w:top w:val="nil"/>
              <w:left w:val="nil"/>
              <w:bottom w:val="nil"/>
              <w:right w:val="nil"/>
            </w:tcBorders>
            <w:shd w:val="clear" w:color="auto" w:fill="auto"/>
            <w:noWrap/>
            <w:vAlign w:val="center"/>
            <w:hideMark/>
          </w:tcPr>
          <w:p w14:paraId="4090F4D5" w14:textId="77777777" w:rsidR="005C5CED" w:rsidRPr="005C5CED" w:rsidRDefault="005C5CED" w:rsidP="005C5CED">
            <w:pPr>
              <w:spacing w:after="0" w:line="240" w:lineRule="auto"/>
              <w:rPr>
                <w:rFonts w:eastAsia="Times New Roman" w:cs="Arial"/>
                <w:color w:val="auto"/>
                <w:sz w:val="16"/>
                <w:szCs w:val="16"/>
                <w:lang w:eastAsia="en-AU"/>
              </w:rPr>
            </w:pPr>
            <w:proofErr w:type="spellStart"/>
            <w:r w:rsidRPr="005C5CED">
              <w:rPr>
                <w:rFonts w:eastAsia="Times New Roman" w:cs="Arial"/>
                <w:color w:val="auto"/>
                <w:sz w:val="16"/>
                <w:szCs w:val="16"/>
                <w:lang w:eastAsia="en-AU"/>
              </w:rPr>
              <w:t>VicSuper</w:t>
            </w:r>
            <w:proofErr w:type="spellEnd"/>
          </w:p>
        </w:tc>
        <w:tc>
          <w:tcPr>
            <w:tcW w:w="1900" w:type="dxa"/>
            <w:tcBorders>
              <w:top w:val="nil"/>
              <w:left w:val="nil"/>
              <w:right w:val="nil"/>
            </w:tcBorders>
            <w:shd w:val="clear" w:color="auto" w:fill="auto"/>
            <w:noWrap/>
            <w:vAlign w:val="center"/>
          </w:tcPr>
          <w:p w14:paraId="140D58A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728</w:t>
            </w:r>
          </w:p>
        </w:tc>
        <w:tc>
          <w:tcPr>
            <w:tcW w:w="1300" w:type="dxa"/>
            <w:tcBorders>
              <w:top w:val="nil"/>
              <w:left w:val="nil"/>
              <w:right w:val="nil"/>
            </w:tcBorders>
            <w:shd w:val="clear" w:color="000000" w:fill="E7E6E6"/>
            <w:noWrap/>
            <w:vAlign w:val="center"/>
            <w:hideMark/>
          </w:tcPr>
          <w:p w14:paraId="5F0F179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519</w:t>
            </w:r>
          </w:p>
        </w:tc>
        <w:tc>
          <w:tcPr>
            <w:tcW w:w="1265" w:type="dxa"/>
            <w:tcBorders>
              <w:top w:val="nil"/>
              <w:left w:val="nil"/>
              <w:right w:val="nil"/>
            </w:tcBorders>
            <w:shd w:val="clear" w:color="auto" w:fill="auto"/>
            <w:noWrap/>
            <w:vAlign w:val="center"/>
          </w:tcPr>
          <w:p w14:paraId="6109180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80" w:type="dxa"/>
            <w:tcBorders>
              <w:top w:val="nil"/>
              <w:left w:val="nil"/>
              <w:right w:val="nil"/>
            </w:tcBorders>
            <w:shd w:val="clear" w:color="000000" w:fill="E7E6E6"/>
            <w:noWrap/>
            <w:vAlign w:val="center"/>
            <w:hideMark/>
          </w:tcPr>
          <w:p w14:paraId="34EACCE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3960C0E2" w14:textId="77777777" w:rsidTr="0062462F">
        <w:trPr>
          <w:trHeight w:val="342"/>
        </w:trPr>
        <w:tc>
          <w:tcPr>
            <w:tcW w:w="3200" w:type="dxa"/>
            <w:tcBorders>
              <w:top w:val="nil"/>
              <w:left w:val="nil"/>
              <w:bottom w:val="nil"/>
              <w:right w:val="nil"/>
            </w:tcBorders>
            <w:shd w:val="clear" w:color="auto" w:fill="auto"/>
            <w:noWrap/>
            <w:vAlign w:val="center"/>
          </w:tcPr>
          <w:p w14:paraId="02D3BB8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Australian Ethical Super</w:t>
            </w:r>
          </w:p>
        </w:tc>
        <w:tc>
          <w:tcPr>
            <w:tcW w:w="1900" w:type="dxa"/>
            <w:tcBorders>
              <w:top w:val="nil"/>
              <w:left w:val="nil"/>
              <w:right w:val="nil"/>
            </w:tcBorders>
            <w:shd w:val="clear" w:color="auto" w:fill="auto"/>
            <w:noWrap/>
            <w:vAlign w:val="center"/>
          </w:tcPr>
          <w:p w14:paraId="0FCDEC9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263</w:t>
            </w:r>
          </w:p>
        </w:tc>
        <w:tc>
          <w:tcPr>
            <w:tcW w:w="1300" w:type="dxa"/>
            <w:tcBorders>
              <w:top w:val="nil"/>
              <w:left w:val="nil"/>
              <w:right w:val="nil"/>
            </w:tcBorders>
            <w:shd w:val="clear" w:color="000000" w:fill="E7E6E6"/>
            <w:noWrap/>
            <w:vAlign w:val="center"/>
          </w:tcPr>
          <w:p w14:paraId="69F9CEF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308</w:t>
            </w:r>
          </w:p>
        </w:tc>
        <w:tc>
          <w:tcPr>
            <w:tcW w:w="1265" w:type="dxa"/>
            <w:tcBorders>
              <w:top w:val="nil"/>
              <w:left w:val="nil"/>
              <w:right w:val="nil"/>
            </w:tcBorders>
            <w:shd w:val="clear" w:color="auto" w:fill="auto"/>
            <w:noWrap/>
            <w:vAlign w:val="center"/>
          </w:tcPr>
          <w:p w14:paraId="2F86E65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80" w:type="dxa"/>
            <w:tcBorders>
              <w:top w:val="nil"/>
              <w:left w:val="nil"/>
              <w:right w:val="nil"/>
            </w:tcBorders>
            <w:shd w:val="clear" w:color="000000" w:fill="E7E6E6"/>
            <w:noWrap/>
            <w:vAlign w:val="center"/>
          </w:tcPr>
          <w:p w14:paraId="653EE84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5A0BBB6D" w14:textId="77777777" w:rsidTr="0062462F">
        <w:trPr>
          <w:trHeight w:val="342"/>
        </w:trPr>
        <w:tc>
          <w:tcPr>
            <w:tcW w:w="3200" w:type="dxa"/>
            <w:tcBorders>
              <w:top w:val="nil"/>
              <w:left w:val="nil"/>
              <w:bottom w:val="nil"/>
              <w:right w:val="nil"/>
            </w:tcBorders>
            <w:shd w:val="clear" w:color="auto" w:fill="auto"/>
            <w:noWrap/>
            <w:vAlign w:val="center"/>
          </w:tcPr>
          <w:p w14:paraId="4FD46B9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Australian Super</w:t>
            </w:r>
          </w:p>
        </w:tc>
        <w:tc>
          <w:tcPr>
            <w:tcW w:w="1900" w:type="dxa"/>
            <w:tcBorders>
              <w:top w:val="nil"/>
              <w:left w:val="nil"/>
              <w:right w:val="nil"/>
            </w:tcBorders>
            <w:shd w:val="clear" w:color="auto" w:fill="auto"/>
            <w:noWrap/>
            <w:vAlign w:val="center"/>
          </w:tcPr>
          <w:p w14:paraId="232FDF9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316</w:t>
            </w:r>
          </w:p>
        </w:tc>
        <w:tc>
          <w:tcPr>
            <w:tcW w:w="1300" w:type="dxa"/>
            <w:tcBorders>
              <w:top w:val="nil"/>
              <w:left w:val="nil"/>
              <w:right w:val="nil"/>
            </w:tcBorders>
            <w:shd w:val="clear" w:color="000000" w:fill="E7E6E6"/>
            <w:noWrap/>
            <w:vAlign w:val="center"/>
          </w:tcPr>
          <w:p w14:paraId="7EA0662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276</w:t>
            </w:r>
          </w:p>
        </w:tc>
        <w:tc>
          <w:tcPr>
            <w:tcW w:w="1265" w:type="dxa"/>
            <w:tcBorders>
              <w:top w:val="nil"/>
              <w:left w:val="nil"/>
              <w:right w:val="nil"/>
            </w:tcBorders>
            <w:shd w:val="clear" w:color="auto" w:fill="auto"/>
            <w:noWrap/>
            <w:vAlign w:val="center"/>
          </w:tcPr>
          <w:p w14:paraId="6A7B29D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80" w:type="dxa"/>
            <w:tcBorders>
              <w:top w:val="nil"/>
              <w:left w:val="nil"/>
              <w:right w:val="nil"/>
            </w:tcBorders>
            <w:shd w:val="clear" w:color="000000" w:fill="E7E6E6"/>
            <w:noWrap/>
            <w:vAlign w:val="center"/>
          </w:tcPr>
          <w:p w14:paraId="120161A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626AFFC1" w14:textId="77777777" w:rsidTr="0062462F">
        <w:trPr>
          <w:trHeight w:val="342"/>
        </w:trPr>
        <w:tc>
          <w:tcPr>
            <w:tcW w:w="3200" w:type="dxa"/>
            <w:tcBorders>
              <w:top w:val="nil"/>
              <w:left w:val="nil"/>
              <w:bottom w:val="nil"/>
              <w:right w:val="nil"/>
            </w:tcBorders>
            <w:shd w:val="clear" w:color="auto" w:fill="auto"/>
            <w:noWrap/>
            <w:vAlign w:val="center"/>
          </w:tcPr>
          <w:p w14:paraId="0F221F3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UniSuper</w:t>
            </w:r>
          </w:p>
        </w:tc>
        <w:tc>
          <w:tcPr>
            <w:tcW w:w="1900" w:type="dxa"/>
            <w:tcBorders>
              <w:top w:val="nil"/>
              <w:left w:val="nil"/>
              <w:right w:val="nil"/>
            </w:tcBorders>
            <w:shd w:val="clear" w:color="auto" w:fill="auto"/>
            <w:noWrap/>
            <w:vAlign w:val="center"/>
          </w:tcPr>
          <w:p w14:paraId="2B133F1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132</w:t>
            </w:r>
          </w:p>
        </w:tc>
        <w:tc>
          <w:tcPr>
            <w:tcW w:w="1300" w:type="dxa"/>
            <w:tcBorders>
              <w:top w:val="nil"/>
              <w:left w:val="nil"/>
              <w:right w:val="nil"/>
            </w:tcBorders>
            <w:shd w:val="clear" w:color="000000" w:fill="E7E6E6"/>
            <w:noWrap/>
            <w:vAlign w:val="center"/>
          </w:tcPr>
          <w:p w14:paraId="1C6745B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171</w:t>
            </w:r>
          </w:p>
        </w:tc>
        <w:tc>
          <w:tcPr>
            <w:tcW w:w="1265" w:type="dxa"/>
            <w:tcBorders>
              <w:top w:val="nil"/>
              <w:left w:val="nil"/>
              <w:right w:val="nil"/>
            </w:tcBorders>
            <w:shd w:val="clear" w:color="auto" w:fill="auto"/>
            <w:noWrap/>
            <w:vAlign w:val="center"/>
          </w:tcPr>
          <w:p w14:paraId="40EA75D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80" w:type="dxa"/>
            <w:tcBorders>
              <w:top w:val="nil"/>
              <w:left w:val="nil"/>
              <w:right w:val="nil"/>
            </w:tcBorders>
            <w:shd w:val="clear" w:color="000000" w:fill="E7E6E6"/>
            <w:noWrap/>
            <w:vAlign w:val="center"/>
          </w:tcPr>
          <w:p w14:paraId="7DB6A1D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004C36B7" w14:textId="77777777" w:rsidTr="0062462F">
        <w:trPr>
          <w:trHeight w:val="342"/>
        </w:trPr>
        <w:tc>
          <w:tcPr>
            <w:tcW w:w="3200" w:type="dxa"/>
            <w:tcBorders>
              <w:top w:val="nil"/>
              <w:left w:val="nil"/>
              <w:bottom w:val="nil"/>
              <w:right w:val="nil"/>
            </w:tcBorders>
            <w:shd w:val="clear" w:color="auto" w:fill="auto"/>
            <w:noWrap/>
            <w:vAlign w:val="center"/>
          </w:tcPr>
          <w:p w14:paraId="3DE282BA" w14:textId="77777777" w:rsidR="005C5CED" w:rsidRPr="005C5CED" w:rsidRDefault="005C5CED" w:rsidP="005C5CED">
            <w:pPr>
              <w:spacing w:after="0" w:line="240" w:lineRule="auto"/>
              <w:rPr>
                <w:rFonts w:eastAsia="Times New Roman" w:cs="Arial"/>
                <w:color w:val="auto"/>
                <w:sz w:val="16"/>
                <w:szCs w:val="16"/>
                <w:lang w:eastAsia="en-AU"/>
              </w:rPr>
            </w:pPr>
            <w:proofErr w:type="spellStart"/>
            <w:r w:rsidRPr="005C5CED">
              <w:rPr>
                <w:rFonts w:eastAsia="Times New Roman" w:cs="Arial"/>
                <w:color w:val="auto"/>
                <w:sz w:val="16"/>
                <w:szCs w:val="16"/>
                <w:lang w:eastAsia="en-AU"/>
              </w:rPr>
              <w:t>Hostplus</w:t>
            </w:r>
            <w:proofErr w:type="spellEnd"/>
            <w:r w:rsidRPr="005C5CED">
              <w:rPr>
                <w:rFonts w:eastAsia="Times New Roman" w:cs="Arial"/>
                <w:color w:val="auto"/>
                <w:sz w:val="16"/>
                <w:szCs w:val="16"/>
                <w:lang w:eastAsia="en-AU"/>
              </w:rPr>
              <w:t xml:space="preserve"> Super</w:t>
            </w:r>
          </w:p>
        </w:tc>
        <w:tc>
          <w:tcPr>
            <w:tcW w:w="1900" w:type="dxa"/>
            <w:tcBorders>
              <w:top w:val="nil"/>
              <w:left w:val="nil"/>
              <w:right w:val="nil"/>
            </w:tcBorders>
            <w:shd w:val="clear" w:color="auto" w:fill="auto"/>
            <w:noWrap/>
            <w:vAlign w:val="center"/>
          </w:tcPr>
          <w:p w14:paraId="35BDFDD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172</w:t>
            </w:r>
          </w:p>
        </w:tc>
        <w:tc>
          <w:tcPr>
            <w:tcW w:w="1300" w:type="dxa"/>
            <w:tcBorders>
              <w:top w:val="nil"/>
              <w:left w:val="nil"/>
              <w:right w:val="nil"/>
            </w:tcBorders>
            <w:shd w:val="clear" w:color="000000" w:fill="E7E6E6"/>
            <w:noWrap/>
            <w:vAlign w:val="center"/>
          </w:tcPr>
          <w:p w14:paraId="54BF62D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124</w:t>
            </w:r>
          </w:p>
        </w:tc>
        <w:tc>
          <w:tcPr>
            <w:tcW w:w="1265" w:type="dxa"/>
            <w:tcBorders>
              <w:top w:val="nil"/>
              <w:left w:val="nil"/>
              <w:right w:val="nil"/>
            </w:tcBorders>
            <w:shd w:val="clear" w:color="auto" w:fill="auto"/>
            <w:noWrap/>
            <w:vAlign w:val="center"/>
          </w:tcPr>
          <w:p w14:paraId="4D3FAE1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80" w:type="dxa"/>
            <w:tcBorders>
              <w:top w:val="nil"/>
              <w:left w:val="nil"/>
              <w:right w:val="nil"/>
            </w:tcBorders>
            <w:shd w:val="clear" w:color="000000" w:fill="E7E6E6"/>
            <w:noWrap/>
            <w:vAlign w:val="center"/>
          </w:tcPr>
          <w:p w14:paraId="1F0790D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134A54F5" w14:textId="77777777" w:rsidTr="0062462F">
        <w:trPr>
          <w:trHeight w:val="342"/>
        </w:trPr>
        <w:tc>
          <w:tcPr>
            <w:tcW w:w="3200" w:type="dxa"/>
            <w:tcBorders>
              <w:top w:val="nil"/>
              <w:left w:val="nil"/>
              <w:bottom w:val="nil"/>
              <w:right w:val="nil"/>
            </w:tcBorders>
            <w:shd w:val="clear" w:color="auto" w:fill="auto"/>
            <w:noWrap/>
            <w:vAlign w:val="center"/>
            <w:hideMark/>
          </w:tcPr>
          <w:p w14:paraId="06DBBD3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w:t>
            </w:r>
          </w:p>
        </w:tc>
        <w:tc>
          <w:tcPr>
            <w:tcW w:w="1900" w:type="dxa"/>
            <w:tcBorders>
              <w:left w:val="nil"/>
              <w:bottom w:val="single" w:sz="4" w:space="0" w:color="auto"/>
              <w:right w:val="nil"/>
            </w:tcBorders>
            <w:shd w:val="clear" w:color="auto" w:fill="auto"/>
            <w:noWrap/>
            <w:vAlign w:val="center"/>
          </w:tcPr>
          <w:p w14:paraId="36F672F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915</w:t>
            </w:r>
          </w:p>
        </w:tc>
        <w:tc>
          <w:tcPr>
            <w:tcW w:w="1300" w:type="dxa"/>
            <w:tcBorders>
              <w:left w:val="nil"/>
              <w:bottom w:val="single" w:sz="4" w:space="0" w:color="auto"/>
              <w:right w:val="nil"/>
            </w:tcBorders>
            <w:shd w:val="clear" w:color="000000" w:fill="E7E6E6"/>
            <w:noWrap/>
            <w:vAlign w:val="center"/>
            <w:hideMark/>
          </w:tcPr>
          <w:p w14:paraId="27A57EB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831</w:t>
            </w:r>
          </w:p>
        </w:tc>
        <w:tc>
          <w:tcPr>
            <w:tcW w:w="1265" w:type="dxa"/>
            <w:tcBorders>
              <w:left w:val="nil"/>
              <w:bottom w:val="single" w:sz="4" w:space="0" w:color="auto"/>
              <w:right w:val="nil"/>
            </w:tcBorders>
            <w:shd w:val="clear" w:color="auto" w:fill="auto"/>
            <w:noWrap/>
            <w:vAlign w:val="center"/>
          </w:tcPr>
          <w:p w14:paraId="12FAC28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80" w:type="dxa"/>
            <w:tcBorders>
              <w:left w:val="nil"/>
              <w:bottom w:val="single" w:sz="4" w:space="0" w:color="auto"/>
              <w:right w:val="nil"/>
            </w:tcBorders>
            <w:shd w:val="clear" w:color="000000" w:fill="E7E6E6"/>
            <w:noWrap/>
            <w:vAlign w:val="center"/>
            <w:hideMark/>
          </w:tcPr>
          <w:p w14:paraId="390516D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29648523" w14:textId="77777777" w:rsidTr="0062462F">
        <w:trPr>
          <w:trHeight w:val="342"/>
        </w:trPr>
        <w:tc>
          <w:tcPr>
            <w:tcW w:w="3200" w:type="dxa"/>
            <w:tcBorders>
              <w:top w:val="single" w:sz="4" w:space="0" w:color="auto"/>
              <w:left w:val="nil"/>
              <w:bottom w:val="single" w:sz="4" w:space="0" w:color="auto"/>
              <w:right w:val="nil"/>
            </w:tcBorders>
            <w:shd w:val="clear" w:color="auto" w:fill="auto"/>
            <w:noWrap/>
            <w:vAlign w:val="center"/>
            <w:hideMark/>
          </w:tcPr>
          <w:p w14:paraId="25A9F17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superannuation contributions</w:t>
            </w:r>
          </w:p>
        </w:tc>
        <w:tc>
          <w:tcPr>
            <w:tcW w:w="1900" w:type="dxa"/>
            <w:tcBorders>
              <w:top w:val="nil"/>
              <w:left w:val="nil"/>
              <w:bottom w:val="single" w:sz="4" w:space="0" w:color="auto"/>
              <w:right w:val="nil"/>
            </w:tcBorders>
            <w:shd w:val="clear" w:color="auto" w:fill="auto"/>
            <w:noWrap/>
            <w:vAlign w:val="center"/>
          </w:tcPr>
          <w:p w14:paraId="03A1B13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2,526</w:t>
            </w:r>
          </w:p>
        </w:tc>
        <w:tc>
          <w:tcPr>
            <w:tcW w:w="1300" w:type="dxa"/>
            <w:tcBorders>
              <w:top w:val="nil"/>
              <w:left w:val="nil"/>
              <w:bottom w:val="single" w:sz="4" w:space="0" w:color="auto"/>
              <w:right w:val="nil"/>
            </w:tcBorders>
            <w:shd w:val="clear" w:color="000000" w:fill="E7E6E6"/>
            <w:noWrap/>
            <w:vAlign w:val="center"/>
            <w:hideMark/>
          </w:tcPr>
          <w:p w14:paraId="6D17261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2,229</w:t>
            </w:r>
          </w:p>
        </w:tc>
        <w:tc>
          <w:tcPr>
            <w:tcW w:w="1265" w:type="dxa"/>
            <w:tcBorders>
              <w:top w:val="nil"/>
              <w:left w:val="nil"/>
              <w:bottom w:val="single" w:sz="4" w:space="0" w:color="auto"/>
              <w:right w:val="nil"/>
            </w:tcBorders>
            <w:shd w:val="clear" w:color="auto" w:fill="auto"/>
            <w:noWrap/>
            <w:vAlign w:val="center"/>
          </w:tcPr>
          <w:p w14:paraId="2C1C841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80" w:type="dxa"/>
            <w:tcBorders>
              <w:top w:val="nil"/>
              <w:left w:val="nil"/>
              <w:bottom w:val="single" w:sz="4" w:space="0" w:color="auto"/>
              <w:right w:val="nil"/>
            </w:tcBorders>
            <w:shd w:val="clear" w:color="000000" w:fill="E7E6E6"/>
            <w:noWrap/>
            <w:vAlign w:val="center"/>
            <w:hideMark/>
          </w:tcPr>
          <w:p w14:paraId="5D0524E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r>
    </w:tbl>
    <w:p w14:paraId="10544870" w14:textId="77777777" w:rsidR="005C5CED" w:rsidRPr="005C5CED" w:rsidRDefault="005C5CED" w:rsidP="005C5CED">
      <w:pPr>
        <w:spacing w:line="259" w:lineRule="auto"/>
        <w:rPr>
          <w:rFonts w:eastAsia="Times New Roman" w:cs="Arial"/>
          <w:b/>
          <w:bCs/>
          <w:color w:val="auto"/>
          <w:sz w:val="22"/>
          <w:lang w:eastAsia="en-AU"/>
        </w:rPr>
      </w:pPr>
    </w:p>
    <w:p w14:paraId="0C6BB76C" w14:textId="77777777" w:rsidR="005C5CED" w:rsidRPr="005C5CED" w:rsidRDefault="005C5CED" w:rsidP="005C5CED">
      <w:pPr>
        <w:keepNext/>
        <w:keepLines/>
        <w:spacing w:before="240" w:after="60" w:line="240" w:lineRule="auto"/>
        <w:outlineLvl w:val="3"/>
        <w:rPr>
          <w:rFonts w:eastAsia="Times New Roman" w:cs="Times New Roman"/>
          <w:color w:val="000000"/>
          <w:sz w:val="24"/>
          <w:szCs w:val="24"/>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t>Note 3.2 Grant expenses</w:t>
      </w:r>
    </w:p>
    <w:tbl>
      <w:tblPr>
        <w:tblW w:w="7628" w:type="dxa"/>
        <w:tblLook w:val="04A0" w:firstRow="1" w:lastRow="0" w:firstColumn="1" w:lastColumn="0" w:noHBand="0" w:noVBand="1"/>
      </w:tblPr>
      <w:tblGrid>
        <w:gridCol w:w="3216"/>
        <w:gridCol w:w="1916"/>
        <w:gridCol w:w="1308"/>
        <w:gridCol w:w="1188"/>
      </w:tblGrid>
      <w:tr w:rsidR="005C5CED" w:rsidRPr="005C5CED" w14:paraId="56C6F2D7" w14:textId="77777777" w:rsidTr="0062462F">
        <w:trPr>
          <w:trHeight w:val="225"/>
        </w:trPr>
        <w:tc>
          <w:tcPr>
            <w:tcW w:w="3216" w:type="dxa"/>
            <w:tcBorders>
              <w:top w:val="single" w:sz="4" w:space="0" w:color="auto"/>
              <w:left w:val="nil"/>
              <w:bottom w:val="nil"/>
              <w:right w:val="nil"/>
            </w:tcBorders>
            <w:shd w:val="clear" w:color="000000" w:fill="000000"/>
            <w:noWrap/>
            <w:vAlign w:val="bottom"/>
            <w:hideMark/>
          </w:tcPr>
          <w:p w14:paraId="1B686FB2"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16" w:type="dxa"/>
            <w:tcBorders>
              <w:top w:val="single" w:sz="4" w:space="0" w:color="auto"/>
              <w:left w:val="nil"/>
              <w:bottom w:val="nil"/>
              <w:right w:val="nil"/>
            </w:tcBorders>
            <w:shd w:val="clear" w:color="000000" w:fill="000000"/>
            <w:noWrap/>
            <w:vAlign w:val="bottom"/>
            <w:hideMark/>
          </w:tcPr>
          <w:p w14:paraId="1091C1C1" w14:textId="77777777" w:rsidR="005C5CED" w:rsidRPr="005C5CED" w:rsidRDefault="005C5CED" w:rsidP="005C5CED">
            <w:pPr>
              <w:spacing w:after="0" w:line="240" w:lineRule="auto"/>
              <w:jc w:val="center"/>
              <w:rPr>
                <w:rFonts w:eastAsia="Times New Roman" w:cs="Arial"/>
                <w:b/>
                <w:bCs/>
                <w:color w:val="FFFFFF"/>
                <w:sz w:val="16"/>
                <w:szCs w:val="16"/>
                <w:lang w:eastAsia="en-AU"/>
              </w:rPr>
            </w:pPr>
          </w:p>
        </w:tc>
        <w:tc>
          <w:tcPr>
            <w:tcW w:w="1308" w:type="dxa"/>
            <w:tcBorders>
              <w:top w:val="single" w:sz="4" w:space="0" w:color="auto"/>
              <w:left w:val="nil"/>
              <w:bottom w:val="nil"/>
              <w:right w:val="nil"/>
            </w:tcBorders>
            <w:shd w:val="clear" w:color="000000" w:fill="000000"/>
            <w:noWrap/>
            <w:vAlign w:val="bottom"/>
            <w:hideMark/>
          </w:tcPr>
          <w:p w14:paraId="42C2C48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188" w:type="dxa"/>
            <w:tcBorders>
              <w:top w:val="single" w:sz="4" w:space="0" w:color="auto"/>
              <w:left w:val="nil"/>
              <w:bottom w:val="nil"/>
              <w:right w:val="nil"/>
            </w:tcBorders>
            <w:shd w:val="clear" w:color="000000" w:fill="000000"/>
            <w:noWrap/>
            <w:vAlign w:val="bottom"/>
            <w:hideMark/>
          </w:tcPr>
          <w:p w14:paraId="44FA70D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7B19D8A3" w14:textId="77777777" w:rsidTr="0062462F">
        <w:trPr>
          <w:trHeight w:val="225"/>
        </w:trPr>
        <w:tc>
          <w:tcPr>
            <w:tcW w:w="3216" w:type="dxa"/>
            <w:tcBorders>
              <w:top w:val="nil"/>
              <w:left w:val="nil"/>
              <w:bottom w:val="single" w:sz="4" w:space="0" w:color="auto"/>
              <w:right w:val="nil"/>
            </w:tcBorders>
            <w:shd w:val="clear" w:color="000000" w:fill="000000"/>
            <w:noWrap/>
            <w:vAlign w:val="bottom"/>
            <w:hideMark/>
          </w:tcPr>
          <w:p w14:paraId="295F180B"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916" w:type="dxa"/>
            <w:tcBorders>
              <w:top w:val="nil"/>
              <w:left w:val="nil"/>
              <w:bottom w:val="single" w:sz="4" w:space="0" w:color="auto"/>
              <w:right w:val="nil"/>
            </w:tcBorders>
            <w:shd w:val="clear" w:color="000000" w:fill="000000"/>
            <w:noWrap/>
            <w:vAlign w:val="bottom"/>
            <w:hideMark/>
          </w:tcPr>
          <w:p w14:paraId="402A3417"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308" w:type="dxa"/>
            <w:tcBorders>
              <w:top w:val="nil"/>
              <w:left w:val="nil"/>
              <w:bottom w:val="single" w:sz="4" w:space="0" w:color="auto"/>
              <w:right w:val="nil"/>
            </w:tcBorders>
            <w:shd w:val="clear" w:color="000000" w:fill="000000"/>
            <w:noWrap/>
            <w:vAlign w:val="bottom"/>
            <w:hideMark/>
          </w:tcPr>
          <w:p w14:paraId="2E1D24E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88" w:type="dxa"/>
            <w:tcBorders>
              <w:top w:val="nil"/>
              <w:left w:val="nil"/>
              <w:bottom w:val="single" w:sz="4" w:space="0" w:color="auto"/>
              <w:right w:val="nil"/>
            </w:tcBorders>
            <w:shd w:val="clear" w:color="000000" w:fill="000000"/>
            <w:noWrap/>
            <w:vAlign w:val="bottom"/>
            <w:hideMark/>
          </w:tcPr>
          <w:p w14:paraId="2F1CB35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7C41E051" w14:textId="77777777" w:rsidTr="0062462F">
        <w:trPr>
          <w:trHeight w:val="342"/>
        </w:trPr>
        <w:tc>
          <w:tcPr>
            <w:tcW w:w="3216" w:type="dxa"/>
            <w:tcBorders>
              <w:top w:val="nil"/>
              <w:left w:val="nil"/>
              <w:bottom w:val="nil"/>
              <w:right w:val="nil"/>
            </w:tcBorders>
            <w:shd w:val="clear" w:color="auto" w:fill="auto"/>
            <w:noWrap/>
            <w:vAlign w:val="center"/>
            <w:hideMark/>
          </w:tcPr>
          <w:p w14:paraId="2998EDF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Grant expenses</w:t>
            </w:r>
          </w:p>
        </w:tc>
        <w:tc>
          <w:tcPr>
            <w:tcW w:w="1916" w:type="dxa"/>
            <w:tcBorders>
              <w:top w:val="nil"/>
              <w:left w:val="nil"/>
              <w:bottom w:val="nil"/>
              <w:right w:val="nil"/>
            </w:tcBorders>
            <w:shd w:val="clear" w:color="auto" w:fill="auto"/>
            <w:noWrap/>
            <w:vAlign w:val="center"/>
            <w:hideMark/>
          </w:tcPr>
          <w:p w14:paraId="6AEDBCDF"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p>
        </w:tc>
        <w:tc>
          <w:tcPr>
            <w:tcW w:w="1308" w:type="dxa"/>
            <w:tcBorders>
              <w:top w:val="nil"/>
              <w:left w:val="nil"/>
              <w:bottom w:val="nil"/>
              <w:right w:val="nil"/>
            </w:tcBorders>
            <w:shd w:val="clear" w:color="auto" w:fill="auto"/>
            <w:noWrap/>
            <w:vAlign w:val="center"/>
            <w:hideMark/>
          </w:tcPr>
          <w:p w14:paraId="3D73B44B" w14:textId="77777777" w:rsidR="005C5CED" w:rsidRPr="005C5CED" w:rsidRDefault="005C5CED" w:rsidP="005C5CED">
            <w:pPr>
              <w:spacing w:after="0" w:line="240" w:lineRule="auto"/>
              <w:jc w:val="center"/>
              <w:rPr>
                <w:rFonts w:eastAsia="Times New Roman" w:cs="Arial"/>
                <w:color w:val="auto"/>
                <w:szCs w:val="20"/>
                <w:lang w:eastAsia="en-AU"/>
              </w:rPr>
            </w:pPr>
          </w:p>
        </w:tc>
        <w:tc>
          <w:tcPr>
            <w:tcW w:w="1188" w:type="dxa"/>
            <w:tcBorders>
              <w:top w:val="nil"/>
              <w:left w:val="nil"/>
              <w:bottom w:val="nil"/>
              <w:right w:val="nil"/>
            </w:tcBorders>
            <w:shd w:val="clear" w:color="000000" w:fill="E7E6E6"/>
            <w:noWrap/>
            <w:vAlign w:val="center"/>
            <w:hideMark/>
          </w:tcPr>
          <w:p w14:paraId="1AD86FB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18613D20" w14:textId="77777777" w:rsidTr="0062462F">
        <w:trPr>
          <w:trHeight w:val="342"/>
        </w:trPr>
        <w:tc>
          <w:tcPr>
            <w:tcW w:w="3216" w:type="dxa"/>
            <w:tcBorders>
              <w:top w:val="nil"/>
              <w:left w:val="nil"/>
              <w:bottom w:val="nil"/>
              <w:right w:val="nil"/>
            </w:tcBorders>
            <w:shd w:val="clear" w:color="auto" w:fill="auto"/>
            <w:noWrap/>
            <w:vAlign w:val="center"/>
            <w:hideMark/>
          </w:tcPr>
          <w:p w14:paraId="06478FC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Behaviour </w:t>
            </w:r>
            <w:proofErr w:type="gramStart"/>
            <w:r w:rsidRPr="005C5CED">
              <w:rPr>
                <w:rFonts w:eastAsia="Times New Roman" w:cs="Arial"/>
                <w:color w:val="auto"/>
                <w:sz w:val="16"/>
                <w:szCs w:val="16"/>
                <w:lang w:eastAsia="en-AU"/>
              </w:rPr>
              <w:t>change</w:t>
            </w:r>
            <w:proofErr w:type="gramEnd"/>
            <w:r w:rsidRPr="005C5CED">
              <w:rPr>
                <w:rFonts w:eastAsia="Times New Roman" w:cs="Arial"/>
                <w:color w:val="auto"/>
                <w:sz w:val="16"/>
                <w:szCs w:val="16"/>
                <w:lang w:eastAsia="en-AU"/>
              </w:rPr>
              <w:t xml:space="preserve"> and education</w:t>
            </w:r>
          </w:p>
        </w:tc>
        <w:tc>
          <w:tcPr>
            <w:tcW w:w="1916" w:type="dxa"/>
            <w:tcBorders>
              <w:top w:val="nil"/>
              <w:left w:val="nil"/>
              <w:bottom w:val="nil"/>
              <w:right w:val="nil"/>
            </w:tcBorders>
            <w:shd w:val="clear" w:color="auto" w:fill="auto"/>
            <w:noWrap/>
            <w:vAlign w:val="center"/>
            <w:hideMark/>
          </w:tcPr>
          <w:p w14:paraId="0263344A" w14:textId="77777777" w:rsidR="005C5CED" w:rsidRPr="005C5CED" w:rsidRDefault="005C5CED" w:rsidP="005C5CED">
            <w:pPr>
              <w:spacing w:after="0" w:line="240" w:lineRule="auto"/>
              <w:rPr>
                <w:rFonts w:eastAsia="Times New Roman" w:cs="Arial"/>
                <w:color w:val="auto"/>
                <w:sz w:val="16"/>
                <w:szCs w:val="16"/>
                <w:lang w:eastAsia="en-AU"/>
              </w:rPr>
            </w:pPr>
          </w:p>
        </w:tc>
        <w:tc>
          <w:tcPr>
            <w:tcW w:w="1308" w:type="dxa"/>
            <w:tcBorders>
              <w:top w:val="nil"/>
              <w:left w:val="nil"/>
              <w:bottom w:val="nil"/>
              <w:right w:val="nil"/>
            </w:tcBorders>
            <w:shd w:val="clear" w:color="auto" w:fill="auto"/>
            <w:noWrap/>
            <w:vAlign w:val="center"/>
          </w:tcPr>
          <w:p w14:paraId="32D9A57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2,309</w:t>
            </w:r>
          </w:p>
        </w:tc>
        <w:tc>
          <w:tcPr>
            <w:tcW w:w="1188" w:type="dxa"/>
            <w:tcBorders>
              <w:top w:val="nil"/>
              <w:left w:val="nil"/>
              <w:bottom w:val="nil"/>
              <w:right w:val="nil"/>
            </w:tcBorders>
            <w:shd w:val="clear" w:color="000000" w:fill="E7E6E6"/>
            <w:noWrap/>
            <w:vAlign w:val="center"/>
            <w:hideMark/>
          </w:tcPr>
          <w:p w14:paraId="62ACC07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1,325</w:t>
            </w:r>
          </w:p>
        </w:tc>
      </w:tr>
      <w:tr w:rsidR="005C5CED" w:rsidRPr="005C5CED" w14:paraId="0AF87933" w14:textId="77777777" w:rsidTr="0062462F">
        <w:trPr>
          <w:trHeight w:val="342"/>
        </w:trPr>
        <w:tc>
          <w:tcPr>
            <w:tcW w:w="3216" w:type="dxa"/>
            <w:tcBorders>
              <w:top w:val="nil"/>
              <w:left w:val="nil"/>
              <w:bottom w:val="nil"/>
              <w:right w:val="nil"/>
            </w:tcBorders>
            <w:shd w:val="clear" w:color="auto" w:fill="auto"/>
            <w:noWrap/>
            <w:vAlign w:val="center"/>
            <w:hideMark/>
          </w:tcPr>
          <w:p w14:paraId="6572B39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Community action</w:t>
            </w:r>
          </w:p>
        </w:tc>
        <w:tc>
          <w:tcPr>
            <w:tcW w:w="1916" w:type="dxa"/>
            <w:tcBorders>
              <w:top w:val="nil"/>
              <w:left w:val="nil"/>
              <w:bottom w:val="nil"/>
              <w:right w:val="nil"/>
            </w:tcBorders>
            <w:shd w:val="clear" w:color="auto" w:fill="auto"/>
            <w:noWrap/>
            <w:vAlign w:val="center"/>
            <w:hideMark/>
          </w:tcPr>
          <w:p w14:paraId="7C5F8B54" w14:textId="77777777" w:rsidR="005C5CED" w:rsidRPr="005C5CED" w:rsidRDefault="005C5CED" w:rsidP="005C5CED">
            <w:pPr>
              <w:spacing w:after="0" w:line="240" w:lineRule="auto"/>
              <w:rPr>
                <w:rFonts w:eastAsia="Times New Roman" w:cs="Arial"/>
                <w:color w:val="auto"/>
                <w:sz w:val="16"/>
                <w:szCs w:val="16"/>
                <w:lang w:eastAsia="en-AU"/>
              </w:rPr>
            </w:pPr>
          </w:p>
        </w:tc>
        <w:tc>
          <w:tcPr>
            <w:tcW w:w="1308" w:type="dxa"/>
            <w:tcBorders>
              <w:top w:val="nil"/>
              <w:left w:val="nil"/>
              <w:bottom w:val="nil"/>
              <w:right w:val="nil"/>
            </w:tcBorders>
            <w:shd w:val="clear" w:color="auto" w:fill="auto"/>
            <w:noWrap/>
            <w:vAlign w:val="center"/>
          </w:tcPr>
          <w:p w14:paraId="7871048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3,844</w:t>
            </w:r>
          </w:p>
        </w:tc>
        <w:tc>
          <w:tcPr>
            <w:tcW w:w="1188" w:type="dxa"/>
            <w:tcBorders>
              <w:top w:val="nil"/>
              <w:left w:val="nil"/>
              <w:bottom w:val="nil"/>
              <w:right w:val="nil"/>
            </w:tcBorders>
            <w:shd w:val="clear" w:color="000000" w:fill="E7E6E6"/>
            <w:noWrap/>
            <w:vAlign w:val="center"/>
            <w:hideMark/>
          </w:tcPr>
          <w:p w14:paraId="22C8C34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5,976</w:t>
            </w:r>
          </w:p>
        </w:tc>
      </w:tr>
      <w:tr w:rsidR="005C5CED" w:rsidRPr="005C5CED" w14:paraId="7CBB3B36" w14:textId="77777777" w:rsidTr="0062462F">
        <w:trPr>
          <w:trHeight w:val="342"/>
        </w:trPr>
        <w:tc>
          <w:tcPr>
            <w:tcW w:w="3216" w:type="dxa"/>
            <w:tcBorders>
              <w:top w:val="nil"/>
              <w:left w:val="nil"/>
              <w:bottom w:val="nil"/>
              <w:right w:val="nil"/>
            </w:tcBorders>
            <w:shd w:val="clear" w:color="auto" w:fill="auto"/>
            <w:noWrap/>
            <w:vAlign w:val="center"/>
            <w:hideMark/>
          </w:tcPr>
          <w:p w14:paraId="794E5D6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Investment and innovation</w:t>
            </w:r>
          </w:p>
        </w:tc>
        <w:tc>
          <w:tcPr>
            <w:tcW w:w="1916" w:type="dxa"/>
            <w:tcBorders>
              <w:top w:val="nil"/>
              <w:left w:val="nil"/>
              <w:bottom w:val="nil"/>
              <w:right w:val="nil"/>
            </w:tcBorders>
            <w:shd w:val="clear" w:color="auto" w:fill="auto"/>
            <w:noWrap/>
            <w:vAlign w:val="center"/>
            <w:hideMark/>
          </w:tcPr>
          <w:p w14:paraId="4E6274B6" w14:textId="77777777" w:rsidR="005C5CED" w:rsidRPr="005C5CED" w:rsidRDefault="005C5CED" w:rsidP="005C5CED">
            <w:pPr>
              <w:spacing w:after="0" w:line="240" w:lineRule="auto"/>
              <w:rPr>
                <w:rFonts w:eastAsia="Times New Roman" w:cs="Arial"/>
                <w:color w:val="auto"/>
                <w:sz w:val="16"/>
                <w:szCs w:val="16"/>
                <w:lang w:eastAsia="en-AU"/>
              </w:rPr>
            </w:pPr>
          </w:p>
        </w:tc>
        <w:tc>
          <w:tcPr>
            <w:tcW w:w="1308" w:type="dxa"/>
            <w:tcBorders>
              <w:top w:val="nil"/>
              <w:left w:val="nil"/>
              <w:bottom w:val="nil"/>
              <w:right w:val="nil"/>
            </w:tcBorders>
            <w:shd w:val="clear" w:color="auto" w:fill="auto"/>
            <w:noWrap/>
            <w:vAlign w:val="center"/>
          </w:tcPr>
          <w:p w14:paraId="322455C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42,860</w:t>
            </w:r>
          </w:p>
        </w:tc>
        <w:tc>
          <w:tcPr>
            <w:tcW w:w="1188" w:type="dxa"/>
            <w:tcBorders>
              <w:top w:val="nil"/>
              <w:left w:val="nil"/>
              <w:bottom w:val="nil"/>
              <w:right w:val="nil"/>
            </w:tcBorders>
            <w:shd w:val="clear" w:color="000000" w:fill="E7E6E6"/>
            <w:noWrap/>
            <w:vAlign w:val="center"/>
            <w:hideMark/>
          </w:tcPr>
          <w:p w14:paraId="36FC00E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31,204</w:t>
            </w:r>
          </w:p>
        </w:tc>
      </w:tr>
      <w:tr w:rsidR="005C5CED" w:rsidRPr="005C5CED" w14:paraId="2E8DBF9C" w14:textId="77777777" w:rsidTr="0062462F">
        <w:trPr>
          <w:trHeight w:val="342"/>
        </w:trPr>
        <w:tc>
          <w:tcPr>
            <w:tcW w:w="3216" w:type="dxa"/>
            <w:tcBorders>
              <w:top w:val="single" w:sz="4" w:space="0" w:color="auto"/>
              <w:left w:val="nil"/>
              <w:bottom w:val="single" w:sz="4" w:space="0" w:color="auto"/>
              <w:right w:val="nil"/>
            </w:tcBorders>
            <w:shd w:val="clear" w:color="auto" w:fill="auto"/>
            <w:noWrap/>
            <w:vAlign w:val="center"/>
            <w:hideMark/>
          </w:tcPr>
          <w:p w14:paraId="35DB87A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grant expenses</w:t>
            </w:r>
          </w:p>
        </w:tc>
        <w:tc>
          <w:tcPr>
            <w:tcW w:w="1916" w:type="dxa"/>
            <w:tcBorders>
              <w:top w:val="single" w:sz="4" w:space="0" w:color="auto"/>
              <w:left w:val="nil"/>
              <w:bottom w:val="single" w:sz="4" w:space="0" w:color="auto"/>
              <w:right w:val="nil"/>
            </w:tcBorders>
            <w:shd w:val="clear" w:color="auto" w:fill="auto"/>
            <w:noWrap/>
            <w:vAlign w:val="center"/>
            <w:hideMark/>
          </w:tcPr>
          <w:p w14:paraId="41EF96B0"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08" w:type="dxa"/>
            <w:tcBorders>
              <w:top w:val="single" w:sz="4" w:space="0" w:color="auto"/>
              <w:left w:val="nil"/>
              <w:bottom w:val="single" w:sz="4" w:space="0" w:color="auto"/>
              <w:right w:val="nil"/>
            </w:tcBorders>
            <w:shd w:val="clear" w:color="auto" w:fill="auto"/>
            <w:noWrap/>
            <w:vAlign w:val="center"/>
          </w:tcPr>
          <w:p w14:paraId="1F74BE4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49,013</w:t>
            </w:r>
          </w:p>
        </w:tc>
        <w:tc>
          <w:tcPr>
            <w:tcW w:w="1188" w:type="dxa"/>
            <w:tcBorders>
              <w:top w:val="single" w:sz="4" w:space="0" w:color="auto"/>
              <w:left w:val="nil"/>
              <w:bottom w:val="single" w:sz="4" w:space="0" w:color="auto"/>
              <w:right w:val="nil"/>
            </w:tcBorders>
            <w:shd w:val="clear" w:color="000000" w:fill="E7E6E6"/>
            <w:noWrap/>
            <w:vAlign w:val="center"/>
            <w:hideMark/>
          </w:tcPr>
          <w:p w14:paraId="5CB533B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38,505</w:t>
            </w:r>
          </w:p>
        </w:tc>
      </w:tr>
    </w:tbl>
    <w:p w14:paraId="0EFC8C21" w14:textId="77777777" w:rsidR="005C5CED" w:rsidRPr="005C5CED" w:rsidRDefault="005C5CED" w:rsidP="005C5CED">
      <w:pPr>
        <w:spacing w:after="60" w:line="259" w:lineRule="auto"/>
        <w:rPr>
          <w:rFonts w:eastAsia="Calibri" w:cs="Arial"/>
          <w:color w:val="auto"/>
          <w:sz w:val="16"/>
          <w:szCs w:val="16"/>
        </w:rPr>
      </w:pPr>
    </w:p>
    <w:p w14:paraId="09989A45" w14:textId="77777777" w:rsidR="005C5CED" w:rsidRPr="005C5CED" w:rsidRDefault="005C5CED" w:rsidP="005C5CED">
      <w:pPr>
        <w:spacing w:line="259" w:lineRule="auto"/>
        <w:rPr>
          <w:rFonts w:eastAsia="Calibri" w:cs="Arial"/>
          <w:color w:val="auto"/>
        </w:rPr>
      </w:pPr>
      <w:r w:rsidRPr="005C5CED">
        <w:rPr>
          <w:rFonts w:eastAsia="Calibri" w:cs="Arial"/>
          <w:color w:val="auto"/>
        </w:rPr>
        <w:t>Grant expenses are contributions of Sustainability Victoria's resources to another party where there is no expectation that the amount will be repaid in equal value</w:t>
      </w:r>
      <w:r w:rsidRPr="005C5CED">
        <w:rPr>
          <w:rFonts w:eastAsia="Calibri" w:cs="Arial"/>
          <w:color w:val="auto"/>
          <w:sz w:val="18"/>
          <w:szCs w:val="18"/>
        </w:rPr>
        <w:t xml:space="preserve"> </w:t>
      </w:r>
      <w:r w:rsidRPr="005C5CED">
        <w:rPr>
          <w:rFonts w:eastAsia="Calibri" w:cs="Arial"/>
          <w:color w:val="auto"/>
        </w:rPr>
        <w:t xml:space="preserve">(either by money, goods or services). </w:t>
      </w:r>
    </w:p>
    <w:p w14:paraId="3E62F919" w14:textId="77777777" w:rsidR="005C5CED" w:rsidRPr="005C5CED" w:rsidRDefault="005C5CED" w:rsidP="005C5CED">
      <w:pPr>
        <w:spacing w:line="259" w:lineRule="auto"/>
        <w:rPr>
          <w:rFonts w:eastAsia="Calibri" w:cs="Arial"/>
          <w:color w:val="auto"/>
        </w:rPr>
      </w:pPr>
      <w:r w:rsidRPr="005C5CED">
        <w:rPr>
          <w:rFonts w:eastAsia="Calibri" w:cs="Arial"/>
          <w:color w:val="auto"/>
        </w:rP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5FAF81D" w14:textId="77777777" w:rsidR="005C5CED" w:rsidRPr="005C5CED" w:rsidRDefault="005C5CED" w:rsidP="005C5CED">
      <w:pPr>
        <w:spacing w:line="259" w:lineRule="auto"/>
        <w:rPr>
          <w:rFonts w:eastAsia="Calibri" w:cs="Arial"/>
          <w:color w:val="auto"/>
        </w:rPr>
      </w:pPr>
      <w:r w:rsidRPr="005C5CED">
        <w:rPr>
          <w:rFonts w:eastAsia="Calibri" w:cs="Arial"/>
          <w:color w:val="auto"/>
        </w:rPr>
        <w:t>Grant expenses are recognised in the reporting period in which they are paid or payable.</w:t>
      </w:r>
    </w:p>
    <w:p w14:paraId="380D6E0A" w14:textId="77777777" w:rsidR="005C5CED" w:rsidRPr="005C5CED" w:rsidRDefault="005C5CED" w:rsidP="005C5CED">
      <w:pPr>
        <w:spacing w:line="259" w:lineRule="auto"/>
        <w:rPr>
          <w:rFonts w:eastAsia="Calibri" w:cs="Arial"/>
          <w:color w:val="auto"/>
        </w:rPr>
      </w:pPr>
      <w:r w:rsidRPr="005C5CED">
        <w:rPr>
          <w:rFonts w:eastAsia="Calibri" w:cs="Arial"/>
          <w:color w:val="auto"/>
        </w:rPr>
        <w:t>Grants that form part of program expenditure are recognised based on the percentage of the contract performed as at the reporting date, with the unperformed component of the contract included as part of committed expenditure.</w:t>
      </w:r>
      <w:r w:rsidRPr="005C5CED">
        <w:rPr>
          <w:rFonts w:eastAsia="Calibri" w:cs="Arial"/>
          <w:color w:val="auto"/>
        </w:rPr>
        <w:br w:type="page"/>
      </w:r>
    </w:p>
    <w:p w14:paraId="7643590F"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lastRenderedPageBreak/>
        <w:t>Note 3.3 Other operating expenses</w:t>
      </w:r>
    </w:p>
    <w:p w14:paraId="10BC9614" w14:textId="77777777" w:rsidR="005C5CED" w:rsidRPr="005C5CED" w:rsidRDefault="005C5CED" w:rsidP="005C5CED">
      <w:pPr>
        <w:spacing w:line="259" w:lineRule="auto"/>
        <w:rPr>
          <w:rFonts w:eastAsia="Calibri" w:cs="Arial"/>
          <w:color w:val="auto"/>
        </w:rPr>
      </w:pPr>
      <w:r w:rsidRPr="005C5CED">
        <w:rPr>
          <w:rFonts w:eastAsia="Calibri" w:cs="Arial"/>
          <w:color w:val="auto"/>
        </w:rPr>
        <w:t>Other operating expenses generally represent the day-to-day running costs incurred in normal operations. An expense is recognised in the reporting period in which it is incurred.</w:t>
      </w:r>
    </w:p>
    <w:tbl>
      <w:tblPr>
        <w:tblW w:w="6984" w:type="dxa"/>
        <w:tblLook w:val="04A0" w:firstRow="1" w:lastRow="0" w:firstColumn="1" w:lastColumn="0" w:noHBand="0" w:noVBand="1"/>
      </w:tblPr>
      <w:tblGrid>
        <w:gridCol w:w="3216"/>
        <w:gridCol w:w="1276"/>
        <w:gridCol w:w="1196"/>
        <w:gridCol w:w="1296"/>
      </w:tblGrid>
      <w:tr w:rsidR="005C5CED" w:rsidRPr="005C5CED" w14:paraId="3676DD92" w14:textId="77777777" w:rsidTr="0062462F">
        <w:trPr>
          <w:trHeight w:val="225"/>
        </w:trPr>
        <w:tc>
          <w:tcPr>
            <w:tcW w:w="3216" w:type="dxa"/>
            <w:tcBorders>
              <w:top w:val="single" w:sz="4" w:space="0" w:color="auto"/>
              <w:left w:val="nil"/>
              <w:bottom w:val="nil"/>
              <w:right w:val="nil"/>
            </w:tcBorders>
            <w:shd w:val="clear" w:color="000000" w:fill="000000"/>
            <w:noWrap/>
            <w:vAlign w:val="bottom"/>
            <w:hideMark/>
          </w:tcPr>
          <w:p w14:paraId="2DD63A09"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276" w:type="dxa"/>
            <w:tcBorders>
              <w:top w:val="single" w:sz="4" w:space="0" w:color="auto"/>
              <w:left w:val="nil"/>
              <w:bottom w:val="nil"/>
              <w:right w:val="nil"/>
            </w:tcBorders>
            <w:shd w:val="clear" w:color="000000" w:fill="000000"/>
            <w:noWrap/>
            <w:vAlign w:val="bottom"/>
            <w:hideMark/>
          </w:tcPr>
          <w:p w14:paraId="0E7D2AAA"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96" w:type="dxa"/>
            <w:tcBorders>
              <w:top w:val="single" w:sz="4" w:space="0" w:color="auto"/>
              <w:left w:val="nil"/>
              <w:bottom w:val="nil"/>
              <w:right w:val="nil"/>
            </w:tcBorders>
            <w:shd w:val="clear" w:color="000000" w:fill="000000"/>
            <w:noWrap/>
            <w:vAlign w:val="bottom"/>
            <w:hideMark/>
          </w:tcPr>
          <w:p w14:paraId="72DA627E"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296" w:type="dxa"/>
            <w:tcBorders>
              <w:top w:val="single" w:sz="4" w:space="0" w:color="auto"/>
              <w:left w:val="nil"/>
              <w:bottom w:val="nil"/>
              <w:right w:val="nil"/>
            </w:tcBorders>
            <w:shd w:val="clear" w:color="000000" w:fill="000000"/>
            <w:noWrap/>
            <w:vAlign w:val="bottom"/>
            <w:hideMark/>
          </w:tcPr>
          <w:p w14:paraId="3F01787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0FC5FC67" w14:textId="77777777" w:rsidTr="0062462F">
        <w:trPr>
          <w:trHeight w:val="225"/>
        </w:trPr>
        <w:tc>
          <w:tcPr>
            <w:tcW w:w="3216" w:type="dxa"/>
            <w:tcBorders>
              <w:top w:val="nil"/>
              <w:left w:val="nil"/>
              <w:bottom w:val="single" w:sz="4" w:space="0" w:color="auto"/>
              <w:right w:val="nil"/>
            </w:tcBorders>
            <w:shd w:val="clear" w:color="000000" w:fill="000000"/>
            <w:noWrap/>
            <w:vAlign w:val="bottom"/>
            <w:hideMark/>
          </w:tcPr>
          <w:p w14:paraId="091F054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276" w:type="dxa"/>
            <w:tcBorders>
              <w:top w:val="nil"/>
              <w:left w:val="nil"/>
              <w:bottom w:val="single" w:sz="4" w:space="0" w:color="auto"/>
              <w:right w:val="nil"/>
            </w:tcBorders>
            <w:shd w:val="clear" w:color="000000" w:fill="000000"/>
            <w:noWrap/>
            <w:vAlign w:val="bottom"/>
            <w:hideMark/>
          </w:tcPr>
          <w:p w14:paraId="061B3DF5"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96" w:type="dxa"/>
            <w:tcBorders>
              <w:top w:val="nil"/>
              <w:left w:val="nil"/>
              <w:bottom w:val="single" w:sz="4" w:space="0" w:color="auto"/>
              <w:right w:val="nil"/>
            </w:tcBorders>
            <w:shd w:val="clear" w:color="000000" w:fill="000000"/>
            <w:noWrap/>
            <w:vAlign w:val="bottom"/>
            <w:hideMark/>
          </w:tcPr>
          <w:p w14:paraId="5E24917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96" w:type="dxa"/>
            <w:tcBorders>
              <w:top w:val="nil"/>
              <w:left w:val="nil"/>
              <w:bottom w:val="single" w:sz="4" w:space="0" w:color="auto"/>
              <w:right w:val="nil"/>
            </w:tcBorders>
            <w:shd w:val="clear" w:color="000000" w:fill="000000"/>
            <w:noWrap/>
            <w:vAlign w:val="bottom"/>
            <w:hideMark/>
          </w:tcPr>
          <w:p w14:paraId="3BED0AD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624BFE92" w14:textId="77777777" w:rsidTr="0062462F">
        <w:trPr>
          <w:trHeight w:val="342"/>
        </w:trPr>
        <w:tc>
          <w:tcPr>
            <w:tcW w:w="3216" w:type="dxa"/>
            <w:tcBorders>
              <w:top w:val="nil"/>
              <w:left w:val="nil"/>
              <w:bottom w:val="nil"/>
              <w:right w:val="nil"/>
            </w:tcBorders>
            <w:shd w:val="clear" w:color="auto" w:fill="auto"/>
            <w:noWrap/>
            <w:vAlign w:val="center"/>
            <w:hideMark/>
          </w:tcPr>
          <w:p w14:paraId="3970BF8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operating expenses</w:t>
            </w:r>
          </w:p>
        </w:tc>
        <w:tc>
          <w:tcPr>
            <w:tcW w:w="1276" w:type="dxa"/>
            <w:tcBorders>
              <w:top w:val="nil"/>
              <w:left w:val="nil"/>
              <w:bottom w:val="nil"/>
              <w:right w:val="nil"/>
            </w:tcBorders>
            <w:shd w:val="clear" w:color="auto" w:fill="auto"/>
            <w:noWrap/>
            <w:vAlign w:val="center"/>
            <w:hideMark/>
          </w:tcPr>
          <w:p w14:paraId="35707C2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1196" w:type="dxa"/>
            <w:tcBorders>
              <w:top w:val="nil"/>
              <w:left w:val="nil"/>
              <w:bottom w:val="nil"/>
              <w:right w:val="nil"/>
            </w:tcBorders>
            <w:shd w:val="clear" w:color="auto" w:fill="auto"/>
            <w:noWrap/>
            <w:vAlign w:val="center"/>
          </w:tcPr>
          <w:p w14:paraId="3757C36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699</w:t>
            </w:r>
          </w:p>
        </w:tc>
        <w:tc>
          <w:tcPr>
            <w:tcW w:w="1296" w:type="dxa"/>
            <w:tcBorders>
              <w:top w:val="nil"/>
              <w:left w:val="nil"/>
              <w:bottom w:val="nil"/>
              <w:right w:val="nil"/>
            </w:tcBorders>
            <w:shd w:val="clear" w:color="000000" w:fill="E7E6E6"/>
            <w:noWrap/>
            <w:vAlign w:val="center"/>
            <w:hideMark/>
          </w:tcPr>
          <w:p w14:paraId="3CF01B1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416</w:t>
            </w:r>
          </w:p>
        </w:tc>
      </w:tr>
      <w:tr w:rsidR="005C5CED" w:rsidRPr="005C5CED" w14:paraId="6733C3C6" w14:textId="77777777" w:rsidTr="0062462F">
        <w:trPr>
          <w:trHeight w:val="342"/>
        </w:trPr>
        <w:tc>
          <w:tcPr>
            <w:tcW w:w="3216" w:type="dxa"/>
            <w:tcBorders>
              <w:top w:val="nil"/>
              <w:left w:val="nil"/>
              <w:bottom w:val="nil"/>
              <w:right w:val="nil"/>
            </w:tcBorders>
            <w:shd w:val="clear" w:color="auto" w:fill="auto"/>
            <w:noWrap/>
            <w:vAlign w:val="center"/>
          </w:tcPr>
          <w:p w14:paraId="1872103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Promotional and marketing</w:t>
            </w:r>
          </w:p>
        </w:tc>
        <w:tc>
          <w:tcPr>
            <w:tcW w:w="1276" w:type="dxa"/>
            <w:tcBorders>
              <w:top w:val="nil"/>
              <w:left w:val="nil"/>
              <w:bottom w:val="nil"/>
              <w:right w:val="nil"/>
            </w:tcBorders>
            <w:shd w:val="clear" w:color="auto" w:fill="auto"/>
            <w:noWrap/>
            <w:vAlign w:val="center"/>
          </w:tcPr>
          <w:p w14:paraId="6AE5CEE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0D3F262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1,960</w:t>
            </w:r>
          </w:p>
        </w:tc>
        <w:tc>
          <w:tcPr>
            <w:tcW w:w="1296" w:type="dxa"/>
            <w:tcBorders>
              <w:top w:val="nil"/>
              <w:left w:val="nil"/>
              <w:bottom w:val="nil"/>
              <w:right w:val="nil"/>
            </w:tcBorders>
            <w:shd w:val="clear" w:color="000000" w:fill="E7E6E6"/>
            <w:noWrap/>
            <w:vAlign w:val="center"/>
          </w:tcPr>
          <w:p w14:paraId="4AA641B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149</w:t>
            </w:r>
          </w:p>
        </w:tc>
      </w:tr>
      <w:tr w:rsidR="005C5CED" w:rsidRPr="005C5CED" w14:paraId="46E5984F" w14:textId="77777777" w:rsidTr="0062462F">
        <w:trPr>
          <w:trHeight w:val="342"/>
        </w:trPr>
        <w:tc>
          <w:tcPr>
            <w:tcW w:w="3216" w:type="dxa"/>
            <w:tcBorders>
              <w:top w:val="nil"/>
              <w:left w:val="nil"/>
              <w:bottom w:val="nil"/>
              <w:right w:val="nil"/>
            </w:tcBorders>
            <w:shd w:val="clear" w:color="auto" w:fill="auto"/>
            <w:noWrap/>
            <w:vAlign w:val="center"/>
            <w:hideMark/>
          </w:tcPr>
          <w:p w14:paraId="47EA68E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Advertising fees </w:t>
            </w:r>
          </w:p>
        </w:tc>
        <w:tc>
          <w:tcPr>
            <w:tcW w:w="1276" w:type="dxa"/>
            <w:tcBorders>
              <w:top w:val="nil"/>
              <w:left w:val="nil"/>
              <w:bottom w:val="nil"/>
              <w:right w:val="nil"/>
            </w:tcBorders>
            <w:shd w:val="clear" w:color="auto" w:fill="auto"/>
            <w:noWrap/>
            <w:vAlign w:val="center"/>
            <w:hideMark/>
          </w:tcPr>
          <w:p w14:paraId="06C76E4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2BDED6D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78</w:t>
            </w:r>
          </w:p>
        </w:tc>
        <w:tc>
          <w:tcPr>
            <w:tcW w:w="1296" w:type="dxa"/>
            <w:tcBorders>
              <w:top w:val="nil"/>
              <w:left w:val="nil"/>
              <w:bottom w:val="nil"/>
              <w:right w:val="nil"/>
            </w:tcBorders>
            <w:shd w:val="clear" w:color="000000" w:fill="E7E6E6"/>
            <w:noWrap/>
            <w:vAlign w:val="center"/>
            <w:hideMark/>
          </w:tcPr>
          <w:p w14:paraId="1EE4B44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1,026</w:t>
            </w:r>
          </w:p>
        </w:tc>
      </w:tr>
      <w:tr w:rsidR="005C5CED" w:rsidRPr="005C5CED" w14:paraId="7F3767C6" w14:textId="77777777" w:rsidTr="0062462F">
        <w:trPr>
          <w:trHeight w:val="342"/>
        </w:trPr>
        <w:tc>
          <w:tcPr>
            <w:tcW w:w="3216" w:type="dxa"/>
            <w:tcBorders>
              <w:top w:val="nil"/>
              <w:left w:val="nil"/>
              <w:bottom w:val="nil"/>
              <w:right w:val="nil"/>
            </w:tcBorders>
            <w:shd w:val="clear" w:color="auto" w:fill="auto"/>
            <w:noWrap/>
            <w:vAlign w:val="center"/>
            <w:hideMark/>
          </w:tcPr>
          <w:p w14:paraId="7110DA3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Royalty payments</w:t>
            </w:r>
          </w:p>
        </w:tc>
        <w:tc>
          <w:tcPr>
            <w:tcW w:w="1276" w:type="dxa"/>
            <w:tcBorders>
              <w:top w:val="nil"/>
              <w:left w:val="nil"/>
              <w:bottom w:val="nil"/>
              <w:right w:val="nil"/>
            </w:tcBorders>
            <w:shd w:val="clear" w:color="auto" w:fill="auto"/>
            <w:noWrap/>
            <w:vAlign w:val="center"/>
            <w:hideMark/>
          </w:tcPr>
          <w:p w14:paraId="2E90C08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w:t>
            </w:r>
          </w:p>
        </w:tc>
        <w:tc>
          <w:tcPr>
            <w:tcW w:w="1196" w:type="dxa"/>
            <w:tcBorders>
              <w:top w:val="nil"/>
              <w:left w:val="nil"/>
              <w:bottom w:val="nil"/>
              <w:right w:val="nil"/>
            </w:tcBorders>
            <w:shd w:val="clear" w:color="auto" w:fill="auto"/>
            <w:noWrap/>
            <w:vAlign w:val="center"/>
          </w:tcPr>
          <w:p w14:paraId="0236023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977</w:t>
            </w:r>
          </w:p>
        </w:tc>
        <w:tc>
          <w:tcPr>
            <w:tcW w:w="1296" w:type="dxa"/>
            <w:tcBorders>
              <w:top w:val="nil"/>
              <w:left w:val="nil"/>
              <w:bottom w:val="nil"/>
              <w:right w:val="nil"/>
            </w:tcBorders>
            <w:shd w:val="clear" w:color="000000" w:fill="E7E6E6"/>
            <w:noWrap/>
            <w:vAlign w:val="center"/>
            <w:hideMark/>
          </w:tcPr>
          <w:p w14:paraId="6CFE9F6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908</w:t>
            </w:r>
          </w:p>
        </w:tc>
      </w:tr>
      <w:tr w:rsidR="005C5CED" w:rsidRPr="005C5CED" w14:paraId="0D264468" w14:textId="77777777" w:rsidTr="0062462F">
        <w:trPr>
          <w:trHeight w:val="342"/>
        </w:trPr>
        <w:tc>
          <w:tcPr>
            <w:tcW w:w="3216" w:type="dxa"/>
            <w:tcBorders>
              <w:top w:val="nil"/>
              <w:left w:val="nil"/>
              <w:bottom w:val="nil"/>
              <w:right w:val="nil"/>
            </w:tcBorders>
            <w:shd w:val="clear" w:color="auto" w:fill="auto"/>
            <w:noWrap/>
            <w:vAlign w:val="center"/>
            <w:hideMark/>
          </w:tcPr>
          <w:p w14:paraId="0B9510D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Stakeholder engagement</w:t>
            </w:r>
          </w:p>
        </w:tc>
        <w:tc>
          <w:tcPr>
            <w:tcW w:w="1276" w:type="dxa"/>
            <w:tcBorders>
              <w:top w:val="nil"/>
              <w:left w:val="nil"/>
              <w:bottom w:val="nil"/>
              <w:right w:val="nil"/>
            </w:tcBorders>
            <w:shd w:val="clear" w:color="auto" w:fill="auto"/>
            <w:noWrap/>
            <w:vAlign w:val="center"/>
            <w:hideMark/>
          </w:tcPr>
          <w:p w14:paraId="70B3CFF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3D3DF1A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144</w:t>
            </w:r>
          </w:p>
        </w:tc>
        <w:tc>
          <w:tcPr>
            <w:tcW w:w="1296" w:type="dxa"/>
            <w:tcBorders>
              <w:top w:val="nil"/>
              <w:left w:val="nil"/>
              <w:bottom w:val="nil"/>
              <w:right w:val="nil"/>
            </w:tcBorders>
            <w:shd w:val="clear" w:color="000000" w:fill="E7E6E6"/>
            <w:noWrap/>
            <w:vAlign w:val="center"/>
            <w:hideMark/>
          </w:tcPr>
          <w:p w14:paraId="0C6B584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215</w:t>
            </w:r>
          </w:p>
        </w:tc>
      </w:tr>
      <w:tr w:rsidR="005C5CED" w:rsidRPr="005C5CED" w14:paraId="1006FE53" w14:textId="77777777" w:rsidTr="0062462F">
        <w:trPr>
          <w:trHeight w:val="342"/>
        </w:trPr>
        <w:tc>
          <w:tcPr>
            <w:tcW w:w="3216" w:type="dxa"/>
            <w:tcBorders>
              <w:top w:val="nil"/>
              <w:left w:val="nil"/>
              <w:bottom w:val="nil"/>
              <w:right w:val="nil"/>
            </w:tcBorders>
            <w:shd w:val="clear" w:color="auto" w:fill="auto"/>
            <w:noWrap/>
            <w:vAlign w:val="center"/>
            <w:hideMark/>
          </w:tcPr>
          <w:p w14:paraId="101B0E7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Outgoings</w:t>
            </w:r>
          </w:p>
        </w:tc>
        <w:tc>
          <w:tcPr>
            <w:tcW w:w="1276" w:type="dxa"/>
            <w:tcBorders>
              <w:top w:val="nil"/>
              <w:left w:val="nil"/>
              <w:bottom w:val="nil"/>
              <w:right w:val="nil"/>
            </w:tcBorders>
            <w:shd w:val="clear" w:color="auto" w:fill="auto"/>
            <w:noWrap/>
            <w:vAlign w:val="center"/>
            <w:hideMark/>
          </w:tcPr>
          <w:p w14:paraId="7907C0E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3980428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623</w:t>
            </w:r>
          </w:p>
        </w:tc>
        <w:tc>
          <w:tcPr>
            <w:tcW w:w="1296" w:type="dxa"/>
            <w:tcBorders>
              <w:top w:val="nil"/>
              <w:left w:val="nil"/>
              <w:bottom w:val="nil"/>
              <w:right w:val="nil"/>
            </w:tcBorders>
            <w:shd w:val="clear" w:color="000000" w:fill="E7E6E6"/>
            <w:noWrap/>
            <w:vAlign w:val="center"/>
            <w:hideMark/>
          </w:tcPr>
          <w:p w14:paraId="0885CC9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592</w:t>
            </w:r>
          </w:p>
        </w:tc>
      </w:tr>
      <w:tr w:rsidR="005C5CED" w:rsidRPr="005C5CED" w14:paraId="49928346" w14:textId="77777777" w:rsidTr="0062462F">
        <w:trPr>
          <w:trHeight w:val="342"/>
        </w:trPr>
        <w:tc>
          <w:tcPr>
            <w:tcW w:w="3216" w:type="dxa"/>
            <w:tcBorders>
              <w:top w:val="nil"/>
              <w:left w:val="nil"/>
              <w:bottom w:val="nil"/>
              <w:right w:val="nil"/>
            </w:tcBorders>
            <w:shd w:val="clear" w:color="auto" w:fill="auto"/>
            <w:noWrap/>
            <w:vAlign w:val="center"/>
            <w:hideMark/>
          </w:tcPr>
          <w:p w14:paraId="7757697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Market research and surveys</w:t>
            </w:r>
          </w:p>
        </w:tc>
        <w:tc>
          <w:tcPr>
            <w:tcW w:w="1276" w:type="dxa"/>
            <w:tcBorders>
              <w:top w:val="nil"/>
              <w:left w:val="nil"/>
              <w:bottom w:val="nil"/>
              <w:right w:val="nil"/>
            </w:tcBorders>
            <w:shd w:val="clear" w:color="auto" w:fill="auto"/>
            <w:noWrap/>
            <w:vAlign w:val="center"/>
            <w:hideMark/>
          </w:tcPr>
          <w:p w14:paraId="6F76576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2A04858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324</w:t>
            </w:r>
          </w:p>
        </w:tc>
        <w:tc>
          <w:tcPr>
            <w:tcW w:w="1296" w:type="dxa"/>
            <w:tcBorders>
              <w:top w:val="nil"/>
              <w:left w:val="nil"/>
              <w:bottom w:val="nil"/>
              <w:right w:val="nil"/>
            </w:tcBorders>
            <w:shd w:val="clear" w:color="000000" w:fill="E7E6E6"/>
            <w:noWrap/>
            <w:vAlign w:val="center"/>
            <w:hideMark/>
          </w:tcPr>
          <w:p w14:paraId="0A82736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239</w:t>
            </w:r>
          </w:p>
        </w:tc>
      </w:tr>
      <w:tr w:rsidR="005C5CED" w:rsidRPr="005C5CED" w14:paraId="298CA77F" w14:textId="77777777" w:rsidTr="0062462F">
        <w:trPr>
          <w:trHeight w:val="342"/>
        </w:trPr>
        <w:tc>
          <w:tcPr>
            <w:tcW w:w="3216" w:type="dxa"/>
            <w:tcBorders>
              <w:top w:val="nil"/>
              <w:left w:val="nil"/>
              <w:bottom w:val="nil"/>
              <w:right w:val="nil"/>
            </w:tcBorders>
            <w:shd w:val="clear" w:color="auto" w:fill="auto"/>
            <w:noWrap/>
            <w:vAlign w:val="center"/>
            <w:hideMark/>
          </w:tcPr>
          <w:p w14:paraId="14C2DF2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Staff training </w:t>
            </w:r>
          </w:p>
        </w:tc>
        <w:tc>
          <w:tcPr>
            <w:tcW w:w="1276" w:type="dxa"/>
            <w:tcBorders>
              <w:top w:val="nil"/>
              <w:left w:val="nil"/>
              <w:bottom w:val="nil"/>
              <w:right w:val="nil"/>
            </w:tcBorders>
            <w:shd w:val="clear" w:color="auto" w:fill="auto"/>
            <w:noWrap/>
            <w:vAlign w:val="center"/>
            <w:hideMark/>
          </w:tcPr>
          <w:p w14:paraId="12F6F8D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27B6042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102</w:t>
            </w:r>
          </w:p>
        </w:tc>
        <w:tc>
          <w:tcPr>
            <w:tcW w:w="1296" w:type="dxa"/>
            <w:tcBorders>
              <w:top w:val="nil"/>
              <w:left w:val="nil"/>
              <w:bottom w:val="nil"/>
              <w:right w:val="nil"/>
            </w:tcBorders>
            <w:shd w:val="clear" w:color="000000" w:fill="E7E6E6"/>
            <w:noWrap/>
            <w:vAlign w:val="center"/>
            <w:hideMark/>
          </w:tcPr>
          <w:p w14:paraId="0CC981F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302</w:t>
            </w:r>
          </w:p>
        </w:tc>
      </w:tr>
      <w:tr w:rsidR="005C5CED" w:rsidRPr="005C5CED" w14:paraId="110D4C56" w14:textId="77777777" w:rsidTr="0062462F">
        <w:trPr>
          <w:trHeight w:val="342"/>
        </w:trPr>
        <w:tc>
          <w:tcPr>
            <w:tcW w:w="3216" w:type="dxa"/>
            <w:tcBorders>
              <w:top w:val="nil"/>
              <w:left w:val="nil"/>
              <w:bottom w:val="nil"/>
              <w:right w:val="nil"/>
            </w:tcBorders>
            <w:shd w:val="clear" w:color="auto" w:fill="auto"/>
            <w:noWrap/>
            <w:vAlign w:val="center"/>
            <w:hideMark/>
          </w:tcPr>
          <w:p w14:paraId="14026BC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Recruitment </w:t>
            </w:r>
          </w:p>
        </w:tc>
        <w:tc>
          <w:tcPr>
            <w:tcW w:w="1276" w:type="dxa"/>
            <w:tcBorders>
              <w:top w:val="nil"/>
              <w:left w:val="nil"/>
              <w:bottom w:val="nil"/>
              <w:right w:val="nil"/>
            </w:tcBorders>
            <w:shd w:val="clear" w:color="auto" w:fill="auto"/>
            <w:noWrap/>
            <w:vAlign w:val="center"/>
            <w:hideMark/>
          </w:tcPr>
          <w:p w14:paraId="3BEDBDC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2A96919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w:t>
            </w:r>
          </w:p>
        </w:tc>
        <w:tc>
          <w:tcPr>
            <w:tcW w:w="1296" w:type="dxa"/>
            <w:tcBorders>
              <w:top w:val="nil"/>
              <w:left w:val="nil"/>
              <w:bottom w:val="nil"/>
              <w:right w:val="nil"/>
            </w:tcBorders>
            <w:shd w:val="clear" w:color="000000" w:fill="E7E6E6"/>
            <w:noWrap/>
            <w:vAlign w:val="center"/>
            <w:hideMark/>
          </w:tcPr>
          <w:p w14:paraId="6D5C82A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149</w:t>
            </w:r>
          </w:p>
        </w:tc>
      </w:tr>
      <w:tr w:rsidR="005C5CED" w:rsidRPr="005C5CED" w14:paraId="5DF4C423" w14:textId="77777777" w:rsidTr="0062462F">
        <w:trPr>
          <w:trHeight w:val="342"/>
        </w:trPr>
        <w:tc>
          <w:tcPr>
            <w:tcW w:w="3216" w:type="dxa"/>
            <w:tcBorders>
              <w:top w:val="nil"/>
              <w:left w:val="nil"/>
              <w:bottom w:val="nil"/>
              <w:right w:val="nil"/>
            </w:tcBorders>
            <w:shd w:val="clear" w:color="auto" w:fill="auto"/>
            <w:noWrap/>
            <w:vAlign w:val="center"/>
            <w:hideMark/>
          </w:tcPr>
          <w:p w14:paraId="463648E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Internal audit fees </w:t>
            </w:r>
          </w:p>
        </w:tc>
        <w:tc>
          <w:tcPr>
            <w:tcW w:w="1276" w:type="dxa"/>
            <w:tcBorders>
              <w:top w:val="nil"/>
              <w:left w:val="nil"/>
              <w:bottom w:val="nil"/>
              <w:right w:val="nil"/>
            </w:tcBorders>
            <w:shd w:val="clear" w:color="auto" w:fill="auto"/>
            <w:noWrap/>
            <w:vAlign w:val="center"/>
            <w:hideMark/>
          </w:tcPr>
          <w:p w14:paraId="2B97683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6A86A6F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108</w:t>
            </w:r>
          </w:p>
        </w:tc>
        <w:tc>
          <w:tcPr>
            <w:tcW w:w="1296" w:type="dxa"/>
            <w:tcBorders>
              <w:top w:val="nil"/>
              <w:left w:val="nil"/>
              <w:bottom w:val="nil"/>
              <w:right w:val="nil"/>
            </w:tcBorders>
            <w:shd w:val="clear" w:color="000000" w:fill="E7E6E6"/>
            <w:noWrap/>
            <w:vAlign w:val="center"/>
            <w:hideMark/>
          </w:tcPr>
          <w:p w14:paraId="4AC0B53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110</w:t>
            </w:r>
          </w:p>
        </w:tc>
      </w:tr>
      <w:tr w:rsidR="005C5CED" w:rsidRPr="005C5CED" w14:paraId="4ABEC551" w14:textId="77777777" w:rsidTr="0062462F">
        <w:trPr>
          <w:trHeight w:val="342"/>
        </w:trPr>
        <w:tc>
          <w:tcPr>
            <w:tcW w:w="3216" w:type="dxa"/>
            <w:tcBorders>
              <w:top w:val="nil"/>
              <w:left w:val="nil"/>
              <w:bottom w:val="nil"/>
              <w:right w:val="nil"/>
            </w:tcBorders>
            <w:shd w:val="clear" w:color="auto" w:fill="auto"/>
            <w:noWrap/>
            <w:vAlign w:val="center"/>
            <w:hideMark/>
          </w:tcPr>
          <w:p w14:paraId="121565A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Insurance</w:t>
            </w:r>
          </w:p>
        </w:tc>
        <w:tc>
          <w:tcPr>
            <w:tcW w:w="1276" w:type="dxa"/>
            <w:tcBorders>
              <w:top w:val="nil"/>
              <w:left w:val="nil"/>
              <w:bottom w:val="nil"/>
              <w:right w:val="nil"/>
            </w:tcBorders>
            <w:shd w:val="clear" w:color="auto" w:fill="auto"/>
            <w:noWrap/>
            <w:vAlign w:val="center"/>
            <w:hideMark/>
          </w:tcPr>
          <w:p w14:paraId="59E9A9E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74290FB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246</w:t>
            </w:r>
          </w:p>
        </w:tc>
        <w:tc>
          <w:tcPr>
            <w:tcW w:w="1296" w:type="dxa"/>
            <w:tcBorders>
              <w:top w:val="nil"/>
              <w:left w:val="nil"/>
              <w:bottom w:val="nil"/>
              <w:right w:val="nil"/>
            </w:tcBorders>
            <w:shd w:val="clear" w:color="000000" w:fill="E7E6E6"/>
            <w:noWrap/>
            <w:vAlign w:val="center"/>
            <w:hideMark/>
          </w:tcPr>
          <w:p w14:paraId="664D9E4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194</w:t>
            </w:r>
          </w:p>
        </w:tc>
      </w:tr>
      <w:tr w:rsidR="005C5CED" w:rsidRPr="005C5CED" w14:paraId="2F99DC2F" w14:textId="77777777" w:rsidTr="0062462F">
        <w:trPr>
          <w:trHeight w:val="342"/>
        </w:trPr>
        <w:tc>
          <w:tcPr>
            <w:tcW w:w="3216" w:type="dxa"/>
            <w:tcBorders>
              <w:top w:val="nil"/>
              <w:left w:val="nil"/>
              <w:bottom w:val="nil"/>
              <w:right w:val="nil"/>
            </w:tcBorders>
            <w:shd w:val="clear" w:color="auto" w:fill="auto"/>
            <w:noWrap/>
            <w:vAlign w:val="center"/>
            <w:hideMark/>
          </w:tcPr>
          <w:p w14:paraId="13A489F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Legal fees </w:t>
            </w:r>
          </w:p>
        </w:tc>
        <w:tc>
          <w:tcPr>
            <w:tcW w:w="1276" w:type="dxa"/>
            <w:tcBorders>
              <w:top w:val="nil"/>
              <w:left w:val="nil"/>
              <w:bottom w:val="nil"/>
              <w:right w:val="nil"/>
            </w:tcBorders>
            <w:shd w:val="clear" w:color="auto" w:fill="auto"/>
            <w:noWrap/>
            <w:vAlign w:val="center"/>
            <w:hideMark/>
          </w:tcPr>
          <w:p w14:paraId="2A4EBFC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2A1EE08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37</w:t>
            </w:r>
          </w:p>
        </w:tc>
        <w:tc>
          <w:tcPr>
            <w:tcW w:w="1296" w:type="dxa"/>
            <w:tcBorders>
              <w:top w:val="nil"/>
              <w:left w:val="nil"/>
              <w:bottom w:val="nil"/>
              <w:right w:val="nil"/>
            </w:tcBorders>
            <w:shd w:val="clear" w:color="000000" w:fill="E7E6E6"/>
            <w:noWrap/>
            <w:vAlign w:val="center"/>
            <w:hideMark/>
          </w:tcPr>
          <w:p w14:paraId="7D97475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148</w:t>
            </w:r>
          </w:p>
        </w:tc>
      </w:tr>
      <w:tr w:rsidR="005C5CED" w:rsidRPr="005C5CED" w14:paraId="7F303363" w14:textId="77777777" w:rsidTr="0062462F">
        <w:trPr>
          <w:trHeight w:val="342"/>
        </w:trPr>
        <w:tc>
          <w:tcPr>
            <w:tcW w:w="3216" w:type="dxa"/>
            <w:tcBorders>
              <w:top w:val="nil"/>
              <w:left w:val="nil"/>
              <w:bottom w:val="nil"/>
              <w:right w:val="nil"/>
            </w:tcBorders>
            <w:shd w:val="clear" w:color="auto" w:fill="auto"/>
            <w:noWrap/>
            <w:vAlign w:val="center"/>
            <w:hideMark/>
          </w:tcPr>
          <w:p w14:paraId="3CA0B471"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Sponsorships paid</w:t>
            </w:r>
          </w:p>
        </w:tc>
        <w:tc>
          <w:tcPr>
            <w:tcW w:w="1276" w:type="dxa"/>
            <w:tcBorders>
              <w:top w:val="nil"/>
              <w:left w:val="nil"/>
              <w:bottom w:val="nil"/>
              <w:right w:val="nil"/>
            </w:tcBorders>
            <w:shd w:val="clear" w:color="auto" w:fill="auto"/>
            <w:noWrap/>
            <w:vAlign w:val="center"/>
            <w:hideMark/>
          </w:tcPr>
          <w:p w14:paraId="7C3723D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96" w:type="dxa"/>
            <w:tcBorders>
              <w:top w:val="nil"/>
              <w:left w:val="nil"/>
              <w:bottom w:val="nil"/>
              <w:right w:val="nil"/>
            </w:tcBorders>
            <w:shd w:val="clear" w:color="auto" w:fill="auto"/>
            <w:noWrap/>
            <w:vAlign w:val="center"/>
          </w:tcPr>
          <w:p w14:paraId="6A66282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36</w:t>
            </w:r>
          </w:p>
        </w:tc>
        <w:tc>
          <w:tcPr>
            <w:tcW w:w="1296" w:type="dxa"/>
            <w:tcBorders>
              <w:top w:val="nil"/>
              <w:left w:val="nil"/>
              <w:bottom w:val="single" w:sz="4" w:space="0" w:color="auto"/>
              <w:right w:val="nil"/>
            </w:tcBorders>
            <w:shd w:val="clear" w:color="000000" w:fill="E7E6E6"/>
            <w:noWrap/>
            <w:vAlign w:val="center"/>
            <w:hideMark/>
          </w:tcPr>
          <w:p w14:paraId="6C1F133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105</w:t>
            </w:r>
          </w:p>
        </w:tc>
      </w:tr>
      <w:tr w:rsidR="005C5CED" w:rsidRPr="005C5CED" w14:paraId="3AA13CAD" w14:textId="77777777" w:rsidTr="0062462F">
        <w:trPr>
          <w:trHeight w:val="342"/>
        </w:trPr>
        <w:tc>
          <w:tcPr>
            <w:tcW w:w="3216" w:type="dxa"/>
            <w:tcBorders>
              <w:top w:val="single" w:sz="4" w:space="0" w:color="auto"/>
              <w:left w:val="nil"/>
              <w:bottom w:val="single" w:sz="4" w:space="0" w:color="auto"/>
              <w:right w:val="nil"/>
            </w:tcBorders>
            <w:shd w:val="clear" w:color="auto" w:fill="auto"/>
            <w:noWrap/>
            <w:vAlign w:val="center"/>
            <w:hideMark/>
          </w:tcPr>
          <w:p w14:paraId="77304F1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other operating expenses</w:t>
            </w:r>
          </w:p>
        </w:tc>
        <w:tc>
          <w:tcPr>
            <w:tcW w:w="1276" w:type="dxa"/>
            <w:tcBorders>
              <w:top w:val="single" w:sz="4" w:space="0" w:color="auto"/>
              <w:left w:val="nil"/>
              <w:bottom w:val="single" w:sz="4" w:space="0" w:color="auto"/>
              <w:right w:val="nil"/>
            </w:tcBorders>
            <w:shd w:val="clear" w:color="auto" w:fill="auto"/>
            <w:noWrap/>
            <w:vAlign w:val="center"/>
            <w:hideMark/>
          </w:tcPr>
          <w:p w14:paraId="1356A4A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96" w:type="dxa"/>
            <w:tcBorders>
              <w:top w:val="single" w:sz="4" w:space="0" w:color="auto"/>
              <w:left w:val="nil"/>
              <w:bottom w:val="single" w:sz="4" w:space="0" w:color="auto"/>
              <w:right w:val="nil"/>
            </w:tcBorders>
            <w:shd w:val="clear" w:color="auto" w:fill="auto"/>
            <w:noWrap/>
            <w:vAlign w:val="center"/>
          </w:tcPr>
          <w:p w14:paraId="7DF88F2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5,340</w:t>
            </w:r>
          </w:p>
        </w:tc>
        <w:tc>
          <w:tcPr>
            <w:tcW w:w="1296" w:type="dxa"/>
            <w:tcBorders>
              <w:top w:val="nil"/>
              <w:left w:val="nil"/>
              <w:bottom w:val="single" w:sz="4" w:space="0" w:color="auto"/>
              <w:right w:val="nil"/>
            </w:tcBorders>
            <w:shd w:val="clear" w:color="000000" w:fill="E7E6E6"/>
            <w:noWrap/>
            <w:vAlign w:val="center"/>
            <w:hideMark/>
          </w:tcPr>
          <w:p w14:paraId="4398091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4,553</w:t>
            </w:r>
          </w:p>
        </w:tc>
      </w:tr>
    </w:tbl>
    <w:p w14:paraId="56A18EB7"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Notes:</w:t>
      </w:r>
    </w:p>
    <w:p w14:paraId="0EECE278"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(a) Other operating expenses includes minor incidentals such as low-cost assets, repairs and maintenance, office consumables and minor staff expenses. </w:t>
      </w:r>
    </w:p>
    <w:p w14:paraId="30B8BCDC"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sz w:val="16"/>
          <w:szCs w:val="20"/>
        </w:rPr>
        <w:t>(b)  Royalty payments for use of intellectual property are recognised as an expense in the reporting period in which they are incurred.</w:t>
      </w:r>
    </w:p>
    <w:p w14:paraId="3A31FE4B" w14:textId="77777777" w:rsidR="005C5CED" w:rsidRPr="005C5CED" w:rsidRDefault="005C5CED" w:rsidP="005C5CED">
      <w:pPr>
        <w:spacing w:line="259" w:lineRule="auto"/>
        <w:rPr>
          <w:rFonts w:eastAsia="Calibri" w:cs="Arial"/>
          <w:color w:val="auto"/>
          <w:sz w:val="16"/>
          <w:szCs w:val="16"/>
        </w:rPr>
      </w:pPr>
    </w:p>
    <w:p w14:paraId="2AF549D5" w14:textId="77777777" w:rsidR="005C5CED" w:rsidRPr="005C5CED" w:rsidRDefault="005C5CED" w:rsidP="005C5CED">
      <w:pPr>
        <w:spacing w:line="259" w:lineRule="auto"/>
        <w:rPr>
          <w:rFonts w:eastAsia="Times New Roman" w:cs="Arial"/>
          <w:color w:val="auto"/>
          <w:sz w:val="16"/>
          <w:szCs w:val="16"/>
          <w:lang w:eastAsia="en-AU"/>
        </w:rPr>
      </w:pPr>
      <w:r w:rsidRPr="005C5CED">
        <w:rPr>
          <w:rFonts w:eastAsia="Times New Roman" w:cs="Arial"/>
          <w:color w:val="auto"/>
          <w:sz w:val="16"/>
          <w:szCs w:val="16"/>
          <w:lang w:eastAsia="en-AU"/>
        </w:rPr>
        <w:t xml:space="preserve">Other operating expenses generally represent the day-to-day running costs incurred in normal operations. </w:t>
      </w:r>
      <w:r w:rsidRPr="005C5CED">
        <w:rPr>
          <w:rFonts w:eastAsia="Times New Roman" w:cs="Arial"/>
          <w:color w:val="auto"/>
          <w:sz w:val="16"/>
          <w:szCs w:val="16"/>
          <w:lang w:eastAsia="en-AU"/>
        </w:rPr>
        <w:br w:type="page"/>
      </w:r>
    </w:p>
    <w:p w14:paraId="1F1E27E7" w14:textId="77777777" w:rsidR="005C5CED" w:rsidRPr="005C5CED" w:rsidRDefault="005C5CED" w:rsidP="005C5CED">
      <w:pPr>
        <w:keepNext/>
        <w:keepLines/>
        <w:spacing w:before="300" w:after="60" w:line="240" w:lineRule="auto"/>
        <w:outlineLvl w:val="2"/>
        <w:rPr>
          <w:rFonts w:eastAsia="Yu Gothic Light" w:cs="Times New Roman"/>
          <w:b/>
          <w:bCs/>
          <w:color w:val="auto"/>
          <w:sz w:val="28"/>
          <w:szCs w:val="28"/>
        </w:rPr>
      </w:pPr>
      <w:r w:rsidRPr="005C5CED">
        <w:rPr>
          <w:rFonts w:eastAsia="Yu Gothic Light" w:cs="Times New Roman"/>
          <w:b/>
          <w:bCs/>
          <w:color w:val="auto"/>
          <w:sz w:val="28"/>
          <w:szCs w:val="28"/>
        </w:rPr>
        <w:lastRenderedPageBreak/>
        <w:t>Note 4: Key assets available to support output delivery</w:t>
      </w:r>
    </w:p>
    <w:p w14:paraId="62ED933F"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Introduction</w:t>
      </w:r>
    </w:p>
    <w:p w14:paraId="4F36B8EB"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Sustainability Victoria controls assets that are utilised in fulfilling its objectives and conducting activities. They represent the resources that have been entrusted to Sustainability Victoria to be utilised for delivery for these outputs.  </w:t>
      </w:r>
    </w:p>
    <w:p w14:paraId="0160F1D5" w14:textId="77777777" w:rsidR="005C5CED" w:rsidRPr="005C5CED" w:rsidRDefault="005C5CED" w:rsidP="005C5CED">
      <w:pPr>
        <w:spacing w:after="60" w:line="259" w:lineRule="auto"/>
        <w:rPr>
          <w:rFonts w:eastAsia="Calibri" w:cs="Arial"/>
          <w:color w:val="auto"/>
          <w:sz w:val="16"/>
          <w:szCs w:val="16"/>
        </w:rPr>
      </w:pPr>
    </w:p>
    <w:p w14:paraId="7F2A1F6A"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Significant judgement: Classification of assets</w:t>
      </w:r>
    </w:p>
    <w:p w14:paraId="0E0417B4" w14:textId="77777777" w:rsidR="005C5CED" w:rsidRPr="005C5CED" w:rsidRDefault="005C5CED" w:rsidP="005C5CED">
      <w:pPr>
        <w:spacing w:line="259" w:lineRule="auto"/>
        <w:rPr>
          <w:rFonts w:eastAsia="Calibri" w:cs="Arial"/>
          <w:i/>
          <w:iCs/>
          <w:color w:val="auto"/>
        </w:rPr>
      </w:pPr>
      <w:r w:rsidRPr="005C5CED">
        <w:rPr>
          <w:rFonts w:eastAsia="Calibri" w:cs="Arial"/>
          <w:i/>
          <w:iCs/>
          <w:color w:val="auto"/>
        </w:rPr>
        <w:t>Fair value measurement</w:t>
      </w:r>
    </w:p>
    <w:p w14:paraId="4E0E0C83" w14:textId="77777777" w:rsidR="005C5CED" w:rsidRPr="005C5CED" w:rsidRDefault="005C5CED" w:rsidP="005C5CED">
      <w:pPr>
        <w:spacing w:line="259" w:lineRule="auto"/>
        <w:rPr>
          <w:rFonts w:eastAsia="Calibri" w:cs="Arial"/>
          <w:color w:val="auto"/>
        </w:rPr>
      </w:pPr>
      <w:r w:rsidRPr="005C5CED">
        <w:rPr>
          <w:rFonts w:eastAsia="Calibri" w:cs="Arial"/>
          <w:color w:val="auto"/>
        </w:rPr>
        <w:t>Where the assets included in this section are carried at fair value, additional information is disclosed in Note 7.3 in connection with how those fair values were determined.</w:t>
      </w:r>
    </w:p>
    <w:p w14:paraId="0C02D94E"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Structure</w:t>
      </w:r>
    </w:p>
    <w:p w14:paraId="64574566" w14:textId="77777777" w:rsidR="005C5CED" w:rsidRPr="005C5CED" w:rsidRDefault="005C5CED" w:rsidP="005C5CED">
      <w:pPr>
        <w:spacing w:line="259" w:lineRule="auto"/>
        <w:rPr>
          <w:rFonts w:eastAsia="Calibri" w:cs="Arial"/>
          <w:color w:val="auto"/>
        </w:rPr>
      </w:pPr>
      <w:r w:rsidRPr="005C5CED">
        <w:rPr>
          <w:rFonts w:eastAsia="Calibri" w:cs="Arial"/>
          <w:color w:val="auto"/>
        </w:rPr>
        <w:t>4.1 Total property, plant, and equipment</w:t>
      </w:r>
    </w:p>
    <w:p w14:paraId="030E3F83" w14:textId="77777777" w:rsidR="005C5CED" w:rsidRPr="005C5CED" w:rsidRDefault="005C5CED" w:rsidP="005C5CED">
      <w:pPr>
        <w:spacing w:line="259" w:lineRule="auto"/>
        <w:rPr>
          <w:rFonts w:eastAsia="Calibri" w:cs="Arial"/>
          <w:color w:val="auto"/>
        </w:rPr>
      </w:pPr>
      <w:r w:rsidRPr="005C5CED">
        <w:rPr>
          <w:rFonts w:eastAsia="Calibri" w:cs="Arial"/>
          <w:color w:val="auto"/>
        </w:rPr>
        <w:t>4.2 Investments and other financial assets</w:t>
      </w:r>
    </w:p>
    <w:p w14:paraId="54A735D1" w14:textId="77777777" w:rsidR="005C5CED" w:rsidRPr="005C5CED" w:rsidRDefault="005C5CED" w:rsidP="005C5CED">
      <w:pPr>
        <w:keepNext/>
        <w:keepLines/>
        <w:spacing w:before="240" w:after="60" w:line="240" w:lineRule="auto"/>
        <w:outlineLvl w:val="3"/>
        <w:rPr>
          <w:rFonts w:eastAsia="Times New Roman" w:cs="Times New Roman"/>
          <w:color w:val="000000"/>
          <w:sz w:val="24"/>
          <w:szCs w:val="24"/>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t>Note 4.1 Total property, plant, and equipment</w:t>
      </w:r>
    </w:p>
    <w:tbl>
      <w:tblPr>
        <w:tblpPr w:leftFromText="180" w:rightFromText="180" w:vertAnchor="text" w:horzAnchor="margin" w:tblpXSpec="center" w:tblpY="19"/>
        <w:tblW w:w="8845" w:type="dxa"/>
        <w:tblLook w:val="04A0" w:firstRow="1" w:lastRow="0" w:firstColumn="1" w:lastColumn="0" w:noHBand="0" w:noVBand="1"/>
      </w:tblPr>
      <w:tblGrid>
        <w:gridCol w:w="2524"/>
        <w:gridCol w:w="1355"/>
        <w:gridCol w:w="757"/>
        <w:gridCol w:w="1226"/>
        <w:gridCol w:w="921"/>
        <w:gridCol w:w="920"/>
        <w:gridCol w:w="1142"/>
      </w:tblGrid>
      <w:tr w:rsidR="005C5CED" w:rsidRPr="005C5CED" w14:paraId="150F97EB" w14:textId="77777777" w:rsidTr="00711D08">
        <w:trPr>
          <w:trHeight w:val="277"/>
        </w:trPr>
        <w:tc>
          <w:tcPr>
            <w:tcW w:w="2524" w:type="dxa"/>
            <w:tcBorders>
              <w:top w:val="single" w:sz="4" w:space="0" w:color="auto"/>
              <w:left w:val="nil"/>
              <w:bottom w:val="nil"/>
              <w:right w:val="nil"/>
            </w:tcBorders>
            <w:shd w:val="clear" w:color="000000" w:fill="000000"/>
            <w:noWrap/>
            <w:vAlign w:val="bottom"/>
            <w:hideMark/>
          </w:tcPr>
          <w:p w14:paraId="2DC879BB"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112" w:type="dxa"/>
            <w:gridSpan w:val="2"/>
            <w:tcBorders>
              <w:top w:val="single" w:sz="4" w:space="0" w:color="auto"/>
              <w:left w:val="nil"/>
              <w:bottom w:val="nil"/>
              <w:right w:val="nil"/>
            </w:tcBorders>
            <w:shd w:val="clear" w:color="000000" w:fill="000000"/>
            <w:hideMark/>
          </w:tcPr>
          <w:p w14:paraId="7EF2CD80"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Gross carrying</w:t>
            </w:r>
            <w:r w:rsidRPr="005C5CED">
              <w:rPr>
                <w:rFonts w:eastAsia="Times New Roman" w:cs="Arial"/>
                <w:b/>
                <w:bCs/>
                <w:color w:val="FFFFFF"/>
                <w:sz w:val="16"/>
                <w:szCs w:val="16"/>
                <w:lang w:eastAsia="en-AU"/>
              </w:rPr>
              <w:br/>
              <w:t>amount</w:t>
            </w:r>
          </w:p>
          <w:p w14:paraId="43C2AE25"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147" w:type="dxa"/>
            <w:gridSpan w:val="2"/>
            <w:tcBorders>
              <w:top w:val="single" w:sz="4" w:space="0" w:color="auto"/>
              <w:left w:val="nil"/>
              <w:bottom w:val="nil"/>
              <w:right w:val="nil"/>
            </w:tcBorders>
            <w:shd w:val="clear" w:color="000000" w:fill="000000"/>
            <w:vAlign w:val="bottom"/>
            <w:hideMark/>
          </w:tcPr>
          <w:p w14:paraId="1E9FAB05"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Accumulated</w:t>
            </w:r>
            <w:r w:rsidRPr="005C5CED">
              <w:rPr>
                <w:rFonts w:eastAsia="Times New Roman" w:cs="Arial"/>
                <w:b/>
                <w:bCs/>
                <w:color w:val="FFFFFF"/>
                <w:sz w:val="16"/>
                <w:szCs w:val="16"/>
                <w:lang w:eastAsia="en-AU"/>
              </w:rPr>
              <w:br/>
              <w:t>depreciation</w:t>
            </w:r>
          </w:p>
          <w:p w14:paraId="6E708FAB"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062" w:type="dxa"/>
            <w:gridSpan w:val="2"/>
            <w:tcBorders>
              <w:top w:val="single" w:sz="4" w:space="0" w:color="auto"/>
              <w:left w:val="nil"/>
              <w:bottom w:val="nil"/>
              <w:right w:val="nil"/>
            </w:tcBorders>
            <w:shd w:val="clear" w:color="000000" w:fill="000000"/>
            <w:hideMark/>
          </w:tcPr>
          <w:p w14:paraId="6F447D71"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Net carrying</w:t>
            </w:r>
            <w:r w:rsidRPr="005C5CED">
              <w:rPr>
                <w:rFonts w:eastAsia="Times New Roman" w:cs="Arial"/>
                <w:b/>
                <w:bCs/>
                <w:color w:val="FFFFFF"/>
                <w:sz w:val="16"/>
                <w:szCs w:val="16"/>
                <w:lang w:eastAsia="en-AU"/>
              </w:rPr>
              <w:br/>
              <w:t>amount</w:t>
            </w:r>
          </w:p>
          <w:p w14:paraId="318D4EA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r>
      <w:tr w:rsidR="005C5CED" w:rsidRPr="005C5CED" w14:paraId="6B8AAD5B" w14:textId="77777777" w:rsidTr="00711D08">
        <w:trPr>
          <w:trHeight w:val="312"/>
        </w:trPr>
        <w:tc>
          <w:tcPr>
            <w:tcW w:w="2524" w:type="dxa"/>
            <w:tcBorders>
              <w:top w:val="nil"/>
              <w:left w:val="nil"/>
              <w:bottom w:val="nil"/>
              <w:right w:val="nil"/>
            </w:tcBorders>
            <w:shd w:val="clear" w:color="000000" w:fill="000000"/>
            <w:noWrap/>
            <w:vAlign w:val="bottom"/>
            <w:hideMark/>
          </w:tcPr>
          <w:p w14:paraId="1243C2C7"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55" w:type="dxa"/>
            <w:tcBorders>
              <w:top w:val="nil"/>
              <w:left w:val="nil"/>
              <w:bottom w:val="nil"/>
              <w:right w:val="nil"/>
            </w:tcBorders>
            <w:shd w:val="clear" w:color="000000" w:fill="000000"/>
            <w:noWrap/>
            <w:vAlign w:val="bottom"/>
            <w:hideMark/>
          </w:tcPr>
          <w:p w14:paraId="4C940CCE"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757" w:type="dxa"/>
            <w:tcBorders>
              <w:top w:val="nil"/>
              <w:left w:val="nil"/>
              <w:bottom w:val="nil"/>
              <w:right w:val="nil"/>
            </w:tcBorders>
            <w:shd w:val="clear" w:color="000000" w:fill="000000"/>
            <w:noWrap/>
            <w:vAlign w:val="bottom"/>
            <w:hideMark/>
          </w:tcPr>
          <w:p w14:paraId="66BC23B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c>
          <w:tcPr>
            <w:tcW w:w="1226" w:type="dxa"/>
            <w:tcBorders>
              <w:top w:val="nil"/>
              <w:left w:val="nil"/>
              <w:bottom w:val="nil"/>
              <w:right w:val="nil"/>
            </w:tcBorders>
            <w:shd w:val="clear" w:color="000000" w:fill="000000"/>
            <w:noWrap/>
            <w:vAlign w:val="bottom"/>
            <w:hideMark/>
          </w:tcPr>
          <w:p w14:paraId="5AB3C886"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920" w:type="dxa"/>
            <w:tcBorders>
              <w:top w:val="nil"/>
              <w:left w:val="nil"/>
              <w:bottom w:val="nil"/>
              <w:right w:val="nil"/>
            </w:tcBorders>
            <w:shd w:val="clear" w:color="000000" w:fill="000000"/>
            <w:noWrap/>
            <w:vAlign w:val="bottom"/>
            <w:hideMark/>
          </w:tcPr>
          <w:p w14:paraId="3E20A5BB"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c>
          <w:tcPr>
            <w:tcW w:w="920" w:type="dxa"/>
            <w:tcBorders>
              <w:top w:val="nil"/>
              <w:left w:val="nil"/>
              <w:bottom w:val="nil"/>
              <w:right w:val="nil"/>
            </w:tcBorders>
            <w:shd w:val="clear" w:color="000000" w:fill="000000"/>
            <w:noWrap/>
            <w:vAlign w:val="bottom"/>
            <w:hideMark/>
          </w:tcPr>
          <w:p w14:paraId="0582C3BD"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141" w:type="dxa"/>
            <w:tcBorders>
              <w:top w:val="nil"/>
              <w:left w:val="nil"/>
              <w:bottom w:val="nil"/>
              <w:right w:val="nil"/>
            </w:tcBorders>
            <w:shd w:val="clear" w:color="000000" w:fill="000000"/>
            <w:noWrap/>
            <w:vAlign w:val="bottom"/>
            <w:hideMark/>
          </w:tcPr>
          <w:p w14:paraId="049BE41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0DDC9962" w14:textId="77777777" w:rsidTr="00711D08">
        <w:trPr>
          <w:trHeight w:val="312"/>
        </w:trPr>
        <w:tc>
          <w:tcPr>
            <w:tcW w:w="2524" w:type="dxa"/>
            <w:tcBorders>
              <w:top w:val="nil"/>
              <w:left w:val="nil"/>
              <w:bottom w:val="single" w:sz="4" w:space="0" w:color="auto"/>
              <w:right w:val="nil"/>
            </w:tcBorders>
            <w:shd w:val="clear" w:color="000000" w:fill="000000"/>
            <w:noWrap/>
            <w:vAlign w:val="bottom"/>
            <w:hideMark/>
          </w:tcPr>
          <w:p w14:paraId="42297C30"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55" w:type="dxa"/>
            <w:tcBorders>
              <w:top w:val="nil"/>
              <w:left w:val="nil"/>
              <w:bottom w:val="single" w:sz="4" w:space="0" w:color="auto"/>
              <w:right w:val="nil"/>
            </w:tcBorders>
            <w:shd w:val="clear" w:color="000000" w:fill="000000"/>
            <w:noWrap/>
            <w:vAlign w:val="bottom"/>
            <w:hideMark/>
          </w:tcPr>
          <w:p w14:paraId="4C8E084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757" w:type="dxa"/>
            <w:tcBorders>
              <w:top w:val="nil"/>
              <w:left w:val="nil"/>
              <w:bottom w:val="single" w:sz="4" w:space="0" w:color="auto"/>
              <w:right w:val="nil"/>
            </w:tcBorders>
            <w:shd w:val="clear" w:color="000000" w:fill="000000"/>
            <w:noWrap/>
            <w:vAlign w:val="bottom"/>
            <w:hideMark/>
          </w:tcPr>
          <w:p w14:paraId="7FE0EA5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26" w:type="dxa"/>
            <w:tcBorders>
              <w:top w:val="nil"/>
              <w:left w:val="nil"/>
              <w:bottom w:val="single" w:sz="4" w:space="0" w:color="auto"/>
              <w:right w:val="nil"/>
            </w:tcBorders>
            <w:shd w:val="clear" w:color="000000" w:fill="000000"/>
            <w:noWrap/>
            <w:vAlign w:val="bottom"/>
            <w:hideMark/>
          </w:tcPr>
          <w:p w14:paraId="728A847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920" w:type="dxa"/>
            <w:tcBorders>
              <w:top w:val="nil"/>
              <w:left w:val="nil"/>
              <w:bottom w:val="single" w:sz="4" w:space="0" w:color="auto"/>
              <w:right w:val="nil"/>
            </w:tcBorders>
            <w:shd w:val="clear" w:color="000000" w:fill="000000"/>
            <w:noWrap/>
            <w:vAlign w:val="bottom"/>
            <w:hideMark/>
          </w:tcPr>
          <w:p w14:paraId="47097F8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920" w:type="dxa"/>
            <w:tcBorders>
              <w:top w:val="nil"/>
              <w:left w:val="nil"/>
              <w:bottom w:val="single" w:sz="4" w:space="0" w:color="auto"/>
              <w:right w:val="nil"/>
            </w:tcBorders>
            <w:shd w:val="clear" w:color="000000" w:fill="000000"/>
            <w:noWrap/>
            <w:vAlign w:val="bottom"/>
            <w:hideMark/>
          </w:tcPr>
          <w:p w14:paraId="526D7EC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41" w:type="dxa"/>
            <w:tcBorders>
              <w:top w:val="nil"/>
              <w:left w:val="nil"/>
              <w:bottom w:val="single" w:sz="4" w:space="0" w:color="auto"/>
              <w:right w:val="nil"/>
            </w:tcBorders>
            <w:shd w:val="clear" w:color="000000" w:fill="000000"/>
            <w:noWrap/>
            <w:vAlign w:val="bottom"/>
            <w:hideMark/>
          </w:tcPr>
          <w:p w14:paraId="4DA6AA35"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50F347A4" w14:textId="77777777" w:rsidTr="00711D08">
        <w:trPr>
          <w:trHeight w:val="591"/>
        </w:trPr>
        <w:tc>
          <w:tcPr>
            <w:tcW w:w="2524" w:type="dxa"/>
            <w:tcBorders>
              <w:top w:val="nil"/>
              <w:left w:val="nil"/>
              <w:bottom w:val="nil"/>
              <w:right w:val="nil"/>
            </w:tcBorders>
            <w:shd w:val="clear" w:color="auto" w:fill="auto"/>
            <w:noWrap/>
            <w:vAlign w:val="center"/>
            <w:hideMark/>
          </w:tcPr>
          <w:p w14:paraId="62F50E2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1355" w:type="dxa"/>
            <w:tcBorders>
              <w:top w:val="nil"/>
              <w:left w:val="nil"/>
              <w:bottom w:val="nil"/>
              <w:right w:val="nil"/>
            </w:tcBorders>
            <w:shd w:val="clear" w:color="auto" w:fill="auto"/>
            <w:noWrap/>
            <w:vAlign w:val="center"/>
          </w:tcPr>
          <w:p w14:paraId="6E2DE2C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584</w:t>
            </w:r>
          </w:p>
        </w:tc>
        <w:tc>
          <w:tcPr>
            <w:tcW w:w="757" w:type="dxa"/>
            <w:tcBorders>
              <w:top w:val="nil"/>
              <w:left w:val="nil"/>
              <w:bottom w:val="nil"/>
              <w:right w:val="nil"/>
            </w:tcBorders>
            <w:shd w:val="clear" w:color="000000" w:fill="E7E6E6"/>
            <w:noWrap/>
            <w:vAlign w:val="center"/>
            <w:hideMark/>
          </w:tcPr>
          <w:p w14:paraId="71621E5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582</w:t>
            </w:r>
          </w:p>
        </w:tc>
        <w:tc>
          <w:tcPr>
            <w:tcW w:w="1226" w:type="dxa"/>
            <w:tcBorders>
              <w:top w:val="nil"/>
              <w:left w:val="nil"/>
              <w:bottom w:val="nil"/>
              <w:right w:val="nil"/>
            </w:tcBorders>
            <w:shd w:val="clear" w:color="auto" w:fill="auto"/>
            <w:noWrap/>
            <w:vAlign w:val="center"/>
          </w:tcPr>
          <w:p w14:paraId="5C321FC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(573)</w:t>
            </w:r>
          </w:p>
        </w:tc>
        <w:tc>
          <w:tcPr>
            <w:tcW w:w="920" w:type="dxa"/>
            <w:tcBorders>
              <w:top w:val="nil"/>
              <w:left w:val="nil"/>
              <w:bottom w:val="nil"/>
              <w:right w:val="nil"/>
            </w:tcBorders>
            <w:shd w:val="clear" w:color="000000" w:fill="E7E6E6"/>
            <w:noWrap/>
            <w:vAlign w:val="center"/>
            <w:hideMark/>
          </w:tcPr>
          <w:p w14:paraId="09FB10F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(552)</w:t>
            </w:r>
          </w:p>
        </w:tc>
        <w:tc>
          <w:tcPr>
            <w:tcW w:w="920" w:type="dxa"/>
            <w:tcBorders>
              <w:top w:val="nil"/>
              <w:left w:val="nil"/>
              <w:bottom w:val="nil"/>
              <w:right w:val="nil"/>
            </w:tcBorders>
            <w:shd w:val="clear" w:color="auto" w:fill="auto"/>
            <w:noWrap/>
            <w:vAlign w:val="center"/>
          </w:tcPr>
          <w:p w14:paraId="7FC648C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w:t>
            </w:r>
          </w:p>
        </w:tc>
        <w:tc>
          <w:tcPr>
            <w:tcW w:w="1141" w:type="dxa"/>
            <w:tcBorders>
              <w:top w:val="nil"/>
              <w:left w:val="nil"/>
              <w:bottom w:val="nil"/>
              <w:right w:val="nil"/>
            </w:tcBorders>
            <w:shd w:val="clear" w:color="000000" w:fill="E7E6E6"/>
            <w:noWrap/>
            <w:vAlign w:val="center"/>
            <w:hideMark/>
          </w:tcPr>
          <w:p w14:paraId="74E359A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w:t>
            </w:r>
          </w:p>
        </w:tc>
      </w:tr>
      <w:tr w:rsidR="005C5CED" w:rsidRPr="005C5CED" w14:paraId="257E6D13" w14:textId="77777777" w:rsidTr="00711D08">
        <w:trPr>
          <w:trHeight w:val="591"/>
        </w:trPr>
        <w:tc>
          <w:tcPr>
            <w:tcW w:w="2524" w:type="dxa"/>
            <w:tcBorders>
              <w:top w:val="nil"/>
              <w:left w:val="nil"/>
              <w:bottom w:val="nil"/>
              <w:right w:val="nil"/>
            </w:tcBorders>
            <w:shd w:val="clear" w:color="auto" w:fill="auto"/>
            <w:noWrap/>
            <w:vAlign w:val="center"/>
            <w:hideMark/>
          </w:tcPr>
          <w:p w14:paraId="20102EA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1355" w:type="dxa"/>
            <w:tcBorders>
              <w:top w:val="nil"/>
              <w:left w:val="nil"/>
              <w:bottom w:val="nil"/>
              <w:right w:val="nil"/>
            </w:tcBorders>
            <w:shd w:val="clear" w:color="auto" w:fill="auto"/>
            <w:noWrap/>
            <w:vAlign w:val="center"/>
          </w:tcPr>
          <w:p w14:paraId="27DB835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1,302</w:t>
            </w:r>
          </w:p>
        </w:tc>
        <w:tc>
          <w:tcPr>
            <w:tcW w:w="757" w:type="dxa"/>
            <w:tcBorders>
              <w:top w:val="nil"/>
              <w:left w:val="nil"/>
              <w:bottom w:val="nil"/>
              <w:right w:val="nil"/>
            </w:tcBorders>
            <w:shd w:val="clear" w:color="000000" w:fill="E7E6E6"/>
            <w:noWrap/>
            <w:vAlign w:val="center"/>
            <w:hideMark/>
          </w:tcPr>
          <w:p w14:paraId="2B4B121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1,246</w:t>
            </w:r>
          </w:p>
        </w:tc>
        <w:tc>
          <w:tcPr>
            <w:tcW w:w="1226" w:type="dxa"/>
            <w:tcBorders>
              <w:top w:val="nil"/>
              <w:left w:val="nil"/>
              <w:bottom w:val="nil"/>
              <w:right w:val="nil"/>
            </w:tcBorders>
            <w:shd w:val="clear" w:color="auto" w:fill="auto"/>
            <w:noWrap/>
            <w:vAlign w:val="center"/>
          </w:tcPr>
          <w:p w14:paraId="7A02335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(1,186)</w:t>
            </w:r>
          </w:p>
        </w:tc>
        <w:tc>
          <w:tcPr>
            <w:tcW w:w="920" w:type="dxa"/>
            <w:tcBorders>
              <w:top w:val="nil"/>
              <w:left w:val="nil"/>
              <w:bottom w:val="nil"/>
              <w:right w:val="nil"/>
            </w:tcBorders>
            <w:shd w:val="clear" w:color="000000" w:fill="E7E6E6"/>
            <w:noWrap/>
            <w:vAlign w:val="center"/>
            <w:hideMark/>
          </w:tcPr>
          <w:p w14:paraId="41780D1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(1,088)</w:t>
            </w:r>
          </w:p>
        </w:tc>
        <w:tc>
          <w:tcPr>
            <w:tcW w:w="920" w:type="dxa"/>
            <w:tcBorders>
              <w:top w:val="nil"/>
              <w:left w:val="nil"/>
              <w:bottom w:val="nil"/>
              <w:right w:val="nil"/>
            </w:tcBorders>
            <w:shd w:val="clear" w:color="auto" w:fill="auto"/>
            <w:noWrap/>
            <w:vAlign w:val="center"/>
          </w:tcPr>
          <w:p w14:paraId="359ACA4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116</w:t>
            </w:r>
          </w:p>
        </w:tc>
        <w:tc>
          <w:tcPr>
            <w:tcW w:w="1141" w:type="dxa"/>
            <w:tcBorders>
              <w:top w:val="nil"/>
              <w:left w:val="nil"/>
              <w:bottom w:val="nil"/>
              <w:right w:val="nil"/>
            </w:tcBorders>
            <w:shd w:val="clear" w:color="000000" w:fill="E7E6E6"/>
            <w:noWrap/>
            <w:vAlign w:val="center"/>
            <w:hideMark/>
          </w:tcPr>
          <w:p w14:paraId="0E4FC67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158</w:t>
            </w:r>
          </w:p>
        </w:tc>
      </w:tr>
      <w:tr w:rsidR="005C5CED" w:rsidRPr="005C5CED" w14:paraId="414F1A92" w14:textId="77777777" w:rsidTr="00711D08">
        <w:trPr>
          <w:trHeight w:val="591"/>
        </w:trPr>
        <w:tc>
          <w:tcPr>
            <w:tcW w:w="2524" w:type="dxa"/>
            <w:tcBorders>
              <w:top w:val="nil"/>
              <w:left w:val="nil"/>
              <w:bottom w:val="nil"/>
              <w:right w:val="nil"/>
            </w:tcBorders>
            <w:shd w:val="clear" w:color="auto" w:fill="auto"/>
            <w:noWrap/>
            <w:vAlign w:val="center"/>
            <w:hideMark/>
          </w:tcPr>
          <w:p w14:paraId="7E2B2633" w14:textId="77777777" w:rsidR="005C5CED" w:rsidRPr="005C5CED" w:rsidRDefault="005C5CED" w:rsidP="005C5CED">
            <w:pPr>
              <w:spacing w:after="0" w:line="240" w:lineRule="auto"/>
              <w:rPr>
                <w:rFonts w:eastAsia="Times New Roman" w:cs="Arial"/>
                <w:color w:val="auto"/>
                <w:sz w:val="16"/>
                <w:szCs w:val="16"/>
                <w:lang w:eastAsia="en-AU"/>
              </w:rPr>
            </w:pPr>
            <w:r w:rsidRPr="005C5CED" w:rsidDel="007B4755">
              <w:rPr>
                <w:rFonts w:eastAsia="Times New Roman" w:cs="Arial"/>
                <w:color w:val="auto"/>
                <w:sz w:val="16"/>
                <w:szCs w:val="16"/>
                <w:lang w:eastAsia="en-AU"/>
              </w:rPr>
              <w:t xml:space="preserve">Buildings at fair value (right-of-use asset) </w:t>
            </w:r>
          </w:p>
        </w:tc>
        <w:tc>
          <w:tcPr>
            <w:tcW w:w="1355" w:type="dxa"/>
            <w:tcBorders>
              <w:top w:val="nil"/>
              <w:left w:val="nil"/>
              <w:bottom w:val="nil"/>
              <w:right w:val="nil"/>
            </w:tcBorders>
            <w:shd w:val="clear" w:color="auto" w:fill="auto"/>
            <w:noWrap/>
            <w:vAlign w:val="center"/>
          </w:tcPr>
          <w:p w14:paraId="58656A7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9,332</w:t>
            </w:r>
          </w:p>
        </w:tc>
        <w:tc>
          <w:tcPr>
            <w:tcW w:w="757" w:type="dxa"/>
            <w:tcBorders>
              <w:top w:val="nil"/>
              <w:left w:val="nil"/>
              <w:bottom w:val="nil"/>
              <w:right w:val="nil"/>
            </w:tcBorders>
            <w:shd w:val="clear" w:color="000000" w:fill="E7E6E6"/>
            <w:noWrap/>
            <w:vAlign w:val="center"/>
            <w:hideMark/>
          </w:tcPr>
          <w:p w14:paraId="45B30FE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sidDel="007B4755">
              <w:rPr>
                <w:rFonts w:eastAsia="Times New Roman" w:cs="Arial"/>
                <w:color w:val="auto"/>
                <w:sz w:val="16"/>
                <w:szCs w:val="16"/>
                <w:lang w:eastAsia="en-AU"/>
              </w:rPr>
              <w:t>21,309</w:t>
            </w:r>
          </w:p>
        </w:tc>
        <w:tc>
          <w:tcPr>
            <w:tcW w:w="1226" w:type="dxa"/>
            <w:tcBorders>
              <w:top w:val="nil"/>
              <w:left w:val="nil"/>
              <w:bottom w:val="nil"/>
              <w:right w:val="nil"/>
            </w:tcBorders>
            <w:shd w:val="clear" w:color="auto" w:fill="auto"/>
            <w:noWrap/>
            <w:vAlign w:val="center"/>
          </w:tcPr>
          <w:p w14:paraId="0176109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(5,327)</w:t>
            </w:r>
          </w:p>
        </w:tc>
        <w:tc>
          <w:tcPr>
            <w:tcW w:w="920" w:type="dxa"/>
            <w:tcBorders>
              <w:top w:val="nil"/>
              <w:left w:val="nil"/>
              <w:bottom w:val="nil"/>
              <w:right w:val="nil"/>
            </w:tcBorders>
            <w:shd w:val="clear" w:color="000000" w:fill="E7E6E6"/>
            <w:noWrap/>
            <w:vAlign w:val="center"/>
            <w:hideMark/>
          </w:tcPr>
          <w:p w14:paraId="296784D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sidDel="007B4755">
              <w:rPr>
                <w:rFonts w:eastAsia="Times New Roman" w:cs="Arial"/>
                <w:color w:val="auto"/>
                <w:sz w:val="16"/>
                <w:szCs w:val="16"/>
                <w:lang w:eastAsia="en-AU"/>
              </w:rPr>
              <w:t>(3,390)</w:t>
            </w:r>
          </w:p>
        </w:tc>
        <w:tc>
          <w:tcPr>
            <w:tcW w:w="920" w:type="dxa"/>
            <w:tcBorders>
              <w:top w:val="nil"/>
              <w:left w:val="nil"/>
              <w:bottom w:val="nil"/>
              <w:right w:val="nil"/>
            </w:tcBorders>
            <w:shd w:val="clear" w:color="auto" w:fill="auto"/>
            <w:noWrap/>
            <w:vAlign w:val="center"/>
          </w:tcPr>
          <w:p w14:paraId="035FFBF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4,005</w:t>
            </w:r>
          </w:p>
        </w:tc>
        <w:tc>
          <w:tcPr>
            <w:tcW w:w="1141" w:type="dxa"/>
            <w:tcBorders>
              <w:top w:val="nil"/>
              <w:left w:val="nil"/>
              <w:bottom w:val="nil"/>
              <w:right w:val="nil"/>
            </w:tcBorders>
            <w:shd w:val="clear" w:color="000000" w:fill="E7E6E6"/>
            <w:noWrap/>
            <w:vAlign w:val="center"/>
            <w:hideMark/>
          </w:tcPr>
          <w:p w14:paraId="1452A34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sidDel="007B4755">
              <w:rPr>
                <w:rFonts w:eastAsia="Times New Roman" w:cs="Arial"/>
                <w:color w:val="auto"/>
                <w:sz w:val="16"/>
                <w:szCs w:val="16"/>
                <w:lang w:eastAsia="en-AU"/>
              </w:rPr>
              <w:t>17,919</w:t>
            </w:r>
          </w:p>
        </w:tc>
      </w:tr>
      <w:tr w:rsidR="005C5CED" w:rsidRPr="005C5CED" w14:paraId="0A82AE55" w14:textId="77777777" w:rsidTr="00711D08">
        <w:trPr>
          <w:trHeight w:val="591"/>
        </w:trPr>
        <w:tc>
          <w:tcPr>
            <w:tcW w:w="2524" w:type="dxa"/>
            <w:tcBorders>
              <w:top w:val="nil"/>
              <w:left w:val="nil"/>
              <w:bottom w:val="single" w:sz="4" w:space="0" w:color="auto"/>
              <w:right w:val="nil"/>
            </w:tcBorders>
            <w:shd w:val="clear" w:color="auto" w:fill="auto"/>
            <w:noWrap/>
            <w:vAlign w:val="center"/>
            <w:hideMark/>
          </w:tcPr>
          <w:p w14:paraId="12BB3C9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Leasehold improvements</w:t>
            </w:r>
          </w:p>
        </w:tc>
        <w:tc>
          <w:tcPr>
            <w:tcW w:w="1355" w:type="dxa"/>
            <w:tcBorders>
              <w:top w:val="nil"/>
              <w:left w:val="nil"/>
              <w:bottom w:val="single" w:sz="4" w:space="0" w:color="auto"/>
              <w:right w:val="nil"/>
            </w:tcBorders>
            <w:shd w:val="clear" w:color="auto" w:fill="auto"/>
            <w:noWrap/>
            <w:vAlign w:val="center"/>
          </w:tcPr>
          <w:p w14:paraId="340FBA5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283</w:t>
            </w:r>
          </w:p>
        </w:tc>
        <w:tc>
          <w:tcPr>
            <w:tcW w:w="757" w:type="dxa"/>
            <w:tcBorders>
              <w:top w:val="nil"/>
              <w:left w:val="nil"/>
              <w:bottom w:val="single" w:sz="4" w:space="0" w:color="auto"/>
              <w:right w:val="nil"/>
            </w:tcBorders>
            <w:shd w:val="clear" w:color="000000" w:fill="E7E6E6"/>
            <w:noWrap/>
            <w:vAlign w:val="center"/>
            <w:hideMark/>
          </w:tcPr>
          <w:p w14:paraId="5A6CFE9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sidDel="007B4755">
              <w:rPr>
                <w:rFonts w:eastAsia="Times New Roman" w:cs="Arial"/>
                <w:color w:val="auto"/>
                <w:sz w:val="16"/>
                <w:szCs w:val="16"/>
                <w:lang w:eastAsia="en-AU"/>
              </w:rPr>
              <w:t>283</w:t>
            </w:r>
          </w:p>
        </w:tc>
        <w:tc>
          <w:tcPr>
            <w:tcW w:w="1226" w:type="dxa"/>
            <w:tcBorders>
              <w:top w:val="nil"/>
              <w:left w:val="nil"/>
              <w:bottom w:val="single" w:sz="4" w:space="0" w:color="auto"/>
              <w:right w:val="nil"/>
            </w:tcBorders>
            <w:shd w:val="clear" w:color="auto" w:fill="auto"/>
            <w:noWrap/>
            <w:vAlign w:val="center"/>
          </w:tcPr>
          <w:p w14:paraId="226EBB6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(99)</w:t>
            </w:r>
          </w:p>
        </w:tc>
        <w:tc>
          <w:tcPr>
            <w:tcW w:w="920" w:type="dxa"/>
            <w:tcBorders>
              <w:top w:val="nil"/>
              <w:left w:val="nil"/>
              <w:bottom w:val="single" w:sz="4" w:space="0" w:color="auto"/>
              <w:right w:val="nil"/>
            </w:tcBorders>
            <w:shd w:val="clear" w:color="000000" w:fill="E7E6E6"/>
            <w:noWrap/>
            <w:vAlign w:val="center"/>
            <w:hideMark/>
          </w:tcPr>
          <w:p w14:paraId="0D18E14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sidDel="007B4755">
              <w:rPr>
                <w:rFonts w:eastAsia="Times New Roman" w:cs="Arial"/>
                <w:color w:val="auto"/>
                <w:sz w:val="16"/>
                <w:szCs w:val="16"/>
                <w:lang w:eastAsia="en-AU"/>
              </w:rPr>
              <w:t>(35)</w:t>
            </w:r>
          </w:p>
        </w:tc>
        <w:tc>
          <w:tcPr>
            <w:tcW w:w="920" w:type="dxa"/>
            <w:tcBorders>
              <w:top w:val="nil"/>
              <w:left w:val="nil"/>
              <w:bottom w:val="single" w:sz="4" w:space="0" w:color="auto"/>
              <w:right w:val="nil"/>
            </w:tcBorders>
            <w:shd w:val="clear" w:color="auto" w:fill="auto"/>
            <w:noWrap/>
            <w:vAlign w:val="center"/>
          </w:tcPr>
          <w:p w14:paraId="0E87E9E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184</w:t>
            </w:r>
          </w:p>
        </w:tc>
        <w:tc>
          <w:tcPr>
            <w:tcW w:w="1141" w:type="dxa"/>
            <w:tcBorders>
              <w:top w:val="nil"/>
              <w:left w:val="nil"/>
              <w:bottom w:val="single" w:sz="4" w:space="0" w:color="auto"/>
              <w:right w:val="nil"/>
            </w:tcBorders>
            <w:shd w:val="clear" w:color="000000" w:fill="E7E6E6"/>
            <w:noWrap/>
            <w:vAlign w:val="center"/>
            <w:hideMark/>
          </w:tcPr>
          <w:p w14:paraId="0F249C0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sidDel="007B4755">
              <w:rPr>
                <w:rFonts w:eastAsia="Times New Roman" w:cs="Arial"/>
                <w:color w:val="auto"/>
                <w:sz w:val="16"/>
                <w:szCs w:val="16"/>
                <w:lang w:eastAsia="en-AU"/>
              </w:rPr>
              <w:t>248</w:t>
            </w:r>
          </w:p>
        </w:tc>
      </w:tr>
      <w:tr w:rsidR="005C5CED" w:rsidRPr="005C5CED" w:rsidDel="00E136D5" w14:paraId="771856A5" w14:textId="77777777" w:rsidTr="00711D08">
        <w:trPr>
          <w:trHeight w:val="591"/>
        </w:trPr>
        <w:tc>
          <w:tcPr>
            <w:tcW w:w="2524" w:type="dxa"/>
            <w:tcBorders>
              <w:top w:val="nil"/>
              <w:left w:val="nil"/>
              <w:bottom w:val="single" w:sz="4" w:space="0" w:color="auto"/>
              <w:right w:val="nil"/>
            </w:tcBorders>
            <w:shd w:val="clear" w:color="auto" w:fill="auto"/>
            <w:noWrap/>
            <w:vAlign w:val="center"/>
          </w:tcPr>
          <w:p w14:paraId="5266BB09" w14:textId="77777777" w:rsidR="005C5CED" w:rsidRPr="005C5CED" w:rsidDel="00E136D5" w:rsidRDefault="005C5CED" w:rsidP="005C5CED">
            <w:pPr>
              <w:spacing w:after="0" w:line="240" w:lineRule="auto"/>
              <w:rPr>
                <w:rFonts w:eastAsia="Times New Roman" w:cs="Arial"/>
                <w:color w:val="auto"/>
                <w:sz w:val="16"/>
                <w:szCs w:val="16"/>
                <w:lang w:eastAsia="en-AU"/>
              </w:rPr>
            </w:pPr>
            <w:r w:rsidRPr="005C5CED" w:rsidDel="0080031D">
              <w:rPr>
                <w:rFonts w:eastAsia="Times New Roman" w:cs="Arial"/>
                <w:color w:val="auto"/>
                <w:sz w:val="16"/>
                <w:szCs w:val="16"/>
                <w:lang w:eastAsia="en-AU"/>
              </w:rPr>
              <w:t> </w:t>
            </w:r>
            <w:r w:rsidRPr="005C5CED" w:rsidDel="0080031D">
              <w:rPr>
                <w:rFonts w:eastAsia="Times New Roman" w:cs="Arial"/>
                <w:b/>
                <w:bCs/>
                <w:color w:val="auto"/>
                <w:sz w:val="16"/>
                <w:szCs w:val="16"/>
                <w:lang w:eastAsia="en-AU"/>
              </w:rPr>
              <w:t xml:space="preserve"> Total property, plant, and equipment</w:t>
            </w:r>
          </w:p>
        </w:tc>
        <w:tc>
          <w:tcPr>
            <w:tcW w:w="1355" w:type="dxa"/>
            <w:tcBorders>
              <w:top w:val="nil"/>
              <w:left w:val="nil"/>
              <w:bottom w:val="single" w:sz="4" w:space="0" w:color="auto"/>
              <w:right w:val="nil"/>
            </w:tcBorders>
            <w:shd w:val="clear" w:color="auto" w:fill="auto"/>
            <w:noWrap/>
            <w:vAlign w:val="center"/>
          </w:tcPr>
          <w:p w14:paraId="4A221F09" w14:textId="77777777" w:rsidR="005C5CED" w:rsidRPr="005C5CED" w:rsidDel="00E136D5"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11,501</w:t>
            </w:r>
          </w:p>
        </w:tc>
        <w:tc>
          <w:tcPr>
            <w:tcW w:w="757" w:type="dxa"/>
            <w:tcBorders>
              <w:top w:val="nil"/>
              <w:left w:val="nil"/>
              <w:bottom w:val="single" w:sz="4" w:space="0" w:color="auto"/>
              <w:right w:val="nil"/>
            </w:tcBorders>
            <w:shd w:val="clear" w:color="000000" w:fill="E7E6E6"/>
            <w:noWrap/>
            <w:vAlign w:val="center"/>
          </w:tcPr>
          <w:p w14:paraId="1A0D8326" w14:textId="77777777" w:rsidR="005C5CED" w:rsidRPr="005C5CED" w:rsidDel="00E136D5" w:rsidRDefault="005C5CED" w:rsidP="005C5CED">
            <w:pPr>
              <w:spacing w:after="0" w:line="240" w:lineRule="auto"/>
              <w:jc w:val="right"/>
              <w:rPr>
                <w:rFonts w:eastAsia="Times New Roman" w:cs="Arial"/>
                <w:b/>
                <w:bCs/>
                <w:color w:val="auto"/>
                <w:sz w:val="16"/>
                <w:szCs w:val="16"/>
                <w:lang w:eastAsia="en-AU"/>
              </w:rPr>
            </w:pPr>
            <w:r w:rsidRPr="005C5CED" w:rsidDel="0080031D">
              <w:rPr>
                <w:rFonts w:eastAsia="Times New Roman" w:cs="Arial"/>
                <w:b/>
                <w:bCs/>
                <w:color w:val="auto"/>
                <w:sz w:val="16"/>
                <w:szCs w:val="16"/>
                <w:lang w:eastAsia="en-AU"/>
              </w:rPr>
              <w:t>23,420</w:t>
            </w:r>
          </w:p>
        </w:tc>
        <w:tc>
          <w:tcPr>
            <w:tcW w:w="1226" w:type="dxa"/>
            <w:tcBorders>
              <w:top w:val="nil"/>
              <w:left w:val="nil"/>
              <w:bottom w:val="single" w:sz="4" w:space="0" w:color="auto"/>
              <w:right w:val="nil"/>
            </w:tcBorders>
            <w:shd w:val="clear" w:color="auto" w:fill="auto"/>
            <w:noWrap/>
            <w:vAlign w:val="center"/>
          </w:tcPr>
          <w:p w14:paraId="136D0B58" w14:textId="77777777" w:rsidR="005C5CED" w:rsidRPr="005C5CED" w:rsidDel="00E136D5"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(7,185)</w:t>
            </w:r>
          </w:p>
        </w:tc>
        <w:tc>
          <w:tcPr>
            <w:tcW w:w="920" w:type="dxa"/>
            <w:tcBorders>
              <w:top w:val="nil"/>
              <w:left w:val="nil"/>
              <w:bottom w:val="single" w:sz="4" w:space="0" w:color="auto"/>
              <w:right w:val="nil"/>
            </w:tcBorders>
            <w:shd w:val="clear" w:color="000000" w:fill="E7E6E6"/>
            <w:noWrap/>
            <w:vAlign w:val="center"/>
          </w:tcPr>
          <w:p w14:paraId="5958EDD5" w14:textId="77777777" w:rsidR="005C5CED" w:rsidRPr="005C5CED" w:rsidDel="00E136D5" w:rsidRDefault="005C5CED" w:rsidP="005C5CED">
            <w:pPr>
              <w:spacing w:after="0" w:line="240" w:lineRule="auto"/>
              <w:jc w:val="right"/>
              <w:rPr>
                <w:rFonts w:eastAsia="Times New Roman" w:cs="Arial"/>
                <w:b/>
                <w:bCs/>
                <w:color w:val="auto"/>
                <w:sz w:val="16"/>
                <w:szCs w:val="16"/>
                <w:lang w:eastAsia="en-AU"/>
              </w:rPr>
            </w:pPr>
            <w:r w:rsidRPr="005C5CED" w:rsidDel="0080031D">
              <w:rPr>
                <w:rFonts w:eastAsia="Times New Roman" w:cs="Arial"/>
                <w:b/>
                <w:bCs/>
                <w:color w:val="auto"/>
                <w:sz w:val="16"/>
                <w:szCs w:val="16"/>
                <w:lang w:eastAsia="en-AU"/>
              </w:rPr>
              <w:t>(5,065)</w:t>
            </w:r>
          </w:p>
        </w:tc>
        <w:tc>
          <w:tcPr>
            <w:tcW w:w="920" w:type="dxa"/>
            <w:tcBorders>
              <w:top w:val="nil"/>
              <w:left w:val="nil"/>
              <w:bottom w:val="single" w:sz="4" w:space="0" w:color="auto"/>
              <w:right w:val="nil"/>
            </w:tcBorders>
            <w:shd w:val="clear" w:color="auto" w:fill="auto"/>
            <w:noWrap/>
            <w:vAlign w:val="center"/>
          </w:tcPr>
          <w:p w14:paraId="43A8ED6E" w14:textId="77777777" w:rsidR="005C5CED" w:rsidRPr="005C5CED" w:rsidDel="00E136D5"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4,316</w:t>
            </w:r>
          </w:p>
        </w:tc>
        <w:tc>
          <w:tcPr>
            <w:tcW w:w="1141" w:type="dxa"/>
            <w:tcBorders>
              <w:top w:val="nil"/>
              <w:left w:val="nil"/>
              <w:bottom w:val="single" w:sz="4" w:space="0" w:color="auto"/>
              <w:right w:val="nil"/>
            </w:tcBorders>
            <w:shd w:val="clear" w:color="000000" w:fill="E7E6E6"/>
            <w:noWrap/>
            <w:vAlign w:val="center"/>
          </w:tcPr>
          <w:p w14:paraId="42A961C3" w14:textId="77777777" w:rsidR="005C5CED" w:rsidRPr="005C5CED" w:rsidDel="00E136D5" w:rsidRDefault="005C5CED" w:rsidP="005C5CED">
            <w:pPr>
              <w:spacing w:after="0" w:line="240" w:lineRule="auto"/>
              <w:jc w:val="right"/>
              <w:rPr>
                <w:rFonts w:eastAsia="Times New Roman" w:cs="Arial"/>
                <w:b/>
                <w:bCs/>
                <w:color w:val="auto"/>
                <w:sz w:val="16"/>
                <w:szCs w:val="16"/>
                <w:lang w:eastAsia="en-AU"/>
              </w:rPr>
            </w:pPr>
            <w:r w:rsidRPr="005C5CED" w:rsidDel="0080031D">
              <w:rPr>
                <w:rFonts w:eastAsia="Times New Roman" w:cs="Arial"/>
                <w:b/>
                <w:bCs/>
                <w:color w:val="auto"/>
                <w:sz w:val="16"/>
                <w:szCs w:val="16"/>
                <w:lang w:eastAsia="en-AU"/>
              </w:rPr>
              <w:t>18,355</w:t>
            </w:r>
          </w:p>
        </w:tc>
      </w:tr>
    </w:tbl>
    <w:p w14:paraId="7BC0EBDA" w14:textId="77777777" w:rsidR="005C5CED" w:rsidRPr="005C5CED" w:rsidRDefault="005C5CED" w:rsidP="005C5CED">
      <w:pPr>
        <w:keepNext/>
        <w:keepLines/>
        <w:spacing w:before="200" w:after="40" w:line="259" w:lineRule="auto"/>
        <w:outlineLvl w:val="4"/>
        <w:rPr>
          <w:rFonts w:eastAsia="Calibri" w:cs="Arial"/>
          <w:color w:val="auto"/>
        </w:rPr>
      </w:pPr>
      <w:r w:rsidRPr="005C5CED">
        <w:rPr>
          <w:rFonts w:eastAsia="Yu Gothic Light" w:cs="SegoeUI"/>
          <w:b/>
          <w:bCs/>
          <w:color w:val="595959"/>
        </w:rPr>
        <w:t xml:space="preserve">Initial recognition: </w:t>
      </w:r>
      <w:r w:rsidRPr="005C5CED">
        <w:rPr>
          <w:rFonts w:eastAsia="Calibri" w:cs="Arial"/>
          <w:color w:val="auto"/>
        </w:rPr>
        <w:t>Items of plant and equipment are measured initially at cost and subsequently revalued at fair value less accumulated depreciation and impairment.</w:t>
      </w:r>
    </w:p>
    <w:p w14:paraId="2F0CBCCE" w14:textId="2A730F2E" w:rsidR="005C5CED" w:rsidRPr="005C5CED" w:rsidRDefault="005C5CED" w:rsidP="00711D08">
      <w:pPr>
        <w:keepNext/>
        <w:keepLines/>
        <w:spacing w:before="200" w:after="40" w:line="259" w:lineRule="auto"/>
        <w:outlineLvl w:val="4"/>
        <w:rPr>
          <w:rFonts w:eastAsia="Calibri" w:cs="Arial"/>
          <w:color w:val="auto"/>
        </w:rPr>
      </w:pPr>
      <w:r w:rsidRPr="005C5CED">
        <w:rPr>
          <w:rFonts w:eastAsia="Calibri" w:cs="Arial"/>
          <w:color w:val="auto"/>
        </w:rPr>
        <w:t>The cost of a leasehold improvement is capitalised and depreciated over the shorter of the remaining term of the lease or their estimated useful lives.</w:t>
      </w:r>
    </w:p>
    <w:p w14:paraId="16B3E4D5" w14:textId="77777777" w:rsidR="005C5CED" w:rsidRPr="005C5CED" w:rsidRDefault="005C5CED" w:rsidP="005C5CED">
      <w:pPr>
        <w:keepNext/>
        <w:keepLines/>
        <w:spacing w:before="200" w:after="40" w:line="259" w:lineRule="auto"/>
        <w:outlineLvl w:val="4"/>
        <w:rPr>
          <w:rFonts w:eastAsia="Calibri" w:cs="Arial"/>
          <w:color w:val="auto"/>
        </w:rPr>
      </w:pPr>
      <w:r w:rsidRPr="005C5CED">
        <w:rPr>
          <w:rFonts w:eastAsia="Yu Gothic Light" w:cs="SegoeUI"/>
          <w:b/>
          <w:bCs/>
          <w:color w:val="595959"/>
        </w:rPr>
        <w:t xml:space="preserve">Subsequent measurement: </w:t>
      </w:r>
      <w:r w:rsidRPr="005C5CED">
        <w:rPr>
          <w:rFonts w:eastAsia="Calibri" w:cs="Arial"/>
          <w:color w:val="auto"/>
        </w:rPr>
        <w:t>Plant and equipment are subsequently measured at fair value less accumulated depreciation and impairment. Fair value is determined with regards to the asset’s highest and best use (considering legal or physical restrictions imposed on the asset, public announcements or commitments made in relation to the intended use of the asset) and is summarised below by asset category.</w:t>
      </w:r>
    </w:p>
    <w:p w14:paraId="0E5E897D" w14:textId="77777777" w:rsidR="005C5CED" w:rsidRPr="005C5CED" w:rsidRDefault="005C5CED" w:rsidP="005C5CED">
      <w:pPr>
        <w:keepNext/>
        <w:keepLines/>
        <w:spacing w:before="200" w:after="40" w:line="259" w:lineRule="auto"/>
        <w:outlineLvl w:val="4"/>
        <w:rPr>
          <w:rFonts w:eastAsia="Calibri" w:cs="Arial"/>
          <w:color w:val="auto"/>
        </w:rPr>
      </w:pPr>
      <w:r w:rsidRPr="005C5CED">
        <w:rPr>
          <w:rFonts w:eastAsia="Times New Roman" w:cs="SegoeUI"/>
          <w:b/>
          <w:bCs/>
          <w:color w:val="595959"/>
          <w:lang w:eastAsia="en-AU"/>
        </w:rPr>
        <w:t xml:space="preserve">Right-of-use asset acquired by lessees – initial measurement: </w:t>
      </w:r>
      <w:r w:rsidRPr="005C5CED">
        <w:rPr>
          <w:rFonts w:eastAsia="Calibri" w:cs="Arial"/>
          <w:color w:val="auto"/>
        </w:rPr>
        <w:t>Sustainability Victoria recognises a right-of-use asset and a lease liability at the lease commencement date. The right-of-use asset is initially measured at cost which comprises the initial amount of the lease liability adjusted for:</w:t>
      </w:r>
    </w:p>
    <w:p w14:paraId="5BCD262C" w14:textId="77777777" w:rsidR="005C5CED" w:rsidRPr="005C5CED" w:rsidRDefault="005C5CED" w:rsidP="00196A67">
      <w:pPr>
        <w:numPr>
          <w:ilvl w:val="0"/>
          <w:numId w:val="36"/>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 xml:space="preserve">any lease payments made at or before the commencement date less any lease incentive received plus </w:t>
      </w:r>
    </w:p>
    <w:p w14:paraId="683E54CD" w14:textId="77777777" w:rsidR="005C5CED" w:rsidRPr="005C5CED" w:rsidRDefault="005C5CED" w:rsidP="00196A67">
      <w:pPr>
        <w:numPr>
          <w:ilvl w:val="0"/>
          <w:numId w:val="36"/>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 xml:space="preserve">any initial direct costs incurred and </w:t>
      </w:r>
    </w:p>
    <w:p w14:paraId="3A482F1D" w14:textId="77777777" w:rsidR="005C5CED" w:rsidRPr="005C5CED" w:rsidRDefault="005C5CED" w:rsidP="00196A67">
      <w:pPr>
        <w:numPr>
          <w:ilvl w:val="0"/>
          <w:numId w:val="36"/>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lastRenderedPageBreak/>
        <w:t>an estimate of costs to dismantle and remove the underlying asset or to restore the underlying asset or the site on which it is located.</w:t>
      </w:r>
      <w:r w:rsidRPr="005C5CED">
        <w:rPr>
          <w:rFonts w:eastAsia="Yu Mincho" w:cs="Calibri"/>
          <w:color w:val="auto"/>
          <w:szCs w:val="24"/>
          <w:shd w:val="clear" w:color="auto" w:fill="FFFFFF"/>
        </w:rPr>
        <w:br w:type="page"/>
      </w:r>
    </w:p>
    <w:p w14:paraId="7E4441ED" w14:textId="77777777" w:rsidR="005C5CED" w:rsidRPr="005C5CED" w:rsidRDefault="005C5CED" w:rsidP="005C5CED">
      <w:pPr>
        <w:keepNext/>
        <w:keepLines/>
        <w:spacing w:before="200" w:after="40" w:line="259" w:lineRule="auto"/>
        <w:outlineLvl w:val="4"/>
        <w:rPr>
          <w:rFonts w:eastAsia="Calibri" w:cs="Arial"/>
          <w:color w:val="auto"/>
        </w:rPr>
      </w:pPr>
      <w:r w:rsidRPr="005C5CED">
        <w:rPr>
          <w:rFonts w:eastAsia="Times New Roman" w:cs="SegoeUI"/>
          <w:b/>
          <w:bCs/>
          <w:color w:val="595959"/>
          <w:lang w:eastAsia="en-AU"/>
        </w:rPr>
        <w:lastRenderedPageBreak/>
        <w:t xml:space="preserve">Right-of-use asset – subsequent measurement: </w:t>
      </w:r>
      <w:r w:rsidRPr="005C5CED">
        <w:rPr>
          <w:rFonts w:eastAsia="Calibri" w:cs="Arial"/>
          <w:color w:val="auto"/>
        </w:rPr>
        <w:t>Sustainability Victoria depreciates the right-of-use assets on a straight-line basis from the lease commencement date to the earlier of the end of the useful life of the right-of-use asset or the end of the lease term. The right-of-use assets are measured at fair value. Fair value is determined based on comparable commercial lease arrangements at reporting date. The carrying amount of right-of-use assets may also be adjusted if there is a change in estimates in terms of whether a lease option is likely or unlikely to be exercised.</w:t>
      </w:r>
    </w:p>
    <w:p w14:paraId="1BA20B80" w14:textId="77777777" w:rsidR="005C5CED" w:rsidRPr="005C5CED" w:rsidRDefault="005C5CED" w:rsidP="005C5CED">
      <w:pPr>
        <w:spacing w:after="60" w:line="259" w:lineRule="auto"/>
        <w:rPr>
          <w:rFonts w:eastAsia="Calibri" w:cs="Arial"/>
          <w:color w:val="auto"/>
        </w:rPr>
      </w:pPr>
    </w:p>
    <w:p w14:paraId="329FDE48" w14:textId="77777777" w:rsidR="005C5CED" w:rsidRPr="005C5CED" w:rsidRDefault="005C5CED" w:rsidP="005C5CED">
      <w:pPr>
        <w:keepNext/>
        <w:keepLines/>
        <w:spacing w:before="200" w:after="40" w:line="259" w:lineRule="auto"/>
        <w:outlineLvl w:val="4"/>
        <w:rPr>
          <w:rFonts w:eastAsia="Times New Roman" w:cs="SegoeUI"/>
          <w:b/>
          <w:bCs/>
          <w:color w:val="595959"/>
          <w:lang w:eastAsia="en-AU"/>
        </w:rPr>
      </w:pPr>
      <w:r w:rsidRPr="005C5CED">
        <w:rPr>
          <w:rFonts w:eastAsia="Times New Roman" w:cs="SegoeUI"/>
          <w:b/>
          <w:bCs/>
          <w:color w:val="595959"/>
          <w:lang w:eastAsia="en-AU"/>
        </w:rPr>
        <w:t>Note 4.1.1 Depreciation and amortisation</w:t>
      </w:r>
    </w:p>
    <w:tbl>
      <w:tblPr>
        <w:tblW w:w="6157" w:type="dxa"/>
        <w:tblLook w:val="04A0" w:firstRow="1" w:lastRow="0" w:firstColumn="1" w:lastColumn="0" w:noHBand="0" w:noVBand="1"/>
      </w:tblPr>
      <w:tblGrid>
        <w:gridCol w:w="3498"/>
        <w:gridCol w:w="1888"/>
        <w:gridCol w:w="771"/>
      </w:tblGrid>
      <w:tr w:rsidR="005C5CED" w:rsidRPr="005C5CED" w14:paraId="66014783" w14:textId="77777777" w:rsidTr="0062462F">
        <w:trPr>
          <w:trHeight w:val="225"/>
        </w:trPr>
        <w:tc>
          <w:tcPr>
            <w:tcW w:w="3498" w:type="dxa"/>
            <w:tcBorders>
              <w:top w:val="single" w:sz="4" w:space="0" w:color="auto"/>
              <w:left w:val="nil"/>
              <w:bottom w:val="nil"/>
              <w:right w:val="nil"/>
            </w:tcBorders>
            <w:shd w:val="clear" w:color="000000" w:fill="000000"/>
            <w:noWrap/>
            <w:vAlign w:val="bottom"/>
            <w:hideMark/>
          </w:tcPr>
          <w:p w14:paraId="3A1F2D26"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888" w:type="dxa"/>
            <w:tcBorders>
              <w:top w:val="single" w:sz="4" w:space="0" w:color="auto"/>
              <w:left w:val="nil"/>
              <w:bottom w:val="nil"/>
              <w:right w:val="nil"/>
            </w:tcBorders>
            <w:shd w:val="clear" w:color="000000" w:fill="000000"/>
            <w:noWrap/>
            <w:vAlign w:val="bottom"/>
            <w:hideMark/>
          </w:tcPr>
          <w:p w14:paraId="5913DF1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771" w:type="dxa"/>
            <w:tcBorders>
              <w:top w:val="single" w:sz="4" w:space="0" w:color="auto"/>
              <w:left w:val="nil"/>
              <w:bottom w:val="nil"/>
              <w:right w:val="nil"/>
            </w:tcBorders>
            <w:shd w:val="clear" w:color="000000" w:fill="000000"/>
            <w:noWrap/>
            <w:vAlign w:val="bottom"/>
            <w:hideMark/>
          </w:tcPr>
          <w:p w14:paraId="6A62A92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3A43E0EE" w14:textId="77777777" w:rsidTr="0062462F">
        <w:trPr>
          <w:trHeight w:val="225"/>
        </w:trPr>
        <w:tc>
          <w:tcPr>
            <w:tcW w:w="3498" w:type="dxa"/>
            <w:tcBorders>
              <w:top w:val="nil"/>
              <w:left w:val="nil"/>
              <w:bottom w:val="single" w:sz="4" w:space="0" w:color="auto"/>
              <w:right w:val="nil"/>
            </w:tcBorders>
            <w:shd w:val="clear" w:color="000000" w:fill="000000"/>
            <w:noWrap/>
            <w:vAlign w:val="bottom"/>
            <w:hideMark/>
          </w:tcPr>
          <w:p w14:paraId="5A216BD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888" w:type="dxa"/>
            <w:tcBorders>
              <w:top w:val="nil"/>
              <w:left w:val="nil"/>
              <w:bottom w:val="single" w:sz="4" w:space="0" w:color="auto"/>
              <w:right w:val="nil"/>
            </w:tcBorders>
            <w:shd w:val="clear" w:color="000000" w:fill="000000"/>
            <w:noWrap/>
            <w:vAlign w:val="bottom"/>
            <w:hideMark/>
          </w:tcPr>
          <w:p w14:paraId="4F321B1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771" w:type="dxa"/>
            <w:tcBorders>
              <w:top w:val="nil"/>
              <w:left w:val="nil"/>
              <w:bottom w:val="single" w:sz="4" w:space="0" w:color="auto"/>
              <w:right w:val="nil"/>
            </w:tcBorders>
            <w:shd w:val="clear" w:color="000000" w:fill="000000"/>
            <w:noWrap/>
            <w:vAlign w:val="bottom"/>
            <w:hideMark/>
          </w:tcPr>
          <w:p w14:paraId="504676A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27F4F70F" w14:textId="77777777" w:rsidTr="0062462F">
        <w:trPr>
          <w:trHeight w:val="342"/>
        </w:trPr>
        <w:tc>
          <w:tcPr>
            <w:tcW w:w="3498" w:type="dxa"/>
            <w:tcBorders>
              <w:top w:val="nil"/>
              <w:left w:val="nil"/>
              <w:bottom w:val="nil"/>
              <w:right w:val="nil"/>
            </w:tcBorders>
            <w:shd w:val="clear" w:color="auto" w:fill="auto"/>
            <w:noWrap/>
            <w:vAlign w:val="center"/>
            <w:hideMark/>
          </w:tcPr>
          <w:p w14:paraId="5918DDA1"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Charge for the period</w:t>
            </w:r>
          </w:p>
        </w:tc>
        <w:tc>
          <w:tcPr>
            <w:tcW w:w="1888" w:type="dxa"/>
            <w:tcBorders>
              <w:top w:val="nil"/>
              <w:left w:val="nil"/>
              <w:bottom w:val="nil"/>
              <w:right w:val="nil"/>
            </w:tcBorders>
            <w:shd w:val="clear" w:color="auto" w:fill="auto"/>
            <w:noWrap/>
            <w:vAlign w:val="center"/>
            <w:hideMark/>
          </w:tcPr>
          <w:p w14:paraId="29FB5B28"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p>
        </w:tc>
        <w:tc>
          <w:tcPr>
            <w:tcW w:w="771" w:type="dxa"/>
            <w:tcBorders>
              <w:top w:val="nil"/>
              <w:left w:val="nil"/>
              <w:bottom w:val="nil"/>
              <w:right w:val="nil"/>
            </w:tcBorders>
            <w:shd w:val="clear" w:color="000000" w:fill="E7E6E6"/>
            <w:noWrap/>
            <w:vAlign w:val="center"/>
            <w:hideMark/>
          </w:tcPr>
          <w:p w14:paraId="2AE4D61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3A7E6C70" w14:textId="77777777" w:rsidTr="0062462F">
        <w:trPr>
          <w:trHeight w:val="342"/>
        </w:trPr>
        <w:tc>
          <w:tcPr>
            <w:tcW w:w="3498" w:type="dxa"/>
            <w:tcBorders>
              <w:top w:val="nil"/>
              <w:left w:val="nil"/>
              <w:bottom w:val="nil"/>
              <w:right w:val="nil"/>
            </w:tcBorders>
            <w:shd w:val="clear" w:color="auto" w:fill="auto"/>
            <w:noWrap/>
            <w:vAlign w:val="center"/>
            <w:hideMark/>
          </w:tcPr>
          <w:p w14:paraId="7BB6CCB8"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1888" w:type="dxa"/>
            <w:tcBorders>
              <w:top w:val="nil"/>
              <w:left w:val="nil"/>
              <w:bottom w:val="nil"/>
              <w:right w:val="nil"/>
            </w:tcBorders>
            <w:shd w:val="clear" w:color="auto" w:fill="auto"/>
            <w:noWrap/>
            <w:vAlign w:val="center"/>
          </w:tcPr>
          <w:p w14:paraId="2ED8999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22</w:t>
            </w:r>
          </w:p>
        </w:tc>
        <w:tc>
          <w:tcPr>
            <w:tcW w:w="771" w:type="dxa"/>
            <w:tcBorders>
              <w:top w:val="nil"/>
              <w:left w:val="nil"/>
              <w:bottom w:val="nil"/>
              <w:right w:val="nil"/>
            </w:tcBorders>
            <w:shd w:val="clear" w:color="000000" w:fill="E7E6E6"/>
            <w:noWrap/>
            <w:vAlign w:val="center"/>
            <w:hideMark/>
          </w:tcPr>
          <w:p w14:paraId="468A161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34</w:t>
            </w:r>
          </w:p>
        </w:tc>
      </w:tr>
      <w:tr w:rsidR="005C5CED" w:rsidRPr="005C5CED" w14:paraId="15A97727" w14:textId="77777777" w:rsidTr="0062462F">
        <w:trPr>
          <w:trHeight w:val="342"/>
        </w:trPr>
        <w:tc>
          <w:tcPr>
            <w:tcW w:w="3498" w:type="dxa"/>
            <w:tcBorders>
              <w:top w:val="nil"/>
              <w:left w:val="nil"/>
              <w:bottom w:val="nil"/>
              <w:right w:val="nil"/>
            </w:tcBorders>
            <w:shd w:val="clear" w:color="auto" w:fill="auto"/>
            <w:noWrap/>
            <w:vAlign w:val="center"/>
            <w:hideMark/>
          </w:tcPr>
          <w:p w14:paraId="1F12D6BC"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1888" w:type="dxa"/>
            <w:tcBorders>
              <w:top w:val="nil"/>
              <w:left w:val="nil"/>
              <w:bottom w:val="nil"/>
              <w:right w:val="nil"/>
            </w:tcBorders>
            <w:shd w:val="clear" w:color="auto" w:fill="auto"/>
            <w:noWrap/>
            <w:vAlign w:val="center"/>
          </w:tcPr>
          <w:p w14:paraId="30C4C02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97</w:t>
            </w:r>
          </w:p>
        </w:tc>
        <w:tc>
          <w:tcPr>
            <w:tcW w:w="771" w:type="dxa"/>
            <w:tcBorders>
              <w:top w:val="nil"/>
              <w:left w:val="nil"/>
              <w:bottom w:val="nil"/>
              <w:right w:val="nil"/>
            </w:tcBorders>
            <w:shd w:val="clear" w:color="000000" w:fill="E7E6E6"/>
            <w:noWrap/>
            <w:vAlign w:val="center"/>
            <w:hideMark/>
          </w:tcPr>
          <w:p w14:paraId="070CEB3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92</w:t>
            </w:r>
          </w:p>
        </w:tc>
      </w:tr>
      <w:tr w:rsidR="005C5CED" w:rsidRPr="005C5CED" w14:paraId="1D49D77B" w14:textId="77777777" w:rsidTr="0062462F">
        <w:trPr>
          <w:trHeight w:val="342"/>
        </w:trPr>
        <w:tc>
          <w:tcPr>
            <w:tcW w:w="3498" w:type="dxa"/>
            <w:tcBorders>
              <w:top w:val="nil"/>
              <w:left w:val="nil"/>
              <w:bottom w:val="nil"/>
              <w:right w:val="nil"/>
            </w:tcBorders>
            <w:shd w:val="clear" w:color="auto" w:fill="auto"/>
            <w:noWrap/>
            <w:vAlign w:val="center"/>
            <w:hideMark/>
          </w:tcPr>
          <w:p w14:paraId="214CCD8A"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Buildings at fair value (right-of-use asset)</w:t>
            </w:r>
          </w:p>
        </w:tc>
        <w:tc>
          <w:tcPr>
            <w:tcW w:w="1888" w:type="dxa"/>
            <w:tcBorders>
              <w:top w:val="nil"/>
              <w:left w:val="nil"/>
              <w:bottom w:val="nil"/>
              <w:right w:val="nil"/>
            </w:tcBorders>
            <w:shd w:val="clear" w:color="auto" w:fill="auto"/>
            <w:noWrap/>
            <w:vAlign w:val="center"/>
          </w:tcPr>
          <w:p w14:paraId="1A75EDB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1,937</w:t>
            </w:r>
          </w:p>
        </w:tc>
        <w:tc>
          <w:tcPr>
            <w:tcW w:w="771" w:type="dxa"/>
            <w:tcBorders>
              <w:top w:val="nil"/>
              <w:left w:val="nil"/>
              <w:bottom w:val="nil"/>
              <w:right w:val="nil"/>
            </w:tcBorders>
            <w:shd w:val="clear" w:color="000000" w:fill="E7E6E6"/>
            <w:noWrap/>
            <w:vAlign w:val="center"/>
            <w:hideMark/>
          </w:tcPr>
          <w:p w14:paraId="392D635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1,937</w:t>
            </w:r>
          </w:p>
        </w:tc>
      </w:tr>
      <w:tr w:rsidR="005C5CED" w:rsidRPr="005C5CED" w14:paraId="7FAB88DD" w14:textId="77777777" w:rsidTr="0062462F">
        <w:trPr>
          <w:trHeight w:val="342"/>
        </w:trPr>
        <w:tc>
          <w:tcPr>
            <w:tcW w:w="3498" w:type="dxa"/>
            <w:tcBorders>
              <w:top w:val="nil"/>
              <w:left w:val="nil"/>
              <w:bottom w:val="nil"/>
              <w:right w:val="nil"/>
            </w:tcBorders>
            <w:shd w:val="clear" w:color="auto" w:fill="auto"/>
            <w:noWrap/>
            <w:vAlign w:val="center"/>
            <w:hideMark/>
          </w:tcPr>
          <w:p w14:paraId="34DC445A"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Leasehold improvements</w:t>
            </w:r>
          </w:p>
        </w:tc>
        <w:tc>
          <w:tcPr>
            <w:tcW w:w="1888" w:type="dxa"/>
            <w:tcBorders>
              <w:top w:val="nil"/>
              <w:left w:val="nil"/>
              <w:bottom w:val="nil"/>
              <w:right w:val="nil"/>
            </w:tcBorders>
            <w:shd w:val="clear" w:color="auto" w:fill="auto"/>
            <w:noWrap/>
            <w:vAlign w:val="center"/>
          </w:tcPr>
          <w:p w14:paraId="0137132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64</w:t>
            </w:r>
          </w:p>
        </w:tc>
        <w:tc>
          <w:tcPr>
            <w:tcW w:w="771" w:type="dxa"/>
            <w:tcBorders>
              <w:top w:val="nil"/>
              <w:left w:val="nil"/>
              <w:bottom w:val="nil"/>
              <w:right w:val="nil"/>
            </w:tcBorders>
            <w:shd w:val="clear" w:color="000000" w:fill="E7E6E6"/>
            <w:noWrap/>
            <w:vAlign w:val="center"/>
            <w:hideMark/>
          </w:tcPr>
          <w:p w14:paraId="38E68C9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27</w:t>
            </w:r>
          </w:p>
        </w:tc>
      </w:tr>
      <w:tr w:rsidR="005C5CED" w:rsidRPr="005C5CED" w14:paraId="6AE08047" w14:textId="77777777" w:rsidTr="0062462F">
        <w:trPr>
          <w:trHeight w:val="342"/>
        </w:trPr>
        <w:tc>
          <w:tcPr>
            <w:tcW w:w="3498" w:type="dxa"/>
            <w:tcBorders>
              <w:top w:val="single" w:sz="4" w:space="0" w:color="auto"/>
              <w:left w:val="nil"/>
              <w:bottom w:val="single" w:sz="4" w:space="0" w:color="auto"/>
              <w:right w:val="nil"/>
            </w:tcBorders>
            <w:shd w:val="clear" w:color="auto" w:fill="auto"/>
            <w:noWrap/>
            <w:vAlign w:val="center"/>
            <w:hideMark/>
          </w:tcPr>
          <w:p w14:paraId="72AE8B0E"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depreciation and amortisation</w:t>
            </w:r>
          </w:p>
        </w:tc>
        <w:tc>
          <w:tcPr>
            <w:tcW w:w="1888" w:type="dxa"/>
            <w:tcBorders>
              <w:top w:val="single" w:sz="4" w:space="0" w:color="auto"/>
              <w:left w:val="nil"/>
              <w:bottom w:val="single" w:sz="4" w:space="0" w:color="auto"/>
              <w:right w:val="nil"/>
            </w:tcBorders>
            <w:shd w:val="clear" w:color="auto" w:fill="auto"/>
            <w:noWrap/>
            <w:vAlign w:val="center"/>
          </w:tcPr>
          <w:p w14:paraId="2D19933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2,120</w:t>
            </w:r>
          </w:p>
        </w:tc>
        <w:tc>
          <w:tcPr>
            <w:tcW w:w="771" w:type="dxa"/>
            <w:tcBorders>
              <w:top w:val="single" w:sz="4" w:space="0" w:color="auto"/>
              <w:left w:val="nil"/>
              <w:bottom w:val="single" w:sz="4" w:space="0" w:color="auto"/>
              <w:right w:val="nil"/>
            </w:tcBorders>
            <w:shd w:val="clear" w:color="000000" w:fill="E7E6E6"/>
            <w:noWrap/>
            <w:vAlign w:val="center"/>
            <w:hideMark/>
          </w:tcPr>
          <w:p w14:paraId="4930A96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2,090</w:t>
            </w:r>
          </w:p>
        </w:tc>
      </w:tr>
    </w:tbl>
    <w:p w14:paraId="41A62126" w14:textId="77777777" w:rsidR="005C5CED" w:rsidRPr="005C5CED" w:rsidRDefault="005C5CED" w:rsidP="005C5CED">
      <w:pPr>
        <w:tabs>
          <w:tab w:val="left" w:pos="1683"/>
        </w:tabs>
        <w:spacing w:after="0" w:line="240" w:lineRule="auto"/>
        <w:rPr>
          <w:rFonts w:eastAsia="Times New Roman" w:cs="Arial"/>
          <w:color w:val="auto"/>
          <w:sz w:val="16"/>
          <w:szCs w:val="16"/>
          <w:lang w:eastAsia="en-AU"/>
        </w:rPr>
      </w:pPr>
    </w:p>
    <w:p w14:paraId="1D52844D"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Depreciation is generally calculated on a straight-line basis, at rates that allocate the asset’s value, less any estimated residual value, over its estimated useful life. Typical estimated useful lives for the different asset classes for current and prior years are included in the table below:</w:t>
      </w:r>
    </w:p>
    <w:tbl>
      <w:tblPr>
        <w:tblW w:w="8588" w:type="dxa"/>
        <w:tblLook w:val="04A0" w:firstRow="1" w:lastRow="0" w:firstColumn="1" w:lastColumn="0" w:noHBand="0" w:noVBand="1"/>
      </w:tblPr>
      <w:tblGrid>
        <w:gridCol w:w="2127"/>
        <w:gridCol w:w="545"/>
        <w:gridCol w:w="1716"/>
        <w:gridCol w:w="1296"/>
        <w:gridCol w:w="979"/>
        <w:gridCol w:w="1925"/>
      </w:tblGrid>
      <w:tr w:rsidR="005C5CED" w:rsidRPr="005C5CED" w14:paraId="75E346DE" w14:textId="77777777" w:rsidTr="0062462F">
        <w:trPr>
          <w:trHeight w:val="225"/>
        </w:trPr>
        <w:tc>
          <w:tcPr>
            <w:tcW w:w="2127" w:type="dxa"/>
            <w:tcBorders>
              <w:top w:val="nil"/>
              <w:left w:val="nil"/>
              <w:bottom w:val="single" w:sz="4" w:space="0" w:color="auto"/>
              <w:right w:val="nil"/>
            </w:tcBorders>
            <w:shd w:val="clear" w:color="auto" w:fill="auto"/>
            <w:noWrap/>
            <w:vAlign w:val="bottom"/>
            <w:hideMark/>
          </w:tcPr>
          <w:p w14:paraId="01AA3B1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545" w:type="dxa"/>
            <w:tcBorders>
              <w:top w:val="nil"/>
              <w:left w:val="nil"/>
              <w:bottom w:val="single" w:sz="4" w:space="0" w:color="auto"/>
              <w:right w:val="nil"/>
            </w:tcBorders>
            <w:shd w:val="clear" w:color="auto" w:fill="auto"/>
            <w:noWrap/>
            <w:vAlign w:val="bottom"/>
            <w:hideMark/>
          </w:tcPr>
          <w:p w14:paraId="7AAAA9C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716" w:type="dxa"/>
            <w:tcBorders>
              <w:top w:val="nil"/>
              <w:left w:val="nil"/>
              <w:bottom w:val="single" w:sz="4" w:space="0" w:color="auto"/>
              <w:right w:val="nil"/>
            </w:tcBorders>
            <w:shd w:val="clear" w:color="auto" w:fill="auto"/>
            <w:noWrap/>
            <w:vAlign w:val="bottom"/>
            <w:hideMark/>
          </w:tcPr>
          <w:p w14:paraId="003FA31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96" w:type="dxa"/>
            <w:tcBorders>
              <w:top w:val="nil"/>
              <w:left w:val="nil"/>
              <w:bottom w:val="single" w:sz="4" w:space="0" w:color="auto"/>
              <w:right w:val="nil"/>
            </w:tcBorders>
            <w:shd w:val="clear" w:color="auto" w:fill="auto"/>
            <w:noWrap/>
            <w:vAlign w:val="bottom"/>
            <w:hideMark/>
          </w:tcPr>
          <w:p w14:paraId="245F808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979" w:type="dxa"/>
            <w:tcBorders>
              <w:top w:val="nil"/>
              <w:left w:val="nil"/>
              <w:bottom w:val="single" w:sz="4" w:space="0" w:color="auto"/>
              <w:right w:val="nil"/>
            </w:tcBorders>
            <w:shd w:val="clear" w:color="auto" w:fill="auto"/>
            <w:noWrap/>
            <w:vAlign w:val="bottom"/>
            <w:hideMark/>
          </w:tcPr>
          <w:p w14:paraId="7ED3254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925" w:type="dxa"/>
            <w:tcBorders>
              <w:top w:val="nil"/>
              <w:left w:val="nil"/>
              <w:bottom w:val="single" w:sz="4" w:space="0" w:color="auto"/>
              <w:right w:val="nil"/>
            </w:tcBorders>
            <w:shd w:val="clear" w:color="auto" w:fill="auto"/>
            <w:noWrap/>
            <w:vAlign w:val="bottom"/>
            <w:hideMark/>
          </w:tcPr>
          <w:p w14:paraId="0549A8F4"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Useful Life (Years)</w:t>
            </w:r>
          </w:p>
        </w:tc>
      </w:tr>
      <w:tr w:rsidR="005C5CED" w:rsidRPr="005C5CED" w14:paraId="05570005" w14:textId="77777777" w:rsidTr="0062462F">
        <w:trPr>
          <w:trHeight w:val="342"/>
        </w:trPr>
        <w:tc>
          <w:tcPr>
            <w:tcW w:w="2672" w:type="dxa"/>
            <w:gridSpan w:val="2"/>
            <w:tcBorders>
              <w:top w:val="single" w:sz="4" w:space="0" w:color="auto"/>
              <w:left w:val="nil"/>
              <w:bottom w:val="nil"/>
              <w:right w:val="nil"/>
            </w:tcBorders>
            <w:shd w:val="clear" w:color="auto" w:fill="auto"/>
            <w:noWrap/>
            <w:vAlign w:val="center"/>
            <w:hideMark/>
          </w:tcPr>
          <w:p w14:paraId="2B22B5A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1716" w:type="dxa"/>
            <w:tcBorders>
              <w:top w:val="nil"/>
              <w:left w:val="nil"/>
              <w:bottom w:val="nil"/>
              <w:right w:val="nil"/>
            </w:tcBorders>
            <w:shd w:val="clear" w:color="auto" w:fill="auto"/>
            <w:noWrap/>
            <w:vAlign w:val="center"/>
            <w:hideMark/>
          </w:tcPr>
          <w:p w14:paraId="6D9E821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96" w:type="dxa"/>
            <w:tcBorders>
              <w:top w:val="nil"/>
              <w:left w:val="nil"/>
              <w:bottom w:val="nil"/>
              <w:right w:val="nil"/>
            </w:tcBorders>
            <w:shd w:val="clear" w:color="auto" w:fill="auto"/>
            <w:noWrap/>
            <w:vAlign w:val="center"/>
            <w:hideMark/>
          </w:tcPr>
          <w:p w14:paraId="74F139F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979" w:type="dxa"/>
            <w:tcBorders>
              <w:top w:val="nil"/>
              <w:left w:val="nil"/>
              <w:bottom w:val="nil"/>
              <w:right w:val="nil"/>
            </w:tcBorders>
            <w:shd w:val="clear" w:color="auto" w:fill="auto"/>
            <w:noWrap/>
            <w:vAlign w:val="center"/>
            <w:hideMark/>
          </w:tcPr>
          <w:p w14:paraId="654AA18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925" w:type="dxa"/>
            <w:tcBorders>
              <w:top w:val="nil"/>
              <w:left w:val="nil"/>
              <w:bottom w:val="nil"/>
              <w:right w:val="nil"/>
            </w:tcBorders>
            <w:shd w:val="clear" w:color="auto" w:fill="auto"/>
            <w:noWrap/>
            <w:vAlign w:val="center"/>
            <w:hideMark/>
          </w:tcPr>
          <w:p w14:paraId="7B22E92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 to 10 years</w:t>
            </w:r>
          </w:p>
        </w:tc>
      </w:tr>
      <w:tr w:rsidR="005C5CED" w:rsidRPr="005C5CED" w14:paraId="2A47E1E5" w14:textId="77777777" w:rsidTr="0062462F">
        <w:trPr>
          <w:trHeight w:val="342"/>
        </w:trPr>
        <w:tc>
          <w:tcPr>
            <w:tcW w:w="2127" w:type="dxa"/>
            <w:tcBorders>
              <w:top w:val="nil"/>
              <w:left w:val="nil"/>
              <w:right w:val="nil"/>
            </w:tcBorders>
            <w:shd w:val="clear" w:color="auto" w:fill="auto"/>
            <w:noWrap/>
            <w:vAlign w:val="center"/>
            <w:hideMark/>
          </w:tcPr>
          <w:p w14:paraId="75A86FB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545" w:type="dxa"/>
            <w:tcBorders>
              <w:top w:val="nil"/>
              <w:left w:val="nil"/>
              <w:right w:val="nil"/>
            </w:tcBorders>
            <w:shd w:val="clear" w:color="auto" w:fill="auto"/>
            <w:noWrap/>
            <w:vAlign w:val="center"/>
            <w:hideMark/>
          </w:tcPr>
          <w:p w14:paraId="59D1DC20" w14:textId="77777777" w:rsidR="005C5CED" w:rsidRPr="005C5CED" w:rsidRDefault="005C5CED" w:rsidP="005C5CED">
            <w:pPr>
              <w:spacing w:after="0" w:line="240" w:lineRule="auto"/>
              <w:rPr>
                <w:rFonts w:eastAsia="Times New Roman" w:cs="Arial"/>
                <w:color w:val="auto"/>
                <w:sz w:val="16"/>
                <w:szCs w:val="16"/>
                <w:lang w:eastAsia="en-AU"/>
              </w:rPr>
            </w:pPr>
          </w:p>
        </w:tc>
        <w:tc>
          <w:tcPr>
            <w:tcW w:w="1716" w:type="dxa"/>
            <w:tcBorders>
              <w:top w:val="nil"/>
              <w:left w:val="nil"/>
              <w:right w:val="nil"/>
            </w:tcBorders>
            <w:shd w:val="clear" w:color="auto" w:fill="auto"/>
            <w:noWrap/>
            <w:vAlign w:val="center"/>
            <w:hideMark/>
          </w:tcPr>
          <w:p w14:paraId="62F69728" w14:textId="77777777" w:rsidR="005C5CED" w:rsidRPr="005C5CED" w:rsidRDefault="005C5CED" w:rsidP="005C5CED">
            <w:pPr>
              <w:spacing w:after="0" w:line="240" w:lineRule="auto"/>
              <w:rPr>
                <w:rFonts w:eastAsia="Times New Roman" w:cs="Arial"/>
                <w:color w:val="auto"/>
                <w:szCs w:val="20"/>
                <w:lang w:eastAsia="en-AU"/>
              </w:rPr>
            </w:pPr>
          </w:p>
        </w:tc>
        <w:tc>
          <w:tcPr>
            <w:tcW w:w="1296" w:type="dxa"/>
            <w:tcBorders>
              <w:top w:val="nil"/>
              <w:left w:val="nil"/>
              <w:right w:val="nil"/>
            </w:tcBorders>
            <w:shd w:val="clear" w:color="auto" w:fill="auto"/>
            <w:noWrap/>
            <w:vAlign w:val="center"/>
            <w:hideMark/>
          </w:tcPr>
          <w:p w14:paraId="2911CA13" w14:textId="77777777" w:rsidR="005C5CED" w:rsidRPr="005C5CED" w:rsidRDefault="005C5CED" w:rsidP="005C5CED">
            <w:pPr>
              <w:spacing w:after="0" w:line="240" w:lineRule="auto"/>
              <w:rPr>
                <w:rFonts w:eastAsia="Times New Roman" w:cs="Arial"/>
                <w:color w:val="auto"/>
                <w:szCs w:val="20"/>
                <w:lang w:eastAsia="en-AU"/>
              </w:rPr>
            </w:pPr>
          </w:p>
        </w:tc>
        <w:tc>
          <w:tcPr>
            <w:tcW w:w="979" w:type="dxa"/>
            <w:tcBorders>
              <w:top w:val="nil"/>
              <w:left w:val="nil"/>
              <w:right w:val="nil"/>
            </w:tcBorders>
            <w:shd w:val="clear" w:color="auto" w:fill="auto"/>
            <w:noWrap/>
            <w:vAlign w:val="center"/>
            <w:hideMark/>
          </w:tcPr>
          <w:p w14:paraId="2A820E00" w14:textId="77777777" w:rsidR="005C5CED" w:rsidRPr="005C5CED" w:rsidRDefault="005C5CED" w:rsidP="005C5CED">
            <w:pPr>
              <w:spacing w:after="0" w:line="240" w:lineRule="auto"/>
              <w:rPr>
                <w:rFonts w:eastAsia="Times New Roman" w:cs="Arial"/>
                <w:color w:val="auto"/>
                <w:szCs w:val="20"/>
                <w:lang w:eastAsia="en-AU"/>
              </w:rPr>
            </w:pPr>
          </w:p>
        </w:tc>
        <w:tc>
          <w:tcPr>
            <w:tcW w:w="1925" w:type="dxa"/>
            <w:tcBorders>
              <w:top w:val="nil"/>
              <w:left w:val="nil"/>
              <w:right w:val="nil"/>
            </w:tcBorders>
            <w:shd w:val="clear" w:color="auto" w:fill="auto"/>
            <w:noWrap/>
            <w:vAlign w:val="center"/>
            <w:hideMark/>
          </w:tcPr>
          <w:p w14:paraId="5A5FDA5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 to 4 years</w:t>
            </w:r>
          </w:p>
        </w:tc>
      </w:tr>
      <w:tr w:rsidR="005C5CED" w:rsidRPr="005C5CED" w14:paraId="515D2267" w14:textId="77777777" w:rsidTr="0062462F">
        <w:trPr>
          <w:trHeight w:val="342"/>
        </w:trPr>
        <w:tc>
          <w:tcPr>
            <w:tcW w:w="2127" w:type="dxa"/>
            <w:tcBorders>
              <w:top w:val="nil"/>
              <w:left w:val="nil"/>
              <w:bottom w:val="single" w:sz="4" w:space="0" w:color="auto"/>
              <w:right w:val="nil"/>
            </w:tcBorders>
            <w:shd w:val="clear" w:color="auto" w:fill="auto"/>
            <w:noWrap/>
            <w:vAlign w:val="center"/>
            <w:hideMark/>
          </w:tcPr>
          <w:p w14:paraId="22B1E11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Buildings at fair value</w:t>
            </w:r>
          </w:p>
        </w:tc>
        <w:tc>
          <w:tcPr>
            <w:tcW w:w="545" w:type="dxa"/>
            <w:tcBorders>
              <w:top w:val="nil"/>
              <w:left w:val="nil"/>
              <w:bottom w:val="single" w:sz="4" w:space="0" w:color="auto"/>
              <w:right w:val="nil"/>
            </w:tcBorders>
            <w:shd w:val="clear" w:color="auto" w:fill="auto"/>
            <w:noWrap/>
            <w:vAlign w:val="center"/>
            <w:hideMark/>
          </w:tcPr>
          <w:p w14:paraId="1D13F89C" w14:textId="77777777" w:rsidR="005C5CED" w:rsidRPr="005C5CED" w:rsidRDefault="005C5CED" w:rsidP="005C5CED">
            <w:pPr>
              <w:spacing w:after="0" w:line="240" w:lineRule="auto"/>
              <w:rPr>
                <w:rFonts w:eastAsia="Times New Roman" w:cs="Arial"/>
                <w:color w:val="auto"/>
                <w:sz w:val="16"/>
                <w:szCs w:val="16"/>
                <w:lang w:eastAsia="en-AU"/>
              </w:rPr>
            </w:pPr>
          </w:p>
        </w:tc>
        <w:tc>
          <w:tcPr>
            <w:tcW w:w="1716" w:type="dxa"/>
            <w:tcBorders>
              <w:top w:val="nil"/>
              <w:left w:val="nil"/>
              <w:bottom w:val="single" w:sz="4" w:space="0" w:color="auto"/>
              <w:right w:val="nil"/>
            </w:tcBorders>
            <w:shd w:val="clear" w:color="auto" w:fill="auto"/>
            <w:noWrap/>
            <w:vAlign w:val="center"/>
            <w:hideMark/>
          </w:tcPr>
          <w:p w14:paraId="22352B53" w14:textId="77777777" w:rsidR="005C5CED" w:rsidRPr="005C5CED" w:rsidRDefault="005C5CED" w:rsidP="005C5CED">
            <w:pPr>
              <w:spacing w:after="0" w:line="240" w:lineRule="auto"/>
              <w:rPr>
                <w:rFonts w:eastAsia="Times New Roman" w:cs="Arial"/>
                <w:color w:val="auto"/>
                <w:szCs w:val="20"/>
                <w:lang w:eastAsia="en-AU"/>
              </w:rPr>
            </w:pPr>
          </w:p>
        </w:tc>
        <w:tc>
          <w:tcPr>
            <w:tcW w:w="1296" w:type="dxa"/>
            <w:tcBorders>
              <w:top w:val="nil"/>
              <w:left w:val="nil"/>
              <w:bottom w:val="single" w:sz="4" w:space="0" w:color="auto"/>
              <w:right w:val="nil"/>
            </w:tcBorders>
            <w:shd w:val="clear" w:color="auto" w:fill="auto"/>
            <w:noWrap/>
            <w:vAlign w:val="center"/>
            <w:hideMark/>
          </w:tcPr>
          <w:p w14:paraId="6CCBE0E6" w14:textId="77777777" w:rsidR="005C5CED" w:rsidRPr="005C5CED" w:rsidRDefault="005C5CED" w:rsidP="005C5CED">
            <w:pPr>
              <w:spacing w:after="0" w:line="240" w:lineRule="auto"/>
              <w:rPr>
                <w:rFonts w:eastAsia="Times New Roman" w:cs="Arial"/>
                <w:color w:val="auto"/>
                <w:szCs w:val="20"/>
                <w:lang w:eastAsia="en-AU"/>
              </w:rPr>
            </w:pPr>
          </w:p>
        </w:tc>
        <w:tc>
          <w:tcPr>
            <w:tcW w:w="979" w:type="dxa"/>
            <w:tcBorders>
              <w:top w:val="nil"/>
              <w:left w:val="nil"/>
              <w:bottom w:val="single" w:sz="4" w:space="0" w:color="auto"/>
              <w:right w:val="nil"/>
            </w:tcBorders>
            <w:shd w:val="clear" w:color="auto" w:fill="auto"/>
            <w:noWrap/>
            <w:vAlign w:val="center"/>
            <w:hideMark/>
          </w:tcPr>
          <w:p w14:paraId="647FB7E9" w14:textId="77777777" w:rsidR="005C5CED" w:rsidRPr="005C5CED" w:rsidRDefault="005C5CED" w:rsidP="005C5CED">
            <w:pPr>
              <w:spacing w:after="0" w:line="240" w:lineRule="auto"/>
              <w:rPr>
                <w:rFonts w:eastAsia="Times New Roman" w:cs="Arial"/>
                <w:color w:val="auto"/>
                <w:szCs w:val="20"/>
                <w:lang w:eastAsia="en-AU"/>
              </w:rPr>
            </w:pPr>
          </w:p>
        </w:tc>
        <w:tc>
          <w:tcPr>
            <w:tcW w:w="1925" w:type="dxa"/>
            <w:tcBorders>
              <w:top w:val="nil"/>
              <w:left w:val="nil"/>
              <w:bottom w:val="single" w:sz="4" w:space="0" w:color="auto"/>
              <w:right w:val="nil"/>
            </w:tcBorders>
            <w:shd w:val="clear" w:color="auto" w:fill="auto"/>
            <w:noWrap/>
            <w:vAlign w:val="center"/>
            <w:hideMark/>
          </w:tcPr>
          <w:p w14:paraId="12BF564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Over the lease term</w:t>
            </w:r>
          </w:p>
        </w:tc>
      </w:tr>
    </w:tbl>
    <w:p w14:paraId="7CFDAFFE" w14:textId="77777777" w:rsidR="005C5CED" w:rsidRPr="005C5CED" w:rsidRDefault="005C5CED" w:rsidP="005C5CED">
      <w:pPr>
        <w:spacing w:line="259" w:lineRule="auto"/>
        <w:rPr>
          <w:rFonts w:eastAsia="Calibri" w:cs="Arial"/>
          <w:color w:val="auto"/>
        </w:rPr>
      </w:pPr>
    </w:p>
    <w:p w14:paraId="2B5596AA" w14:textId="77777777" w:rsidR="005C5CED" w:rsidRPr="005C5CED" w:rsidRDefault="005C5CED" w:rsidP="005C5CED">
      <w:pPr>
        <w:spacing w:line="259" w:lineRule="auto"/>
        <w:rPr>
          <w:rFonts w:eastAsia="Calibri" w:cs="Arial"/>
          <w:color w:val="auto"/>
        </w:rPr>
      </w:pPr>
      <w:r w:rsidRPr="005C5CED">
        <w:rPr>
          <w:rFonts w:eastAsia="Calibri" w:cs="Arial"/>
          <w:color w:val="auto"/>
        </w:rPr>
        <w:t>The estimated useful lives, residual values and depreciation method are reviewed at the end of each annual reporting period, and adjustments made where appropriate.</w:t>
      </w:r>
    </w:p>
    <w:p w14:paraId="0D81C71C" w14:textId="77777777" w:rsidR="005C5CED" w:rsidRPr="005C5CED" w:rsidRDefault="005C5CED" w:rsidP="005C5CED">
      <w:pPr>
        <w:spacing w:line="259" w:lineRule="auto"/>
        <w:rPr>
          <w:rFonts w:eastAsia="Calibri" w:cs="Arial"/>
          <w:color w:val="auto"/>
        </w:rPr>
      </w:pPr>
      <w:r w:rsidRPr="005C5CED">
        <w:rPr>
          <w:rFonts w:eastAsia="Calibri" w:cs="Arial"/>
          <w:color w:val="auto"/>
        </w:rPr>
        <w:t>Right-of-use assets are generally depreciated over the shorter of the asset’s useful life and the lease term. Where the entity obtains ownership of the underlying leased asset or if the cost of the right-of-use asset reflects that the entity will exercise a purchase option, the entity depreciates the right-of-use asset over its useful life.</w:t>
      </w:r>
    </w:p>
    <w:p w14:paraId="46C03E5C" w14:textId="77777777" w:rsidR="005C5CED" w:rsidRPr="005C5CED" w:rsidRDefault="005C5CED" w:rsidP="005C5CED">
      <w:pPr>
        <w:spacing w:line="259" w:lineRule="auto"/>
        <w:rPr>
          <w:rFonts w:eastAsia="Calibri" w:cs="Arial"/>
          <w:color w:val="auto"/>
        </w:rPr>
      </w:pPr>
      <w:r w:rsidRPr="005C5CED">
        <w:rPr>
          <w:rFonts w:eastAsia="Calibri" w:cs="Arial"/>
          <w:color w:val="auto"/>
        </w:rPr>
        <w:t>Leasehold improvements are depreciated over the shorter of the lease term and their useful lives.</w:t>
      </w:r>
    </w:p>
    <w:p w14:paraId="58252A4F" w14:textId="77777777" w:rsidR="005C5CED" w:rsidRPr="005C5CED" w:rsidRDefault="005C5CED" w:rsidP="005C5CED">
      <w:pPr>
        <w:spacing w:line="259" w:lineRule="auto"/>
        <w:rPr>
          <w:rFonts w:eastAsia="Calibri" w:cs="Arial"/>
          <w:color w:val="auto"/>
        </w:rPr>
      </w:pPr>
      <w:r w:rsidRPr="005C5CED">
        <w:rPr>
          <w:rFonts w:eastAsia="Calibri" w:cs="Arial"/>
          <w:color w:val="auto"/>
        </w:rPr>
        <w:t>In the event of the loss or destruction of an asset, the future economic benefits arising from the use of the asset will be replaced (unless a specific decision to the contrary has been made).</w:t>
      </w:r>
    </w:p>
    <w:p w14:paraId="24D4FF34"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Impairment:</w:t>
      </w:r>
      <w:r w:rsidRPr="005C5CED">
        <w:rPr>
          <w:rFonts w:eastAsia="Calibri" w:cs="Arial"/>
          <w:color w:val="auto"/>
        </w:rPr>
        <w:t xml:space="preserve"> non-financial assets, including items of plant and equipment, are tested for impairment whenever there is an indication that the asset may be impaired.</w:t>
      </w:r>
    </w:p>
    <w:p w14:paraId="1A4F33F4" w14:textId="77777777" w:rsidR="005C5CED" w:rsidRPr="005C5CED" w:rsidRDefault="005C5CED" w:rsidP="005C5CED">
      <w:pPr>
        <w:spacing w:line="259" w:lineRule="auto"/>
        <w:rPr>
          <w:rFonts w:eastAsia="Calibri" w:cs="Arial"/>
          <w:color w:val="auto"/>
        </w:rPr>
      </w:pPr>
      <w:r w:rsidRPr="005C5CED">
        <w:rPr>
          <w:rFonts w:eastAsia="Calibri" w:cs="Arial"/>
          <w:color w:val="auto"/>
        </w:rPr>
        <w:t>The assets concerned are tested as to whether their carrying value exceeds their recoverable amount. Where an asset’s carrying value exceeds its recoverable amount, the difference is written off as an ‘other economic flow’, except to the extent that it can be debited to an asset revaluation surplus amount applicable to that class of asset.</w:t>
      </w:r>
    </w:p>
    <w:p w14:paraId="6B88C4BF" w14:textId="77777777" w:rsidR="005C5CED" w:rsidRPr="005C5CED" w:rsidRDefault="005C5CED" w:rsidP="005C5CED">
      <w:pPr>
        <w:spacing w:line="259" w:lineRule="auto"/>
        <w:rPr>
          <w:rFonts w:eastAsia="Calibri" w:cs="Arial"/>
          <w:color w:val="auto"/>
        </w:rPr>
      </w:pPr>
      <w:r w:rsidRPr="005C5CED">
        <w:rPr>
          <w:rFonts w:eastAsia="Calibri" w:cs="Arial"/>
          <w:color w:val="auto"/>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p w14:paraId="78F0BA8F" w14:textId="77777777" w:rsidR="005C5CED" w:rsidRPr="005C5CED" w:rsidRDefault="005C5CED" w:rsidP="005C5CED">
      <w:pPr>
        <w:spacing w:line="259" w:lineRule="auto"/>
        <w:rPr>
          <w:rFonts w:eastAsia="Calibri" w:cs="Arial"/>
          <w:color w:val="auto"/>
        </w:rPr>
      </w:pPr>
      <w:r w:rsidRPr="005C5CED">
        <w:rPr>
          <w:rFonts w:eastAsia="Calibri" w:cs="Arial"/>
          <w:color w:val="auto"/>
        </w:rPr>
        <w:lastRenderedPageBreak/>
        <w:t>The recoverable amount for most assets is measured at the higher of current replacement cost and fair value less costs to sell.</w:t>
      </w:r>
    </w:p>
    <w:p w14:paraId="725CFB95" w14:textId="77777777" w:rsidR="005C5CED" w:rsidRPr="005C5CED" w:rsidRDefault="005C5CED" w:rsidP="005C5CED">
      <w:pPr>
        <w:spacing w:line="259" w:lineRule="auto"/>
        <w:rPr>
          <w:rFonts w:eastAsia="Times New Roman" w:cs="Arial"/>
          <w:b/>
          <w:bCs/>
          <w:color w:val="auto"/>
          <w:lang w:eastAsia="en-AU"/>
        </w:rPr>
      </w:pPr>
    </w:p>
    <w:p w14:paraId="742C8AD2" w14:textId="77777777" w:rsidR="005C5CED" w:rsidRPr="005C5CED" w:rsidRDefault="005C5CED" w:rsidP="005C5CED">
      <w:pPr>
        <w:keepNext/>
        <w:keepLines/>
        <w:spacing w:before="200" w:after="40" w:line="259" w:lineRule="auto"/>
        <w:outlineLvl w:val="4"/>
        <w:rPr>
          <w:rFonts w:eastAsia="Times New Roman" w:cs="SegoeUI"/>
          <w:b/>
          <w:bCs/>
          <w:color w:val="595959"/>
          <w:lang w:eastAsia="en-AU"/>
        </w:rPr>
      </w:pPr>
      <w:r w:rsidRPr="005C5CED">
        <w:rPr>
          <w:rFonts w:eastAsia="Times New Roman" w:cs="SegoeUI"/>
          <w:b/>
          <w:bCs/>
          <w:color w:val="595959"/>
          <w:lang w:eastAsia="en-AU"/>
        </w:rPr>
        <w:t>Note 4.1.2 Reconciliation of movements in carrying amount of property, plant, and equipment</w:t>
      </w:r>
    </w:p>
    <w:tbl>
      <w:tblPr>
        <w:tblW w:w="8747" w:type="dxa"/>
        <w:tblLook w:val="04A0" w:firstRow="1" w:lastRow="0" w:firstColumn="1" w:lastColumn="0" w:noHBand="0" w:noVBand="1"/>
      </w:tblPr>
      <w:tblGrid>
        <w:gridCol w:w="2073"/>
        <w:gridCol w:w="1127"/>
        <w:gridCol w:w="865"/>
        <w:gridCol w:w="1361"/>
        <w:gridCol w:w="1096"/>
        <w:gridCol w:w="1186"/>
        <w:gridCol w:w="1178"/>
      </w:tblGrid>
      <w:tr w:rsidR="005C5CED" w:rsidRPr="005C5CED" w14:paraId="0180F28B" w14:textId="77777777" w:rsidTr="00D12B52">
        <w:trPr>
          <w:trHeight w:val="467"/>
        </w:trPr>
        <w:tc>
          <w:tcPr>
            <w:tcW w:w="2073" w:type="dxa"/>
            <w:tcBorders>
              <w:top w:val="single" w:sz="4" w:space="0" w:color="auto"/>
              <w:left w:val="nil"/>
              <w:bottom w:val="nil"/>
              <w:right w:val="nil"/>
            </w:tcBorders>
            <w:shd w:val="clear" w:color="000000" w:fill="000000"/>
            <w:noWrap/>
            <w:vAlign w:val="center"/>
            <w:hideMark/>
          </w:tcPr>
          <w:p w14:paraId="6BD698B1" w14:textId="77777777" w:rsidR="005C5CED" w:rsidRPr="005C5CED" w:rsidRDefault="005C5CED" w:rsidP="005C5CED">
            <w:pPr>
              <w:spacing w:after="0" w:line="240" w:lineRule="auto"/>
              <w:rPr>
                <w:rFonts w:eastAsia="Times New Roman" w:cs="Arial"/>
                <w:b/>
                <w:bCs/>
                <w:color w:val="FFFFFF"/>
                <w:sz w:val="14"/>
                <w:szCs w:val="14"/>
                <w:lang w:eastAsia="en-AU"/>
              </w:rPr>
            </w:pPr>
            <w:r w:rsidRPr="005C5CED">
              <w:rPr>
                <w:rFonts w:eastAsia="Times New Roman" w:cs="Arial"/>
                <w:b/>
                <w:bCs/>
                <w:color w:val="FFFFFF"/>
                <w:sz w:val="14"/>
                <w:szCs w:val="14"/>
                <w:lang w:eastAsia="en-AU"/>
              </w:rPr>
              <w:t> </w:t>
            </w:r>
          </w:p>
        </w:tc>
        <w:tc>
          <w:tcPr>
            <w:tcW w:w="1127" w:type="dxa"/>
            <w:tcBorders>
              <w:top w:val="single" w:sz="4" w:space="0" w:color="auto"/>
              <w:left w:val="nil"/>
              <w:bottom w:val="nil"/>
              <w:right w:val="nil"/>
            </w:tcBorders>
            <w:shd w:val="clear" w:color="000000" w:fill="000000"/>
            <w:vAlign w:val="center"/>
            <w:hideMark/>
          </w:tcPr>
          <w:p w14:paraId="22ACA8A0"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Opening balance</w:t>
            </w:r>
          </w:p>
        </w:tc>
        <w:tc>
          <w:tcPr>
            <w:tcW w:w="762" w:type="dxa"/>
            <w:tcBorders>
              <w:top w:val="single" w:sz="4" w:space="0" w:color="auto"/>
              <w:left w:val="nil"/>
              <w:bottom w:val="nil"/>
              <w:right w:val="nil"/>
            </w:tcBorders>
            <w:shd w:val="clear" w:color="000000" w:fill="000000"/>
            <w:vAlign w:val="center"/>
            <w:hideMark/>
          </w:tcPr>
          <w:p w14:paraId="54CDD25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Addition</w:t>
            </w:r>
          </w:p>
        </w:tc>
        <w:tc>
          <w:tcPr>
            <w:tcW w:w="1361" w:type="dxa"/>
            <w:tcBorders>
              <w:top w:val="single" w:sz="4" w:space="0" w:color="auto"/>
              <w:left w:val="nil"/>
              <w:bottom w:val="nil"/>
              <w:right w:val="nil"/>
            </w:tcBorders>
            <w:shd w:val="clear" w:color="000000" w:fill="000000"/>
            <w:vAlign w:val="center"/>
            <w:hideMark/>
          </w:tcPr>
          <w:p w14:paraId="770C74F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Fair value decrement recognised through net result</w:t>
            </w:r>
          </w:p>
        </w:tc>
        <w:tc>
          <w:tcPr>
            <w:tcW w:w="1255" w:type="dxa"/>
            <w:tcBorders>
              <w:top w:val="single" w:sz="4" w:space="0" w:color="auto"/>
              <w:left w:val="nil"/>
              <w:bottom w:val="nil"/>
              <w:right w:val="nil"/>
            </w:tcBorders>
            <w:shd w:val="clear" w:color="000000" w:fill="000000"/>
          </w:tcPr>
          <w:p w14:paraId="33EFAACE"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color w:val="FFFFFF"/>
                <w:sz w:val="16"/>
                <w:szCs w:val="16"/>
                <w:lang w:eastAsia="en-AU"/>
              </w:rPr>
              <w:t>Change in Accounting Estimates</w:t>
            </w:r>
          </w:p>
        </w:tc>
        <w:tc>
          <w:tcPr>
            <w:tcW w:w="991" w:type="dxa"/>
            <w:tcBorders>
              <w:top w:val="single" w:sz="4" w:space="0" w:color="auto"/>
              <w:left w:val="nil"/>
              <w:bottom w:val="nil"/>
              <w:right w:val="nil"/>
            </w:tcBorders>
            <w:shd w:val="clear" w:color="000000" w:fill="000000"/>
            <w:vAlign w:val="center"/>
            <w:hideMark/>
          </w:tcPr>
          <w:p w14:paraId="0C78658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Depreciation</w:t>
            </w:r>
          </w:p>
        </w:tc>
        <w:tc>
          <w:tcPr>
            <w:tcW w:w="1178" w:type="dxa"/>
            <w:tcBorders>
              <w:top w:val="single" w:sz="4" w:space="0" w:color="auto"/>
              <w:left w:val="nil"/>
              <w:bottom w:val="nil"/>
              <w:right w:val="nil"/>
            </w:tcBorders>
            <w:shd w:val="clear" w:color="000000" w:fill="000000"/>
            <w:vAlign w:val="center"/>
            <w:hideMark/>
          </w:tcPr>
          <w:p w14:paraId="01DC74FE"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Closing balance</w:t>
            </w:r>
          </w:p>
        </w:tc>
      </w:tr>
      <w:tr w:rsidR="005C5CED" w:rsidRPr="005C5CED" w14:paraId="5E9BF89C" w14:textId="77777777" w:rsidTr="00D12B52">
        <w:trPr>
          <w:trHeight w:val="226"/>
        </w:trPr>
        <w:tc>
          <w:tcPr>
            <w:tcW w:w="2073" w:type="dxa"/>
            <w:tcBorders>
              <w:top w:val="nil"/>
              <w:left w:val="nil"/>
              <w:bottom w:val="single" w:sz="4" w:space="0" w:color="auto"/>
              <w:right w:val="nil"/>
            </w:tcBorders>
            <w:shd w:val="clear" w:color="000000" w:fill="000000"/>
            <w:noWrap/>
            <w:vAlign w:val="center"/>
            <w:hideMark/>
          </w:tcPr>
          <w:p w14:paraId="4AE56FCD" w14:textId="77777777" w:rsidR="005C5CED" w:rsidRPr="005C5CED" w:rsidRDefault="005C5CED" w:rsidP="005C5CED">
            <w:pPr>
              <w:spacing w:after="0" w:line="240" w:lineRule="auto"/>
              <w:rPr>
                <w:rFonts w:eastAsia="Times New Roman" w:cs="Arial"/>
                <w:b/>
                <w:bCs/>
                <w:color w:val="FFFFFF"/>
                <w:sz w:val="14"/>
                <w:szCs w:val="14"/>
                <w:lang w:eastAsia="en-AU"/>
              </w:rPr>
            </w:pPr>
            <w:r w:rsidRPr="005C5CED">
              <w:rPr>
                <w:rFonts w:eastAsia="Times New Roman" w:cs="Arial"/>
                <w:b/>
                <w:bCs/>
                <w:color w:val="FFFFFF"/>
                <w:sz w:val="14"/>
                <w:szCs w:val="14"/>
                <w:lang w:eastAsia="en-AU"/>
              </w:rPr>
              <w:t> </w:t>
            </w:r>
          </w:p>
        </w:tc>
        <w:tc>
          <w:tcPr>
            <w:tcW w:w="1127" w:type="dxa"/>
            <w:tcBorders>
              <w:top w:val="nil"/>
              <w:left w:val="nil"/>
              <w:bottom w:val="single" w:sz="4" w:space="0" w:color="auto"/>
              <w:right w:val="nil"/>
            </w:tcBorders>
            <w:shd w:val="clear" w:color="000000" w:fill="000000"/>
            <w:vAlign w:val="center"/>
            <w:hideMark/>
          </w:tcPr>
          <w:p w14:paraId="5EFEE9E0"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762" w:type="dxa"/>
            <w:tcBorders>
              <w:top w:val="nil"/>
              <w:left w:val="nil"/>
              <w:bottom w:val="single" w:sz="4" w:space="0" w:color="auto"/>
              <w:right w:val="nil"/>
            </w:tcBorders>
            <w:shd w:val="clear" w:color="000000" w:fill="000000"/>
            <w:vAlign w:val="center"/>
            <w:hideMark/>
          </w:tcPr>
          <w:p w14:paraId="745F1E5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361" w:type="dxa"/>
            <w:tcBorders>
              <w:top w:val="nil"/>
              <w:left w:val="nil"/>
              <w:bottom w:val="single" w:sz="4" w:space="0" w:color="auto"/>
              <w:right w:val="nil"/>
            </w:tcBorders>
            <w:shd w:val="clear" w:color="000000" w:fill="000000"/>
            <w:vAlign w:val="center"/>
            <w:hideMark/>
          </w:tcPr>
          <w:p w14:paraId="001D2737"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55" w:type="dxa"/>
            <w:tcBorders>
              <w:top w:val="nil"/>
              <w:left w:val="nil"/>
              <w:bottom w:val="single" w:sz="4" w:space="0" w:color="auto"/>
              <w:right w:val="nil"/>
            </w:tcBorders>
            <w:shd w:val="clear" w:color="000000" w:fill="000000"/>
            <w:vAlign w:val="center"/>
          </w:tcPr>
          <w:p w14:paraId="79761077"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991" w:type="dxa"/>
            <w:tcBorders>
              <w:top w:val="nil"/>
              <w:left w:val="nil"/>
              <w:bottom w:val="single" w:sz="4" w:space="0" w:color="auto"/>
              <w:right w:val="nil"/>
            </w:tcBorders>
            <w:shd w:val="clear" w:color="000000" w:fill="000000"/>
            <w:vAlign w:val="center"/>
            <w:hideMark/>
          </w:tcPr>
          <w:p w14:paraId="41629AD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78" w:type="dxa"/>
            <w:tcBorders>
              <w:top w:val="nil"/>
              <w:left w:val="nil"/>
              <w:bottom w:val="single" w:sz="4" w:space="0" w:color="auto"/>
              <w:right w:val="nil"/>
            </w:tcBorders>
            <w:shd w:val="clear" w:color="000000" w:fill="000000"/>
            <w:vAlign w:val="center"/>
            <w:hideMark/>
          </w:tcPr>
          <w:p w14:paraId="7EDC259D"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319AD7C7" w14:textId="77777777" w:rsidTr="00D12B52">
        <w:trPr>
          <w:trHeight w:val="328"/>
        </w:trPr>
        <w:tc>
          <w:tcPr>
            <w:tcW w:w="2073" w:type="dxa"/>
            <w:tcBorders>
              <w:top w:val="nil"/>
              <w:left w:val="nil"/>
              <w:bottom w:val="nil"/>
              <w:right w:val="nil"/>
            </w:tcBorders>
            <w:shd w:val="clear" w:color="auto" w:fill="auto"/>
            <w:noWrap/>
            <w:vAlign w:val="bottom"/>
            <w:hideMark/>
          </w:tcPr>
          <w:p w14:paraId="209D6D3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127" w:type="dxa"/>
            <w:tcBorders>
              <w:top w:val="nil"/>
              <w:left w:val="nil"/>
              <w:bottom w:val="nil"/>
              <w:right w:val="nil"/>
            </w:tcBorders>
            <w:shd w:val="clear" w:color="auto" w:fill="auto"/>
            <w:noWrap/>
            <w:vAlign w:val="center"/>
            <w:hideMark/>
          </w:tcPr>
          <w:p w14:paraId="52728F39" w14:textId="77777777" w:rsidR="005C5CED" w:rsidRPr="005C5CED" w:rsidRDefault="005C5CED" w:rsidP="005C5CED">
            <w:pPr>
              <w:spacing w:after="0" w:line="240" w:lineRule="auto"/>
              <w:rPr>
                <w:rFonts w:eastAsia="Times New Roman" w:cs="Arial"/>
                <w:b/>
                <w:bCs/>
                <w:color w:val="auto"/>
                <w:sz w:val="14"/>
                <w:szCs w:val="14"/>
                <w:lang w:eastAsia="en-AU"/>
              </w:rPr>
            </w:pPr>
            <w:r w:rsidRPr="005C5CED">
              <w:rPr>
                <w:rFonts w:eastAsia="Times New Roman" w:cs="Arial"/>
                <w:b/>
                <w:bCs/>
                <w:color w:val="auto"/>
                <w:sz w:val="14"/>
                <w:szCs w:val="14"/>
                <w:lang w:eastAsia="en-AU"/>
              </w:rPr>
              <w:t> </w:t>
            </w:r>
          </w:p>
        </w:tc>
        <w:tc>
          <w:tcPr>
            <w:tcW w:w="762" w:type="dxa"/>
            <w:tcBorders>
              <w:top w:val="nil"/>
              <w:left w:val="nil"/>
              <w:bottom w:val="nil"/>
              <w:right w:val="nil"/>
            </w:tcBorders>
            <w:shd w:val="clear" w:color="auto" w:fill="auto"/>
            <w:vAlign w:val="center"/>
            <w:hideMark/>
          </w:tcPr>
          <w:p w14:paraId="0FED4DCF" w14:textId="77777777" w:rsidR="005C5CED" w:rsidRPr="005C5CED" w:rsidRDefault="005C5CED" w:rsidP="005C5CED">
            <w:pPr>
              <w:spacing w:after="0" w:line="240" w:lineRule="auto"/>
              <w:jc w:val="right"/>
              <w:rPr>
                <w:rFonts w:eastAsia="Times New Roman" w:cs="Arial"/>
                <w:b/>
                <w:bCs/>
                <w:color w:val="auto"/>
                <w:sz w:val="14"/>
                <w:szCs w:val="14"/>
                <w:lang w:eastAsia="en-AU"/>
              </w:rPr>
            </w:pPr>
            <w:r w:rsidRPr="005C5CED">
              <w:rPr>
                <w:rFonts w:eastAsia="Times New Roman" w:cs="Arial"/>
                <w:b/>
                <w:bCs/>
                <w:color w:val="auto"/>
                <w:sz w:val="14"/>
                <w:szCs w:val="14"/>
                <w:lang w:eastAsia="en-AU"/>
              </w:rPr>
              <w:t> </w:t>
            </w:r>
          </w:p>
        </w:tc>
        <w:tc>
          <w:tcPr>
            <w:tcW w:w="1361" w:type="dxa"/>
            <w:tcBorders>
              <w:top w:val="nil"/>
              <w:left w:val="nil"/>
              <w:bottom w:val="nil"/>
              <w:right w:val="nil"/>
            </w:tcBorders>
            <w:shd w:val="clear" w:color="auto" w:fill="auto"/>
            <w:vAlign w:val="center"/>
            <w:hideMark/>
          </w:tcPr>
          <w:p w14:paraId="1DCEB859" w14:textId="77777777" w:rsidR="005C5CED" w:rsidRPr="005C5CED" w:rsidRDefault="005C5CED" w:rsidP="005C5CED">
            <w:pPr>
              <w:spacing w:after="0" w:line="240" w:lineRule="auto"/>
              <w:jc w:val="right"/>
              <w:rPr>
                <w:rFonts w:eastAsia="Times New Roman" w:cs="Arial"/>
                <w:b/>
                <w:bCs/>
                <w:color w:val="auto"/>
                <w:sz w:val="14"/>
                <w:szCs w:val="14"/>
                <w:lang w:eastAsia="en-AU"/>
              </w:rPr>
            </w:pPr>
            <w:r w:rsidRPr="005C5CED">
              <w:rPr>
                <w:rFonts w:eastAsia="Times New Roman" w:cs="Arial"/>
                <w:b/>
                <w:bCs/>
                <w:color w:val="auto"/>
                <w:sz w:val="14"/>
                <w:szCs w:val="14"/>
                <w:lang w:eastAsia="en-AU"/>
              </w:rPr>
              <w:t> </w:t>
            </w:r>
          </w:p>
        </w:tc>
        <w:tc>
          <w:tcPr>
            <w:tcW w:w="1255" w:type="dxa"/>
            <w:tcBorders>
              <w:top w:val="nil"/>
              <w:left w:val="nil"/>
              <w:bottom w:val="nil"/>
              <w:right w:val="nil"/>
            </w:tcBorders>
            <w:vAlign w:val="center"/>
          </w:tcPr>
          <w:p w14:paraId="1E82E003" w14:textId="77777777" w:rsidR="005C5CED" w:rsidRPr="005C5CED" w:rsidRDefault="005C5CED" w:rsidP="005C5CED">
            <w:pPr>
              <w:spacing w:after="0" w:line="240" w:lineRule="auto"/>
              <w:jc w:val="right"/>
              <w:rPr>
                <w:rFonts w:eastAsia="Times New Roman" w:cs="Arial"/>
                <w:b/>
                <w:bCs/>
                <w:color w:val="auto"/>
                <w:sz w:val="14"/>
                <w:szCs w:val="14"/>
                <w:lang w:eastAsia="en-AU"/>
              </w:rPr>
            </w:pPr>
            <w:r w:rsidRPr="005C5CED">
              <w:rPr>
                <w:rFonts w:eastAsia="Times New Roman" w:cs="Arial"/>
                <w:b/>
                <w:bCs/>
                <w:color w:val="auto"/>
                <w:sz w:val="14"/>
                <w:szCs w:val="14"/>
                <w:lang w:eastAsia="en-AU"/>
              </w:rPr>
              <w:t> </w:t>
            </w:r>
          </w:p>
        </w:tc>
        <w:tc>
          <w:tcPr>
            <w:tcW w:w="991" w:type="dxa"/>
            <w:tcBorders>
              <w:top w:val="nil"/>
              <w:left w:val="nil"/>
              <w:bottom w:val="nil"/>
              <w:right w:val="nil"/>
            </w:tcBorders>
            <w:shd w:val="clear" w:color="auto" w:fill="auto"/>
            <w:vAlign w:val="center"/>
            <w:hideMark/>
          </w:tcPr>
          <w:p w14:paraId="1DD896FA" w14:textId="77777777" w:rsidR="005C5CED" w:rsidRPr="005C5CED" w:rsidRDefault="005C5CED" w:rsidP="005C5CED">
            <w:pPr>
              <w:spacing w:after="0" w:line="240" w:lineRule="auto"/>
              <w:jc w:val="right"/>
              <w:rPr>
                <w:rFonts w:eastAsia="Times New Roman" w:cs="Arial"/>
                <w:b/>
                <w:bCs/>
                <w:color w:val="auto"/>
                <w:sz w:val="14"/>
                <w:szCs w:val="14"/>
                <w:lang w:eastAsia="en-AU"/>
              </w:rPr>
            </w:pPr>
            <w:r w:rsidRPr="005C5CED">
              <w:rPr>
                <w:rFonts w:eastAsia="Times New Roman" w:cs="Arial"/>
                <w:b/>
                <w:bCs/>
                <w:color w:val="auto"/>
                <w:sz w:val="14"/>
                <w:szCs w:val="14"/>
                <w:lang w:eastAsia="en-AU"/>
              </w:rPr>
              <w:t> </w:t>
            </w:r>
          </w:p>
        </w:tc>
        <w:tc>
          <w:tcPr>
            <w:tcW w:w="1178" w:type="dxa"/>
            <w:tcBorders>
              <w:top w:val="nil"/>
              <w:left w:val="nil"/>
              <w:bottom w:val="nil"/>
              <w:right w:val="nil"/>
            </w:tcBorders>
            <w:shd w:val="clear" w:color="auto" w:fill="auto"/>
            <w:vAlign w:val="center"/>
            <w:hideMark/>
          </w:tcPr>
          <w:p w14:paraId="1924BE07" w14:textId="77777777" w:rsidR="005C5CED" w:rsidRPr="005C5CED" w:rsidRDefault="005C5CED" w:rsidP="005C5CED">
            <w:pPr>
              <w:spacing w:after="0" w:line="240" w:lineRule="auto"/>
              <w:jc w:val="right"/>
              <w:rPr>
                <w:rFonts w:eastAsia="Times New Roman" w:cs="Arial"/>
                <w:b/>
                <w:bCs/>
                <w:color w:val="auto"/>
                <w:sz w:val="14"/>
                <w:szCs w:val="14"/>
                <w:lang w:eastAsia="en-AU"/>
              </w:rPr>
            </w:pPr>
            <w:r w:rsidRPr="005C5CED">
              <w:rPr>
                <w:rFonts w:eastAsia="Times New Roman" w:cs="Arial"/>
                <w:b/>
                <w:bCs/>
                <w:color w:val="auto"/>
                <w:sz w:val="14"/>
                <w:szCs w:val="14"/>
                <w:lang w:eastAsia="en-AU"/>
              </w:rPr>
              <w:t> </w:t>
            </w:r>
          </w:p>
        </w:tc>
      </w:tr>
      <w:tr w:rsidR="005C5CED" w:rsidRPr="005C5CED" w14:paraId="3ED41B07" w14:textId="77777777" w:rsidTr="00D12B52">
        <w:trPr>
          <w:trHeight w:val="328"/>
        </w:trPr>
        <w:tc>
          <w:tcPr>
            <w:tcW w:w="2073" w:type="dxa"/>
            <w:tcBorders>
              <w:top w:val="nil"/>
              <w:left w:val="nil"/>
              <w:bottom w:val="nil"/>
              <w:right w:val="nil"/>
            </w:tcBorders>
            <w:shd w:val="clear" w:color="auto" w:fill="auto"/>
            <w:noWrap/>
            <w:vAlign w:val="bottom"/>
            <w:hideMark/>
          </w:tcPr>
          <w:p w14:paraId="1C54C0D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1127" w:type="dxa"/>
            <w:tcBorders>
              <w:top w:val="nil"/>
              <w:left w:val="nil"/>
              <w:bottom w:val="nil"/>
              <w:right w:val="nil"/>
            </w:tcBorders>
            <w:shd w:val="clear" w:color="auto" w:fill="auto"/>
            <w:noWrap/>
            <w:vAlign w:val="center"/>
          </w:tcPr>
          <w:p w14:paraId="7A76BFE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w:t>
            </w:r>
          </w:p>
        </w:tc>
        <w:tc>
          <w:tcPr>
            <w:tcW w:w="762" w:type="dxa"/>
            <w:tcBorders>
              <w:top w:val="nil"/>
              <w:left w:val="nil"/>
              <w:bottom w:val="nil"/>
              <w:right w:val="nil"/>
            </w:tcBorders>
            <w:shd w:val="clear" w:color="auto" w:fill="auto"/>
            <w:noWrap/>
            <w:vAlign w:val="center"/>
          </w:tcPr>
          <w:p w14:paraId="38AC41C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w:t>
            </w:r>
          </w:p>
        </w:tc>
        <w:tc>
          <w:tcPr>
            <w:tcW w:w="1361" w:type="dxa"/>
            <w:tcBorders>
              <w:top w:val="nil"/>
              <w:left w:val="nil"/>
              <w:bottom w:val="nil"/>
              <w:right w:val="nil"/>
            </w:tcBorders>
            <w:shd w:val="clear" w:color="auto" w:fill="auto"/>
            <w:noWrap/>
            <w:vAlign w:val="center"/>
          </w:tcPr>
          <w:p w14:paraId="43635E4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55" w:type="dxa"/>
            <w:tcBorders>
              <w:top w:val="nil"/>
              <w:left w:val="nil"/>
              <w:bottom w:val="nil"/>
              <w:right w:val="nil"/>
            </w:tcBorders>
            <w:vAlign w:val="center"/>
          </w:tcPr>
          <w:p w14:paraId="5625C45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991" w:type="dxa"/>
            <w:tcBorders>
              <w:top w:val="nil"/>
              <w:left w:val="nil"/>
              <w:bottom w:val="nil"/>
              <w:right w:val="nil"/>
            </w:tcBorders>
            <w:shd w:val="clear" w:color="auto" w:fill="auto"/>
            <w:noWrap/>
            <w:vAlign w:val="center"/>
          </w:tcPr>
          <w:p w14:paraId="01E9BD3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(22)</w:t>
            </w:r>
          </w:p>
        </w:tc>
        <w:tc>
          <w:tcPr>
            <w:tcW w:w="1178" w:type="dxa"/>
            <w:tcBorders>
              <w:top w:val="nil"/>
              <w:left w:val="nil"/>
              <w:bottom w:val="nil"/>
              <w:right w:val="nil"/>
            </w:tcBorders>
            <w:shd w:val="clear" w:color="auto" w:fill="auto"/>
            <w:noWrap/>
            <w:vAlign w:val="center"/>
          </w:tcPr>
          <w:p w14:paraId="7F0D5DC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w:t>
            </w:r>
          </w:p>
        </w:tc>
      </w:tr>
      <w:tr w:rsidR="005C5CED" w:rsidRPr="005C5CED" w14:paraId="69E5E297" w14:textId="77777777" w:rsidTr="00D12B52">
        <w:trPr>
          <w:trHeight w:val="328"/>
        </w:trPr>
        <w:tc>
          <w:tcPr>
            <w:tcW w:w="2073" w:type="dxa"/>
            <w:tcBorders>
              <w:top w:val="nil"/>
              <w:left w:val="nil"/>
              <w:bottom w:val="nil"/>
              <w:right w:val="nil"/>
            </w:tcBorders>
            <w:shd w:val="clear" w:color="auto" w:fill="auto"/>
            <w:noWrap/>
            <w:vAlign w:val="bottom"/>
            <w:hideMark/>
          </w:tcPr>
          <w:p w14:paraId="6A1DA3B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1127" w:type="dxa"/>
            <w:tcBorders>
              <w:top w:val="nil"/>
              <w:left w:val="nil"/>
              <w:bottom w:val="nil"/>
              <w:right w:val="nil"/>
            </w:tcBorders>
            <w:shd w:val="clear" w:color="auto" w:fill="auto"/>
            <w:noWrap/>
            <w:vAlign w:val="center"/>
          </w:tcPr>
          <w:p w14:paraId="0E1DE0C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158</w:t>
            </w:r>
          </w:p>
        </w:tc>
        <w:tc>
          <w:tcPr>
            <w:tcW w:w="762" w:type="dxa"/>
            <w:tcBorders>
              <w:top w:val="nil"/>
              <w:left w:val="nil"/>
              <w:bottom w:val="nil"/>
              <w:right w:val="nil"/>
            </w:tcBorders>
            <w:shd w:val="clear" w:color="auto" w:fill="auto"/>
            <w:noWrap/>
            <w:vAlign w:val="center"/>
          </w:tcPr>
          <w:p w14:paraId="2B45B2A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55</w:t>
            </w:r>
          </w:p>
        </w:tc>
        <w:tc>
          <w:tcPr>
            <w:tcW w:w="1361" w:type="dxa"/>
            <w:tcBorders>
              <w:top w:val="nil"/>
              <w:left w:val="nil"/>
              <w:bottom w:val="nil"/>
              <w:right w:val="nil"/>
            </w:tcBorders>
            <w:shd w:val="clear" w:color="auto" w:fill="auto"/>
            <w:noWrap/>
            <w:vAlign w:val="center"/>
          </w:tcPr>
          <w:p w14:paraId="2BE266A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55" w:type="dxa"/>
            <w:tcBorders>
              <w:top w:val="nil"/>
              <w:left w:val="nil"/>
              <w:bottom w:val="nil"/>
              <w:right w:val="nil"/>
            </w:tcBorders>
            <w:vAlign w:val="center"/>
          </w:tcPr>
          <w:p w14:paraId="278946A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991" w:type="dxa"/>
            <w:tcBorders>
              <w:top w:val="nil"/>
              <w:left w:val="nil"/>
              <w:bottom w:val="nil"/>
              <w:right w:val="nil"/>
            </w:tcBorders>
            <w:shd w:val="clear" w:color="auto" w:fill="auto"/>
            <w:noWrap/>
            <w:vAlign w:val="center"/>
          </w:tcPr>
          <w:p w14:paraId="58672AC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(97)</w:t>
            </w:r>
          </w:p>
        </w:tc>
        <w:tc>
          <w:tcPr>
            <w:tcW w:w="1178" w:type="dxa"/>
            <w:tcBorders>
              <w:top w:val="nil"/>
              <w:left w:val="nil"/>
              <w:bottom w:val="nil"/>
              <w:right w:val="nil"/>
            </w:tcBorders>
            <w:shd w:val="clear" w:color="auto" w:fill="auto"/>
            <w:noWrap/>
            <w:vAlign w:val="center"/>
          </w:tcPr>
          <w:p w14:paraId="08E23A5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116</w:t>
            </w:r>
          </w:p>
        </w:tc>
      </w:tr>
      <w:tr w:rsidR="005C5CED" w:rsidRPr="005C5CED" w14:paraId="0D485F40" w14:textId="77777777" w:rsidTr="00D12B52">
        <w:trPr>
          <w:trHeight w:val="328"/>
        </w:trPr>
        <w:tc>
          <w:tcPr>
            <w:tcW w:w="2073" w:type="dxa"/>
            <w:tcBorders>
              <w:top w:val="nil"/>
              <w:left w:val="nil"/>
              <w:right w:val="nil"/>
            </w:tcBorders>
            <w:shd w:val="clear" w:color="auto" w:fill="auto"/>
            <w:noWrap/>
            <w:vAlign w:val="center"/>
            <w:hideMark/>
          </w:tcPr>
          <w:p w14:paraId="3332AEC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Buildings (right-of-use asset)</w:t>
            </w:r>
          </w:p>
        </w:tc>
        <w:tc>
          <w:tcPr>
            <w:tcW w:w="1127" w:type="dxa"/>
            <w:tcBorders>
              <w:top w:val="nil"/>
              <w:left w:val="nil"/>
              <w:right w:val="nil"/>
            </w:tcBorders>
            <w:shd w:val="clear" w:color="auto" w:fill="auto"/>
            <w:noWrap/>
            <w:vAlign w:val="center"/>
          </w:tcPr>
          <w:p w14:paraId="3A67955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17,919</w:t>
            </w:r>
          </w:p>
        </w:tc>
        <w:tc>
          <w:tcPr>
            <w:tcW w:w="762" w:type="dxa"/>
            <w:tcBorders>
              <w:top w:val="nil"/>
              <w:left w:val="nil"/>
              <w:right w:val="nil"/>
            </w:tcBorders>
            <w:shd w:val="clear" w:color="auto" w:fill="auto"/>
            <w:noWrap/>
            <w:vAlign w:val="center"/>
          </w:tcPr>
          <w:p w14:paraId="32D8A89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361" w:type="dxa"/>
            <w:tcBorders>
              <w:top w:val="nil"/>
              <w:left w:val="nil"/>
              <w:right w:val="nil"/>
            </w:tcBorders>
            <w:shd w:val="clear" w:color="auto" w:fill="auto"/>
            <w:noWrap/>
            <w:vAlign w:val="center"/>
          </w:tcPr>
          <w:p w14:paraId="3CC839A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(2,198)</w:t>
            </w:r>
          </w:p>
        </w:tc>
        <w:tc>
          <w:tcPr>
            <w:tcW w:w="1255" w:type="dxa"/>
            <w:tcBorders>
              <w:top w:val="nil"/>
              <w:left w:val="nil"/>
              <w:right w:val="nil"/>
            </w:tcBorders>
            <w:vAlign w:val="center"/>
          </w:tcPr>
          <w:p w14:paraId="6858166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(9,779)</w:t>
            </w:r>
          </w:p>
        </w:tc>
        <w:tc>
          <w:tcPr>
            <w:tcW w:w="991" w:type="dxa"/>
            <w:tcBorders>
              <w:top w:val="nil"/>
              <w:left w:val="nil"/>
              <w:right w:val="nil"/>
            </w:tcBorders>
            <w:shd w:val="clear" w:color="auto" w:fill="auto"/>
            <w:noWrap/>
            <w:vAlign w:val="center"/>
          </w:tcPr>
          <w:p w14:paraId="1661493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(1,937)</w:t>
            </w:r>
          </w:p>
        </w:tc>
        <w:tc>
          <w:tcPr>
            <w:tcW w:w="1178" w:type="dxa"/>
            <w:tcBorders>
              <w:top w:val="nil"/>
              <w:left w:val="nil"/>
              <w:right w:val="nil"/>
            </w:tcBorders>
            <w:shd w:val="clear" w:color="auto" w:fill="auto"/>
            <w:noWrap/>
            <w:vAlign w:val="center"/>
          </w:tcPr>
          <w:p w14:paraId="2D43636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4,005</w:t>
            </w:r>
          </w:p>
        </w:tc>
      </w:tr>
      <w:tr w:rsidR="005C5CED" w:rsidRPr="005C5CED" w14:paraId="7ACB3FF4" w14:textId="77777777" w:rsidTr="00D12B52">
        <w:trPr>
          <w:trHeight w:val="328"/>
        </w:trPr>
        <w:tc>
          <w:tcPr>
            <w:tcW w:w="2073" w:type="dxa"/>
            <w:tcBorders>
              <w:top w:val="nil"/>
              <w:left w:val="nil"/>
              <w:bottom w:val="single" w:sz="4" w:space="0" w:color="auto"/>
              <w:right w:val="nil"/>
            </w:tcBorders>
            <w:shd w:val="clear" w:color="auto" w:fill="auto"/>
            <w:noWrap/>
            <w:vAlign w:val="center"/>
            <w:hideMark/>
          </w:tcPr>
          <w:p w14:paraId="2C7ADA0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Leasehold improvements</w:t>
            </w:r>
          </w:p>
        </w:tc>
        <w:tc>
          <w:tcPr>
            <w:tcW w:w="1127" w:type="dxa"/>
            <w:tcBorders>
              <w:top w:val="nil"/>
              <w:left w:val="nil"/>
              <w:bottom w:val="single" w:sz="4" w:space="0" w:color="auto"/>
              <w:right w:val="nil"/>
            </w:tcBorders>
            <w:shd w:val="clear" w:color="auto" w:fill="auto"/>
            <w:noWrap/>
            <w:vAlign w:val="center"/>
          </w:tcPr>
          <w:p w14:paraId="000A950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248</w:t>
            </w:r>
          </w:p>
        </w:tc>
        <w:tc>
          <w:tcPr>
            <w:tcW w:w="762" w:type="dxa"/>
            <w:tcBorders>
              <w:top w:val="nil"/>
              <w:left w:val="nil"/>
              <w:bottom w:val="single" w:sz="4" w:space="0" w:color="auto"/>
              <w:right w:val="nil"/>
            </w:tcBorders>
            <w:shd w:val="clear" w:color="auto" w:fill="auto"/>
            <w:noWrap/>
            <w:vAlign w:val="center"/>
          </w:tcPr>
          <w:p w14:paraId="31043BF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361" w:type="dxa"/>
            <w:tcBorders>
              <w:top w:val="nil"/>
              <w:left w:val="nil"/>
              <w:bottom w:val="single" w:sz="4" w:space="0" w:color="auto"/>
              <w:right w:val="nil"/>
            </w:tcBorders>
            <w:shd w:val="clear" w:color="auto" w:fill="auto"/>
            <w:noWrap/>
            <w:vAlign w:val="center"/>
          </w:tcPr>
          <w:p w14:paraId="0A7DF17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55" w:type="dxa"/>
            <w:tcBorders>
              <w:top w:val="nil"/>
              <w:left w:val="nil"/>
              <w:bottom w:val="single" w:sz="4" w:space="0" w:color="auto"/>
              <w:right w:val="nil"/>
            </w:tcBorders>
            <w:vAlign w:val="center"/>
          </w:tcPr>
          <w:p w14:paraId="1CA61FB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991" w:type="dxa"/>
            <w:tcBorders>
              <w:top w:val="nil"/>
              <w:left w:val="nil"/>
              <w:bottom w:val="single" w:sz="4" w:space="0" w:color="auto"/>
              <w:right w:val="nil"/>
            </w:tcBorders>
            <w:shd w:val="clear" w:color="auto" w:fill="auto"/>
            <w:noWrap/>
            <w:vAlign w:val="center"/>
          </w:tcPr>
          <w:p w14:paraId="2C1B075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(64)</w:t>
            </w:r>
          </w:p>
        </w:tc>
        <w:tc>
          <w:tcPr>
            <w:tcW w:w="1178" w:type="dxa"/>
            <w:tcBorders>
              <w:top w:val="nil"/>
              <w:left w:val="nil"/>
              <w:bottom w:val="single" w:sz="4" w:space="0" w:color="auto"/>
              <w:right w:val="nil"/>
            </w:tcBorders>
            <w:shd w:val="clear" w:color="auto" w:fill="auto"/>
            <w:noWrap/>
            <w:vAlign w:val="center"/>
          </w:tcPr>
          <w:p w14:paraId="23F4A0D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184</w:t>
            </w:r>
          </w:p>
        </w:tc>
      </w:tr>
      <w:tr w:rsidR="005C5CED" w:rsidRPr="005C5CED" w14:paraId="0C0BF9F9" w14:textId="77777777" w:rsidTr="00D12B52">
        <w:trPr>
          <w:trHeight w:val="328"/>
        </w:trPr>
        <w:tc>
          <w:tcPr>
            <w:tcW w:w="2073" w:type="dxa"/>
            <w:tcBorders>
              <w:top w:val="single" w:sz="4" w:space="0" w:color="auto"/>
              <w:left w:val="nil"/>
              <w:bottom w:val="single" w:sz="8" w:space="0" w:color="auto"/>
              <w:right w:val="nil"/>
            </w:tcBorders>
            <w:shd w:val="clear" w:color="auto" w:fill="auto"/>
            <w:noWrap/>
            <w:vAlign w:val="center"/>
            <w:hideMark/>
          </w:tcPr>
          <w:p w14:paraId="62616A6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w:t>
            </w:r>
          </w:p>
        </w:tc>
        <w:tc>
          <w:tcPr>
            <w:tcW w:w="1127" w:type="dxa"/>
            <w:tcBorders>
              <w:top w:val="single" w:sz="4" w:space="0" w:color="auto"/>
              <w:left w:val="nil"/>
              <w:bottom w:val="single" w:sz="8" w:space="0" w:color="auto"/>
              <w:right w:val="nil"/>
            </w:tcBorders>
            <w:shd w:val="clear" w:color="auto" w:fill="auto"/>
            <w:noWrap/>
            <w:vAlign w:val="center"/>
          </w:tcPr>
          <w:p w14:paraId="4E3BC78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18,355</w:t>
            </w:r>
          </w:p>
        </w:tc>
        <w:tc>
          <w:tcPr>
            <w:tcW w:w="762" w:type="dxa"/>
            <w:tcBorders>
              <w:top w:val="single" w:sz="4" w:space="0" w:color="auto"/>
              <w:left w:val="nil"/>
              <w:bottom w:val="single" w:sz="8" w:space="0" w:color="auto"/>
              <w:right w:val="nil"/>
            </w:tcBorders>
            <w:shd w:val="clear" w:color="auto" w:fill="auto"/>
            <w:noWrap/>
            <w:vAlign w:val="center"/>
          </w:tcPr>
          <w:p w14:paraId="6661BB1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58</w:t>
            </w:r>
          </w:p>
        </w:tc>
        <w:tc>
          <w:tcPr>
            <w:tcW w:w="1361" w:type="dxa"/>
            <w:tcBorders>
              <w:top w:val="single" w:sz="4" w:space="0" w:color="auto"/>
              <w:left w:val="nil"/>
              <w:bottom w:val="single" w:sz="8" w:space="0" w:color="auto"/>
              <w:right w:val="nil"/>
            </w:tcBorders>
            <w:shd w:val="clear" w:color="auto" w:fill="auto"/>
            <w:noWrap/>
            <w:vAlign w:val="center"/>
          </w:tcPr>
          <w:p w14:paraId="4E542F2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(2,198)</w:t>
            </w:r>
          </w:p>
        </w:tc>
        <w:tc>
          <w:tcPr>
            <w:tcW w:w="1255" w:type="dxa"/>
            <w:tcBorders>
              <w:top w:val="single" w:sz="4" w:space="0" w:color="auto"/>
              <w:left w:val="nil"/>
              <w:bottom w:val="single" w:sz="8" w:space="0" w:color="auto"/>
              <w:right w:val="nil"/>
            </w:tcBorders>
            <w:vAlign w:val="center"/>
          </w:tcPr>
          <w:p w14:paraId="0EA219C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(9,779)</w:t>
            </w:r>
          </w:p>
        </w:tc>
        <w:tc>
          <w:tcPr>
            <w:tcW w:w="991" w:type="dxa"/>
            <w:tcBorders>
              <w:top w:val="single" w:sz="4" w:space="0" w:color="auto"/>
              <w:left w:val="nil"/>
              <w:bottom w:val="single" w:sz="8" w:space="0" w:color="auto"/>
              <w:right w:val="nil"/>
            </w:tcBorders>
            <w:shd w:val="clear" w:color="auto" w:fill="auto"/>
            <w:noWrap/>
            <w:vAlign w:val="center"/>
          </w:tcPr>
          <w:p w14:paraId="7BC2BD2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(2,120)</w:t>
            </w:r>
          </w:p>
        </w:tc>
        <w:tc>
          <w:tcPr>
            <w:tcW w:w="1178" w:type="dxa"/>
            <w:tcBorders>
              <w:top w:val="single" w:sz="4" w:space="0" w:color="auto"/>
              <w:left w:val="nil"/>
              <w:bottom w:val="single" w:sz="8" w:space="0" w:color="auto"/>
              <w:right w:val="nil"/>
            </w:tcBorders>
            <w:shd w:val="clear" w:color="auto" w:fill="auto"/>
            <w:noWrap/>
            <w:vAlign w:val="center"/>
          </w:tcPr>
          <w:p w14:paraId="78DE87C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4,316</w:t>
            </w:r>
          </w:p>
        </w:tc>
      </w:tr>
      <w:tr w:rsidR="005C5CED" w:rsidRPr="005C5CED" w14:paraId="6220D8C3" w14:textId="77777777" w:rsidTr="00D12B52">
        <w:trPr>
          <w:trHeight w:val="328"/>
        </w:trPr>
        <w:tc>
          <w:tcPr>
            <w:tcW w:w="2073" w:type="dxa"/>
            <w:tcBorders>
              <w:top w:val="nil"/>
              <w:left w:val="nil"/>
              <w:bottom w:val="nil"/>
              <w:right w:val="nil"/>
            </w:tcBorders>
            <w:shd w:val="clear" w:color="auto" w:fill="auto"/>
            <w:noWrap/>
            <w:vAlign w:val="bottom"/>
            <w:hideMark/>
          </w:tcPr>
          <w:p w14:paraId="428171B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127" w:type="dxa"/>
            <w:tcBorders>
              <w:top w:val="nil"/>
              <w:left w:val="nil"/>
              <w:bottom w:val="nil"/>
              <w:right w:val="nil"/>
            </w:tcBorders>
            <w:shd w:val="clear" w:color="auto" w:fill="auto"/>
            <w:noWrap/>
            <w:vAlign w:val="bottom"/>
            <w:hideMark/>
          </w:tcPr>
          <w:p w14:paraId="7AF546E8"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762" w:type="dxa"/>
            <w:tcBorders>
              <w:top w:val="nil"/>
              <w:left w:val="nil"/>
              <w:bottom w:val="nil"/>
              <w:right w:val="nil"/>
            </w:tcBorders>
            <w:shd w:val="clear" w:color="auto" w:fill="auto"/>
            <w:noWrap/>
            <w:vAlign w:val="bottom"/>
            <w:hideMark/>
          </w:tcPr>
          <w:p w14:paraId="2EAE3E0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361" w:type="dxa"/>
            <w:tcBorders>
              <w:top w:val="nil"/>
              <w:left w:val="nil"/>
              <w:bottom w:val="nil"/>
              <w:right w:val="nil"/>
            </w:tcBorders>
            <w:shd w:val="clear" w:color="auto" w:fill="auto"/>
            <w:noWrap/>
            <w:vAlign w:val="bottom"/>
            <w:hideMark/>
          </w:tcPr>
          <w:p w14:paraId="6D8E3CE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55" w:type="dxa"/>
            <w:tcBorders>
              <w:top w:val="nil"/>
              <w:left w:val="nil"/>
              <w:bottom w:val="nil"/>
              <w:right w:val="nil"/>
            </w:tcBorders>
          </w:tcPr>
          <w:p w14:paraId="04C24F45" w14:textId="77777777" w:rsidR="005C5CED" w:rsidRPr="005C5CED" w:rsidRDefault="005C5CED" w:rsidP="005C5CED">
            <w:pPr>
              <w:spacing w:after="0" w:line="240" w:lineRule="auto"/>
              <w:rPr>
                <w:rFonts w:eastAsia="Times New Roman" w:cs="Arial"/>
                <w:color w:val="auto"/>
                <w:sz w:val="16"/>
                <w:szCs w:val="16"/>
                <w:lang w:eastAsia="en-AU"/>
              </w:rPr>
            </w:pPr>
          </w:p>
        </w:tc>
        <w:tc>
          <w:tcPr>
            <w:tcW w:w="991" w:type="dxa"/>
            <w:tcBorders>
              <w:top w:val="nil"/>
              <w:left w:val="nil"/>
              <w:bottom w:val="nil"/>
              <w:right w:val="nil"/>
            </w:tcBorders>
            <w:shd w:val="clear" w:color="auto" w:fill="auto"/>
            <w:noWrap/>
            <w:vAlign w:val="bottom"/>
            <w:hideMark/>
          </w:tcPr>
          <w:p w14:paraId="2D67C12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78" w:type="dxa"/>
            <w:tcBorders>
              <w:top w:val="nil"/>
              <w:left w:val="nil"/>
              <w:bottom w:val="nil"/>
              <w:right w:val="nil"/>
            </w:tcBorders>
            <w:shd w:val="clear" w:color="auto" w:fill="auto"/>
            <w:noWrap/>
            <w:vAlign w:val="bottom"/>
            <w:hideMark/>
          </w:tcPr>
          <w:p w14:paraId="006948F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05D3C7CD" w14:textId="77777777" w:rsidTr="00D12B52">
        <w:trPr>
          <w:trHeight w:val="328"/>
        </w:trPr>
        <w:tc>
          <w:tcPr>
            <w:tcW w:w="2073" w:type="dxa"/>
            <w:tcBorders>
              <w:top w:val="nil"/>
              <w:left w:val="nil"/>
              <w:bottom w:val="nil"/>
              <w:right w:val="nil"/>
            </w:tcBorders>
            <w:shd w:val="clear" w:color="auto" w:fill="auto"/>
            <w:noWrap/>
            <w:vAlign w:val="bottom"/>
            <w:hideMark/>
          </w:tcPr>
          <w:p w14:paraId="2128910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1127" w:type="dxa"/>
            <w:tcBorders>
              <w:top w:val="nil"/>
              <w:left w:val="nil"/>
              <w:bottom w:val="nil"/>
              <w:right w:val="nil"/>
            </w:tcBorders>
            <w:shd w:val="clear" w:color="auto" w:fill="auto"/>
            <w:noWrap/>
            <w:vAlign w:val="center"/>
            <w:hideMark/>
          </w:tcPr>
          <w:p w14:paraId="2C516A4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w:t>
            </w:r>
          </w:p>
        </w:tc>
        <w:tc>
          <w:tcPr>
            <w:tcW w:w="762" w:type="dxa"/>
            <w:tcBorders>
              <w:top w:val="nil"/>
              <w:left w:val="nil"/>
              <w:bottom w:val="nil"/>
              <w:right w:val="nil"/>
            </w:tcBorders>
            <w:shd w:val="clear" w:color="000000" w:fill="E7E6E6"/>
            <w:noWrap/>
            <w:vAlign w:val="center"/>
            <w:hideMark/>
          </w:tcPr>
          <w:p w14:paraId="4A66F55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w:t>
            </w:r>
          </w:p>
        </w:tc>
        <w:tc>
          <w:tcPr>
            <w:tcW w:w="1361" w:type="dxa"/>
            <w:tcBorders>
              <w:top w:val="nil"/>
              <w:left w:val="nil"/>
              <w:bottom w:val="nil"/>
              <w:right w:val="nil"/>
            </w:tcBorders>
            <w:shd w:val="clear" w:color="000000" w:fill="E7E6E6"/>
            <w:noWrap/>
            <w:vAlign w:val="center"/>
            <w:hideMark/>
          </w:tcPr>
          <w:p w14:paraId="6ADFED3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55" w:type="dxa"/>
            <w:tcBorders>
              <w:top w:val="nil"/>
              <w:left w:val="nil"/>
              <w:bottom w:val="nil"/>
              <w:right w:val="nil"/>
            </w:tcBorders>
            <w:shd w:val="clear" w:color="000000" w:fill="E7E6E6"/>
            <w:vAlign w:val="center"/>
          </w:tcPr>
          <w:p w14:paraId="2B9D320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991" w:type="dxa"/>
            <w:tcBorders>
              <w:top w:val="nil"/>
              <w:left w:val="nil"/>
              <w:bottom w:val="nil"/>
              <w:right w:val="nil"/>
            </w:tcBorders>
            <w:shd w:val="clear" w:color="000000" w:fill="E7E6E6"/>
            <w:noWrap/>
            <w:vAlign w:val="center"/>
            <w:hideMark/>
          </w:tcPr>
          <w:p w14:paraId="4895DDF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(34)</w:t>
            </w:r>
          </w:p>
        </w:tc>
        <w:tc>
          <w:tcPr>
            <w:tcW w:w="1178" w:type="dxa"/>
            <w:tcBorders>
              <w:top w:val="nil"/>
              <w:left w:val="nil"/>
              <w:bottom w:val="nil"/>
              <w:right w:val="nil"/>
            </w:tcBorders>
            <w:shd w:val="clear" w:color="000000" w:fill="E7E6E6"/>
            <w:noWrap/>
            <w:vAlign w:val="center"/>
            <w:hideMark/>
          </w:tcPr>
          <w:p w14:paraId="3871EE6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b/>
                <w:bCs/>
                <w:color w:val="auto"/>
                <w:sz w:val="16"/>
                <w:szCs w:val="16"/>
                <w:lang w:eastAsia="en-AU"/>
              </w:rPr>
              <w:t>30</w:t>
            </w:r>
          </w:p>
        </w:tc>
      </w:tr>
      <w:tr w:rsidR="005C5CED" w:rsidRPr="005C5CED" w14:paraId="16E611E3" w14:textId="77777777" w:rsidTr="00D12B52">
        <w:trPr>
          <w:trHeight w:val="328"/>
        </w:trPr>
        <w:tc>
          <w:tcPr>
            <w:tcW w:w="2073" w:type="dxa"/>
            <w:tcBorders>
              <w:top w:val="nil"/>
              <w:left w:val="nil"/>
              <w:bottom w:val="nil"/>
              <w:right w:val="nil"/>
            </w:tcBorders>
            <w:shd w:val="clear" w:color="auto" w:fill="auto"/>
            <w:noWrap/>
            <w:vAlign w:val="bottom"/>
            <w:hideMark/>
          </w:tcPr>
          <w:p w14:paraId="28A4C9E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1127" w:type="dxa"/>
            <w:tcBorders>
              <w:top w:val="nil"/>
              <w:left w:val="nil"/>
              <w:bottom w:val="nil"/>
              <w:right w:val="nil"/>
            </w:tcBorders>
            <w:shd w:val="clear" w:color="auto" w:fill="auto"/>
            <w:noWrap/>
            <w:vAlign w:val="center"/>
            <w:hideMark/>
          </w:tcPr>
          <w:p w14:paraId="54E2993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177</w:t>
            </w:r>
          </w:p>
        </w:tc>
        <w:tc>
          <w:tcPr>
            <w:tcW w:w="762" w:type="dxa"/>
            <w:tcBorders>
              <w:top w:val="nil"/>
              <w:left w:val="nil"/>
              <w:bottom w:val="nil"/>
              <w:right w:val="nil"/>
            </w:tcBorders>
            <w:shd w:val="clear" w:color="000000" w:fill="E7E6E6"/>
            <w:noWrap/>
            <w:vAlign w:val="center"/>
            <w:hideMark/>
          </w:tcPr>
          <w:p w14:paraId="141D3F0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73</w:t>
            </w:r>
          </w:p>
        </w:tc>
        <w:tc>
          <w:tcPr>
            <w:tcW w:w="1361" w:type="dxa"/>
            <w:tcBorders>
              <w:top w:val="nil"/>
              <w:left w:val="nil"/>
              <w:bottom w:val="nil"/>
              <w:right w:val="nil"/>
            </w:tcBorders>
            <w:shd w:val="clear" w:color="000000" w:fill="E7E6E6"/>
            <w:noWrap/>
            <w:vAlign w:val="center"/>
            <w:hideMark/>
          </w:tcPr>
          <w:p w14:paraId="4106E9A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55" w:type="dxa"/>
            <w:tcBorders>
              <w:top w:val="nil"/>
              <w:left w:val="nil"/>
              <w:bottom w:val="nil"/>
              <w:right w:val="nil"/>
            </w:tcBorders>
            <w:shd w:val="clear" w:color="000000" w:fill="E7E6E6"/>
            <w:vAlign w:val="center"/>
          </w:tcPr>
          <w:p w14:paraId="413E487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991" w:type="dxa"/>
            <w:tcBorders>
              <w:top w:val="nil"/>
              <w:left w:val="nil"/>
              <w:bottom w:val="nil"/>
              <w:right w:val="nil"/>
            </w:tcBorders>
            <w:shd w:val="clear" w:color="000000" w:fill="E7E6E6"/>
            <w:noWrap/>
            <w:vAlign w:val="center"/>
            <w:hideMark/>
          </w:tcPr>
          <w:p w14:paraId="0D6DE74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(92)</w:t>
            </w:r>
          </w:p>
        </w:tc>
        <w:tc>
          <w:tcPr>
            <w:tcW w:w="1178" w:type="dxa"/>
            <w:tcBorders>
              <w:top w:val="nil"/>
              <w:left w:val="nil"/>
              <w:bottom w:val="nil"/>
              <w:right w:val="nil"/>
            </w:tcBorders>
            <w:shd w:val="clear" w:color="000000" w:fill="E7E6E6"/>
            <w:noWrap/>
            <w:vAlign w:val="center"/>
            <w:hideMark/>
          </w:tcPr>
          <w:p w14:paraId="4C4F3D0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b/>
                <w:bCs/>
                <w:color w:val="auto"/>
                <w:sz w:val="16"/>
                <w:szCs w:val="16"/>
                <w:lang w:eastAsia="en-AU"/>
              </w:rPr>
              <w:t>158</w:t>
            </w:r>
          </w:p>
        </w:tc>
      </w:tr>
      <w:tr w:rsidR="005C5CED" w:rsidRPr="005C5CED" w14:paraId="34A50282" w14:textId="77777777" w:rsidTr="00D12B52">
        <w:trPr>
          <w:trHeight w:val="328"/>
        </w:trPr>
        <w:tc>
          <w:tcPr>
            <w:tcW w:w="2073" w:type="dxa"/>
            <w:tcBorders>
              <w:top w:val="nil"/>
              <w:left w:val="nil"/>
              <w:right w:val="nil"/>
            </w:tcBorders>
            <w:shd w:val="clear" w:color="auto" w:fill="auto"/>
            <w:noWrap/>
            <w:vAlign w:val="center"/>
            <w:hideMark/>
          </w:tcPr>
          <w:p w14:paraId="1348F61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Buildings (right-of-use asset)</w:t>
            </w:r>
          </w:p>
        </w:tc>
        <w:tc>
          <w:tcPr>
            <w:tcW w:w="1127" w:type="dxa"/>
            <w:tcBorders>
              <w:top w:val="nil"/>
              <w:left w:val="nil"/>
              <w:right w:val="nil"/>
            </w:tcBorders>
            <w:shd w:val="clear" w:color="auto" w:fill="auto"/>
            <w:noWrap/>
            <w:vAlign w:val="center"/>
            <w:hideMark/>
          </w:tcPr>
          <w:p w14:paraId="7116059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19,856</w:t>
            </w:r>
          </w:p>
        </w:tc>
        <w:tc>
          <w:tcPr>
            <w:tcW w:w="762" w:type="dxa"/>
            <w:tcBorders>
              <w:top w:val="nil"/>
              <w:left w:val="nil"/>
              <w:right w:val="nil"/>
            </w:tcBorders>
            <w:shd w:val="clear" w:color="000000" w:fill="E7E6E6"/>
            <w:noWrap/>
            <w:vAlign w:val="center"/>
            <w:hideMark/>
          </w:tcPr>
          <w:p w14:paraId="74E1F40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361" w:type="dxa"/>
            <w:tcBorders>
              <w:top w:val="nil"/>
              <w:left w:val="nil"/>
              <w:right w:val="nil"/>
            </w:tcBorders>
            <w:shd w:val="clear" w:color="000000" w:fill="E7E6E6"/>
            <w:noWrap/>
            <w:vAlign w:val="center"/>
            <w:hideMark/>
          </w:tcPr>
          <w:p w14:paraId="1B5CBAE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55" w:type="dxa"/>
            <w:tcBorders>
              <w:top w:val="nil"/>
              <w:left w:val="nil"/>
              <w:right w:val="nil"/>
            </w:tcBorders>
            <w:shd w:val="clear" w:color="000000" w:fill="E7E6E6"/>
            <w:vAlign w:val="center"/>
          </w:tcPr>
          <w:p w14:paraId="4F7A95C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991" w:type="dxa"/>
            <w:tcBorders>
              <w:top w:val="nil"/>
              <w:left w:val="nil"/>
              <w:right w:val="nil"/>
            </w:tcBorders>
            <w:shd w:val="clear" w:color="000000" w:fill="E7E6E6"/>
            <w:noWrap/>
            <w:vAlign w:val="center"/>
            <w:hideMark/>
          </w:tcPr>
          <w:p w14:paraId="2CD0715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(1,937)</w:t>
            </w:r>
          </w:p>
        </w:tc>
        <w:tc>
          <w:tcPr>
            <w:tcW w:w="1178" w:type="dxa"/>
            <w:tcBorders>
              <w:top w:val="nil"/>
              <w:left w:val="nil"/>
              <w:right w:val="nil"/>
            </w:tcBorders>
            <w:shd w:val="clear" w:color="000000" w:fill="E7E6E6"/>
            <w:noWrap/>
            <w:vAlign w:val="center"/>
            <w:hideMark/>
          </w:tcPr>
          <w:p w14:paraId="5399217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b/>
                <w:bCs/>
                <w:color w:val="auto"/>
                <w:sz w:val="16"/>
                <w:szCs w:val="16"/>
                <w:lang w:eastAsia="en-AU"/>
              </w:rPr>
              <w:t>17,919</w:t>
            </w:r>
          </w:p>
        </w:tc>
      </w:tr>
      <w:tr w:rsidR="005C5CED" w:rsidRPr="005C5CED" w14:paraId="7679CB41" w14:textId="77777777" w:rsidTr="00D12B52">
        <w:trPr>
          <w:trHeight w:val="328"/>
        </w:trPr>
        <w:tc>
          <w:tcPr>
            <w:tcW w:w="2073" w:type="dxa"/>
            <w:tcBorders>
              <w:top w:val="nil"/>
              <w:left w:val="nil"/>
              <w:bottom w:val="single" w:sz="4" w:space="0" w:color="auto"/>
              <w:right w:val="nil"/>
            </w:tcBorders>
            <w:shd w:val="clear" w:color="auto" w:fill="auto"/>
            <w:noWrap/>
            <w:vAlign w:val="center"/>
            <w:hideMark/>
          </w:tcPr>
          <w:p w14:paraId="395E04E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Leasehold improvements</w:t>
            </w:r>
          </w:p>
        </w:tc>
        <w:tc>
          <w:tcPr>
            <w:tcW w:w="1127" w:type="dxa"/>
            <w:tcBorders>
              <w:top w:val="nil"/>
              <w:left w:val="nil"/>
              <w:bottom w:val="single" w:sz="4" w:space="0" w:color="auto"/>
              <w:right w:val="nil"/>
            </w:tcBorders>
            <w:shd w:val="clear" w:color="auto" w:fill="auto"/>
            <w:noWrap/>
            <w:vAlign w:val="center"/>
            <w:hideMark/>
          </w:tcPr>
          <w:p w14:paraId="66EDE26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245</w:t>
            </w:r>
          </w:p>
        </w:tc>
        <w:tc>
          <w:tcPr>
            <w:tcW w:w="762" w:type="dxa"/>
            <w:tcBorders>
              <w:top w:val="nil"/>
              <w:left w:val="nil"/>
              <w:bottom w:val="single" w:sz="4" w:space="0" w:color="auto"/>
              <w:right w:val="nil"/>
            </w:tcBorders>
            <w:shd w:val="clear" w:color="000000" w:fill="E7E6E6"/>
            <w:noWrap/>
            <w:vAlign w:val="center"/>
            <w:hideMark/>
          </w:tcPr>
          <w:p w14:paraId="4F14AD1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w:t>
            </w:r>
          </w:p>
        </w:tc>
        <w:tc>
          <w:tcPr>
            <w:tcW w:w="1361" w:type="dxa"/>
            <w:tcBorders>
              <w:top w:val="nil"/>
              <w:left w:val="nil"/>
              <w:bottom w:val="single" w:sz="4" w:space="0" w:color="auto"/>
              <w:right w:val="nil"/>
            </w:tcBorders>
            <w:shd w:val="clear" w:color="000000" w:fill="E7E6E6"/>
            <w:noWrap/>
            <w:vAlign w:val="center"/>
            <w:hideMark/>
          </w:tcPr>
          <w:p w14:paraId="6741335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55" w:type="dxa"/>
            <w:tcBorders>
              <w:top w:val="nil"/>
              <w:left w:val="nil"/>
              <w:bottom w:val="single" w:sz="4" w:space="0" w:color="auto"/>
              <w:right w:val="nil"/>
            </w:tcBorders>
            <w:shd w:val="clear" w:color="000000" w:fill="E7E6E6"/>
            <w:vAlign w:val="center"/>
          </w:tcPr>
          <w:p w14:paraId="4B5C086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991" w:type="dxa"/>
            <w:tcBorders>
              <w:top w:val="nil"/>
              <w:left w:val="nil"/>
              <w:bottom w:val="single" w:sz="4" w:space="0" w:color="auto"/>
              <w:right w:val="nil"/>
            </w:tcBorders>
            <w:shd w:val="clear" w:color="000000" w:fill="E7E6E6"/>
            <w:noWrap/>
            <w:vAlign w:val="center"/>
            <w:hideMark/>
          </w:tcPr>
          <w:p w14:paraId="24BAD87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(27)</w:t>
            </w:r>
          </w:p>
        </w:tc>
        <w:tc>
          <w:tcPr>
            <w:tcW w:w="1178" w:type="dxa"/>
            <w:tcBorders>
              <w:top w:val="nil"/>
              <w:left w:val="nil"/>
              <w:bottom w:val="single" w:sz="4" w:space="0" w:color="auto"/>
              <w:right w:val="nil"/>
            </w:tcBorders>
            <w:shd w:val="clear" w:color="000000" w:fill="E7E6E6"/>
            <w:noWrap/>
            <w:vAlign w:val="center"/>
            <w:hideMark/>
          </w:tcPr>
          <w:p w14:paraId="2F0F3BE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b/>
                <w:bCs/>
                <w:color w:val="auto"/>
                <w:sz w:val="16"/>
                <w:szCs w:val="16"/>
                <w:lang w:eastAsia="en-AU"/>
              </w:rPr>
              <w:t>248</w:t>
            </w:r>
          </w:p>
        </w:tc>
      </w:tr>
      <w:tr w:rsidR="005C5CED" w:rsidRPr="005C5CED" w14:paraId="140E34FD" w14:textId="77777777" w:rsidTr="00D12B52">
        <w:trPr>
          <w:trHeight w:val="328"/>
        </w:trPr>
        <w:tc>
          <w:tcPr>
            <w:tcW w:w="2073" w:type="dxa"/>
            <w:tcBorders>
              <w:top w:val="single" w:sz="4" w:space="0" w:color="auto"/>
              <w:left w:val="nil"/>
              <w:bottom w:val="single" w:sz="8" w:space="0" w:color="auto"/>
              <w:right w:val="nil"/>
            </w:tcBorders>
            <w:shd w:val="clear" w:color="auto" w:fill="auto"/>
            <w:noWrap/>
            <w:vAlign w:val="center"/>
            <w:hideMark/>
          </w:tcPr>
          <w:p w14:paraId="3977819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w:t>
            </w:r>
          </w:p>
        </w:tc>
        <w:tc>
          <w:tcPr>
            <w:tcW w:w="1127" w:type="dxa"/>
            <w:tcBorders>
              <w:top w:val="single" w:sz="4" w:space="0" w:color="auto"/>
              <w:left w:val="nil"/>
              <w:bottom w:val="single" w:sz="8" w:space="0" w:color="auto"/>
              <w:right w:val="nil"/>
            </w:tcBorders>
            <w:shd w:val="clear" w:color="auto" w:fill="auto"/>
            <w:noWrap/>
            <w:vAlign w:val="center"/>
            <w:hideMark/>
          </w:tcPr>
          <w:p w14:paraId="38B4276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20,336</w:t>
            </w:r>
          </w:p>
        </w:tc>
        <w:tc>
          <w:tcPr>
            <w:tcW w:w="762" w:type="dxa"/>
            <w:tcBorders>
              <w:top w:val="single" w:sz="4" w:space="0" w:color="auto"/>
              <w:left w:val="nil"/>
              <w:bottom w:val="single" w:sz="8" w:space="0" w:color="auto"/>
              <w:right w:val="nil"/>
            </w:tcBorders>
            <w:shd w:val="clear" w:color="000000" w:fill="E7E6E6"/>
            <w:noWrap/>
            <w:vAlign w:val="center"/>
            <w:hideMark/>
          </w:tcPr>
          <w:p w14:paraId="725832D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109</w:t>
            </w:r>
          </w:p>
        </w:tc>
        <w:tc>
          <w:tcPr>
            <w:tcW w:w="1361" w:type="dxa"/>
            <w:tcBorders>
              <w:top w:val="single" w:sz="4" w:space="0" w:color="auto"/>
              <w:left w:val="nil"/>
              <w:bottom w:val="single" w:sz="8" w:space="0" w:color="auto"/>
              <w:right w:val="nil"/>
            </w:tcBorders>
            <w:shd w:val="clear" w:color="000000" w:fill="E7E6E6"/>
            <w:noWrap/>
            <w:vAlign w:val="center"/>
            <w:hideMark/>
          </w:tcPr>
          <w:p w14:paraId="3CA36A8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55" w:type="dxa"/>
            <w:tcBorders>
              <w:top w:val="single" w:sz="4" w:space="0" w:color="auto"/>
              <w:left w:val="nil"/>
              <w:bottom w:val="single" w:sz="8" w:space="0" w:color="auto"/>
              <w:right w:val="nil"/>
            </w:tcBorders>
            <w:shd w:val="clear" w:color="000000" w:fill="E7E6E6"/>
            <w:vAlign w:val="center"/>
          </w:tcPr>
          <w:p w14:paraId="643B743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991" w:type="dxa"/>
            <w:tcBorders>
              <w:top w:val="single" w:sz="4" w:space="0" w:color="auto"/>
              <w:left w:val="nil"/>
              <w:bottom w:val="single" w:sz="8" w:space="0" w:color="auto"/>
              <w:right w:val="nil"/>
            </w:tcBorders>
            <w:shd w:val="clear" w:color="000000" w:fill="E7E6E6"/>
            <w:noWrap/>
            <w:vAlign w:val="center"/>
            <w:hideMark/>
          </w:tcPr>
          <w:p w14:paraId="57E66FB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(2,090)</w:t>
            </w:r>
          </w:p>
        </w:tc>
        <w:tc>
          <w:tcPr>
            <w:tcW w:w="1178" w:type="dxa"/>
            <w:tcBorders>
              <w:top w:val="single" w:sz="4" w:space="0" w:color="auto"/>
              <w:left w:val="nil"/>
              <w:bottom w:val="single" w:sz="8" w:space="0" w:color="auto"/>
              <w:right w:val="nil"/>
            </w:tcBorders>
            <w:shd w:val="clear" w:color="000000" w:fill="E7E6E6"/>
            <w:noWrap/>
            <w:vAlign w:val="center"/>
            <w:hideMark/>
          </w:tcPr>
          <w:p w14:paraId="3E59BF5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18,355</w:t>
            </w:r>
          </w:p>
        </w:tc>
      </w:tr>
    </w:tbl>
    <w:p w14:paraId="00139339" w14:textId="77777777" w:rsidR="005C5CED" w:rsidRPr="005C5CED" w:rsidRDefault="005C5CED" w:rsidP="005C5CED">
      <w:pPr>
        <w:spacing w:after="0" w:line="240" w:lineRule="auto"/>
        <w:rPr>
          <w:rFonts w:eastAsia="Times New Roman" w:cs="Arial"/>
          <w:b/>
          <w:bCs/>
          <w:color w:val="auto"/>
          <w:sz w:val="22"/>
          <w:lang w:eastAsia="en-AU"/>
        </w:rPr>
      </w:pPr>
    </w:p>
    <w:p w14:paraId="0A03A5DC" w14:textId="77777777" w:rsidR="005C5CED" w:rsidRPr="005C5CED" w:rsidRDefault="005C5CED" w:rsidP="005C5CED">
      <w:pPr>
        <w:spacing w:line="259" w:lineRule="auto"/>
        <w:rPr>
          <w:rFonts w:eastAsia="Calibri" w:cs="Arial"/>
          <w:strike/>
          <w:color w:val="auto"/>
        </w:rPr>
      </w:pPr>
    </w:p>
    <w:p w14:paraId="48FEAC95" w14:textId="77777777" w:rsidR="005C5CED" w:rsidRPr="005C5CED" w:rsidRDefault="005C5CED" w:rsidP="005C5CED">
      <w:pPr>
        <w:keepNext/>
        <w:keepLines/>
        <w:spacing w:before="240" w:after="60" w:line="240" w:lineRule="auto"/>
        <w:outlineLvl w:val="3"/>
        <w:rPr>
          <w:rFonts w:eastAsia="Times New Roman" w:cs="Times New Roman"/>
          <w:color w:val="000000"/>
          <w:sz w:val="24"/>
          <w:szCs w:val="24"/>
          <w:lang w:eastAsia="en-AU"/>
          <w14:textFill>
            <w14:solidFill>
              <w14:srgbClr w14:val="000000">
                <w14:lumMod w14:val="65000"/>
                <w14:lumOff w14:val="35000"/>
              </w14:srgbClr>
            </w14:solidFill>
          </w14:textFill>
        </w:rPr>
      </w:pPr>
      <w:r w:rsidRPr="005C5CED">
        <w:rPr>
          <w:rFonts w:eastAsia="Times New Roman" w:cs="Times New Roman"/>
          <w:color w:val="000000"/>
          <w:sz w:val="24"/>
          <w:szCs w:val="24"/>
          <w:lang w:eastAsia="en-AU"/>
          <w14:textFill>
            <w14:solidFill>
              <w14:srgbClr w14:val="000000">
                <w14:lumMod w14:val="65000"/>
                <w14:lumOff w14:val="35000"/>
              </w14:srgbClr>
            </w14:solidFill>
          </w14:textFill>
        </w:rPr>
        <w:t>Note 4.2 Investments and other financial assets</w:t>
      </w:r>
    </w:p>
    <w:tbl>
      <w:tblPr>
        <w:tblW w:w="8858" w:type="dxa"/>
        <w:tblLook w:val="04A0" w:firstRow="1" w:lastRow="0" w:firstColumn="1" w:lastColumn="0" w:noHBand="0" w:noVBand="1"/>
      </w:tblPr>
      <w:tblGrid>
        <w:gridCol w:w="4041"/>
        <w:gridCol w:w="2817"/>
        <w:gridCol w:w="1053"/>
        <w:gridCol w:w="947"/>
      </w:tblGrid>
      <w:tr w:rsidR="005C5CED" w:rsidRPr="005C5CED" w14:paraId="69452DF4" w14:textId="77777777" w:rsidTr="00D12B52">
        <w:trPr>
          <w:trHeight w:val="286"/>
        </w:trPr>
        <w:tc>
          <w:tcPr>
            <w:tcW w:w="4041" w:type="dxa"/>
            <w:tcBorders>
              <w:top w:val="single" w:sz="4" w:space="0" w:color="auto"/>
              <w:left w:val="nil"/>
              <w:bottom w:val="nil"/>
              <w:right w:val="nil"/>
            </w:tcBorders>
            <w:shd w:val="clear" w:color="000000" w:fill="000000"/>
            <w:noWrap/>
            <w:vAlign w:val="bottom"/>
            <w:hideMark/>
          </w:tcPr>
          <w:p w14:paraId="6D2FB872"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817" w:type="dxa"/>
            <w:tcBorders>
              <w:top w:val="single" w:sz="4" w:space="0" w:color="auto"/>
              <w:left w:val="nil"/>
              <w:bottom w:val="nil"/>
              <w:right w:val="nil"/>
            </w:tcBorders>
            <w:shd w:val="clear" w:color="000000" w:fill="000000"/>
            <w:noWrap/>
            <w:vAlign w:val="bottom"/>
            <w:hideMark/>
          </w:tcPr>
          <w:p w14:paraId="5AC3DFC1" w14:textId="77777777" w:rsidR="005C5CED" w:rsidRPr="005C5CED" w:rsidRDefault="005C5CED" w:rsidP="005C5CED">
            <w:pPr>
              <w:spacing w:after="0" w:line="240" w:lineRule="auto"/>
              <w:jc w:val="center"/>
              <w:rPr>
                <w:rFonts w:eastAsia="Times New Roman" w:cs="Arial"/>
                <w:b/>
                <w:bCs/>
                <w:color w:val="FFFFFF"/>
                <w:sz w:val="16"/>
                <w:szCs w:val="16"/>
                <w:lang w:eastAsia="en-AU"/>
              </w:rPr>
            </w:pPr>
          </w:p>
        </w:tc>
        <w:tc>
          <w:tcPr>
            <w:tcW w:w="1053" w:type="dxa"/>
            <w:tcBorders>
              <w:top w:val="single" w:sz="4" w:space="0" w:color="auto"/>
              <w:left w:val="nil"/>
              <w:bottom w:val="nil"/>
              <w:right w:val="nil"/>
            </w:tcBorders>
            <w:shd w:val="clear" w:color="000000" w:fill="000000"/>
            <w:noWrap/>
            <w:vAlign w:val="bottom"/>
            <w:hideMark/>
          </w:tcPr>
          <w:p w14:paraId="276BD02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947" w:type="dxa"/>
            <w:tcBorders>
              <w:top w:val="single" w:sz="4" w:space="0" w:color="auto"/>
              <w:left w:val="nil"/>
              <w:bottom w:val="nil"/>
              <w:right w:val="nil"/>
            </w:tcBorders>
            <w:shd w:val="clear" w:color="000000" w:fill="000000"/>
            <w:noWrap/>
            <w:vAlign w:val="bottom"/>
            <w:hideMark/>
          </w:tcPr>
          <w:p w14:paraId="6E1CFDE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134CA569" w14:textId="77777777" w:rsidTr="00D12B52">
        <w:trPr>
          <w:trHeight w:val="286"/>
        </w:trPr>
        <w:tc>
          <w:tcPr>
            <w:tcW w:w="4041" w:type="dxa"/>
            <w:tcBorders>
              <w:top w:val="nil"/>
              <w:left w:val="nil"/>
              <w:bottom w:val="single" w:sz="4" w:space="0" w:color="auto"/>
              <w:right w:val="nil"/>
            </w:tcBorders>
            <w:shd w:val="clear" w:color="000000" w:fill="000000"/>
            <w:noWrap/>
            <w:vAlign w:val="bottom"/>
            <w:hideMark/>
          </w:tcPr>
          <w:p w14:paraId="1E00DBE9"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817" w:type="dxa"/>
            <w:tcBorders>
              <w:top w:val="nil"/>
              <w:left w:val="nil"/>
              <w:bottom w:val="single" w:sz="4" w:space="0" w:color="auto"/>
              <w:right w:val="nil"/>
            </w:tcBorders>
            <w:shd w:val="clear" w:color="000000" w:fill="000000"/>
            <w:noWrap/>
            <w:vAlign w:val="bottom"/>
            <w:hideMark/>
          </w:tcPr>
          <w:p w14:paraId="22012D33"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053" w:type="dxa"/>
            <w:tcBorders>
              <w:top w:val="nil"/>
              <w:left w:val="nil"/>
              <w:bottom w:val="single" w:sz="4" w:space="0" w:color="auto"/>
              <w:right w:val="nil"/>
            </w:tcBorders>
            <w:shd w:val="clear" w:color="000000" w:fill="000000"/>
            <w:noWrap/>
            <w:vAlign w:val="bottom"/>
            <w:hideMark/>
          </w:tcPr>
          <w:p w14:paraId="222FAFC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947" w:type="dxa"/>
            <w:tcBorders>
              <w:top w:val="nil"/>
              <w:left w:val="nil"/>
              <w:bottom w:val="single" w:sz="4" w:space="0" w:color="auto"/>
              <w:right w:val="nil"/>
            </w:tcBorders>
            <w:shd w:val="clear" w:color="000000" w:fill="000000"/>
            <w:noWrap/>
            <w:vAlign w:val="bottom"/>
            <w:hideMark/>
          </w:tcPr>
          <w:p w14:paraId="1A78471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46449C9C" w14:textId="77777777" w:rsidTr="00D12B52">
        <w:trPr>
          <w:trHeight w:val="435"/>
        </w:trPr>
        <w:tc>
          <w:tcPr>
            <w:tcW w:w="4041" w:type="dxa"/>
            <w:tcBorders>
              <w:top w:val="nil"/>
              <w:left w:val="nil"/>
              <w:bottom w:val="nil"/>
              <w:right w:val="nil"/>
            </w:tcBorders>
            <w:shd w:val="clear" w:color="auto" w:fill="auto"/>
            <w:noWrap/>
            <w:vAlign w:val="center"/>
            <w:hideMark/>
          </w:tcPr>
          <w:p w14:paraId="7E72755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Non-current investments and other financial assets</w:t>
            </w:r>
          </w:p>
        </w:tc>
        <w:tc>
          <w:tcPr>
            <w:tcW w:w="2817" w:type="dxa"/>
            <w:tcBorders>
              <w:top w:val="nil"/>
              <w:left w:val="nil"/>
              <w:bottom w:val="nil"/>
              <w:right w:val="nil"/>
            </w:tcBorders>
            <w:shd w:val="clear" w:color="auto" w:fill="auto"/>
            <w:noWrap/>
            <w:vAlign w:val="center"/>
            <w:hideMark/>
          </w:tcPr>
          <w:p w14:paraId="080DC19D"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053" w:type="dxa"/>
            <w:tcBorders>
              <w:top w:val="nil"/>
              <w:left w:val="nil"/>
              <w:bottom w:val="nil"/>
              <w:right w:val="nil"/>
            </w:tcBorders>
            <w:shd w:val="clear" w:color="auto" w:fill="auto"/>
            <w:noWrap/>
            <w:vAlign w:val="center"/>
            <w:hideMark/>
          </w:tcPr>
          <w:p w14:paraId="12C9608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947" w:type="dxa"/>
            <w:tcBorders>
              <w:top w:val="nil"/>
              <w:left w:val="nil"/>
              <w:bottom w:val="nil"/>
              <w:right w:val="nil"/>
            </w:tcBorders>
            <w:shd w:val="clear" w:color="000000" w:fill="E7E6E6"/>
            <w:noWrap/>
            <w:vAlign w:val="center"/>
            <w:hideMark/>
          </w:tcPr>
          <w:p w14:paraId="5287FEB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55980D8D" w14:textId="77777777" w:rsidTr="00D12B52">
        <w:trPr>
          <w:trHeight w:val="435"/>
        </w:trPr>
        <w:tc>
          <w:tcPr>
            <w:tcW w:w="4041" w:type="dxa"/>
            <w:tcBorders>
              <w:top w:val="nil"/>
              <w:left w:val="nil"/>
              <w:bottom w:val="nil"/>
              <w:right w:val="nil"/>
            </w:tcBorders>
            <w:shd w:val="clear" w:color="auto" w:fill="auto"/>
            <w:noWrap/>
            <w:vAlign w:val="center"/>
            <w:hideMark/>
          </w:tcPr>
          <w:p w14:paraId="5138E17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Loans receivable – social enterprise projects</w:t>
            </w:r>
          </w:p>
        </w:tc>
        <w:tc>
          <w:tcPr>
            <w:tcW w:w="2817" w:type="dxa"/>
            <w:tcBorders>
              <w:top w:val="nil"/>
              <w:left w:val="nil"/>
              <w:bottom w:val="single" w:sz="4" w:space="0" w:color="auto"/>
              <w:right w:val="nil"/>
            </w:tcBorders>
            <w:shd w:val="clear" w:color="auto" w:fill="auto"/>
            <w:noWrap/>
            <w:vAlign w:val="center"/>
            <w:hideMark/>
          </w:tcPr>
          <w:p w14:paraId="0E2F69EE"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053" w:type="dxa"/>
            <w:tcBorders>
              <w:top w:val="nil"/>
              <w:left w:val="nil"/>
              <w:bottom w:val="single" w:sz="4" w:space="0" w:color="auto"/>
              <w:right w:val="nil"/>
            </w:tcBorders>
            <w:shd w:val="clear" w:color="auto" w:fill="auto"/>
            <w:noWrap/>
            <w:vAlign w:val="center"/>
          </w:tcPr>
          <w:p w14:paraId="4BFF8A0E" w14:textId="77777777" w:rsidR="005C5CED" w:rsidRPr="005C5CED" w:rsidRDefault="005C5CED" w:rsidP="005C5CED">
            <w:pPr>
              <w:spacing w:after="0" w:line="240" w:lineRule="auto"/>
              <w:jc w:val="right"/>
              <w:rPr>
                <w:rFonts w:eastAsia="Times New Roman" w:cs="Arial"/>
                <w:color w:val="auto"/>
                <w:sz w:val="16"/>
                <w:szCs w:val="16"/>
                <w:lang w:eastAsia="en-AU"/>
              </w:rPr>
            </w:pPr>
          </w:p>
          <w:p w14:paraId="2560169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c>
          <w:tcPr>
            <w:tcW w:w="947" w:type="dxa"/>
            <w:tcBorders>
              <w:top w:val="nil"/>
              <w:left w:val="nil"/>
              <w:bottom w:val="single" w:sz="4" w:space="0" w:color="auto"/>
              <w:right w:val="nil"/>
            </w:tcBorders>
            <w:shd w:val="clear" w:color="000000" w:fill="E7E6E6"/>
            <w:noWrap/>
            <w:vAlign w:val="center"/>
            <w:hideMark/>
          </w:tcPr>
          <w:p w14:paraId="724ED6E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399 </w:t>
            </w:r>
          </w:p>
        </w:tc>
      </w:tr>
      <w:tr w:rsidR="005C5CED" w:rsidRPr="005C5CED" w14:paraId="76C0BB86" w14:textId="77777777" w:rsidTr="00D12B52">
        <w:trPr>
          <w:trHeight w:val="435"/>
        </w:trPr>
        <w:tc>
          <w:tcPr>
            <w:tcW w:w="6858" w:type="dxa"/>
            <w:gridSpan w:val="2"/>
            <w:tcBorders>
              <w:top w:val="single" w:sz="4" w:space="0" w:color="auto"/>
              <w:left w:val="nil"/>
              <w:bottom w:val="single" w:sz="4" w:space="0" w:color="auto"/>
              <w:right w:val="nil"/>
            </w:tcBorders>
            <w:shd w:val="clear" w:color="auto" w:fill="auto"/>
            <w:noWrap/>
            <w:vAlign w:val="center"/>
            <w:hideMark/>
          </w:tcPr>
          <w:p w14:paraId="454CB0C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non-current investments and other financial assets</w:t>
            </w:r>
          </w:p>
        </w:tc>
        <w:tc>
          <w:tcPr>
            <w:tcW w:w="1053" w:type="dxa"/>
            <w:tcBorders>
              <w:top w:val="single" w:sz="4" w:space="0" w:color="auto"/>
              <w:left w:val="nil"/>
              <w:bottom w:val="single" w:sz="4" w:space="0" w:color="auto"/>
              <w:right w:val="nil"/>
            </w:tcBorders>
            <w:shd w:val="clear" w:color="auto" w:fill="auto"/>
            <w:noWrap/>
            <w:vAlign w:val="center"/>
          </w:tcPr>
          <w:p w14:paraId="2A26212D" w14:textId="77777777" w:rsidR="005C5CED" w:rsidRPr="005C5CED" w:rsidRDefault="005C5CED" w:rsidP="005C5CED">
            <w:pPr>
              <w:spacing w:after="0" w:line="240" w:lineRule="auto"/>
              <w:jc w:val="right"/>
              <w:rPr>
                <w:rFonts w:eastAsia="Times New Roman" w:cs="Arial"/>
                <w:b/>
                <w:bCs/>
                <w:color w:val="auto"/>
                <w:sz w:val="16"/>
                <w:szCs w:val="16"/>
                <w:lang w:eastAsia="en-AU"/>
              </w:rPr>
            </w:pPr>
          </w:p>
          <w:p w14:paraId="13D38A4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400</w:t>
            </w:r>
          </w:p>
        </w:tc>
        <w:tc>
          <w:tcPr>
            <w:tcW w:w="947" w:type="dxa"/>
            <w:tcBorders>
              <w:top w:val="single" w:sz="4" w:space="0" w:color="auto"/>
              <w:left w:val="nil"/>
              <w:bottom w:val="single" w:sz="4" w:space="0" w:color="auto"/>
              <w:right w:val="nil"/>
            </w:tcBorders>
            <w:shd w:val="clear" w:color="000000" w:fill="E7E6E6"/>
            <w:noWrap/>
            <w:vAlign w:val="center"/>
            <w:hideMark/>
          </w:tcPr>
          <w:p w14:paraId="356B76F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399</w:t>
            </w:r>
          </w:p>
        </w:tc>
      </w:tr>
      <w:tr w:rsidR="005C5CED" w:rsidRPr="005C5CED" w14:paraId="41F2B7DE" w14:textId="77777777" w:rsidTr="00D12B52">
        <w:trPr>
          <w:trHeight w:val="435"/>
        </w:trPr>
        <w:tc>
          <w:tcPr>
            <w:tcW w:w="4041" w:type="dxa"/>
            <w:tcBorders>
              <w:top w:val="nil"/>
              <w:left w:val="nil"/>
              <w:bottom w:val="single" w:sz="4" w:space="0" w:color="auto"/>
              <w:right w:val="nil"/>
            </w:tcBorders>
            <w:shd w:val="clear" w:color="auto" w:fill="auto"/>
            <w:noWrap/>
            <w:vAlign w:val="center"/>
            <w:hideMark/>
          </w:tcPr>
          <w:p w14:paraId="5AE6E7E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investments and other financial assets</w:t>
            </w:r>
          </w:p>
        </w:tc>
        <w:tc>
          <w:tcPr>
            <w:tcW w:w="2817" w:type="dxa"/>
            <w:tcBorders>
              <w:top w:val="nil"/>
              <w:left w:val="nil"/>
              <w:bottom w:val="single" w:sz="4" w:space="0" w:color="auto"/>
              <w:right w:val="nil"/>
            </w:tcBorders>
            <w:shd w:val="clear" w:color="auto" w:fill="auto"/>
            <w:noWrap/>
            <w:vAlign w:val="center"/>
            <w:hideMark/>
          </w:tcPr>
          <w:p w14:paraId="675C9729"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053" w:type="dxa"/>
            <w:tcBorders>
              <w:top w:val="single" w:sz="4" w:space="0" w:color="auto"/>
              <w:left w:val="nil"/>
              <w:bottom w:val="single" w:sz="4" w:space="0" w:color="auto"/>
              <w:right w:val="nil"/>
            </w:tcBorders>
            <w:shd w:val="clear" w:color="auto" w:fill="auto"/>
            <w:noWrap/>
            <w:vAlign w:val="center"/>
          </w:tcPr>
          <w:p w14:paraId="661FE9D7" w14:textId="77777777" w:rsidR="005C5CED" w:rsidRPr="005C5CED" w:rsidRDefault="005C5CED" w:rsidP="005C5CED">
            <w:pPr>
              <w:spacing w:after="0" w:line="240" w:lineRule="auto"/>
              <w:jc w:val="right"/>
              <w:rPr>
                <w:rFonts w:eastAsia="Times New Roman" w:cs="Arial"/>
                <w:b/>
                <w:bCs/>
                <w:color w:val="auto"/>
                <w:sz w:val="16"/>
                <w:szCs w:val="16"/>
                <w:lang w:eastAsia="en-AU"/>
              </w:rPr>
            </w:pPr>
          </w:p>
          <w:p w14:paraId="715AD72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400</w:t>
            </w:r>
          </w:p>
        </w:tc>
        <w:tc>
          <w:tcPr>
            <w:tcW w:w="947" w:type="dxa"/>
            <w:tcBorders>
              <w:top w:val="single" w:sz="4" w:space="0" w:color="auto"/>
              <w:left w:val="nil"/>
              <w:bottom w:val="single" w:sz="4" w:space="0" w:color="auto"/>
              <w:right w:val="nil"/>
            </w:tcBorders>
            <w:shd w:val="clear" w:color="000000" w:fill="E7E6E6"/>
            <w:noWrap/>
            <w:vAlign w:val="center"/>
            <w:hideMark/>
          </w:tcPr>
          <w:p w14:paraId="44FD3BF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399</w:t>
            </w:r>
          </w:p>
        </w:tc>
      </w:tr>
    </w:tbl>
    <w:p w14:paraId="17849585" w14:textId="77777777" w:rsidR="005C5CED" w:rsidRPr="005C5CED" w:rsidRDefault="005C5CED" w:rsidP="005C5CED">
      <w:pPr>
        <w:spacing w:after="60" w:line="259"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br w:type="page"/>
      </w:r>
    </w:p>
    <w:p w14:paraId="5468C8EF" w14:textId="77777777" w:rsidR="005C5CED" w:rsidRPr="005C5CED" w:rsidRDefault="005C5CED" w:rsidP="005C5CED">
      <w:pPr>
        <w:keepNext/>
        <w:keepLines/>
        <w:spacing w:before="300" w:after="60" w:line="240" w:lineRule="auto"/>
        <w:outlineLvl w:val="2"/>
        <w:rPr>
          <w:rFonts w:eastAsia="Yu Gothic Light" w:cs="Times New Roman"/>
          <w:b/>
          <w:bCs/>
          <w:color w:val="auto"/>
          <w:sz w:val="28"/>
          <w:szCs w:val="28"/>
        </w:rPr>
      </w:pPr>
      <w:bookmarkStart w:id="321" w:name="_Ref127092971"/>
      <w:r w:rsidRPr="005C5CED">
        <w:rPr>
          <w:rFonts w:eastAsia="Yu Gothic Light" w:cs="Times New Roman"/>
          <w:b/>
          <w:bCs/>
          <w:color w:val="auto"/>
          <w:sz w:val="28"/>
          <w:szCs w:val="28"/>
        </w:rPr>
        <w:lastRenderedPageBreak/>
        <w:t>Note 5: Other assets and liabilities</w:t>
      </w:r>
      <w:bookmarkEnd w:id="321"/>
    </w:p>
    <w:p w14:paraId="52F16CD0"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Introduction</w:t>
      </w:r>
    </w:p>
    <w:p w14:paraId="12E8484C" w14:textId="77777777" w:rsidR="005C5CED" w:rsidRPr="005C5CED" w:rsidRDefault="005C5CED" w:rsidP="005C5CED">
      <w:pPr>
        <w:spacing w:line="259" w:lineRule="auto"/>
        <w:rPr>
          <w:rFonts w:eastAsia="Calibri" w:cs="Arial"/>
          <w:color w:val="auto"/>
        </w:rPr>
      </w:pPr>
      <w:r w:rsidRPr="005C5CED">
        <w:rPr>
          <w:rFonts w:eastAsia="Calibri" w:cs="Arial"/>
          <w:color w:val="auto"/>
        </w:rPr>
        <w:t>This section sets out those assets and liabilities that arose from Sustainability Victoria’s controlled operations.</w:t>
      </w:r>
    </w:p>
    <w:p w14:paraId="742A5230"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Structure</w:t>
      </w:r>
    </w:p>
    <w:p w14:paraId="169FFFB0" w14:textId="77777777" w:rsidR="005C5CED" w:rsidRPr="005C5CED" w:rsidRDefault="005C5CED" w:rsidP="005C5CED">
      <w:pPr>
        <w:spacing w:line="259" w:lineRule="auto"/>
        <w:rPr>
          <w:rFonts w:eastAsia="Calibri" w:cs="Arial"/>
          <w:color w:val="auto"/>
        </w:rPr>
      </w:pPr>
      <w:r w:rsidRPr="005C5CED">
        <w:rPr>
          <w:rFonts w:eastAsia="Calibri" w:cs="Arial"/>
          <w:color w:val="auto"/>
        </w:rPr>
        <w:t>5.1 Receivables</w:t>
      </w:r>
    </w:p>
    <w:p w14:paraId="1320CD58" w14:textId="77777777" w:rsidR="005C5CED" w:rsidRPr="005C5CED" w:rsidRDefault="005C5CED" w:rsidP="005C5CED">
      <w:pPr>
        <w:spacing w:line="259" w:lineRule="auto"/>
        <w:rPr>
          <w:rFonts w:eastAsia="Calibri" w:cs="Arial"/>
          <w:color w:val="auto"/>
        </w:rPr>
      </w:pPr>
      <w:r w:rsidRPr="005C5CED">
        <w:rPr>
          <w:rFonts w:eastAsia="Calibri" w:cs="Arial"/>
          <w:color w:val="auto"/>
        </w:rPr>
        <w:t>5.2 Payables</w:t>
      </w:r>
    </w:p>
    <w:p w14:paraId="6C726A9B" w14:textId="77777777" w:rsidR="005C5CED" w:rsidRPr="005C5CED" w:rsidRDefault="005C5CED" w:rsidP="005C5CED">
      <w:pPr>
        <w:spacing w:line="259" w:lineRule="auto"/>
        <w:rPr>
          <w:rFonts w:eastAsia="Calibri" w:cs="Arial"/>
          <w:color w:val="auto"/>
        </w:rPr>
      </w:pPr>
      <w:r w:rsidRPr="005C5CED">
        <w:rPr>
          <w:rFonts w:eastAsia="Calibri" w:cs="Arial"/>
          <w:color w:val="auto"/>
        </w:rPr>
        <w:t>5.3 Other non-financial assets</w:t>
      </w:r>
    </w:p>
    <w:p w14:paraId="7C709AA4"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5.1 Receivables</w:t>
      </w:r>
    </w:p>
    <w:tbl>
      <w:tblPr>
        <w:tblW w:w="8268" w:type="dxa"/>
        <w:tblLook w:val="04A0" w:firstRow="1" w:lastRow="0" w:firstColumn="1" w:lastColumn="0" w:noHBand="0" w:noVBand="1"/>
      </w:tblPr>
      <w:tblGrid>
        <w:gridCol w:w="4000"/>
        <w:gridCol w:w="2223"/>
        <w:gridCol w:w="1120"/>
        <w:gridCol w:w="925"/>
      </w:tblGrid>
      <w:tr w:rsidR="005C5CED" w:rsidRPr="005C5CED" w14:paraId="3E759572" w14:textId="77777777" w:rsidTr="00D12B52">
        <w:trPr>
          <w:trHeight w:val="224"/>
        </w:trPr>
        <w:tc>
          <w:tcPr>
            <w:tcW w:w="4000" w:type="dxa"/>
            <w:tcBorders>
              <w:top w:val="single" w:sz="4" w:space="0" w:color="auto"/>
              <w:left w:val="nil"/>
              <w:bottom w:val="nil"/>
              <w:right w:val="nil"/>
            </w:tcBorders>
            <w:shd w:val="clear" w:color="000000" w:fill="000000"/>
            <w:noWrap/>
            <w:vAlign w:val="bottom"/>
            <w:hideMark/>
          </w:tcPr>
          <w:p w14:paraId="06E979CC"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223" w:type="dxa"/>
            <w:tcBorders>
              <w:top w:val="single" w:sz="4" w:space="0" w:color="auto"/>
              <w:left w:val="nil"/>
              <w:bottom w:val="nil"/>
              <w:right w:val="nil"/>
            </w:tcBorders>
            <w:shd w:val="clear" w:color="000000" w:fill="000000"/>
            <w:noWrap/>
            <w:vAlign w:val="bottom"/>
            <w:hideMark/>
          </w:tcPr>
          <w:p w14:paraId="45F23018"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color w:val="FFFFFF"/>
                <w:sz w:val="16"/>
                <w:szCs w:val="16"/>
                <w:lang w:eastAsia="en-AU"/>
              </w:rPr>
              <w:t> </w:t>
            </w:r>
            <w:r w:rsidRPr="005C5CED">
              <w:rPr>
                <w:rFonts w:eastAsia="Times New Roman" w:cs="Arial"/>
                <w:b/>
                <w:bCs/>
                <w:color w:val="FFFFFF"/>
                <w:sz w:val="16"/>
                <w:szCs w:val="16"/>
                <w:lang w:eastAsia="en-AU"/>
              </w:rPr>
              <w:t>Notes</w:t>
            </w:r>
          </w:p>
        </w:tc>
        <w:tc>
          <w:tcPr>
            <w:tcW w:w="1120" w:type="dxa"/>
            <w:tcBorders>
              <w:top w:val="single" w:sz="4" w:space="0" w:color="auto"/>
              <w:left w:val="nil"/>
              <w:bottom w:val="nil"/>
              <w:right w:val="nil"/>
            </w:tcBorders>
            <w:shd w:val="clear" w:color="000000" w:fill="000000"/>
            <w:noWrap/>
            <w:vAlign w:val="bottom"/>
            <w:hideMark/>
          </w:tcPr>
          <w:p w14:paraId="772BF04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925" w:type="dxa"/>
            <w:tcBorders>
              <w:top w:val="single" w:sz="4" w:space="0" w:color="auto"/>
              <w:left w:val="nil"/>
              <w:bottom w:val="nil"/>
              <w:right w:val="nil"/>
            </w:tcBorders>
            <w:shd w:val="clear" w:color="000000" w:fill="000000"/>
            <w:noWrap/>
            <w:vAlign w:val="bottom"/>
            <w:hideMark/>
          </w:tcPr>
          <w:p w14:paraId="6BAD61F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p>
          <w:p w14:paraId="7593B43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310807CB" w14:textId="77777777" w:rsidTr="00D12B52">
        <w:trPr>
          <w:trHeight w:val="224"/>
        </w:trPr>
        <w:tc>
          <w:tcPr>
            <w:tcW w:w="4000" w:type="dxa"/>
            <w:tcBorders>
              <w:top w:val="nil"/>
              <w:left w:val="nil"/>
              <w:bottom w:val="single" w:sz="4" w:space="0" w:color="auto"/>
              <w:right w:val="nil"/>
            </w:tcBorders>
            <w:shd w:val="clear" w:color="000000" w:fill="000000"/>
            <w:noWrap/>
            <w:vAlign w:val="bottom"/>
            <w:hideMark/>
          </w:tcPr>
          <w:p w14:paraId="3FF30CCF"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223" w:type="dxa"/>
            <w:tcBorders>
              <w:top w:val="nil"/>
              <w:left w:val="nil"/>
              <w:bottom w:val="single" w:sz="4" w:space="0" w:color="auto"/>
              <w:right w:val="nil"/>
            </w:tcBorders>
            <w:shd w:val="clear" w:color="000000" w:fill="000000"/>
            <w:noWrap/>
            <w:vAlign w:val="bottom"/>
            <w:hideMark/>
          </w:tcPr>
          <w:p w14:paraId="6A3F253B"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20" w:type="dxa"/>
            <w:tcBorders>
              <w:top w:val="nil"/>
              <w:left w:val="nil"/>
              <w:bottom w:val="single" w:sz="4" w:space="0" w:color="auto"/>
              <w:right w:val="nil"/>
            </w:tcBorders>
            <w:shd w:val="clear" w:color="000000" w:fill="000000"/>
            <w:noWrap/>
            <w:vAlign w:val="bottom"/>
            <w:hideMark/>
          </w:tcPr>
          <w:p w14:paraId="138445F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925" w:type="dxa"/>
            <w:tcBorders>
              <w:top w:val="nil"/>
              <w:left w:val="nil"/>
              <w:bottom w:val="single" w:sz="4" w:space="0" w:color="auto"/>
              <w:right w:val="nil"/>
            </w:tcBorders>
            <w:shd w:val="clear" w:color="000000" w:fill="000000"/>
            <w:noWrap/>
            <w:vAlign w:val="bottom"/>
            <w:hideMark/>
          </w:tcPr>
          <w:p w14:paraId="547BEB8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24801E8C" w14:textId="77777777" w:rsidTr="00D12B52">
        <w:trPr>
          <w:trHeight w:val="339"/>
        </w:trPr>
        <w:tc>
          <w:tcPr>
            <w:tcW w:w="4000" w:type="dxa"/>
            <w:tcBorders>
              <w:top w:val="nil"/>
              <w:left w:val="nil"/>
              <w:bottom w:val="nil"/>
              <w:right w:val="nil"/>
            </w:tcBorders>
            <w:shd w:val="clear" w:color="auto" w:fill="auto"/>
            <w:noWrap/>
            <w:vAlign w:val="center"/>
            <w:hideMark/>
          </w:tcPr>
          <w:p w14:paraId="1C1FB77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Contractual</w:t>
            </w:r>
          </w:p>
        </w:tc>
        <w:tc>
          <w:tcPr>
            <w:tcW w:w="2223" w:type="dxa"/>
            <w:tcBorders>
              <w:top w:val="nil"/>
              <w:left w:val="nil"/>
              <w:bottom w:val="nil"/>
              <w:right w:val="nil"/>
            </w:tcBorders>
            <w:shd w:val="clear" w:color="auto" w:fill="auto"/>
            <w:noWrap/>
            <w:vAlign w:val="center"/>
            <w:hideMark/>
          </w:tcPr>
          <w:p w14:paraId="07CEE77E"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20" w:type="dxa"/>
            <w:tcBorders>
              <w:top w:val="nil"/>
              <w:left w:val="nil"/>
              <w:bottom w:val="nil"/>
              <w:right w:val="nil"/>
            </w:tcBorders>
            <w:shd w:val="clear" w:color="auto" w:fill="auto"/>
            <w:noWrap/>
            <w:vAlign w:val="center"/>
            <w:hideMark/>
          </w:tcPr>
          <w:p w14:paraId="27937F47" w14:textId="77777777" w:rsidR="005C5CED" w:rsidRPr="005C5CED" w:rsidRDefault="005C5CED" w:rsidP="005C5CED">
            <w:pPr>
              <w:spacing w:after="0" w:line="240" w:lineRule="auto"/>
              <w:jc w:val="right"/>
              <w:rPr>
                <w:rFonts w:eastAsia="Times New Roman" w:cs="Arial"/>
                <w:color w:val="auto"/>
                <w:szCs w:val="20"/>
                <w:lang w:eastAsia="en-AU"/>
              </w:rPr>
            </w:pPr>
          </w:p>
        </w:tc>
        <w:tc>
          <w:tcPr>
            <w:tcW w:w="925" w:type="dxa"/>
            <w:tcBorders>
              <w:top w:val="nil"/>
              <w:left w:val="nil"/>
              <w:bottom w:val="nil"/>
              <w:right w:val="nil"/>
            </w:tcBorders>
            <w:shd w:val="clear" w:color="000000" w:fill="E7E6E6"/>
            <w:noWrap/>
            <w:vAlign w:val="center"/>
            <w:hideMark/>
          </w:tcPr>
          <w:p w14:paraId="60868A9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2DD1AAA8" w14:textId="77777777" w:rsidTr="00D12B52">
        <w:trPr>
          <w:trHeight w:val="339"/>
        </w:trPr>
        <w:tc>
          <w:tcPr>
            <w:tcW w:w="4000" w:type="dxa"/>
            <w:tcBorders>
              <w:top w:val="nil"/>
              <w:left w:val="nil"/>
              <w:bottom w:val="nil"/>
              <w:right w:val="nil"/>
            </w:tcBorders>
            <w:shd w:val="clear" w:color="auto" w:fill="auto"/>
            <w:noWrap/>
            <w:vAlign w:val="center"/>
            <w:hideMark/>
          </w:tcPr>
          <w:p w14:paraId="6220AA3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Trade debtors</w:t>
            </w:r>
          </w:p>
        </w:tc>
        <w:tc>
          <w:tcPr>
            <w:tcW w:w="2223" w:type="dxa"/>
            <w:tcBorders>
              <w:top w:val="nil"/>
              <w:left w:val="nil"/>
              <w:bottom w:val="nil"/>
              <w:right w:val="nil"/>
            </w:tcBorders>
            <w:shd w:val="clear" w:color="auto" w:fill="auto"/>
            <w:noWrap/>
            <w:vAlign w:val="center"/>
            <w:hideMark/>
          </w:tcPr>
          <w:p w14:paraId="1A2ED32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1120" w:type="dxa"/>
            <w:tcBorders>
              <w:top w:val="nil"/>
              <w:left w:val="nil"/>
              <w:bottom w:val="nil"/>
              <w:right w:val="nil"/>
            </w:tcBorders>
            <w:shd w:val="clear" w:color="auto" w:fill="auto"/>
            <w:noWrap/>
            <w:vAlign w:val="center"/>
          </w:tcPr>
          <w:p w14:paraId="11674A7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120</w:t>
            </w:r>
          </w:p>
        </w:tc>
        <w:tc>
          <w:tcPr>
            <w:tcW w:w="925" w:type="dxa"/>
            <w:tcBorders>
              <w:top w:val="nil"/>
              <w:left w:val="nil"/>
              <w:bottom w:val="nil"/>
              <w:right w:val="nil"/>
            </w:tcBorders>
            <w:shd w:val="clear" w:color="000000" w:fill="E7E6E6"/>
            <w:noWrap/>
            <w:vAlign w:val="center"/>
            <w:hideMark/>
          </w:tcPr>
          <w:p w14:paraId="42A0CC7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10,925</w:t>
            </w:r>
          </w:p>
        </w:tc>
      </w:tr>
      <w:tr w:rsidR="005C5CED" w:rsidRPr="005C5CED" w14:paraId="1D010D7E" w14:textId="77777777" w:rsidTr="00D12B52">
        <w:trPr>
          <w:trHeight w:val="339"/>
        </w:trPr>
        <w:tc>
          <w:tcPr>
            <w:tcW w:w="4000" w:type="dxa"/>
            <w:tcBorders>
              <w:top w:val="nil"/>
              <w:left w:val="nil"/>
              <w:bottom w:val="nil"/>
              <w:right w:val="nil"/>
            </w:tcBorders>
            <w:shd w:val="clear" w:color="auto" w:fill="auto"/>
            <w:noWrap/>
            <w:vAlign w:val="center"/>
            <w:hideMark/>
          </w:tcPr>
          <w:p w14:paraId="5F8CC14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Contract assets </w:t>
            </w:r>
          </w:p>
        </w:tc>
        <w:tc>
          <w:tcPr>
            <w:tcW w:w="2223" w:type="dxa"/>
            <w:tcBorders>
              <w:top w:val="nil"/>
              <w:left w:val="nil"/>
              <w:bottom w:val="nil"/>
              <w:right w:val="nil"/>
            </w:tcBorders>
            <w:shd w:val="clear" w:color="auto" w:fill="auto"/>
            <w:noWrap/>
            <w:vAlign w:val="center"/>
            <w:hideMark/>
          </w:tcPr>
          <w:p w14:paraId="35E091B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w:t>
            </w:r>
          </w:p>
        </w:tc>
        <w:tc>
          <w:tcPr>
            <w:tcW w:w="1120" w:type="dxa"/>
            <w:tcBorders>
              <w:top w:val="nil"/>
              <w:left w:val="nil"/>
              <w:bottom w:val="nil"/>
              <w:right w:val="nil"/>
            </w:tcBorders>
            <w:shd w:val="clear" w:color="auto" w:fill="auto"/>
            <w:noWrap/>
            <w:vAlign w:val="center"/>
          </w:tcPr>
          <w:p w14:paraId="0344200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10,534</w:t>
            </w:r>
          </w:p>
        </w:tc>
        <w:tc>
          <w:tcPr>
            <w:tcW w:w="925" w:type="dxa"/>
            <w:tcBorders>
              <w:top w:val="nil"/>
              <w:left w:val="nil"/>
              <w:bottom w:val="nil"/>
              <w:right w:val="nil"/>
            </w:tcBorders>
            <w:shd w:val="clear" w:color="000000" w:fill="E7E6E6"/>
            <w:noWrap/>
            <w:vAlign w:val="center"/>
            <w:hideMark/>
          </w:tcPr>
          <w:p w14:paraId="678CBB7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1,660</w:t>
            </w:r>
          </w:p>
        </w:tc>
      </w:tr>
      <w:tr w:rsidR="005C5CED" w:rsidRPr="005C5CED" w14:paraId="2A206BD4" w14:textId="77777777" w:rsidTr="00D12B52">
        <w:trPr>
          <w:trHeight w:val="339"/>
        </w:trPr>
        <w:tc>
          <w:tcPr>
            <w:tcW w:w="4000" w:type="dxa"/>
            <w:tcBorders>
              <w:top w:val="nil"/>
              <w:left w:val="nil"/>
              <w:bottom w:val="nil"/>
              <w:right w:val="nil"/>
            </w:tcBorders>
            <w:shd w:val="clear" w:color="auto" w:fill="auto"/>
            <w:noWrap/>
            <w:vAlign w:val="center"/>
            <w:hideMark/>
          </w:tcPr>
          <w:p w14:paraId="4C6F60E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receivables</w:t>
            </w:r>
          </w:p>
        </w:tc>
        <w:tc>
          <w:tcPr>
            <w:tcW w:w="2223" w:type="dxa"/>
            <w:tcBorders>
              <w:top w:val="nil"/>
              <w:left w:val="nil"/>
              <w:bottom w:val="nil"/>
              <w:right w:val="nil"/>
            </w:tcBorders>
            <w:shd w:val="clear" w:color="auto" w:fill="auto"/>
            <w:noWrap/>
            <w:vAlign w:val="center"/>
            <w:hideMark/>
          </w:tcPr>
          <w:p w14:paraId="67E57EB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20" w:type="dxa"/>
            <w:tcBorders>
              <w:top w:val="nil"/>
              <w:left w:val="nil"/>
              <w:bottom w:val="nil"/>
              <w:right w:val="nil"/>
            </w:tcBorders>
            <w:shd w:val="clear" w:color="auto" w:fill="auto"/>
            <w:noWrap/>
            <w:vAlign w:val="center"/>
          </w:tcPr>
          <w:p w14:paraId="6A3B3BE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w:t>
            </w:r>
          </w:p>
        </w:tc>
        <w:tc>
          <w:tcPr>
            <w:tcW w:w="925" w:type="dxa"/>
            <w:tcBorders>
              <w:top w:val="nil"/>
              <w:left w:val="nil"/>
              <w:bottom w:val="nil"/>
              <w:right w:val="nil"/>
            </w:tcBorders>
            <w:shd w:val="clear" w:color="000000" w:fill="E7E6E6"/>
            <w:noWrap/>
            <w:vAlign w:val="center"/>
            <w:hideMark/>
          </w:tcPr>
          <w:p w14:paraId="7D75C55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w:t>
            </w:r>
          </w:p>
        </w:tc>
      </w:tr>
      <w:tr w:rsidR="005C5CED" w:rsidRPr="005C5CED" w14:paraId="447A4C2C" w14:textId="77777777" w:rsidTr="00D12B52">
        <w:trPr>
          <w:trHeight w:val="339"/>
        </w:trPr>
        <w:tc>
          <w:tcPr>
            <w:tcW w:w="4000" w:type="dxa"/>
            <w:tcBorders>
              <w:top w:val="single" w:sz="4" w:space="0" w:color="auto"/>
              <w:left w:val="nil"/>
              <w:bottom w:val="single" w:sz="4" w:space="0" w:color="auto"/>
              <w:right w:val="nil"/>
            </w:tcBorders>
            <w:shd w:val="clear" w:color="auto" w:fill="auto"/>
            <w:noWrap/>
            <w:vAlign w:val="center"/>
            <w:hideMark/>
          </w:tcPr>
          <w:p w14:paraId="38D579F6"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w:t>
            </w:r>
          </w:p>
        </w:tc>
        <w:tc>
          <w:tcPr>
            <w:tcW w:w="2223" w:type="dxa"/>
            <w:tcBorders>
              <w:top w:val="single" w:sz="4" w:space="0" w:color="auto"/>
              <w:left w:val="nil"/>
              <w:bottom w:val="single" w:sz="4" w:space="0" w:color="auto"/>
              <w:right w:val="nil"/>
            </w:tcBorders>
            <w:shd w:val="clear" w:color="auto" w:fill="auto"/>
            <w:noWrap/>
            <w:vAlign w:val="center"/>
            <w:hideMark/>
          </w:tcPr>
          <w:p w14:paraId="70B492F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20" w:type="dxa"/>
            <w:tcBorders>
              <w:top w:val="single" w:sz="4" w:space="0" w:color="auto"/>
              <w:left w:val="nil"/>
              <w:bottom w:val="single" w:sz="4" w:space="0" w:color="auto"/>
              <w:right w:val="nil"/>
            </w:tcBorders>
            <w:shd w:val="clear" w:color="auto" w:fill="auto"/>
            <w:noWrap/>
            <w:vAlign w:val="center"/>
          </w:tcPr>
          <w:p w14:paraId="5A768A8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10,657</w:t>
            </w:r>
          </w:p>
        </w:tc>
        <w:tc>
          <w:tcPr>
            <w:tcW w:w="925" w:type="dxa"/>
            <w:tcBorders>
              <w:top w:val="single" w:sz="4" w:space="0" w:color="auto"/>
              <w:left w:val="nil"/>
              <w:bottom w:val="single" w:sz="4" w:space="0" w:color="auto"/>
              <w:right w:val="nil"/>
            </w:tcBorders>
            <w:shd w:val="clear" w:color="000000" w:fill="E7E6E6"/>
            <w:noWrap/>
            <w:vAlign w:val="center"/>
            <w:hideMark/>
          </w:tcPr>
          <w:p w14:paraId="10AC7E6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12,590</w:t>
            </w:r>
          </w:p>
        </w:tc>
      </w:tr>
      <w:tr w:rsidR="005C5CED" w:rsidRPr="005C5CED" w14:paraId="732F080A" w14:textId="77777777" w:rsidTr="00D12B52">
        <w:trPr>
          <w:trHeight w:val="339"/>
        </w:trPr>
        <w:tc>
          <w:tcPr>
            <w:tcW w:w="4000" w:type="dxa"/>
            <w:tcBorders>
              <w:top w:val="nil"/>
              <w:left w:val="nil"/>
              <w:bottom w:val="nil"/>
              <w:right w:val="nil"/>
            </w:tcBorders>
            <w:shd w:val="clear" w:color="auto" w:fill="auto"/>
            <w:noWrap/>
            <w:vAlign w:val="center"/>
            <w:hideMark/>
          </w:tcPr>
          <w:p w14:paraId="22C91F82"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Statutory</w:t>
            </w:r>
          </w:p>
        </w:tc>
        <w:tc>
          <w:tcPr>
            <w:tcW w:w="2223" w:type="dxa"/>
            <w:tcBorders>
              <w:top w:val="nil"/>
              <w:left w:val="nil"/>
              <w:bottom w:val="nil"/>
              <w:right w:val="nil"/>
            </w:tcBorders>
            <w:shd w:val="clear" w:color="auto" w:fill="auto"/>
            <w:noWrap/>
            <w:vAlign w:val="center"/>
            <w:hideMark/>
          </w:tcPr>
          <w:p w14:paraId="18CA8ACE"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20" w:type="dxa"/>
            <w:tcBorders>
              <w:top w:val="nil"/>
              <w:left w:val="nil"/>
              <w:bottom w:val="nil"/>
              <w:right w:val="nil"/>
            </w:tcBorders>
            <w:shd w:val="clear" w:color="auto" w:fill="auto"/>
            <w:noWrap/>
            <w:vAlign w:val="center"/>
          </w:tcPr>
          <w:p w14:paraId="2D3BCCBD" w14:textId="77777777" w:rsidR="005C5CED" w:rsidRPr="005C5CED" w:rsidRDefault="005C5CED" w:rsidP="005C5CED">
            <w:pPr>
              <w:spacing w:after="0" w:line="240" w:lineRule="auto"/>
              <w:jc w:val="right"/>
              <w:rPr>
                <w:rFonts w:eastAsia="Times New Roman" w:cs="Arial"/>
                <w:color w:val="auto"/>
                <w:szCs w:val="20"/>
                <w:lang w:eastAsia="en-AU"/>
              </w:rPr>
            </w:pPr>
          </w:p>
        </w:tc>
        <w:tc>
          <w:tcPr>
            <w:tcW w:w="925" w:type="dxa"/>
            <w:tcBorders>
              <w:top w:val="nil"/>
              <w:left w:val="nil"/>
              <w:bottom w:val="nil"/>
              <w:right w:val="nil"/>
            </w:tcBorders>
            <w:shd w:val="clear" w:color="000000" w:fill="E7E6E6"/>
            <w:noWrap/>
            <w:vAlign w:val="center"/>
            <w:hideMark/>
          </w:tcPr>
          <w:p w14:paraId="6A2A4892"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7F4FE731" w14:textId="77777777" w:rsidTr="00D12B52">
        <w:trPr>
          <w:trHeight w:val="339"/>
        </w:trPr>
        <w:tc>
          <w:tcPr>
            <w:tcW w:w="4000" w:type="dxa"/>
            <w:tcBorders>
              <w:top w:val="nil"/>
              <w:left w:val="nil"/>
              <w:bottom w:val="nil"/>
              <w:right w:val="nil"/>
            </w:tcBorders>
            <w:shd w:val="clear" w:color="auto" w:fill="auto"/>
            <w:noWrap/>
            <w:vAlign w:val="center"/>
            <w:hideMark/>
          </w:tcPr>
          <w:p w14:paraId="6E54634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Amounts owing from Victorian Government</w:t>
            </w:r>
          </w:p>
        </w:tc>
        <w:tc>
          <w:tcPr>
            <w:tcW w:w="2223" w:type="dxa"/>
            <w:tcBorders>
              <w:top w:val="nil"/>
              <w:left w:val="nil"/>
              <w:bottom w:val="nil"/>
              <w:right w:val="nil"/>
            </w:tcBorders>
            <w:shd w:val="clear" w:color="auto" w:fill="auto"/>
            <w:noWrap/>
            <w:vAlign w:val="center"/>
            <w:hideMark/>
          </w:tcPr>
          <w:p w14:paraId="3670F67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w:t>
            </w:r>
          </w:p>
        </w:tc>
        <w:tc>
          <w:tcPr>
            <w:tcW w:w="1120" w:type="dxa"/>
            <w:tcBorders>
              <w:top w:val="nil"/>
              <w:left w:val="nil"/>
              <w:bottom w:val="nil"/>
              <w:right w:val="nil"/>
            </w:tcBorders>
            <w:shd w:val="clear" w:color="auto" w:fill="auto"/>
            <w:noWrap/>
            <w:vAlign w:val="center"/>
          </w:tcPr>
          <w:p w14:paraId="26AB966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4,877</w:t>
            </w:r>
          </w:p>
        </w:tc>
        <w:tc>
          <w:tcPr>
            <w:tcW w:w="925" w:type="dxa"/>
            <w:tcBorders>
              <w:top w:val="nil"/>
              <w:left w:val="nil"/>
              <w:bottom w:val="nil"/>
              <w:right w:val="nil"/>
            </w:tcBorders>
            <w:shd w:val="clear" w:color="000000" w:fill="E7E6E6"/>
            <w:noWrap/>
            <w:vAlign w:val="center"/>
            <w:hideMark/>
          </w:tcPr>
          <w:p w14:paraId="1FB50A1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4,794</w:t>
            </w:r>
          </w:p>
        </w:tc>
      </w:tr>
      <w:tr w:rsidR="005C5CED" w:rsidRPr="005C5CED" w14:paraId="1817D7C4" w14:textId="77777777" w:rsidTr="00D12B52">
        <w:trPr>
          <w:trHeight w:val="339"/>
        </w:trPr>
        <w:tc>
          <w:tcPr>
            <w:tcW w:w="4000" w:type="dxa"/>
            <w:tcBorders>
              <w:top w:val="nil"/>
              <w:left w:val="nil"/>
              <w:bottom w:val="nil"/>
              <w:right w:val="nil"/>
            </w:tcBorders>
            <w:shd w:val="clear" w:color="auto" w:fill="auto"/>
            <w:noWrap/>
            <w:vAlign w:val="center"/>
            <w:hideMark/>
          </w:tcPr>
          <w:p w14:paraId="37654BC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GST receivable</w:t>
            </w:r>
          </w:p>
        </w:tc>
        <w:tc>
          <w:tcPr>
            <w:tcW w:w="2223" w:type="dxa"/>
            <w:tcBorders>
              <w:top w:val="nil"/>
              <w:left w:val="nil"/>
              <w:bottom w:val="nil"/>
              <w:right w:val="nil"/>
            </w:tcBorders>
            <w:shd w:val="clear" w:color="auto" w:fill="auto"/>
            <w:noWrap/>
            <w:vAlign w:val="center"/>
            <w:hideMark/>
          </w:tcPr>
          <w:p w14:paraId="44189FE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20" w:type="dxa"/>
            <w:tcBorders>
              <w:top w:val="nil"/>
              <w:left w:val="nil"/>
              <w:bottom w:val="nil"/>
              <w:right w:val="nil"/>
            </w:tcBorders>
            <w:shd w:val="clear" w:color="auto" w:fill="auto"/>
            <w:noWrap/>
            <w:vAlign w:val="center"/>
          </w:tcPr>
          <w:p w14:paraId="7FBB4AD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944</w:t>
            </w:r>
          </w:p>
        </w:tc>
        <w:tc>
          <w:tcPr>
            <w:tcW w:w="925" w:type="dxa"/>
            <w:tcBorders>
              <w:top w:val="nil"/>
              <w:left w:val="nil"/>
              <w:bottom w:val="nil"/>
              <w:right w:val="nil"/>
            </w:tcBorders>
            <w:shd w:val="clear" w:color="000000" w:fill="E7E6E6"/>
            <w:noWrap/>
            <w:vAlign w:val="center"/>
            <w:hideMark/>
          </w:tcPr>
          <w:p w14:paraId="4F33FA5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934</w:t>
            </w:r>
          </w:p>
        </w:tc>
      </w:tr>
      <w:tr w:rsidR="005C5CED" w:rsidRPr="005C5CED" w14:paraId="60FE5AB1" w14:textId="77777777" w:rsidTr="00D12B52">
        <w:trPr>
          <w:trHeight w:val="339"/>
        </w:trPr>
        <w:tc>
          <w:tcPr>
            <w:tcW w:w="4000" w:type="dxa"/>
            <w:tcBorders>
              <w:top w:val="single" w:sz="4" w:space="0" w:color="auto"/>
              <w:left w:val="nil"/>
              <w:bottom w:val="single" w:sz="4" w:space="0" w:color="auto"/>
              <w:right w:val="nil"/>
            </w:tcBorders>
            <w:shd w:val="clear" w:color="auto" w:fill="auto"/>
            <w:noWrap/>
            <w:vAlign w:val="center"/>
            <w:hideMark/>
          </w:tcPr>
          <w:p w14:paraId="65BD2CDA"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statutory</w:t>
            </w:r>
          </w:p>
        </w:tc>
        <w:tc>
          <w:tcPr>
            <w:tcW w:w="2223" w:type="dxa"/>
            <w:tcBorders>
              <w:top w:val="single" w:sz="4" w:space="0" w:color="auto"/>
              <w:left w:val="nil"/>
              <w:bottom w:val="single" w:sz="4" w:space="0" w:color="auto"/>
              <w:right w:val="nil"/>
            </w:tcBorders>
            <w:shd w:val="clear" w:color="auto" w:fill="auto"/>
            <w:noWrap/>
            <w:vAlign w:val="center"/>
            <w:hideMark/>
          </w:tcPr>
          <w:p w14:paraId="256E9F4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20" w:type="dxa"/>
            <w:tcBorders>
              <w:top w:val="single" w:sz="4" w:space="0" w:color="auto"/>
              <w:left w:val="nil"/>
              <w:bottom w:val="single" w:sz="4" w:space="0" w:color="auto"/>
              <w:right w:val="nil"/>
            </w:tcBorders>
            <w:shd w:val="clear" w:color="auto" w:fill="auto"/>
            <w:noWrap/>
            <w:vAlign w:val="center"/>
          </w:tcPr>
          <w:p w14:paraId="1FE253B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5,821</w:t>
            </w:r>
          </w:p>
        </w:tc>
        <w:tc>
          <w:tcPr>
            <w:tcW w:w="925" w:type="dxa"/>
            <w:tcBorders>
              <w:top w:val="single" w:sz="4" w:space="0" w:color="auto"/>
              <w:left w:val="nil"/>
              <w:bottom w:val="single" w:sz="4" w:space="0" w:color="auto"/>
              <w:right w:val="nil"/>
            </w:tcBorders>
            <w:shd w:val="clear" w:color="000000" w:fill="E7E6E6"/>
            <w:noWrap/>
            <w:vAlign w:val="center"/>
            <w:hideMark/>
          </w:tcPr>
          <w:p w14:paraId="48B19DC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5,728</w:t>
            </w:r>
          </w:p>
        </w:tc>
      </w:tr>
      <w:tr w:rsidR="005C5CED" w:rsidRPr="005C5CED" w14:paraId="1B252969" w14:textId="77777777" w:rsidTr="00D12B52">
        <w:trPr>
          <w:trHeight w:val="339"/>
        </w:trPr>
        <w:tc>
          <w:tcPr>
            <w:tcW w:w="4000" w:type="dxa"/>
            <w:tcBorders>
              <w:top w:val="nil"/>
              <w:left w:val="nil"/>
              <w:bottom w:val="single" w:sz="4" w:space="0" w:color="auto"/>
              <w:right w:val="nil"/>
            </w:tcBorders>
            <w:shd w:val="clear" w:color="auto" w:fill="auto"/>
            <w:noWrap/>
            <w:vAlign w:val="center"/>
            <w:hideMark/>
          </w:tcPr>
          <w:p w14:paraId="18EA271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receivables</w:t>
            </w:r>
          </w:p>
        </w:tc>
        <w:tc>
          <w:tcPr>
            <w:tcW w:w="2223" w:type="dxa"/>
            <w:tcBorders>
              <w:top w:val="nil"/>
              <w:left w:val="nil"/>
              <w:bottom w:val="single" w:sz="4" w:space="0" w:color="auto"/>
              <w:right w:val="nil"/>
            </w:tcBorders>
            <w:shd w:val="clear" w:color="auto" w:fill="auto"/>
            <w:noWrap/>
            <w:vAlign w:val="center"/>
            <w:hideMark/>
          </w:tcPr>
          <w:p w14:paraId="69EB9C8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20" w:type="dxa"/>
            <w:tcBorders>
              <w:top w:val="single" w:sz="4" w:space="0" w:color="auto"/>
              <w:left w:val="nil"/>
              <w:bottom w:val="single" w:sz="4" w:space="0" w:color="auto"/>
              <w:right w:val="nil"/>
            </w:tcBorders>
            <w:shd w:val="clear" w:color="auto" w:fill="auto"/>
            <w:noWrap/>
            <w:vAlign w:val="center"/>
          </w:tcPr>
          <w:p w14:paraId="0EE1308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16,478</w:t>
            </w:r>
          </w:p>
        </w:tc>
        <w:tc>
          <w:tcPr>
            <w:tcW w:w="925" w:type="dxa"/>
            <w:tcBorders>
              <w:top w:val="single" w:sz="4" w:space="0" w:color="auto"/>
              <w:left w:val="nil"/>
              <w:bottom w:val="single" w:sz="4" w:space="0" w:color="auto"/>
              <w:right w:val="nil"/>
            </w:tcBorders>
            <w:shd w:val="clear" w:color="000000" w:fill="E7E6E6"/>
            <w:noWrap/>
            <w:vAlign w:val="center"/>
            <w:hideMark/>
          </w:tcPr>
          <w:p w14:paraId="700F6F1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18,318</w:t>
            </w:r>
          </w:p>
        </w:tc>
      </w:tr>
      <w:tr w:rsidR="005C5CED" w:rsidRPr="005C5CED" w14:paraId="554FE0AB" w14:textId="77777777" w:rsidTr="00D12B52">
        <w:trPr>
          <w:trHeight w:val="224"/>
        </w:trPr>
        <w:tc>
          <w:tcPr>
            <w:tcW w:w="4000" w:type="dxa"/>
            <w:tcBorders>
              <w:top w:val="nil"/>
              <w:left w:val="nil"/>
              <w:bottom w:val="nil"/>
              <w:right w:val="nil"/>
            </w:tcBorders>
            <w:shd w:val="clear" w:color="auto" w:fill="auto"/>
            <w:noWrap/>
            <w:vAlign w:val="center"/>
            <w:hideMark/>
          </w:tcPr>
          <w:p w14:paraId="7BB25E3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Represented by:</w:t>
            </w:r>
          </w:p>
        </w:tc>
        <w:tc>
          <w:tcPr>
            <w:tcW w:w="2223" w:type="dxa"/>
            <w:tcBorders>
              <w:top w:val="nil"/>
              <w:left w:val="nil"/>
              <w:bottom w:val="nil"/>
              <w:right w:val="nil"/>
            </w:tcBorders>
            <w:shd w:val="clear" w:color="auto" w:fill="auto"/>
            <w:noWrap/>
            <w:vAlign w:val="center"/>
            <w:hideMark/>
          </w:tcPr>
          <w:p w14:paraId="04D518E2" w14:textId="77777777" w:rsidR="005C5CED" w:rsidRPr="005C5CED" w:rsidRDefault="005C5CED" w:rsidP="005C5CED">
            <w:pPr>
              <w:spacing w:after="0" w:line="240" w:lineRule="auto"/>
              <w:rPr>
                <w:rFonts w:eastAsia="Times New Roman" w:cs="Arial"/>
                <w:color w:val="auto"/>
                <w:sz w:val="16"/>
                <w:szCs w:val="16"/>
                <w:lang w:eastAsia="en-AU"/>
              </w:rPr>
            </w:pPr>
          </w:p>
        </w:tc>
        <w:tc>
          <w:tcPr>
            <w:tcW w:w="1120" w:type="dxa"/>
            <w:tcBorders>
              <w:top w:val="nil"/>
              <w:left w:val="nil"/>
              <w:bottom w:val="nil"/>
              <w:right w:val="nil"/>
            </w:tcBorders>
            <w:shd w:val="clear" w:color="auto" w:fill="auto"/>
            <w:noWrap/>
            <w:vAlign w:val="center"/>
          </w:tcPr>
          <w:p w14:paraId="7E2852DD" w14:textId="77777777" w:rsidR="005C5CED" w:rsidRPr="005C5CED" w:rsidRDefault="005C5CED" w:rsidP="005C5CED">
            <w:pPr>
              <w:spacing w:after="0" w:line="240" w:lineRule="auto"/>
              <w:jc w:val="right"/>
              <w:rPr>
                <w:rFonts w:eastAsia="Times New Roman" w:cs="Arial"/>
                <w:color w:val="auto"/>
                <w:szCs w:val="20"/>
                <w:lang w:eastAsia="en-AU"/>
              </w:rPr>
            </w:pPr>
          </w:p>
        </w:tc>
        <w:tc>
          <w:tcPr>
            <w:tcW w:w="925" w:type="dxa"/>
            <w:tcBorders>
              <w:top w:val="nil"/>
              <w:left w:val="nil"/>
              <w:bottom w:val="nil"/>
              <w:right w:val="nil"/>
            </w:tcBorders>
            <w:shd w:val="clear" w:color="000000" w:fill="E7E6E6"/>
            <w:noWrap/>
            <w:vAlign w:val="center"/>
            <w:hideMark/>
          </w:tcPr>
          <w:p w14:paraId="6BFFF466"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6F84D5F9" w14:textId="77777777" w:rsidTr="00D12B52">
        <w:trPr>
          <w:trHeight w:val="339"/>
        </w:trPr>
        <w:tc>
          <w:tcPr>
            <w:tcW w:w="4000" w:type="dxa"/>
            <w:tcBorders>
              <w:top w:val="nil"/>
              <w:left w:val="nil"/>
              <w:bottom w:val="single" w:sz="4" w:space="0" w:color="auto"/>
              <w:right w:val="nil"/>
            </w:tcBorders>
            <w:shd w:val="clear" w:color="auto" w:fill="auto"/>
            <w:noWrap/>
            <w:vAlign w:val="center"/>
            <w:hideMark/>
          </w:tcPr>
          <w:p w14:paraId="746AE47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Current receivables</w:t>
            </w:r>
          </w:p>
        </w:tc>
        <w:tc>
          <w:tcPr>
            <w:tcW w:w="2223" w:type="dxa"/>
            <w:tcBorders>
              <w:top w:val="nil"/>
              <w:left w:val="nil"/>
              <w:bottom w:val="single" w:sz="4" w:space="0" w:color="auto"/>
              <w:right w:val="nil"/>
            </w:tcBorders>
            <w:shd w:val="clear" w:color="auto" w:fill="auto"/>
            <w:noWrap/>
            <w:vAlign w:val="center"/>
            <w:hideMark/>
          </w:tcPr>
          <w:p w14:paraId="43CAF1E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20" w:type="dxa"/>
            <w:tcBorders>
              <w:top w:val="nil"/>
              <w:left w:val="nil"/>
              <w:bottom w:val="single" w:sz="4" w:space="0" w:color="auto"/>
              <w:right w:val="nil"/>
            </w:tcBorders>
            <w:shd w:val="clear" w:color="auto" w:fill="auto"/>
            <w:noWrap/>
            <w:vAlign w:val="center"/>
          </w:tcPr>
          <w:p w14:paraId="5BB035D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16,478</w:t>
            </w:r>
          </w:p>
        </w:tc>
        <w:tc>
          <w:tcPr>
            <w:tcW w:w="925" w:type="dxa"/>
            <w:tcBorders>
              <w:top w:val="nil"/>
              <w:left w:val="nil"/>
              <w:bottom w:val="single" w:sz="4" w:space="0" w:color="auto"/>
              <w:right w:val="nil"/>
            </w:tcBorders>
            <w:shd w:val="clear" w:color="000000" w:fill="E7E6E6"/>
            <w:noWrap/>
            <w:vAlign w:val="center"/>
            <w:hideMark/>
          </w:tcPr>
          <w:p w14:paraId="120F498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18,318</w:t>
            </w:r>
          </w:p>
        </w:tc>
      </w:tr>
    </w:tbl>
    <w:p w14:paraId="56119D0E" w14:textId="77777777" w:rsidR="005C5CED" w:rsidRPr="005C5CED" w:rsidRDefault="005C5CED" w:rsidP="005C5CED">
      <w:pPr>
        <w:spacing w:after="60" w:line="259" w:lineRule="auto"/>
        <w:rPr>
          <w:rFonts w:eastAsia="Calibri" w:cs="Arial"/>
          <w:color w:val="auto"/>
          <w:sz w:val="14"/>
          <w:szCs w:val="14"/>
        </w:rPr>
      </w:pPr>
    </w:p>
    <w:p w14:paraId="7CC2F5A1"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Notes: </w:t>
      </w:r>
    </w:p>
    <w:p w14:paraId="5E560FA2"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(a) Trade debtors include DEECA for the on-passing of Commonwealth funded priority programs due to Sustainability Victoria as per the signed contract.</w:t>
      </w:r>
    </w:p>
    <w:p w14:paraId="26A2944B"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(b) Contract assets relate to Sustainability Victoria's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Sustainability Victoria issues an invoice to the customer. The balance of the contract assets </w:t>
      </w:r>
      <w:proofErr w:type="gramStart"/>
      <w:r w:rsidRPr="005C5CED">
        <w:rPr>
          <w:rFonts w:eastAsia="Calibri" w:cs="Arial"/>
          <w:color w:val="auto"/>
          <w:sz w:val="16"/>
          <w:szCs w:val="20"/>
        </w:rPr>
        <w:t>at</w:t>
      </w:r>
      <w:proofErr w:type="gramEnd"/>
      <w:r w:rsidRPr="005C5CED">
        <w:rPr>
          <w:rFonts w:eastAsia="Calibri" w:cs="Arial"/>
          <w:color w:val="auto"/>
          <w:sz w:val="16"/>
          <w:szCs w:val="20"/>
        </w:rPr>
        <w:t xml:space="preserve"> 30 June 2024 was impacted by timing of the works completed by contractors and is not billable at this stage. The works are expected to be recovered early next year.</w:t>
      </w:r>
    </w:p>
    <w:p w14:paraId="461FBDF0"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sz w:val="16"/>
          <w:szCs w:val="20"/>
        </w:rPr>
        <w:t>(c) Amounts owing from Victorian Government includes the April – June 2024 quarter monies due for Municipal and Industrial Waste Levy, received in July 2024.</w:t>
      </w:r>
    </w:p>
    <w:p w14:paraId="4AC67EF9"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Contractual receivables</w:t>
      </w:r>
      <w:r w:rsidRPr="005C5CED">
        <w:rPr>
          <w:rFonts w:eastAsia="Calibri" w:cs="Arial"/>
          <w:color w:val="auto"/>
        </w:rPr>
        <w:t xml:space="preserve"> are classified as financial instruments and categorised as financial assets at amortised costs. They are initially recognised at fair value plus any directly attributable transaction costs. </w:t>
      </w:r>
      <w:proofErr w:type="gramStart"/>
      <w:r w:rsidRPr="005C5CED">
        <w:rPr>
          <w:rFonts w:eastAsia="Calibri" w:cs="Arial"/>
          <w:color w:val="auto"/>
        </w:rPr>
        <w:t>Subsequent to</w:t>
      </w:r>
      <w:proofErr w:type="gramEnd"/>
      <w:r w:rsidRPr="005C5CED">
        <w:rPr>
          <w:rFonts w:eastAsia="Calibri" w:cs="Arial"/>
          <w:color w:val="auto"/>
        </w:rPr>
        <w:t xml:space="preserve"> initial measurement they are measured at amortised cost using the effective interest method, less any impairment. Contract assets </w:t>
      </w:r>
      <w:proofErr w:type="gramStart"/>
      <w:r w:rsidRPr="005C5CED">
        <w:rPr>
          <w:rFonts w:eastAsia="Calibri" w:cs="Arial"/>
          <w:color w:val="auto"/>
        </w:rPr>
        <w:t>represents</w:t>
      </w:r>
      <w:proofErr w:type="gramEnd"/>
      <w:r w:rsidRPr="005C5CED">
        <w:rPr>
          <w:rFonts w:eastAsia="Calibri" w:cs="Arial"/>
          <w:color w:val="auto"/>
        </w:rPr>
        <w:t xml:space="preserve"> revenue from contracts with customers where the funding is yet to be received.</w:t>
      </w:r>
    </w:p>
    <w:p w14:paraId="3C01E7AE"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Statutory receivables</w:t>
      </w:r>
      <w:r w:rsidRPr="005C5CED">
        <w:rPr>
          <w:rFonts w:eastAsia="Calibri" w:cs="Arial"/>
          <w:color w:val="auto"/>
        </w:rPr>
        <w:t xml:space="preserve"> do not arise from contracts and are recognised and measured similarly to contractual receivables (except for impairment) but are not classified as financial instruments. Amounts recognised from the Victorian Government represent funding for all commitments incurred and are drawn from the Municipal and Industrial Waste Levy as the commitments fall due.</w:t>
      </w:r>
    </w:p>
    <w:p w14:paraId="3021D428" w14:textId="77777777" w:rsidR="005C5CED" w:rsidRPr="005C5CED" w:rsidRDefault="005C5CED" w:rsidP="005C5CED">
      <w:pPr>
        <w:spacing w:line="259" w:lineRule="auto"/>
        <w:rPr>
          <w:rFonts w:eastAsia="Calibri" w:cs="Arial"/>
          <w:color w:val="auto"/>
        </w:rPr>
      </w:pPr>
      <w:r w:rsidRPr="005C5CED">
        <w:rPr>
          <w:rFonts w:eastAsia="Calibri" w:cs="Arial"/>
          <w:color w:val="auto"/>
        </w:rPr>
        <w:lastRenderedPageBreak/>
        <w:t xml:space="preserve">Details about Sustainability Victoria’s impairment policies, Sustainability Victoria’s exposure to credit risk, and the calculation of the loss allowance are set out in note </w:t>
      </w:r>
      <w:r w:rsidRPr="005C5CED">
        <w:rPr>
          <w:rFonts w:eastAsia="Calibri" w:cs="Arial"/>
          <w:color w:val="000000"/>
        </w:rPr>
        <w:t>7.1.2.</w:t>
      </w:r>
    </w:p>
    <w:p w14:paraId="1CD4C31F"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Doubtful debts</w:t>
      </w:r>
      <w:r w:rsidRPr="005C5CED">
        <w:rPr>
          <w:rFonts w:eastAsia="Calibri" w:cs="Arial"/>
          <w:color w:val="auto"/>
        </w:rPr>
        <w:t xml:space="preserve">: credit loss allowance is classified as other economic flows in the net result. Contractual receivables are written off when there is no reasonable expectation of recovery and impairment losses are classified as a transaction expense. </w:t>
      </w:r>
    </w:p>
    <w:p w14:paraId="294E45C5" w14:textId="77777777" w:rsidR="005C5CED" w:rsidRPr="005C5CED" w:rsidRDefault="005C5CED" w:rsidP="005C5CED">
      <w:pPr>
        <w:spacing w:line="259" w:lineRule="auto"/>
        <w:rPr>
          <w:rFonts w:eastAsia="Calibri" w:cs="Arial"/>
          <w:color w:val="auto"/>
        </w:rPr>
      </w:pPr>
      <w:r w:rsidRPr="005C5CED">
        <w:rPr>
          <w:rFonts w:eastAsia="Calibri" w:cs="Arial"/>
          <w:color w:val="auto"/>
        </w:rPr>
        <w:t>Subsequent recoveries of amounts previously written off are credited against the same line item.</w:t>
      </w:r>
    </w:p>
    <w:p w14:paraId="3AD75150"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Bad debts</w:t>
      </w:r>
      <w:r w:rsidRPr="005C5CED">
        <w:rPr>
          <w:rFonts w:eastAsia="Calibri" w:cs="Arial"/>
          <w:color w:val="auto"/>
        </w:rPr>
        <w:t xml:space="preserve"> considered as written off by mutual consent are classified as a transaction expense. Bad debts not written off by mutual consent and the allowance for doubtful receivables are classified as other economic flows in the net result.</w:t>
      </w:r>
    </w:p>
    <w:p w14:paraId="71572D1F"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Note 5.1.1 Ageing analysis of contractual receivables</w:t>
      </w:r>
    </w:p>
    <w:tbl>
      <w:tblPr>
        <w:tblW w:w="7962" w:type="dxa"/>
        <w:tblLook w:val="04A0" w:firstRow="1" w:lastRow="0" w:firstColumn="1" w:lastColumn="0" w:noHBand="0" w:noVBand="1"/>
      </w:tblPr>
      <w:tblGrid>
        <w:gridCol w:w="4071"/>
        <w:gridCol w:w="2830"/>
        <w:gridCol w:w="1061"/>
      </w:tblGrid>
      <w:tr w:rsidR="005C5CED" w:rsidRPr="005C5CED" w14:paraId="5AD1C30B" w14:textId="77777777" w:rsidTr="00D12B52">
        <w:trPr>
          <w:trHeight w:val="194"/>
        </w:trPr>
        <w:tc>
          <w:tcPr>
            <w:tcW w:w="4071" w:type="dxa"/>
            <w:tcBorders>
              <w:top w:val="single" w:sz="4" w:space="0" w:color="auto"/>
              <w:left w:val="nil"/>
              <w:bottom w:val="nil"/>
              <w:right w:val="nil"/>
            </w:tcBorders>
            <w:shd w:val="clear" w:color="000000" w:fill="000000"/>
            <w:noWrap/>
            <w:vAlign w:val="bottom"/>
            <w:hideMark/>
          </w:tcPr>
          <w:p w14:paraId="386AEDE8"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830" w:type="dxa"/>
            <w:tcBorders>
              <w:top w:val="single" w:sz="4" w:space="0" w:color="auto"/>
              <w:left w:val="nil"/>
              <w:bottom w:val="nil"/>
              <w:right w:val="nil"/>
            </w:tcBorders>
            <w:shd w:val="clear" w:color="000000" w:fill="000000"/>
            <w:noWrap/>
            <w:vAlign w:val="bottom"/>
            <w:hideMark/>
          </w:tcPr>
          <w:p w14:paraId="7935A9A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061" w:type="dxa"/>
            <w:tcBorders>
              <w:top w:val="single" w:sz="4" w:space="0" w:color="auto"/>
              <w:left w:val="nil"/>
              <w:bottom w:val="nil"/>
              <w:right w:val="nil"/>
            </w:tcBorders>
            <w:shd w:val="clear" w:color="000000" w:fill="000000"/>
            <w:noWrap/>
            <w:vAlign w:val="bottom"/>
            <w:hideMark/>
          </w:tcPr>
          <w:p w14:paraId="1AB9893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00A0AD36" w14:textId="77777777" w:rsidTr="00D12B52">
        <w:trPr>
          <w:trHeight w:val="194"/>
        </w:trPr>
        <w:tc>
          <w:tcPr>
            <w:tcW w:w="4071" w:type="dxa"/>
            <w:tcBorders>
              <w:top w:val="nil"/>
              <w:left w:val="nil"/>
              <w:bottom w:val="single" w:sz="4" w:space="0" w:color="auto"/>
              <w:right w:val="nil"/>
            </w:tcBorders>
            <w:shd w:val="clear" w:color="000000" w:fill="000000"/>
            <w:noWrap/>
            <w:vAlign w:val="bottom"/>
            <w:hideMark/>
          </w:tcPr>
          <w:p w14:paraId="3C346273"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830" w:type="dxa"/>
            <w:tcBorders>
              <w:top w:val="nil"/>
              <w:left w:val="nil"/>
              <w:bottom w:val="single" w:sz="4" w:space="0" w:color="auto"/>
              <w:right w:val="nil"/>
            </w:tcBorders>
            <w:shd w:val="clear" w:color="000000" w:fill="000000"/>
            <w:noWrap/>
            <w:vAlign w:val="bottom"/>
            <w:hideMark/>
          </w:tcPr>
          <w:p w14:paraId="40B1AD5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61" w:type="dxa"/>
            <w:tcBorders>
              <w:top w:val="nil"/>
              <w:left w:val="nil"/>
              <w:bottom w:val="single" w:sz="4" w:space="0" w:color="auto"/>
              <w:right w:val="nil"/>
            </w:tcBorders>
            <w:shd w:val="clear" w:color="000000" w:fill="000000"/>
            <w:noWrap/>
            <w:vAlign w:val="bottom"/>
            <w:hideMark/>
          </w:tcPr>
          <w:p w14:paraId="7B54D5F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198A966F" w14:textId="77777777" w:rsidTr="00D12B52">
        <w:trPr>
          <w:trHeight w:val="296"/>
        </w:trPr>
        <w:tc>
          <w:tcPr>
            <w:tcW w:w="4071" w:type="dxa"/>
            <w:tcBorders>
              <w:top w:val="nil"/>
              <w:left w:val="nil"/>
              <w:bottom w:val="nil"/>
              <w:right w:val="nil"/>
            </w:tcBorders>
            <w:shd w:val="clear" w:color="auto" w:fill="auto"/>
            <w:noWrap/>
            <w:vAlign w:val="center"/>
            <w:hideMark/>
          </w:tcPr>
          <w:p w14:paraId="2F21B3AE"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Carrying amount</w:t>
            </w:r>
          </w:p>
        </w:tc>
        <w:tc>
          <w:tcPr>
            <w:tcW w:w="2830" w:type="dxa"/>
            <w:tcBorders>
              <w:top w:val="nil"/>
              <w:left w:val="nil"/>
              <w:bottom w:val="nil"/>
              <w:right w:val="nil"/>
            </w:tcBorders>
            <w:shd w:val="clear" w:color="auto" w:fill="auto"/>
            <w:noWrap/>
            <w:vAlign w:val="center"/>
          </w:tcPr>
          <w:p w14:paraId="3AF6E37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10,657</w:t>
            </w:r>
          </w:p>
        </w:tc>
        <w:tc>
          <w:tcPr>
            <w:tcW w:w="1061" w:type="dxa"/>
            <w:tcBorders>
              <w:top w:val="nil"/>
              <w:left w:val="nil"/>
              <w:bottom w:val="nil"/>
              <w:right w:val="nil"/>
            </w:tcBorders>
            <w:shd w:val="clear" w:color="000000" w:fill="E7E6E6"/>
            <w:noWrap/>
            <w:vAlign w:val="center"/>
            <w:hideMark/>
          </w:tcPr>
          <w:p w14:paraId="2C82307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12,590</w:t>
            </w:r>
          </w:p>
        </w:tc>
      </w:tr>
      <w:tr w:rsidR="005C5CED" w:rsidRPr="005C5CED" w14:paraId="66B9D4F1" w14:textId="77777777" w:rsidTr="00D12B52">
        <w:trPr>
          <w:trHeight w:val="296"/>
        </w:trPr>
        <w:tc>
          <w:tcPr>
            <w:tcW w:w="4071" w:type="dxa"/>
            <w:tcBorders>
              <w:top w:val="nil"/>
              <w:left w:val="nil"/>
              <w:bottom w:val="nil"/>
              <w:right w:val="nil"/>
            </w:tcBorders>
            <w:shd w:val="clear" w:color="auto" w:fill="auto"/>
            <w:noWrap/>
            <w:vAlign w:val="center"/>
            <w:hideMark/>
          </w:tcPr>
          <w:p w14:paraId="74B9D931"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Ageing:</w:t>
            </w:r>
          </w:p>
        </w:tc>
        <w:tc>
          <w:tcPr>
            <w:tcW w:w="2830" w:type="dxa"/>
            <w:tcBorders>
              <w:top w:val="nil"/>
              <w:left w:val="nil"/>
              <w:bottom w:val="nil"/>
              <w:right w:val="nil"/>
            </w:tcBorders>
            <w:shd w:val="clear" w:color="auto" w:fill="auto"/>
            <w:noWrap/>
            <w:vAlign w:val="center"/>
          </w:tcPr>
          <w:p w14:paraId="18CE27D6"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p>
        </w:tc>
        <w:tc>
          <w:tcPr>
            <w:tcW w:w="1061" w:type="dxa"/>
            <w:tcBorders>
              <w:top w:val="nil"/>
              <w:left w:val="nil"/>
              <w:bottom w:val="nil"/>
              <w:right w:val="nil"/>
            </w:tcBorders>
            <w:shd w:val="clear" w:color="000000" w:fill="E7E6E6"/>
            <w:noWrap/>
            <w:vAlign w:val="center"/>
            <w:hideMark/>
          </w:tcPr>
          <w:p w14:paraId="37DAFA1C"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2E400F81" w14:textId="77777777" w:rsidTr="00D12B52">
        <w:trPr>
          <w:trHeight w:val="296"/>
        </w:trPr>
        <w:tc>
          <w:tcPr>
            <w:tcW w:w="4071" w:type="dxa"/>
            <w:tcBorders>
              <w:top w:val="nil"/>
              <w:left w:val="nil"/>
              <w:bottom w:val="nil"/>
              <w:right w:val="nil"/>
            </w:tcBorders>
            <w:shd w:val="clear" w:color="auto" w:fill="auto"/>
            <w:noWrap/>
            <w:vAlign w:val="center"/>
            <w:hideMark/>
          </w:tcPr>
          <w:p w14:paraId="022B1A6A"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Current – not yet due</w:t>
            </w:r>
          </w:p>
        </w:tc>
        <w:tc>
          <w:tcPr>
            <w:tcW w:w="2830" w:type="dxa"/>
            <w:tcBorders>
              <w:top w:val="nil"/>
              <w:left w:val="nil"/>
              <w:bottom w:val="nil"/>
              <w:right w:val="nil"/>
            </w:tcBorders>
            <w:shd w:val="clear" w:color="auto" w:fill="auto"/>
            <w:noWrap/>
            <w:vAlign w:val="center"/>
          </w:tcPr>
          <w:p w14:paraId="4AA1077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10,573</w:t>
            </w:r>
          </w:p>
        </w:tc>
        <w:tc>
          <w:tcPr>
            <w:tcW w:w="1061" w:type="dxa"/>
            <w:tcBorders>
              <w:top w:val="nil"/>
              <w:left w:val="nil"/>
              <w:bottom w:val="nil"/>
              <w:right w:val="nil"/>
            </w:tcBorders>
            <w:shd w:val="clear" w:color="000000" w:fill="E7E6E6"/>
            <w:noWrap/>
            <w:vAlign w:val="center"/>
            <w:hideMark/>
          </w:tcPr>
          <w:p w14:paraId="1EA8012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1,979</w:t>
            </w:r>
          </w:p>
        </w:tc>
      </w:tr>
      <w:tr w:rsidR="005C5CED" w:rsidRPr="005C5CED" w14:paraId="5746950E" w14:textId="77777777" w:rsidTr="00D12B52">
        <w:trPr>
          <w:trHeight w:val="296"/>
        </w:trPr>
        <w:tc>
          <w:tcPr>
            <w:tcW w:w="4071" w:type="dxa"/>
            <w:tcBorders>
              <w:top w:val="nil"/>
              <w:left w:val="nil"/>
              <w:bottom w:val="nil"/>
              <w:right w:val="nil"/>
            </w:tcBorders>
            <w:shd w:val="clear" w:color="auto" w:fill="auto"/>
            <w:noWrap/>
            <w:vAlign w:val="center"/>
          </w:tcPr>
          <w:p w14:paraId="6A9F8A66"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Past due – by up to 30 days</w:t>
            </w:r>
          </w:p>
        </w:tc>
        <w:tc>
          <w:tcPr>
            <w:tcW w:w="2830" w:type="dxa"/>
            <w:tcBorders>
              <w:top w:val="nil"/>
              <w:left w:val="nil"/>
              <w:bottom w:val="nil"/>
              <w:right w:val="nil"/>
            </w:tcBorders>
            <w:shd w:val="clear" w:color="auto" w:fill="auto"/>
            <w:noWrap/>
            <w:vAlign w:val="center"/>
          </w:tcPr>
          <w:p w14:paraId="058D504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1" w:type="dxa"/>
            <w:tcBorders>
              <w:top w:val="nil"/>
              <w:left w:val="nil"/>
              <w:bottom w:val="nil"/>
              <w:right w:val="nil"/>
            </w:tcBorders>
            <w:shd w:val="clear" w:color="000000" w:fill="E7E6E6"/>
            <w:noWrap/>
            <w:vAlign w:val="center"/>
          </w:tcPr>
          <w:p w14:paraId="194DC33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6,570</w:t>
            </w:r>
          </w:p>
        </w:tc>
      </w:tr>
      <w:tr w:rsidR="005C5CED" w:rsidRPr="005C5CED" w14:paraId="59E3EA3C" w14:textId="77777777" w:rsidTr="00D12B52">
        <w:trPr>
          <w:trHeight w:val="296"/>
        </w:trPr>
        <w:tc>
          <w:tcPr>
            <w:tcW w:w="4071" w:type="dxa"/>
            <w:tcBorders>
              <w:top w:val="nil"/>
              <w:left w:val="nil"/>
              <w:bottom w:val="nil"/>
              <w:right w:val="nil"/>
            </w:tcBorders>
            <w:shd w:val="clear" w:color="auto" w:fill="auto"/>
            <w:noWrap/>
            <w:vAlign w:val="center"/>
          </w:tcPr>
          <w:p w14:paraId="49D11AE5"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Past due – more than 91 days</w:t>
            </w:r>
          </w:p>
        </w:tc>
        <w:tc>
          <w:tcPr>
            <w:tcW w:w="2830" w:type="dxa"/>
            <w:tcBorders>
              <w:top w:val="nil"/>
              <w:left w:val="nil"/>
              <w:bottom w:val="nil"/>
              <w:right w:val="nil"/>
            </w:tcBorders>
            <w:shd w:val="clear" w:color="auto" w:fill="auto"/>
            <w:noWrap/>
            <w:vAlign w:val="center"/>
          </w:tcPr>
          <w:p w14:paraId="760190B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84</w:t>
            </w:r>
          </w:p>
        </w:tc>
        <w:tc>
          <w:tcPr>
            <w:tcW w:w="1061" w:type="dxa"/>
            <w:tcBorders>
              <w:top w:val="nil"/>
              <w:left w:val="nil"/>
              <w:bottom w:val="nil"/>
              <w:right w:val="nil"/>
            </w:tcBorders>
            <w:shd w:val="clear" w:color="000000" w:fill="E7E6E6"/>
            <w:noWrap/>
            <w:vAlign w:val="center"/>
          </w:tcPr>
          <w:p w14:paraId="351AA2C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4,041</w:t>
            </w:r>
          </w:p>
        </w:tc>
      </w:tr>
      <w:tr w:rsidR="005C5CED" w:rsidRPr="005C5CED" w14:paraId="6BFB8FEB" w14:textId="77777777" w:rsidTr="00D12B52">
        <w:trPr>
          <w:trHeight w:val="296"/>
        </w:trPr>
        <w:tc>
          <w:tcPr>
            <w:tcW w:w="4071" w:type="dxa"/>
            <w:tcBorders>
              <w:top w:val="single" w:sz="4" w:space="0" w:color="auto"/>
              <w:left w:val="nil"/>
              <w:bottom w:val="single" w:sz="4" w:space="0" w:color="auto"/>
              <w:right w:val="nil"/>
            </w:tcBorders>
            <w:shd w:val="clear" w:color="auto" w:fill="auto"/>
            <w:noWrap/>
            <w:vAlign w:val="center"/>
            <w:hideMark/>
          </w:tcPr>
          <w:p w14:paraId="179DEB3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p w14:paraId="2056957F" w14:textId="77777777" w:rsidR="005C5CED" w:rsidRPr="005C5CED" w:rsidRDefault="005C5CED" w:rsidP="005C5CED">
            <w:pPr>
              <w:spacing w:line="259" w:lineRule="auto"/>
              <w:rPr>
                <w:rFonts w:eastAsia="Calibri" w:cs="Arial"/>
                <w:b/>
                <w:bCs/>
                <w:color w:val="auto"/>
                <w:sz w:val="16"/>
                <w:szCs w:val="16"/>
              </w:rPr>
            </w:pPr>
            <w:r w:rsidRPr="005C5CED">
              <w:rPr>
                <w:rFonts w:eastAsia="Calibri" w:cs="Arial"/>
                <w:b/>
                <w:bCs/>
                <w:color w:val="auto"/>
                <w:sz w:val="16"/>
                <w:szCs w:val="16"/>
              </w:rPr>
              <w:t>Total contractual receivables</w:t>
            </w:r>
          </w:p>
          <w:p w14:paraId="34B1F929"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2830" w:type="dxa"/>
            <w:tcBorders>
              <w:top w:val="single" w:sz="4" w:space="0" w:color="auto"/>
              <w:left w:val="nil"/>
              <w:bottom w:val="single" w:sz="4" w:space="0" w:color="auto"/>
              <w:right w:val="nil"/>
            </w:tcBorders>
            <w:shd w:val="clear" w:color="auto" w:fill="auto"/>
            <w:noWrap/>
            <w:vAlign w:val="center"/>
          </w:tcPr>
          <w:p w14:paraId="2AB0736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10,657</w:t>
            </w:r>
          </w:p>
        </w:tc>
        <w:tc>
          <w:tcPr>
            <w:tcW w:w="1061" w:type="dxa"/>
            <w:tcBorders>
              <w:top w:val="single" w:sz="4" w:space="0" w:color="auto"/>
              <w:left w:val="nil"/>
              <w:bottom w:val="single" w:sz="4" w:space="0" w:color="auto"/>
              <w:right w:val="nil"/>
            </w:tcBorders>
            <w:shd w:val="clear" w:color="000000" w:fill="E7E6E6"/>
            <w:noWrap/>
            <w:vAlign w:val="center"/>
            <w:hideMark/>
          </w:tcPr>
          <w:p w14:paraId="4E49457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12,590</w:t>
            </w:r>
          </w:p>
        </w:tc>
      </w:tr>
    </w:tbl>
    <w:p w14:paraId="2CCD1D76" w14:textId="77777777" w:rsidR="005C5CED" w:rsidRPr="005C5CED" w:rsidRDefault="005C5CED" w:rsidP="005C5CED">
      <w:pPr>
        <w:spacing w:after="60" w:line="259" w:lineRule="auto"/>
        <w:rPr>
          <w:rFonts w:eastAsia="Calibri" w:cs="Arial"/>
          <w:color w:val="auto"/>
          <w:sz w:val="6"/>
          <w:szCs w:val="6"/>
        </w:rPr>
      </w:pPr>
    </w:p>
    <w:p w14:paraId="53F011B5" w14:textId="77777777" w:rsidR="005C5CED" w:rsidRPr="005C5CED" w:rsidRDefault="005C5CED" w:rsidP="005C5CED">
      <w:pPr>
        <w:spacing w:after="60" w:line="259" w:lineRule="auto"/>
        <w:rPr>
          <w:rFonts w:eastAsia="Calibri" w:cs="Arial"/>
          <w:color w:val="auto"/>
          <w:sz w:val="16"/>
          <w:szCs w:val="16"/>
        </w:rPr>
      </w:pPr>
    </w:p>
    <w:p w14:paraId="3BE41E6D" w14:textId="77777777" w:rsidR="005C5CED" w:rsidRPr="005C5CED" w:rsidRDefault="005C5CED" w:rsidP="005C5CED">
      <w:pPr>
        <w:spacing w:line="259" w:lineRule="auto"/>
        <w:rPr>
          <w:rFonts w:eastAsia="Calibri" w:cs="Arial"/>
          <w:color w:val="auto"/>
        </w:rPr>
      </w:pPr>
      <w:r w:rsidRPr="005C5CED">
        <w:rPr>
          <w:rFonts w:eastAsia="Calibri" w:cs="Arial"/>
          <w:color w:val="auto"/>
        </w:rPr>
        <w:t>There are no material financial assets that are individually determined to be impaired. Currently Sustainability Victoria does not hold any collateral as security nor credit enhancements relating to any of its financial assets.</w:t>
      </w:r>
    </w:p>
    <w:p w14:paraId="397014FD" w14:textId="77777777" w:rsidR="005C5CED" w:rsidRPr="005C5CED" w:rsidRDefault="005C5CED" w:rsidP="005C5CED">
      <w:pPr>
        <w:spacing w:line="259" w:lineRule="auto"/>
        <w:rPr>
          <w:rFonts w:eastAsia="Calibri" w:cs="Arial"/>
          <w:color w:val="auto"/>
        </w:rPr>
      </w:pPr>
      <w:r w:rsidRPr="005C5CED">
        <w:rPr>
          <w:rFonts w:eastAsia="Calibri" w:cs="Arial"/>
          <w:color w:val="auto"/>
        </w:rPr>
        <w:t>There are no financial assets that have had their terms renegotiated to prevent them from being past due or impaired, and they are stated at the carrying amounts as indicated.</w:t>
      </w:r>
      <w:r w:rsidRPr="005C5CED">
        <w:rPr>
          <w:rFonts w:eastAsia="Calibri" w:cs="Arial"/>
          <w:color w:val="auto"/>
        </w:rPr>
        <w:tab/>
      </w:r>
    </w:p>
    <w:p w14:paraId="1BE1FC23"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5.2 Payables and contract liabilities</w:t>
      </w:r>
    </w:p>
    <w:tbl>
      <w:tblPr>
        <w:tblW w:w="7931" w:type="dxa"/>
        <w:tblLook w:val="04A0" w:firstRow="1" w:lastRow="0" w:firstColumn="1" w:lastColumn="0" w:noHBand="0" w:noVBand="1"/>
      </w:tblPr>
      <w:tblGrid>
        <w:gridCol w:w="4055"/>
        <w:gridCol w:w="2819"/>
        <w:gridCol w:w="1057"/>
      </w:tblGrid>
      <w:tr w:rsidR="005C5CED" w:rsidRPr="005C5CED" w14:paraId="59E39F41" w14:textId="77777777" w:rsidTr="00D12B52">
        <w:trPr>
          <w:trHeight w:val="226"/>
        </w:trPr>
        <w:tc>
          <w:tcPr>
            <w:tcW w:w="4055" w:type="dxa"/>
            <w:tcBorders>
              <w:top w:val="single" w:sz="4" w:space="0" w:color="auto"/>
              <w:left w:val="nil"/>
              <w:bottom w:val="nil"/>
              <w:right w:val="nil"/>
            </w:tcBorders>
            <w:shd w:val="clear" w:color="000000" w:fill="000000"/>
            <w:noWrap/>
            <w:vAlign w:val="bottom"/>
            <w:hideMark/>
          </w:tcPr>
          <w:p w14:paraId="47929678"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819" w:type="dxa"/>
            <w:tcBorders>
              <w:top w:val="single" w:sz="4" w:space="0" w:color="auto"/>
              <w:left w:val="nil"/>
              <w:bottom w:val="nil"/>
              <w:right w:val="nil"/>
            </w:tcBorders>
            <w:shd w:val="clear" w:color="000000" w:fill="000000"/>
            <w:noWrap/>
            <w:vAlign w:val="bottom"/>
            <w:hideMark/>
          </w:tcPr>
          <w:p w14:paraId="5DA3459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057" w:type="dxa"/>
            <w:tcBorders>
              <w:top w:val="single" w:sz="4" w:space="0" w:color="auto"/>
              <w:left w:val="nil"/>
              <w:bottom w:val="nil"/>
              <w:right w:val="nil"/>
            </w:tcBorders>
            <w:shd w:val="clear" w:color="000000" w:fill="000000"/>
            <w:noWrap/>
            <w:vAlign w:val="bottom"/>
            <w:hideMark/>
          </w:tcPr>
          <w:p w14:paraId="5BB0D2EC"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p>
          <w:p w14:paraId="29987C4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2F414FBD" w14:textId="77777777" w:rsidTr="00D12B52">
        <w:trPr>
          <w:trHeight w:val="226"/>
        </w:trPr>
        <w:tc>
          <w:tcPr>
            <w:tcW w:w="4055" w:type="dxa"/>
            <w:tcBorders>
              <w:top w:val="nil"/>
              <w:left w:val="nil"/>
              <w:bottom w:val="single" w:sz="4" w:space="0" w:color="auto"/>
              <w:right w:val="nil"/>
            </w:tcBorders>
            <w:shd w:val="clear" w:color="000000" w:fill="000000"/>
            <w:noWrap/>
            <w:vAlign w:val="bottom"/>
            <w:hideMark/>
          </w:tcPr>
          <w:p w14:paraId="0C61720F"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819" w:type="dxa"/>
            <w:tcBorders>
              <w:top w:val="nil"/>
              <w:left w:val="nil"/>
              <w:bottom w:val="single" w:sz="4" w:space="0" w:color="auto"/>
              <w:right w:val="nil"/>
            </w:tcBorders>
            <w:shd w:val="clear" w:color="000000" w:fill="000000"/>
            <w:noWrap/>
            <w:vAlign w:val="bottom"/>
            <w:hideMark/>
          </w:tcPr>
          <w:p w14:paraId="11615D1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57" w:type="dxa"/>
            <w:tcBorders>
              <w:top w:val="nil"/>
              <w:left w:val="nil"/>
              <w:bottom w:val="single" w:sz="4" w:space="0" w:color="auto"/>
              <w:right w:val="nil"/>
            </w:tcBorders>
            <w:shd w:val="clear" w:color="000000" w:fill="000000"/>
            <w:noWrap/>
            <w:vAlign w:val="bottom"/>
            <w:hideMark/>
          </w:tcPr>
          <w:p w14:paraId="5F3C818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13230B93" w14:textId="77777777" w:rsidTr="00D12B52">
        <w:trPr>
          <w:trHeight w:val="344"/>
        </w:trPr>
        <w:tc>
          <w:tcPr>
            <w:tcW w:w="4055" w:type="dxa"/>
            <w:tcBorders>
              <w:top w:val="nil"/>
              <w:left w:val="nil"/>
              <w:bottom w:val="nil"/>
              <w:right w:val="nil"/>
            </w:tcBorders>
            <w:shd w:val="clear" w:color="auto" w:fill="auto"/>
            <w:noWrap/>
            <w:vAlign w:val="center"/>
            <w:hideMark/>
          </w:tcPr>
          <w:p w14:paraId="779CD4A2"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Contractual</w:t>
            </w:r>
          </w:p>
        </w:tc>
        <w:tc>
          <w:tcPr>
            <w:tcW w:w="2819" w:type="dxa"/>
            <w:tcBorders>
              <w:top w:val="nil"/>
              <w:left w:val="nil"/>
              <w:bottom w:val="nil"/>
              <w:right w:val="nil"/>
            </w:tcBorders>
            <w:shd w:val="clear" w:color="auto" w:fill="auto"/>
            <w:noWrap/>
            <w:vAlign w:val="center"/>
            <w:hideMark/>
          </w:tcPr>
          <w:p w14:paraId="569635EC"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057" w:type="dxa"/>
            <w:tcBorders>
              <w:top w:val="nil"/>
              <w:left w:val="nil"/>
              <w:bottom w:val="nil"/>
              <w:right w:val="nil"/>
            </w:tcBorders>
            <w:shd w:val="clear" w:color="000000" w:fill="E7E6E6"/>
            <w:noWrap/>
            <w:vAlign w:val="center"/>
            <w:hideMark/>
          </w:tcPr>
          <w:p w14:paraId="5B9F8E4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174C53F7" w14:textId="77777777" w:rsidTr="00D12B52">
        <w:trPr>
          <w:trHeight w:val="344"/>
        </w:trPr>
        <w:tc>
          <w:tcPr>
            <w:tcW w:w="4055" w:type="dxa"/>
            <w:tcBorders>
              <w:top w:val="nil"/>
              <w:left w:val="nil"/>
              <w:bottom w:val="nil"/>
              <w:right w:val="nil"/>
            </w:tcBorders>
            <w:shd w:val="clear" w:color="auto" w:fill="auto"/>
            <w:noWrap/>
            <w:vAlign w:val="center"/>
            <w:hideMark/>
          </w:tcPr>
          <w:p w14:paraId="427FB39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Trade creditors</w:t>
            </w:r>
          </w:p>
        </w:tc>
        <w:tc>
          <w:tcPr>
            <w:tcW w:w="2819" w:type="dxa"/>
            <w:tcBorders>
              <w:top w:val="nil"/>
              <w:left w:val="nil"/>
              <w:bottom w:val="nil"/>
              <w:right w:val="nil"/>
            </w:tcBorders>
            <w:shd w:val="clear" w:color="auto" w:fill="auto"/>
            <w:noWrap/>
            <w:vAlign w:val="center"/>
          </w:tcPr>
          <w:p w14:paraId="3819494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4,885</w:t>
            </w:r>
          </w:p>
        </w:tc>
        <w:tc>
          <w:tcPr>
            <w:tcW w:w="1057" w:type="dxa"/>
            <w:tcBorders>
              <w:top w:val="nil"/>
              <w:left w:val="nil"/>
              <w:bottom w:val="nil"/>
              <w:right w:val="nil"/>
            </w:tcBorders>
            <w:shd w:val="clear" w:color="000000" w:fill="E7E6E6"/>
            <w:noWrap/>
            <w:vAlign w:val="center"/>
            <w:hideMark/>
          </w:tcPr>
          <w:p w14:paraId="3D1CDCB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2,533</w:t>
            </w:r>
          </w:p>
        </w:tc>
      </w:tr>
      <w:tr w:rsidR="005C5CED" w:rsidRPr="005C5CED" w14:paraId="11221E66" w14:textId="77777777" w:rsidTr="00D12B52">
        <w:trPr>
          <w:trHeight w:val="344"/>
        </w:trPr>
        <w:tc>
          <w:tcPr>
            <w:tcW w:w="4055" w:type="dxa"/>
            <w:tcBorders>
              <w:top w:val="nil"/>
              <w:left w:val="nil"/>
              <w:bottom w:val="nil"/>
              <w:right w:val="nil"/>
            </w:tcBorders>
            <w:shd w:val="clear" w:color="auto" w:fill="auto"/>
            <w:noWrap/>
            <w:vAlign w:val="center"/>
            <w:hideMark/>
          </w:tcPr>
          <w:p w14:paraId="663DEB6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Accrued expenses</w:t>
            </w:r>
          </w:p>
        </w:tc>
        <w:tc>
          <w:tcPr>
            <w:tcW w:w="2819" w:type="dxa"/>
            <w:tcBorders>
              <w:top w:val="nil"/>
              <w:left w:val="nil"/>
              <w:bottom w:val="nil"/>
              <w:right w:val="nil"/>
            </w:tcBorders>
            <w:shd w:val="clear" w:color="auto" w:fill="auto"/>
            <w:noWrap/>
            <w:vAlign w:val="center"/>
          </w:tcPr>
          <w:p w14:paraId="707C522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934</w:t>
            </w:r>
          </w:p>
        </w:tc>
        <w:tc>
          <w:tcPr>
            <w:tcW w:w="1057" w:type="dxa"/>
            <w:tcBorders>
              <w:top w:val="nil"/>
              <w:left w:val="nil"/>
              <w:bottom w:val="nil"/>
              <w:right w:val="nil"/>
            </w:tcBorders>
            <w:shd w:val="clear" w:color="000000" w:fill="E7E6E6"/>
            <w:noWrap/>
            <w:vAlign w:val="center"/>
            <w:hideMark/>
          </w:tcPr>
          <w:p w14:paraId="6C68F23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2,017</w:t>
            </w:r>
          </w:p>
        </w:tc>
      </w:tr>
      <w:tr w:rsidR="005C5CED" w:rsidRPr="005C5CED" w14:paraId="10C9CCCB" w14:textId="77777777" w:rsidTr="00D12B52">
        <w:trPr>
          <w:trHeight w:val="344"/>
        </w:trPr>
        <w:tc>
          <w:tcPr>
            <w:tcW w:w="4055" w:type="dxa"/>
            <w:tcBorders>
              <w:top w:val="nil"/>
              <w:left w:val="nil"/>
              <w:bottom w:val="nil"/>
              <w:right w:val="nil"/>
            </w:tcBorders>
            <w:shd w:val="clear" w:color="auto" w:fill="auto"/>
            <w:noWrap/>
            <w:vAlign w:val="center"/>
            <w:hideMark/>
          </w:tcPr>
          <w:p w14:paraId="64F4FBD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Contract liabilities</w:t>
            </w:r>
          </w:p>
        </w:tc>
        <w:tc>
          <w:tcPr>
            <w:tcW w:w="2819" w:type="dxa"/>
            <w:tcBorders>
              <w:top w:val="nil"/>
              <w:left w:val="nil"/>
              <w:bottom w:val="nil"/>
              <w:right w:val="nil"/>
            </w:tcBorders>
            <w:shd w:val="clear" w:color="auto" w:fill="auto"/>
            <w:noWrap/>
            <w:vAlign w:val="center"/>
          </w:tcPr>
          <w:p w14:paraId="256EE15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57,683</w:t>
            </w:r>
          </w:p>
        </w:tc>
        <w:tc>
          <w:tcPr>
            <w:tcW w:w="1057" w:type="dxa"/>
            <w:tcBorders>
              <w:top w:val="nil"/>
              <w:left w:val="nil"/>
              <w:bottom w:val="nil"/>
              <w:right w:val="nil"/>
            </w:tcBorders>
            <w:shd w:val="clear" w:color="000000" w:fill="E7E6E6"/>
            <w:noWrap/>
            <w:vAlign w:val="center"/>
            <w:hideMark/>
          </w:tcPr>
          <w:p w14:paraId="29C8A0B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56,109</w:t>
            </w:r>
          </w:p>
        </w:tc>
      </w:tr>
      <w:tr w:rsidR="005C5CED" w:rsidRPr="005C5CED" w14:paraId="5AA10A92" w14:textId="77777777" w:rsidTr="00D12B52">
        <w:trPr>
          <w:trHeight w:val="344"/>
        </w:trPr>
        <w:tc>
          <w:tcPr>
            <w:tcW w:w="4055" w:type="dxa"/>
            <w:tcBorders>
              <w:top w:val="single" w:sz="4" w:space="0" w:color="auto"/>
              <w:left w:val="nil"/>
              <w:bottom w:val="single" w:sz="4" w:space="0" w:color="auto"/>
              <w:right w:val="nil"/>
            </w:tcBorders>
            <w:shd w:val="clear" w:color="auto" w:fill="auto"/>
            <w:noWrap/>
            <w:vAlign w:val="center"/>
            <w:hideMark/>
          </w:tcPr>
          <w:p w14:paraId="28C25274"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w:t>
            </w:r>
          </w:p>
        </w:tc>
        <w:tc>
          <w:tcPr>
            <w:tcW w:w="2819" w:type="dxa"/>
            <w:tcBorders>
              <w:top w:val="single" w:sz="4" w:space="0" w:color="auto"/>
              <w:left w:val="nil"/>
              <w:bottom w:val="single" w:sz="4" w:space="0" w:color="auto"/>
              <w:right w:val="nil"/>
            </w:tcBorders>
            <w:shd w:val="clear" w:color="auto" w:fill="auto"/>
            <w:noWrap/>
            <w:vAlign w:val="center"/>
          </w:tcPr>
          <w:p w14:paraId="41E1E34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63,502</w:t>
            </w:r>
          </w:p>
        </w:tc>
        <w:tc>
          <w:tcPr>
            <w:tcW w:w="1057" w:type="dxa"/>
            <w:tcBorders>
              <w:top w:val="single" w:sz="4" w:space="0" w:color="auto"/>
              <w:left w:val="nil"/>
              <w:bottom w:val="single" w:sz="4" w:space="0" w:color="auto"/>
              <w:right w:val="nil"/>
            </w:tcBorders>
            <w:shd w:val="clear" w:color="000000" w:fill="E7E6E6"/>
            <w:noWrap/>
            <w:vAlign w:val="center"/>
            <w:hideMark/>
          </w:tcPr>
          <w:p w14:paraId="11D95BB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60,659</w:t>
            </w:r>
          </w:p>
        </w:tc>
      </w:tr>
      <w:tr w:rsidR="005C5CED" w:rsidRPr="005C5CED" w14:paraId="44A1063E" w14:textId="77777777" w:rsidTr="00D12B52">
        <w:trPr>
          <w:trHeight w:val="344"/>
        </w:trPr>
        <w:tc>
          <w:tcPr>
            <w:tcW w:w="4055" w:type="dxa"/>
            <w:tcBorders>
              <w:top w:val="nil"/>
              <w:left w:val="nil"/>
              <w:bottom w:val="nil"/>
              <w:right w:val="nil"/>
            </w:tcBorders>
            <w:shd w:val="clear" w:color="auto" w:fill="auto"/>
            <w:noWrap/>
            <w:vAlign w:val="center"/>
            <w:hideMark/>
          </w:tcPr>
          <w:p w14:paraId="6F1F639E"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Statutory</w:t>
            </w:r>
          </w:p>
        </w:tc>
        <w:tc>
          <w:tcPr>
            <w:tcW w:w="2819" w:type="dxa"/>
            <w:tcBorders>
              <w:top w:val="nil"/>
              <w:left w:val="nil"/>
              <w:bottom w:val="nil"/>
              <w:right w:val="nil"/>
            </w:tcBorders>
            <w:shd w:val="clear" w:color="auto" w:fill="auto"/>
            <w:noWrap/>
            <w:vAlign w:val="center"/>
          </w:tcPr>
          <w:p w14:paraId="223DA9C6"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057" w:type="dxa"/>
            <w:tcBorders>
              <w:top w:val="nil"/>
              <w:left w:val="nil"/>
              <w:bottom w:val="nil"/>
              <w:right w:val="nil"/>
            </w:tcBorders>
            <w:shd w:val="clear" w:color="000000" w:fill="E7E6E6"/>
            <w:noWrap/>
            <w:vAlign w:val="center"/>
            <w:hideMark/>
          </w:tcPr>
          <w:p w14:paraId="32A6D0B2"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022F0605" w14:textId="77777777" w:rsidTr="00D12B52">
        <w:trPr>
          <w:trHeight w:val="344"/>
        </w:trPr>
        <w:tc>
          <w:tcPr>
            <w:tcW w:w="4055" w:type="dxa"/>
            <w:tcBorders>
              <w:top w:val="nil"/>
              <w:left w:val="nil"/>
              <w:bottom w:val="nil"/>
              <w:right w:val="nil"/>
            </w:tcBorders>
            <w:shd w:val="clear" w:color="auto" w:fill="auto"/>
            <w:noWrap/>
            <w:vAlign w:val="center"/>
          </w:tcPr>
          <w:p w14:paraId="7079609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Other creditors       </w:t>
            </w:r>
            <w:proofErr w:type="gramStart"/>
            <w:r w:rsidRPr="005C5CED">
              <w:rPr>
                <w:rFonts w:eastAsia="Times New Roman" w:cs="Arial"/>
                <w:color w:val="auto"/>
                <w:sz w:val="16"/>
                <w:szCs w:val="16"/>
                <w:lang w:eastAsia="en-AU"/>
              </w:rPr>
              <w:t xml:space="preserve">   (</w:t>
            </w:r>
            <w:proofErr w:type="gramEnd"/>
            <w:r w:rsidRPr="005C5CED">
              <w:rPr>
                <w:rFonts w:eastAsia="Times New Roman" w:cs="Arial"/>
                <w:color w:val="auto"/>
                <w:sz w:val="16"/>
                <w:szCs w:val="16"/>
                <w:lang w:eastAsia="en-AU"/>
              </w:rPr>
              <w:t xml:space="preserve">a)                                                                                                                                                    </w:t>
            </w:r>
          </w:p>
        </w:tc>
        <w:tc>
          <w:tcPr>
            <w:tcW w:w="2819" w:type="dxa"/>
            <w:tcBorders>
              <w:top w:val="nil"/>
              <w:left w:val="nil"/>
              <w:bottom w:val="nil"/>
              <w:right w:val="nil"/>
            </w:tcBorders>
            <w:shd w:val="clear" w:color="auto" w:fill="auto"/>
            <w:noWrap/>
            <w:vAlign w:val="center"/>
          </w:tcPr>
          <w:p w14:paraId="7B7BB2E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57" w:type="dxa"/>
            <w:tcBorders>
              <w:top w:val="nil"/>
              <w:left w:val="nil"/>
              <w:bottom w:val="nil"/>
              <w:right w:val="nil"/>
            </w:tcBorders>
            <w:shd w:val="clear" w:color="000000" w:fill="E7E6E6"/>
            <w:noWrap/>
            <w:vAlign w:val="center"/>
          </w:tcPr>
          <w:p w14:paraId="538A781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1,062</w:t>
            </w:r>
          </w:p>
        </w:tc>
      </w:tr>
      <w:tr w:rsidR="005C5CED" w:rsidRPr="005C5CED" w14:paraId="57844917" w14:textId="77777777" w:rsidTr="00D12B52">
        <w:trPr>
          <w:trHeight w:val="344"/>
        </w:trPr>
        <w:tc>
          <w:tcPr>
            <w:tcW w:w="4055" w:type="dxa"/>
            <w:tcBorders>
              <w:top w:val="nil"/>
              <w:left w:val="nil"/>
              <w:bottom w:val="nil"/>
              <w:right w:val="nil"/>
            </w:tcBorders>
            <w:shd w:val="clear" w:color="auto" w:fill="auto"/>
            <w:noWrap/>
            <w:vAlign w:val="center"/>
            <w:hideMark/>
          </w:tcPr>
          <w:p w14:paraId="6106AF9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GST payable</w:t>
            </w:r>
          </w:p>
        </w:tc>
        <w:tc>
          <w:tcPr>
            <w:tcW w:w="2819" w:type="dxa"/>
            <w:tcBorders>
              <w:top w:val="nil"/>
              <w:left w:val="nil"/>
              <w:bottom w:val="nil"/>
              <w:right w:val="nil"/>
            </w:tcBorders>
            <w:shd w:val="clear" w:color="auto" w:fill="auto"/>
            <w:noWrap/>
            <w:vAlign w:val="center"/>
          </w:tcPr>
          <w:p w14:paraId="588B933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60</w:t>
            </w:r>
          </w:p>
        </w:tc>
        <w:tc>
          <w:tcPr>
            <w:tcW w:w="1057" w:type="dxa"/>
            <w:tcBorders>
              <w:top w:val="nil"/>
              <w:left w:val="nil"/>
              <w:bottom w:val="nil"/>
              <w:right w:val="nil"/>
            </w:tcBorders>
            <w:shd w:val="clear" w:color="000000" w:fill="E7E6E6"/>
            <w:noWrap/>
            <w:vAlign w:val="center"/>
            <w:hideMark/>
          </w:tcPr>
          <w:p w14:paraId="7D9BA7E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49</w:t>
            </w:r>
          </w:p>
        </w:tc>
      </w:tr>
      <w:tr w:rsidR="005C5CED" w:rsidRPr="005C5CED" w14:paraId="5DAE6E8D" w14:textId="77777777" w:rsidTr="00D12B52">
        <w:trPr>
          <w:trHeight w:val="344"/>
        </w:trPr>
        <w:tc>
          <w:tcPr>
            <w:tcW w:w="4055" w:type="dxa"/>
            <w:tcBorders>
              <w:top w:val="nil"/>
              <w:left w:val="nil"/>
              <w:bottom w:val="nil"/>
              <w:right w:val="nil"/>
            </w:tcBorders>
            <w:shd w:val="clear" w:color="auto" w:fill="auto"/>
            <w:noWrap/>
            <w:vAlign w:val="center"/>
            <w:hideMark/>
          </w:tcPr>
          <w:p w14:paraId="08F4D5F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Payroll tax payable</w:t>
            </w:r>
          </w:p>
        </w:tc>
        <w:tc>
          <w:tcPr>
            <w:tcW w:w="2819" w:type="dxa"/>
            <w:tcBorders>
              <w:top w:val="nil"/>
              <w:left w:val="nil"/>
              <w:bottom w:val="nil"/>
              <w:right w:val="nil"/>
            </w:tcBorders>
            <w:shd w:val="clear" w:color="auto" w:fill="auto"/>
            <w:noWrap/>
            <w:vAlign w:val="center"/>
          </w:tcPr>
          <w:p w14:paraId="33C2348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92</w:t>
            </w:r>
          </w:p>
        </w:tc>
        <w:tc>
          <w:tcPr>
            <w:tcW w:w="1057" w:type="dxa"/>
            <w:tcBorders>
              <w:top w:val="nil"/>
              <w:left w:val="nil"/>
              <w:bottom w:val="nil"/>
              <w:right w:val="nil"/>
            </w:tcBorders>
            <w:shd w:val="clear" w:color="000000" w:fill="E7E6E6"/>
            <w:noWrap/>
            <w:vAlign w:val="center"/>
            <w:hideMark/>
          </w:tcPr>
          <w:p w14:paraId="3C67302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85</w:t>
            </w:r>
          </w:p>
        </w:tc>
      </w:tr>
      <w:tr w:rsidR="005C5CED" w:rsidRPr="005C5CED" w14:paraId="017EFFAA" w14:textId="77777777" w:rsidTr="00D12B52">
        <w:trPr>
          <w:trHeight w:val="344"/>
        </w:trPr>
        <w:tc>
          <w:tcPr>
            <w:tcW w:w="4055" w:type="dxa"/>
            <w:tcBorders>
              <w:top w:val="nil"/>
              <w:left w:val="nil"/>
              <w:bottom w:val="nil"/>
              <w:right w:val="nil"/>
            </w:tcBorders>
            <w:shd w:val="clear" w:color="auto" w:fill="auto"/>
            <w:noWrap/>
            <w:vAlign w:val="center"/>
            <w:hideMark/>
          </w:tcPr>
          <w:p w14:paraId="07D40E2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FBT payable</w:t>
            </w:r>
          </w:p>
        </w:tc>
        <w:tc>
          <w:tcPr>
            <w:tcW w:w="2819" w:type="dxa"/>
            <w:tcBorders>
              <w:top w:val="nil"/>
              <w:left w:val="nil"/>
              <w:bottom w:val="nil"/>
              <w:right w:val="nil"/>
            </w:tcBorders>
            <w:shd w:val="clear" w:color="auto" w:fill="auto"/>
            <w:noWrap/>
            <w:vAlign w:val="center"/>
          </w:tcPr>
          <w:p w14:paraId="6D2F124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w:t>
            </w:r>
          </w:p>
        </w:tc>
        <w:tc>
          <w:tcPr>
            <w:tcW w:w="1057" w:type="dxa"/>
            <w:tcBorders>
              <w:top w:val="nil"/>
              <w:left w:val="nil"/>
              <w:bottom w:val="nil"/>
              <w:right w:val="nil"/>
            </w:tcBorders>
            <w:shd w:val="clear" w:color="000000" w:fill="E7E6E6"/>
            <w:noWrap/>
            <w:vAlign w:val="center"/>
            <w:hideMark/>
          </w:tcPr>
          <w:p w14:paraId="41DE200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w:t>
            </w:r>
          </w:p>
        </w:tc>
      </w:tr>
      <w:tr w:rsidR="005C5CED" w:rsidRPr="005C5CED" w14:paraId="49D2F948" w14:textId="77777777" w:rsidTr="00D12B52">
        <w:trPr>
          <w:trHeight w:val="344"/>
        </w:trPr>
        <w:tc>
          <w:tcPr>
            <w:tcW w:w="4055" w:type="dxa"/>
            <w:tcBorders>
              <w:top w:val="single" w:sz="4" w:space="0" w:color="auto"/>
              <w:left w:val="nil"/>
              <w:bottom w:val="single" w:sz="4" w:space="0" w:color="auto"/>
              <w:right w:val="nil"/>
            </w:tcBorders>
            <w:shd w:val="clear" w:color="auto" w:fill="auto"/>
            <w:noWrap/>
            <w:vAlign w:val="center"/>
            <w:hideMark/>
          </w:tcPr>
          <w:p w14:paraId="0022D7CE"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statutory</w:t>
            </w:r>
          </w:p>
        </w:tc>
        <w:tc>
          <w:tcPr>
            <w:tcW w:w="2819" w:type="dxa"/>
            <w:tcBorders>
              <w:top w:val="single" w:sz="4" w:space="0" w:color="auto"/>
              <w:left w:val="nil"/>
              <w:bottom w:val="single" w:sz="4" w:space="0" w:color="auto"/>
              <w:right w:val="nil"/>
            </w:tcBorders>
            <w:shd w:val="clear" w:color="auto" w:fill="auto"/>
            <w:noWrap/>
            <w:vAlign w:val="center"/>
          </w:tcPr>
          <w:p w14:paraId="53BDB26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182</w:t>
            </w:r>
          </w:p>
        </w:tc>
        <w:tc>
          <w:tcPr>
            <w:tcW w:w="1057" w:type="dxa"/>
            <w:tcBorders>
              <w:top w:val="single" w:sz="4" w:space="0" w:color="auto"/>
              <w:left w:val="nil"/>
              <w:bottom w:val="single" w:sz="4" w:space="0" w:color="auto"/>
              <w:right w:val="nil"/>
            </w:tcBorders>
            <w:shd w:val="clear" w:color="000000" w:fill="E7E6E6"/>
            <w:noWrap/>
            <w:vAlign w:val="center"/>
            <w:hideMark/>
          </w:tcPr>
          <w:p w14:paraId="2F722A7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1,185</w:t>
            </w:r>
          </w:p>
        </w:tc>
      </w:tr>
      <w:tr w:rsidR="005C5CED" w:rsidRPr="005C5CED" w14:paraId="67DC3B33" w14:textId="77777777" w:rsidTr="00D12B52">
        <w:trPr>
          <w:trHeight w:val="344"/>
        </w:trPr>
        <w:tc>
          <w:tcPr>
            <w:tcW w:w="4055" w:type="dxa"/>
            <w:tcBorders>
              <w:top w:val="nil"/>
              <w:left w:val="nil"/>
              <w:bottom w:val="single" w:sz="4" w:space="0" w:color="auto"/>
              <w:right w:val="nil"/>
            </w:tcBorders>
            <w:shd w:val="clear" w:color="auto" w:fill="auto"/>
            <w:noWrap/>
            <w:vAlign w:val="center"/>
            <w:hideMark/>
          </w:tcPr>
          <w:p w14:paraId="3DB21CE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payables and contract liabilities</w:t>
            </w:r>
          </w:p>
        </w:tc>
        <w:tc>
          <w:tcPr>
            <w:tcW w:w="2819" w:type="dxa"/>
            <w:tcBorders>
              <w:top w:val="nil"/>
              <w:left w:val="nil"/>
              <w:bottom w:val="single" w:sz="4" w:space="0" w:color="auto"/>
              <w:right w:val="nil"/>
            </w:tcBorders>
            <w:shd w:val="clear" w:color="auto" w:fill="auto"/>
            <w:noWrap/>
            <w:vAlign w:val="center"/>
          </w:tcPr>
          <w:p w14:paraId="750B399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color w:val="auto"/>
                <w:sz w:val="16"/>
                <w:szCs w:val="16"/>
                <w:lang w:eastAsia="en-AU"/>
              </w:rPr>
              <w:t>63,684</w:t>
            </w:r>
          </w:p>
        </w:tc>
        <w:tc>
          <w:tcPr>
            <w:tcW w:w="1057" w:type="dxa"/>
            <w:tcBorders>
              <w:top w:val="nil"/>
              <w:left w:val="nil"/>
              <w:bottom w:val="single" w:sz="4" w:space="0" w:color="auto"/>
              <w:right w:val="nil"/>
            </w:tcBorders>
            <w:shd w:val="clear" w:color="000000" w:fill="E7E6E6"/>
            <w:noWrap/>
            <w:vAlign w:val="center"/>
            <w:hideMark/>
          </w:tcPr>
          <w:p w14:paraId="4AACF26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61,844</w:t>
            </w:r>
          </w:p>
        </w:tc>
      </w:tr>
      <w:tr w:rsidR="005C5CED" w:rsidRPr="005C5CED" w14:paraId="7B92E2B1" w14:textId="77777777" w:rsidTr="00D12B52">
        <w:trPr>
          <w:trHeight w:val="226"/>
        </w:trPr>
        <w:tc>
          <w:tcPr>
            <w:tcW w:w="4055" w:type="dxa"/>
            <w:tcBorders>
              <w:top w:val="nil"/>
              <w:left w:val="nil"/>
              <w:bottom w:val="nil"/>
              <w:right w:val="nil"/>
            </w:tcBorders>
            <w:shd w:val="clear" w:color="auto" w:fill="auto"/>
            <w:noWrap/>
            <w:vAlign w:val="center"/>
            <w:hideMark/>
          </w:tcPr>
          <w:p w14:paraId="06D7EEF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Represented by:</w:t>
            </w:r>
          </w:p>
        </w:tc>
        <w:tc>
          <w:tcPr>
            <w:tcW w:w="2819" w:type="dxa"/>
            <w:tcBorders>
              <w:top w:val="nil"/>
              <w:left w:val="nil"/>
              <w:bottom w:val="nil"/>
              <w:right w:val="nil"/>
            </w:tcBorders>
            <w:shd w:val="clear" w:color="auto" w:fill="auto"/>
            <w:noWrap/>
            <w:vAlign w:val="center"/>
          </w:tcPr>
          <w:p w14:paraId="24F65E1B"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057" w:type="dxa"/>
            <w:tcBorders>
              <w:top w:val="nil"/>
              <w:left w:val="nil"/>
              <w:bottom w:val="nil"/>
              <w:right w:val="nil"/>
            </w:tcBorders>
            <w:shd w:val="clear" w:color="000000" w:fill="E7E6E6"/>
            <w:noWrap/>
            <w:vAlign w:val="center"/>
            <w:hideMark/>
          </w:tcPr>
          <w:p w14:paraId="1A850163"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712FD780" w14:textId="77777777" w:rsidTr="00D12B52">
        <w:trPr>
          <w:trHeight w:val="344"/>
        </w:trPr>
        <w:tc>
          <w:tcPr>
            <w:tcW w:w="4055" w:type="dxa"/>
            <w:tcBorders>
              <w:top w:val="nil"/>
              <w:left w:val="nil"/>
              <w:bottom w:val="single" w:sz="4" w:space="0" w:color="auto"/>
              <w:right w:val="nil"/>
            </w:tcBorders>
            <w:shd w:val="clear" w:color="auto" w:fill="auto"/>
            <w:noWrap/>
            <w:vAlign w:val="center"/>
            <w:hideMark/>
          </w:tcPr>
          <w:p w14:paraId="4D0F953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Current payables</w:t>
            </w:r>
          </w:p>
        </w:tc>
        <w:tc>
          <w:tcPr>
            <w:tcW w:w="2819" w:type="dxa"/>
            <w:tcBorders>
              <w:top w:val="nil"/>
              <w:left w:val="nil"/>
              <w:bottom w:val="single" w:sz="4" w:space="0" w:color="auto"/>
              <w:right w:val="nil"/>
            </w:tcBorders>
            <w:shd w:val="clear" w:color="auto" w:fill="auto"/>
            <w:noWrap/>
            <w:vAlign w:val="center"/>
          </w:tcPr>
          <w:p w14:paraId="69DB3A1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63,684</w:t>
            </w:r>
          </w:p>
        </w:tc>
        <w:tc>
          <w:tcPr>
            <w:tcW w:w="1057" w:type="dxa"/>
            <w:tcBorders>
              <w:top w:val="nil"/>
              <w:left w:val="nil"/>
              <w:bottom w:val="single" w:sz="4" w:space="0" w:color="auto"/>
              <w:right w:val="nil"/>
            </w:tcBorders>
            <w:shd w:val="clear" w:color="000000" w:fill="E7E6E6"/>
            <w:noWrap/>
            <w:vAlign w:val="center"/>
            <w:hideMark/>
          </w:tcPr>
          <w:p w14:paraId="1A4F59A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61,844</w:t>
            </w:r>
          </w:p>
        </w:tc>
      </w:tr>
    </w:tbl>
    <w:p w14:paraId="536B364C" w14:textId="77777777" w:rsidR="005C5CED" w:rsidRPr="005C5CED" w:rsidRDefault="005C5CED" w:rsidP="005C5CED">
      <w:pPr>
        <w:spacing w:after="0" w:line="259" w:lineRule="auto"/>
        <w:rPr>
          <w:rFonts w:eastAsia="Calibri" w:cs="Arial"/>
          <w:color w:val="auto"/>
          <w:sz w:val="16"/>
          <w:szCs w:val="16"/>
        </w:rPr>
      </w:pPr>
    </w:p>
    <w:p w14:paraId="530ED18F"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w:t>
      </w:r>
    </w:p>
    <w:p w14:paraId="7A8A2D84"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lastRenderedPageBreak/>
        <w:t>(a) Other creditors consist of payables to DEECA for transfer of Recycling Victoria of $Nil (2023: $1.062m).</w:t>
      </w:r>
    </w:p>
    <w:p w14:paraId="2201279A" w14:textId="77777777" w:rsidR="005C5CED" w:rsidRPr="005C5CED" w:rsidRDefault="005C5CED" w:rsidP="005C5CED">
      <w:pPr>
        <w:spacing w:line="259" w:lineRule="auto"/>
        <w:rPr>
          <w:rFonts w:eastAsia="Calibri" w:cs="Arial"/>
          <w:color w:val="auto"/>
        </w:rPr>
      </w:pPr>
      <w:r w:rsidRPr="005C5CED">
        <w:rPr>
          <w:rFonts w:eastAsia="Calibri" w:cs="Arial"/>
          <w:color w:val="auto"/>
        </w:rPr>
        <w:t>Payables consist of:</w:t>
      </w:r>
      <w:r w:rsidRPr="005C5CED">
        <w:rPr>
          <w:rFonts w:eastAsia="Calibri" w:cs="Arial"/>
          <w:color w:val="auto"/>
        </w:rPr>
        <w:tab/>
      </w:r>
    </w:p>
    <w:p w14:paraId="21590228"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Contractual payables:</w:t>
      </w:r>
      <w:r w:rsidRPr="005C5CED">
        <w:rPr>
          <w:rFonts w:eastAsia="Calibri" w:cs="Arial"/>
          <w:color w:val="auto"/>
        </w:rPr>
        <w:t xml:space="preserve"> Classified as financial instruments and measured at amortised cost. Accounts payable represent liabilities for goods and services provided to Sustainability Victoria prior to the end of the financial year that are unpaid; and</w:t>
      </w:r>
    </w:p>
    <w:p w14:paraId="6EB48FBF"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Statutory payables:</w:t>
      </w:r>
      <w:r w:rsidRPr="005C5CED">
        <w:rPr>
          <w:rFonts w:eastAsia="Calibri" w:cs="Arial"/>
          <w:color w:val="auto"/>
        </w:rPr>
        <w:t xml:space="preserve"> Recognised and measured similarly to contractual payables, but not classified as financial instruments and not included in the category of financial liabilities at amortised cost, because they do not arise from contracts.</w:t>
      </w:r>
    </w:p>
    <w:p w14:paraId="1FFB7CB6" w14:textId="77777777" w:rsidR="005C5CED" w:rsidRPr="005C5CED" w:rsidRDefault="005C5CED" w:rsidP="005C5CED">
      <w:pPr>
        <w:spacing w:line="259" w:lineRule="auto"/>
        <w:rPr>
          <w:rFonts w:eastAsia="Calibri" w:cs="Arial"/>
          <w:color w:val="auto"/>
        </w:rPr>
      </w:pPr>
      <w:r w:rsidRPr="005C5CED">
        <w:rPr>
          <w:rFonts w:eastAsia="Calibri" w:cs="Arial"/>
          <w:color w:val="auto"/>
        </w:rPr>
        <w:t>Payables for supplies and services have an average credit period of 30 days.</w:t>
      </w:r>
    </w:p>
    <w:p w14:paraId="0DEC225E" w14:textId="77777777" w:rsidR="005C5CED" w:rsidRPr="005C5CED" w:rsidRDefault="005C5CED" w:rsidP="005C5CED">
      <w:pPr>
        <w:spacing w:line="259" w:lineRule="auto"/>
        <w:rPr>
          <w:rFonts w:eastAsia="Times New Roman" w:cs="Arial"/>
          <w:b/>
          <w:bCs/>
          <w:color w:val="auto"/>
          <w:sz w:val="16"/>
          <w:szCs w:val="16"/>
          <w:lang w:eastAsia="en-AU"/>
        </w:rPr>
      </w:pPr>
      <w:r w:rsidRPr="005C5CED">
        <w:rPr>
          <w:rFonts w:eastAsia="Calibri" w:cs="Arial"/>
          <w:color w:val="auto"/>
        </w:rPr>
        <w:t>The terms and conditions of amounts payable to the government and agencies vary according to the agreements and as they are not legislative payables, they are not classified as financial instruments.</w:t>
      </w:r>
    </w:p>
    <w:p w14:paraId="36EF383B" w14:textId="77777777" w:rsidR="005C5CED" w:rsidRPr="005C5CED" w:rsidRDefault="005C5CED" w:rsidP="005C5CED">
      <w:pPr>
        <w:spacing w:after="0" w:line="240" w:lineRule="auto"/>
        <w:rPr>
          <w:rFonts w:eastAsia="Times New Roman" w:cs="Arial"/>
          <w:b/>
          <w:bCs/>
          <w:color w:val="auto"/>
          <w:sz w:val="18"/>
          <w:szCs w:val="18"/>
          <w:lang w:eastAsia="en-AU"/>
        </w:rPr>
      </w:pPr>
    </w:p>
    <w:p w14:paraId="124CFF3C" w14:textId="77777777" w:rsidR="005C5CED" w:rsidRPr="005C5CED" w:rsidRDefault="005C5CED" w:rsidP="005C5CED">
      <w:pPr>
        <w:keepNext/>
        <w:keepLines/>
        <w:spacing w:before="200" w:after="40" w:line="259" w:lineRule="auto"/>
        <w:outlineLvl w:val="4"/>
        <w:rPr>
          <w:rFonts w:eastAsia="Times New Roman" w:cs="SegoeUI"/>
          <w:b/>
          <w:bCs/>
          <w:color w:val="595959"/>
          <w:lang w:eastAsia="en-AU"/>
        </w:rPr>
      </w:pPr>
      <w:r w:rsidRPr="005C5CED">
        <w:rPr>
          <w:rFonts w:eastAsia="Times New Roman" w:cs="SegoeUI"/>
          <w:b/>
          <w:bCs/>
          <w:color w:val="595959"/>
          <w:lang w:eastAsia="en-AU"/>
        </w:rPr>
        <w:t>Reconciliation of contract liabilities</w:t>
      </w:r>
    </w:p>
    <w:tbl>
      <w:tblPr>
        <w:tblW w:w="9360" w:type="dxa"/>
        <w:tblLook w:val="04A0" w:firstRow="1" w:lastRow="0" w:firstColumn="1" w:lastColumn="0" w:noHBand="0" w:noVBand="1"/>
      </w:tblPr>
      <w:tblGrid>
        <w:gridCol w:w="5286"/>
        <w:gridCol w:w="1518"/>
        <w:gridCol w:w="426"/>
        <w:gridCol w:w="1058"/>
        <w:gridCol w:w="1072"/>
      </w:tblGrid>
      <w:tr w:rsidR="005C5CED" w:rsidRPr="005C5CED" w14:paraId="39633B63" w14:textId="77777777" w:rsidTr="0062462F">
        <w:trPr>
          <w:trHeight w:val="285"/>
        </w:trPr>
        <w:tc>
          <w:tcPr>
            <w:tcW w:w="5286" w:type="dxa"/>
            <w:tcBorders>
              <w:top w:val="nil"/>
              <w:left w:val="nil"/>
              <w:bottom w:val="single" w:sz="4" w:space="0" w:color="auto"/>
              <w:right w:val="nil"/>
            </w:tcBorders>
            <w:shd w:val="clear" w:color="000000" w:fill="000000"/>
            <w:noWrap/>
            <w:vAlign w:val="bottom"/>
            <w:hideMark/>
          </w:tcPr>
          <w:p w14:paraId="2EE8656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3002" w:type="dxa"/>
            <w:gridSpan w:val="3"/>
            <w:tcBorders>
              <w:top w:val="nil"/>
              <w:left w:val="nil"/>
              <w:bottom w:val="single" w:sz="4" w:space="0" w:color="auto"/>
              <w:right w:val="nil"/>
            </w:tcBorders>
            <w:shd w:val="clear" w:color="000000" w:fill="000000"/>
            <w:hideMark/>
          </w:tcPr>
          <w:p w14:paraId="2488157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p w14:paraId="13AD1EC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72" w:type="dxa"/>
            <w:tcBorders>
              <w:top w:val="nil"/>
              <w:left w:val="nil"/>
              <w:bottom w:val="single" w:sz="4" w:space="0" w:color="auto"/>
              <w:right w:val="nil"/>
            </w:tcBorders>
            <w:shd w:val="clear" w:color="000000" w:fill="000000"/>
            <w:hideMark/>
          </w:tcPr>
          <w:p w14:paraId="73834F6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p w14:paraId="0F89ED5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466AEBF4" w14:textId="77777777" w:rsidTr="0062462F">
        <w:trPr>
          <w:trHeight w:val="285"/>
        </w:trPr>
        <w:tc>
          <w:tcPr>
            <w:tcW w:w="5286" w:type="dxa"/>
            <w:tcBorders>
              <w:top w:val="nil"/>
              <w:left w:val="nil"/>
              <w:bottom w:val="nil"/>
              <w:right w:val="nil"/>
            </w:tcBorders>
            <w:shd w:val="clear" w:color="auto" w:fill="auto"/>
            <w:noWrap/>
            <w:vAlign w:val="center"/>
            <w:hideMark/>
          </w:tcPr>
          <w:p w14:paraId="2EEA0674"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Contract liability at beginning of financial year</w:t>
            </w:r>
          </w:p>
        </w:tc>
        <w:tc>
          <w:tcPr>
            <w:tcW w:w="3002" w:type="dxa"/>
            <w:gridSpan w:val="3"/>
            <w:tcBorders>
              <w:top w:val="nil"/>
              <w:left w:val="nil"/>
              <w:bottom w:val="nil"/>
              <w:right w:val="nil"/>
            </w:tcBorders>
            <w:shd w:val="clear" w:color="auto" w:fill="auto"/>
            <w:noWrap/>
            <w:vAlign w:val="center"/>
          </w:tcPr>
          <w:p w14:paraId="63066089" w14:textId="77777777" w:rsidR="005C5CED" w:rsidRPr="005C5CED" w:rsidRDefault="005C5CED" w:rsidP="005C5CED">
            <w:pPr>
              <w:spacing w:after="0" w:line="240" w:lineRule="auto"/>
              <w:jc w:val="right"/>
              <w:rPr>
                <w:rFonts w:eastAsia="Times New Roman" w:cs="Arial"/>
                <w:b/>
                <w:bCs/>
                <w:color w:val="auto"/>
                <w:sz w:val="16"/>
                <w:szCs w:val="16"/>
                <w:lang w:eastAsia="en-AU"/>
              </w:rPr>
            </w:pPr>
          </w:p>
          <w:p w14:paraId="06B2642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56,109</w:t>
            </w:r>
          </w:p>
        </w:tc>
        <w:tc>
          <w:tcPr>
            <w:tcW w:w="1072" w:type="dxa"/>
            <w:tcBorders>
              <w:top w:val="nil"/>
              <w:left w:val="nil"/>
              <w:bottom w:val="nil"/>
              <w:right w:val="nil"/>
            </w:tcBorders>
            <w:shd w:val="clear" w:color="000000" w:fill="E7E6E6"/>
            <w:noWrap/>
            <w:vAlign w:val="center"/>
            <w:hideMark/>
          </w:tcPr>
          <w:p w14:paraId="04B8F3B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70,692</w:t>
            </w:r>
          </w:p>
        </w:tc>
      </w:tr>
      <w:tr w:rsidR="005C5CED" w:rsidRPr="005C5CED" w14:paraId="1E077856" w14:textId="77777777" w:rsidTr="0062462F">
        <w:trPr>
          <w:trHeight w:val="285"/>
        </w:trPr>
        <w:tc>
          <w:tcPr>
            <w:tcW w:w="6804" w:type="dxa"/>
            <w:gridSpan w:val="2"/>
            <w:tcBorders>
              <w:top w:val="nil"/>
              <w:left w:val="nil"/>
              <w:bottom w:val="nil"/>
              <w:right w:val="nil"/>
            </w:tcBorders>
            <w:shd w:val="clear" w:color="auto" w:fill="auto"/>
            <w:noWrap/>
            <w:vAlign w:val="center"/>
            <w:hideMark/>
          </w:tcPr>
          <w:p w14:paraId="0EEAD12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Add: payments received for performance obligations yet to be completed during the period</w:t>
            </w:r>
          </w:p>
          <w:p w14:paraId="6165782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484" w:type="dxa"/>
            <w:gridSpan w:val="2"/>
            <w:tcBorders>
              <w:top w:val="nil"/>
              <w:left w:val="nil"/>
              <w:bottom w:val="nil"/>
              <w:right w:val="nil"/>
            </w:tcBorders>
            <w:shd w:val="clear" w:color="auto" w:fill="auto"/>
            <w:noWrap/>
            <w:vAlign w:val="center"/>
          </w:tcPr>
          <w:p w14:paraId="0CBFBE4D" w14:textId="77777777" w:rsidR="005C5CED" w:rsidRPr="005C5CED" w:rsidRDefault="005C5CED" w:rsidP="005C5CED">
            <w:pPr>
              <w:spacing w:after="0" w:line="240" w:lineRule="auto"/>
              <w:jc w:val="right"/>
              <w:rPr>
                <w:rFonts w:eastAsia="Times New Roman" w:cs="Arial"/>
                <w:color w:val="auto"/>
                <w:sz w:val="16"/>
                <w:szCs w:val="16"/>
                <w:lang w:eastAsia="en-AU"/>
              </w:rPr>
            </w:pPr>
          </w:p>
          <w:p w14:paraId="32F437B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58,724</w:t>
            </w:r>
          </w:p>
        </w:tc>
        <w:tc>
          <w:tcPr>
            <w:tcW w:w="1072" w:type="dxa"/>
            <w:tcBorders>
              <w:top w:val="nil"/>
              <w:left w:val="nil"/>
              <w:bottom w:val="nil"/>
              <w:right w:val="nil"/>
            </w:tcBorders>
            <w:shd w:val="clear" w:color="000000" w:fill="E7E6E6"/>
            <w:noWrap/>
            <w:vAlign w:val="center"/>
            <w:hideMark/>
          </w:tcPr>
          <w:p w14:paraId="5E0918C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47,708</w:t>
            </w:r>
          </w:p>
        </w:tc>
      </w:tr>
      <w:tr w:rsidR="005C5CED" w:rsidRPr="005C5CED" w14:paraId="04AD25EB" w14:textId="77777777" w:rsidTr="0062462F">
        <w:trPr>
          <w:trHeight w:val="285"/>
        </w:trPr>
        <w:tc>
          <w:tcPr>
            <w:tcW w:w="7230" w:type="dxa"/>
            <w:gridSpan w:val="3"/>
            <w:tcBorders>
              <w:top w:val="nil"/>
              <w:left w:val="nil"/>
              <w:bottom w:val="nil"/>
              <w:right w:val="nil"/>
            </w:tcBorders>
            <w:shd w:val="clear" w:color="auto" w:fill="auto"/>
            <w:noWrap/>
            <w:vAlign w:val="center"/>
            <w:hideMark/>
          </w:tcPr>
          <w:p w14:paraId="1FA03504" w14:textId="77777777" w:rsidR="005C5CED" w:rsidRPr="005C5CED" w:rsidRDefault="005C5CED" w:rsidP="005C5CED">
            <w:pPr>
              <w:spacing w:after="0" w:line="240" w:lineRule="auto"/>
              <w:ind w:left="179"/>
              <w:rPr>
                <w:rFonts w:eastAsia="Times New Roman" w:cs="Arial"/>
                <w:color w:val="auto"/>
                <w:sz w:val="16"/>
                <w:szCs w:val="16"/>
                <w:lang w:eastAsia="en-AU"/>
              </w:rPr>
            </w:pPr>
            <w:r w:rsidRPr="005C5CED">
              <w:rPr>
                <w:rFonts w:eastAsia="Times New Roman" w:cs="Arial"/>
                <w:i/>
                <w:iCs/>
                <w:color w:val="auto"/>
                <w:sz w:val="16"/>
                <w:szCs w:val="16"/>
                <w:lang w:eastAsia="en-AU"/>
              </w:rPr>
              <w:t>Less</w:t>
            </w:r>
            <w:r w:rsidRPr="005C5CED">
              <w:rPr>
                <w:rFonts w:eastAsia="Times New Roman" w:cs="Arial"/>
                <w:color w:val="auto"/>
                <w:sz w:val="16"/>
                <w:szCs w:val="16"/>
                <w:lang w:eastAsia="en-AU"/>
              </w:rPr>
              <w:t>: revenue recognised in the reporting period for the completion of a performance obligation</w:t>
            </w:r>
          </w:p>
        </w:tc>
        <w:tc>
          <w:tcPr>
            <w:tcW w:w="1058" w:type="dxa"/>
            <w:tcBorders>
              <w:top w:val="nil"/>
              <w:left w:val="nil"/>
              <w:bottom w:val="nil"/>
              <w:right w:val="nil"/>
            </w:tcBorders>
            <w:shd w:val="clear" w:color="auto" w:fill="auto"/>
            <w:noWrap/>
            <w:vAlign w:val="center"/>
          </w:tcPr>
          <w:p w14:paraId="601E8FA7" w14:textId="77777777" w:rsidR="005C5CED" w:rsidRPr="005C5CED" w:rsidRDefault="005C5CED" w:rsidP="005C5CED">
            <w:pPr>
              <w:spacing w:after="0" w:line="240" w:lineRule="auto"/>
              <w:jc w:val="right"/>
              <w:rPr>
                <w:rFonts w:eastAsia="Times New Roman" w:cs="Arial"/>
                <w:color w:val="auto"/>
                <w:sz w:val="16"/>
                <w:szCs w:val="16"/>
                <w:lang w:eastAsia="en-AU"/>
              </w:rPr>
            </w:pPr>
          </w:p>
          <w:p w14:paraId="0F79D22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(57,150)</w:t>
            </w:r>
          </w:p>
        </w:tc>
        <w:tc>
          <w:tcPr>
            <w:tcW w:w="1072" w:type="dxa"/>
            <w:tcBorders>
              <w:top w:val="nil"/>
              <w:left w:val="nil"/>
              <w:bottom w:val="nil"/>
              <w:right w:val="nil"/>
            </w:tcBorders>
            <w:shd w:val="clear" w:color="000000" w:fill="E7E6E6"/>
            <w:noWrap/>
            <w:vAlign w:val="center"/>
            <w:hideMark/>
          </w:tcPr>
          <w:p w14:paraId="4F80363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(62,291)</w:t>
            </w:r>
          </w:p>
        </w:tc>
      </w:tr>
      <w:tr w:rsidR="005C5CED" w:rsidRPr="005C5CED" w14:paraId="04D2B8A5" w14:textId="77777777" w:rsidTr="0062462F">
        <w:trPr>
          <w:trHeight w:val="285"/>
        </w:trPr>
        <w:tc>
          <w:tcPr>
            <w:tcW w:w="5286" w:type="dxa"/>
            <w:tcBorders>
              <w:top w:val="single" w:sz="4" w:space="0" w:color="auto"/>
              <w:left w:val="nil"/>
              <w:bottom w:val="single" w:sz="4" w:space="0" w:color="auto"/>
              <w:right w:val="nil"/>
            </w:tcBorders>
            <w:shd w:val="clear" w:color="auto" w:fill="auto"/>
            <w:noWrap/>
            <w:vAlign w:val="center"/>
            <w:hideMark/>
          </w:tcPr>
          <w:p w14:paraId="0194497E"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Contract liability as </w:t>
            </w:r>
            <w:proofErr w:type="gramStart"/>
            <w:r w:rsidRPr="005C5CED">
              <w:rPr>
                <w:rFonts w:eastAsia="Times New Roman" w:cs="Arial"/>
                <w:b/>
                <w:bCs/>
                <w:color w:val="auto"/>
                <w:sz w:val="16"/>
                <w:szCs w:val="16"/>
                <w:lang w:eastAsia="en-AU"/>
              </w:rPr>
              <w:t>at</w:t>
            </w:r>
            <w:proofErr w:type="gramEnd"/>
            <w:r w:rsidRPr="005C5CED">
              <w:rPr>
                <w:rFonts w:eastAsia="Times New Roman" w:cs="Arial"/>
                <w:b/>
                <w:bCs/>
                <w:color w:val="auto"/>
                <w:sz w:val="16"/>
                <w:szCs w:val="16"/>
                <w:lang w:eastAsia="en-AU"/>
              </w:rPr>
              <w:t xml:space="preserve"> 30 June</w:t>
            </w:r>
          </w:p>
        </w:tc>
        <w:tc>
          <w:tcPr>
            <w:tcW w:w="3002" w:type="dxa"/>
            <w:gridSpan w:val="3"/>
            <w:tcBorders>
              <w:top w:val="single" w:sz="4" w:space="0" w:color="auto"/>
              <w:left w:val="nil"/>
              <w:bottom w:val="single" w:sz="4" w:space="0" w:color="auto"/>
              <w:right w:val="nil"/>
            </w:tcBorders>
            <w:shd w:val="clear" w:color="auto" w:fill="auto"/>
            <w:noWrap/>
            <w:vAlign w:val="center"/>
          </w:tcPr>
          <w:p w14:paraId="30D42531" w14:textId="77777777" w:rsidR="005C5CED" w:rsidRPr="005C5CED" w:rsidRDefault="005C5CED" w:rsidP="005C5CED">
            <w:pPr>
              <w:spacing w:after="0" w:line="240" w:lineRule="auto"/>
              <w:jc w:val="right"/>
              <w:rPr>
                <w:rFonts w:eastAsia="Times New Roman" w:cs="Arial"/>
                <w:b/>
                <w:bCs/>
                <w:color w:val="auto"/>
                <w:sz w:val="16"/>
                <w:szCs w:val="16"/>
                <w:lang w:eastAsia="en-AU"/>
              </w:rPr>
            </w:pPr>
          </w:p>
          <w:p w14:paraId="55A3880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57,683</w:t>
            </w:r>
          </w:p>
        </w:tc>
        <w:tc>
          <w:tcPr>
            <w:tcW w:w="1072" w:type="dxa"/>
            <w:tcBorders>
              <w:top w:val="single" w:sz="4" w:space="0" w:color="auto"/>
              <w:left w:val="nil"/>
              <w:bottom w:val="single" w:sz="4" w:space="0" w:color="auto"/>
              <w:right w:val="nil"/>
            </w:tcBorders>
            <w:shd w:val="clear" w:color="000000" w:fill="E7E6E6"/>
            <w:noWrap/>
            <w:vAlign w:val="center"/>
            <w:hideMark/>
          </w:tcPr>
          <w:p w14:paraId="7DA6D8A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56,109</w:t>
            </w:r>
          </w:p>
        </w:tc>
      </w:tr>
      <w:tr w:rsidR="005C5CED" w:rsidRPr="005C5CED" w14:paraId="5D365D0E" w14:textId="77777777" w:rsidTr="0062462F">
        <w:trPr>
          <w:trHeight w:val="285"/>
        </w:trPr>
        <w:tc>
          <w:tcPr>
            <w:tcW w:w="5286" w:type="dxa"/>
            <w:tcBorders>
              <w:top w:val="single" w:sz="4" w:space="0" w:color="auto"/>
              <w:left w:val="nil"/>
              <w:right w:val="nil"/>
            </w:tcBorders>
            <w:shd w:val="clear" w:color="auto" w:fill="auto"/>
            <w:noWrap/>
            <w:vAlign w:val="center"/>
          </w:tcPr>
          <w:p w14:paraId="23023F2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Represented by</w:t>
            </w:r>
          </w:p>
          <w:p w14:paraId="283C766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3002" w:type="dxa"/>
            <w:gridSpan w:val="3"/>
            <w:tcBorders>
              <w:top w:val="single" w:sz="4" w:space="0" w:color="auto"/>
              <w:left w:val="nil"/>
              <w:right w:val="nil"/>
            </w:tcBorders>
            <w:shd w:val="clear" w:color="auto" w:fill="auto"/>
            <w:noWrap/>
            <w:vAlign w:val="center"/>
          </w:tcPr>
          <w:p w14:paraId="32974E12"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072" w:type="dxa"/>
            <w:tcBorders>
              <w:top w:val="single" w:sz="4" w:space="0" w:color="auto"/>
              <w:left w:val="nil"/>
              <w:right w:val="nil"/>
            </w:tcBorders>
            <w:shd w:val="clear" w:color="000000" w:fill="E7E6E6"/>
            <w:noWrap/>
            <w:vAlign w:val="center"/>
          </w:tcPr>
          <w:p w14:paraId="719ADDA8"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r>
      <w:tr w:rsidR="005C5CED" w:rsidRPr="005C5CED" w14:paraId="40CC815B" w14:textId="77777777" w:rsidTr="0062462F">
        <w:trPr>
          <w:trHeight w:val="90"/>
        </w:trPr>
        <w:tc>
          <w:tcPr>
            <w:tcW w:w="5286" w:type="dxa"/>
            <w:tcBorders>
              <w:left w:val="nil"/>
              <w:right w:val="nil"/>
            </w:tcBorders>
            <w:shd w:val="clear" w:color="auto" w:fill="auto"/>
            <w:noWrap/>
            <w:vAlign w:val="center"/>
          </w:tcPr>
          <w:p w14:paraId="099CD90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Current contract liabilities</w:t>
            </w:r>
          </w:p>
          <w:p w14:paraId="613D929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3002" w:type="dxa"/>
            <w:gridSpan w:val="3"/>
            <w:tcBorders>
              <w:left w:val="nil"/>
              <w:right w:val="nil"/>
            </w:tcBorders>
            <w:shd w:val="clear" w:color="auto" w:fill="auto"/>
            <w:noWrap/>
            <w:vAlign w:val="center"/>
          </w:tcPr>
          <w:p w14:paraId="122D908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57,683</w:t>
            </w:r>
          </w:p>
        </w:tc>
        <w:tc>
          <w:tcPr>
            <w:tcW w:w="1072" w:type="dxa"/>
            <w:tcBorders>
              <w:left w:val="nil"/>
              <w:right w:val="nil"/>
            </w:tcBorders>
            <w:shd w:val="clear" w:color="000000" w:fill="E7E6E6"/>
            <w:noWrap/>
            <w:vAlign w:val="center"/>
          </w:tcPr>
          <w:p w14:paraId="790E9DE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56,109</w:t>
            </w:r>
          </w:p>
        </w:tc>
      </w:tr>
      <w:tr w:rsidR="005C5CED" w:rsidRPr="005C5CED" w14:paraId="1AAA1B2F" w14:textId="77777777" w:rsidTr="0062462F">
        <w:trPr>
          <w:trHeight w:val="55"/>
        </w:trPr>
        <w:tc>
          <w:tcPr>
            <w:tcW w:w="5286" w:type="dxa"/>
            <w:tcBorders>
              <w:left w:val="nil"/>
              <w:bottom w:val="single" w:sz="4" w:space="0" w:color="auto"/>
              <w:right w:val="nil"/>
            </w:tcBorders>
            <w:shd w:val="clear" w:color="auto" w:fill="auto"/>
            <w:noWrap/>
            <w:vAlign w:val="center"/>
          </w:tcPr>
          <w:p w14:paraId="008B6331"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   Non</w:t>
            </w:r>
            <w:r w:rsidRPr="005C5CED">
              <w:rPr>
                <w:rFonts w:eastAsia="Times New Roman" w:cs="Arial"/>
                <w:color w:val="auto"/>
                <w:sz w:val="16"/>
                <w:szCs w:val="16"/>
                <w:lang w:eastAsia="en-AU"/>
              </w:rPr>
              <w:noBreakHyphen/>
              <w:t>current contract liabilities</w:t>
            </w:r>
          </w:p>
          <w:p w14:paraId="7E690E3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3002" w:type="dxa"/>
            <w:gridSpan w:val="3"/>
            <w:tcBorders>
              <w:left w:val="nil"/>
              <w:bottom w:val="single" w:sz="4" w:space="0" w:color="auto"/>
              <w:right w:val="nil"/>
            </w:tcBorders>
            <w:shd w:val="clear" w:color="auto" w:fill="auto"/>
            <w:noWrap/>
            <w:vAlign w:val="center"/>
          </w:tcPr>
          <w:p w14:paraId="1F523AE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72" w:type="dxa"/>
            <w:tcBorders>
              <w:left w:val="nil"/>
              <w:bottom w:val="single" w:sz="4" w:space="0" w:color="auto"/>
              <w:right w:val="nil"/>
            </w:tcBorders>
            <w:shd w:val="clear" w:color="000000" w:fill="E7E6E6"/>
            <w:noWrap/>
            <w:vAlign w:val="center"/>
          </w:tcPr>
          <w:p w14:paraId="30AA91D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bl>
    <w:p w14:paraId="0AE19C64" w14:textId="77777777" w:rsidR="005C5CED" w:rsidRPr="005C5CED" w:rsidRDefault="005C5CED" w:rsidP="005C5CED">
      <w:pPr>
        <w:spacing w:after="0" w:line="240" w:lineRule="auto"/>
        <w:rPr>
          <w:rFonts w:eastAsia="Times New Roman" w:cs="Arial"/>
          <w:b/>
          <w:bCs/>
          <w:color w:val="auto"/>
          <w:sz w:val="16"/>
          <w:szCs w:val="16"/>
          <w:lang w:eastAsia="en-AU"/>
        </w:rPr>
      </w:pPr>
    </w:p>
    <w:p w14:paraId="0C39524B"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Contract liabilities </w:t>
      </w:r>
      <w:proofErr w:type="gramStart"/>
      <w:r w:rsidRPr="005C5CED">
        <w:rPr>
          <w:rFonts w:eastAsia="Calibri" w:cs="Arial"/>
          <w:color w:val="auto"/>
        </w:rPr>
        <w:t>represents</w:t>
      </w:r>
      <w:proofErr w:type="gramEnd"/>
      <w:r w:rsidRPr="005C5CED">
        <w:rPr>
          <w:rFonts w:eastAsia="Calibri" w:cs="Arial"/>
          <w:color w:val="auto"/>
        </w:rPr>
        <w:t xml:space="preserve"> funds received which are yet to be recognised as AASB15 </w:t>
      </w:r>
      <w:r w:rsidRPr="005C5CED">
        <w:rPr>
          <w:rFonts w:eastAsia="Calibri" w:cs="Arial"/>
          <w:i/>
          <w:iCs/>
          <w:color w:val="auto"/>
        </w:rPr>
        <w:t>Revenue from Contracts with Customers</w:t>
      </w:r>
      <w:r w:rsidRPr="005C5CED">
        <w:rPr>
          <w:rFonts w:eastAsia="Calibri" w:cs="Arial"/>
          <w:color w:val="auto"/>
        </w:rPr>
        <w:t xml:space="preserve"> where sufficiently specific obligations remain.</w:t>
      </w:r>
    </w:p>
    <w:p w14:paraId="0E16AFEF" w14:textId="77777777" w:rsidR="005C5CED" w:rsidRPr="005C5CED" w:rsidRDefault="005C5CED" w:rsidP="005C5CED">
      <w:pPr>
        <w:keepNext/>
        <w:keepLines/>
        <w:spacing w:before="200" w:after="40" w:line="259" w:lineRule="auto"/>
        <w:outlineLvl w:val="4"/>
        <w:rPr>
          <w:rFonts w:eastAsia="Times New Roman" w:cs="SegoeUI"/>
          <w:b/>
          <w:bCs/>
          <w:color w:val="595959"/>
          <w:lang w:eastAsia="en-AU"/>
        </w:rPr>
      </w:pPr>
      <w:r w:rsidRPr="005C5CED">
        <w:rPr>
          <w:rFonts w:eastAsia="Times New Roman" w:cs="SegoeUI"/>
          <w:b/>
          <w:bCs/>
          <w:color w:val="595959"/>
          <w:lang w:eastAsia="en-AU"/>
        </w:rPr>
        <w:t xml:space="preserve">Maturity analysis of contract payables </w:t>
      </w:r>
      <w:r w:rsidRPr="005C5CED">
        <w:rPr>
          <w:rFonts w:eastAsia="Times New Roman" w:cs="SegoeUI"/>
          <w:b/>
          <w:bCs/>
          <w:color w:val="595959"/>
          <w:vertAlign w:val="superscript"/>
          <w:lang w:eastAsia="en-AU"/>
        </w:rPr>
        <w:t>(a)</w:t>
      </w:r>
    </w:p>
    <w:tbl>
      <w:tblPr>
        <w:tblW w:w="9355" w:type="dxa"/>
        <w:tblLook w:val="04A0" w:firstRow="1" w:lastRow="0" w:firstColumn="1" w:lastColumn="0" w:noHBand="0" w:noVBand="1"/>
      </w:tblPr>
      <w:tblGrid>
        <w:gridCol w:w="2327"/>
        <w:gridCol w:w="1411"/>
        <w:gridCol w:w="1009"/>
        <w:gridCol w:w="2162"/>
        <w:gridCol w:w="1262"/>
        <w:gridCol w:w="1189"/>
      </w:tblGrid>
      <w:tr w:rsidR="00D12B52" w:rsidRPr="005C5CED" w14:paraId="4A1B50A8" w14:textId="77777777" w:rsidTr="00D12B52">
        <w:trPr>
          <w:trHeight w:val="240"/>
        </w:trPr>
        <w:tc>
          <w:tcPr>
            <w:tcW w:w="2327" w:type="dxa"/>
            <w:tcBorders>
              <w:top w:val="single" w:sz="4" w:space="0" w:color="auto"/>
              <w:left w:val="nil"/>
              <w:bottom w:val="nil"/>
              <w:right w:val="nil"/>
            </w:tcBorders>
            <w:shd w:val="clear" w:color="000000" w:fill="000000"/>
            <w:noWrap/>
            <w:vAlign w:val="bottom"/>
            <w:hideMark/>
          </w:tcPr>
          <w:p w14:paraId="17682F8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11" w:type="dxa"/>
            <w:tcBorders>
              <w:top w:val="single" w:sz="4" w:space="0" w:color="auto"/>
              <w:left w:val="nil"/>
              <w:bottom w:val="nil"/>
              <w:right w:val="nil"/>
            </w:tcBorders>
            <w:shd w:val="clear" w:color="000000" w:fill="000000"/>
            <w:vAlign w:val="bottom"/>
            <w:hideMark/>
          </w:tcPr>
          <w:p w14:paraId="12F32CE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Carrying</w:t>
            </w:r>
            <w:r w:rsidRPr="005C5CED">
              <w:rPr>
                <w:rFonts w:eastAsia="Times New Roman" w:cs="Arial"/>
                <w:b/>
                <w:bCs/>
                <w:color w:val="FFFFFF"/>
                <w:sz w:val="16"/>
                <w:szCs w:val="16"/>
                <w:lang w:eastAsia="en-AU"/>
              </w:rPr>
              <w:br/>
              <w:t>amount</w:t>
            </w:r>
          </w:p>
        </w:tc>
        <w:tc>
          <w:tcPr>
            <w:tcW w:w="1004" w:type="dxa"/>
            <w:tcBorders>
              <w:top w:val="single" w:sz="4" w:space="0" w:color="auto"/>
              <w:left w:val="nil"/>
              <w:bottom w:val="nil"/>
              <w:right w:val="nil"/>
            </w:tcBorders>
            <w:shd w:val="clear" w:color="000000" w:fill="000000"/>
            <w:vAlign w:val="bottom"/>
            <w:hideMark/>
          </w:tcPr>
          <w:p w14:paraId="160D4C0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Nominal</w:t>
            </w:r>
            <w:r w:rsidRPr="005C5CED">
              <w:rPr>
                <w:rFonts w:eastAsia="Times New Roman" w:cs="Arial"/>
                <w:b/>
                <w:bCs/>
                <w:color w:val="FFFFFF"/>
                <w:sz w:val="16"/>
                <w:szCs w:val="16"/>
                <w:lang w:eastAsia="en-AU"/>
              </w:rPr>
              <w:br/>
              <w:t>amount</w:t>
            </w:r>
          </w:p>
        </w:tc>
        <w:tc>
          <w:tcPr>
            <w:tcW w:w="2162" w:type="dxa"/>
            <w:tcBorders>
              <w:top w:val="single" w:sz="4" w:space="0" w:color="auto"/>
              <w:left w:val="nil"/>
              <w:bottom w:val="nil"/>
              <w:right w:val="nil"/>
            </w:tcBorders>
            <w:shd w:val="clear" w:color="000000" w:fill="000000"/>
            <w:noWrap/>
            <w:vAlign w:val="center"/>
            <w:hideMark/>
          </w:tcPr>
          <w:p w14:paraId="172A099A"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Past due but not impaired</w:t>
            </w:r>
          </w:p>
        </w:tc>
        <w:tc>
          <w:tcPr>
            <w:tcW w:w="1262" w:type="dxa"/>
            <w:tcBorders>
              <w:top w:val="single" w:sz="4" w:space="0" w:color="auto"/>
              <w:left w:val="nil"/>
              <w:bottom w:val="nil"/>
              <w:right w:val="nil"/>
            </w:tcBorders>
            <w:shd w:val="clear" w:color="000000" w:fill="000000"/>
            <w:noWrap/>
            <w:vAlign w:val="center"/>
            <w:hideMark/>
          </w:tcPr>
          <w:p w14:paraId="42BF0BBF"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189" w:type="dxa"/>
            <w:tcBorders>
              <w:top w:val="single" w:sz="4" w:space="0" w:color="auto"/>
              <w:left w:val="nil"/>
              <w:bottom w:val="nil"/>
              <w:right w:val="nil"/>
            </w:tcBorders>
            <w:shd w:val="clear" w:color="000000" w:fill="000000"/>
            <w:noWrap/>
            <w:vAlign w:val="center"/>
            <w:hideMark/>
          </w:tcPr>
          <w:p w14:paraId="36327E12"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r>
      <w:tr w:rsidR="00D12B52" w:rsidRPr="005C5CED" w14:paraId="57B15521" w14:textId="77777777" w:rsidTr="00D12B52">
        <w:trPr>
          <w:trHeight w:val="240"/>
        </w:trPr>
        <w:tc>
          <w:tcPr>
            <w:tcW w:w="2327" w:type="dxa"/>
            <w:tcBorders>
              <w:top w:val="nil"/>
              <w:left w:val="nil"/>
              <w:bottom w:val="nil"/>
              <w:right w:val="nil"/>
            </w:tcBorders>
            <w:shd w:val="clear" w:color="000000" w:fill="000000"/>
            <w:noWrap/>
            <w:vAlign w:val="bottom"/>
            <w:hideMark/>
          </w:tcPr>
          <w:p w14:paraId="14F207E3"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11" w:type="dxa"/>
            <w:tcBorders>
              <w:top w:val="nil"/>
              <w:left w:val="nil"/>
              <w:bottom w:val="nil"/>
              <w:right w:val="nil"/>
            </w:tcBorders>
            <w:shd w:val="clear" w:color="000000" w:fill="000000"/>
            <w:vAlign w:val="bottom"/>
            <w:hideMark/>
          </w:tcPr>
          <w:p w14:paraId="2425548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004" w:type="dxa"/>
            <w:tcBorders>
              <w:top w:val="single" w:sz="4" w:space="0" w:color="auto"/>
              <w:left w:val="nil"/>
              <w:bottom w:val="nil"/>
              <w:right w:val="nil"/>
            </w:tcBorders>
            <w:shd w:val="clear" w:color="000000" w:fill="000000"/>
            <w:vAlign w:val="bottom"/>
            <w:hideMark/>
          </w:tcPr>
          <w:p w14:paraId="47296AD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162" w:type="dxa"/>
            <w:tcBorders>
              <w:top w:val="nil"/>
              <w:left w:val="nil"/>
              <w:bottom w:val="nil"/>
              <w:right w:val="nil"/>
            </w:tcBorders>
            <w:shd w:val="clear" w:color="000000" w:fill="000000"/>
            <w:vAlign w:val="bottom"/>
            <w:hideMark/>
          </w:tcPr>
          <w:p w14:paraId="1AF43D6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&lt; 1 month</w:t>
            </w:r>
          </w:p>
        </w:tc>
        <w:tc>
          <w:tcPr>
            <w:tcW w:w="1262" w:type="dxa"/>
            <w:tcBorders>
              <w:top w:val="nil"/>
              <w:left w:val="nil"/>
              <w:bottom w:val="nil"/>
              <w:right w:val="nil"/>
            </w:tcBorders>
            <w:shd w:val="clear" w:color="000000" w:fill="000000"/>
            <w:vAlign w:val="bottom"/>
            <w:hideMark/>
          </w:tcPr>
          <w:p w14:paraId="26E471F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&gt;1 but &lt;3 months</w:t>
            </w:r>
          </w:p>
        </w:tc>
        <w:tc>
          <w:tcPr>
            <w:tcW w:w="1189" w:type="dxa"/>
            <w:tcBorders>
              <w:top w:val="nil"/>
              <w:left w:val="nil"/>
              <w:bottom w:val="nil"/>
              <w:right w:val="nil"/>
            </w:tcBorders>
            <w:shd w:val="clear" w:color="000000" w:fill="000000"/>
            <w:vAlign w:val="bottom"/>
            <w:hideMark/>
          </w:tcPr>
          <w:p w14:paraId="24F4A02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&gt;3 but &lt;12 months</w:t>
            </w:r>
          </w:p>
        </w:tc>
      </w:tr>
      <w:tr w:rsidR="00D12B52" w:rsidRPr="005C5CED" w14:paraId="7AAE86E3" w14:textId="77777777" w:rsidTr="00D12B52">
        <w:trPr>
          <w:trHeight w:val="240"/>
        </w:trPr>
        <w:tc>
          <w:tcPr>
            <w:tcW w:w="2327" w:type="dxa"/>
            <w:tcBorders>
              <w:top w:val="nil"/>
              <w:left w:val="nil"/>
              <w:bottom w:val="single" w:sz="4" w:space="0" w:color="auto"/>
              <w:right w:val="nil"/>
            </w:tcBorders>
            <w:shd w:val="clear" w:color="000000" w:fill="000000"/>
            <w:noWrap/>
            <w:vAlign w:val="bottom"/>
            <w:hideMark/>
          </w:tcPr>
          <w:p w14:paraId="491BC614"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11" w:type="dxa"/>
            <w:tcBorders>
              <w:top w:val="nil"/>
              <w:left w:val="nil"/>
              <w:bottom w:val="single" w:sz="4" w:space="0" w:color="auto"/>
              <w:right w:val="nil"/>
            </w:tcBorders>
            <w:shd w:val="clear" w:color="000000" w:fill="000000"/>
            <w:noWrap/>
            <w:vAlign w:val="bottom"/>
            <w:hideMark/>
          </w:tcPr>
          <w:p w14:paraId="498AC71B" w14:textId="77777777" w:rsidR="005C5CED" w:rsidRPr="005C5CED" w:rsidRDefault="005C5CED" w:rsidP="005C5CED">
            <w:pPr>
              <w:spacing w:after="0" w:line="240" w:lineRule="auto"/>
              <w:ind w:firstLineChars="200" w:firstLine="32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04" w:type="dxa"/>
            <w:tcBorders>
              <w:top w:val="nil"/>
              <w:left w:val="nil"/>
              <w:bottom w:val="single" w:sz="4" w:space="0" w:color="auto"/>
              <w:right w:val="nil"/>
            </w:tcBorders>
            <w:shd w:val="clear" w:color="000000" w:fill="000000"/>
            <w:noWrap/>
            <w:vAlign w:val="bottom"/>
            <w:hideMark/>
          </w:tcPr>
          <w:p w14:paraId="6C05287A" w14:textId="77777777" w:rsidR="005C5CED" w:rsidRPr="005C5CED" w:rsidRDefault="005C5CED" w:rsidP="005C5CED">
            <w:pPr>
              <w:spacing w:after="0" w:line="240" w:lineRule="auto"/>
              <w:ind w:firstLineChars="200" w:firstLine="32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2162" w:type="dxa"/>
            <w:tcBorders>
              <w:top w:val="nil"/>
              <w:left w:val="nil"/>
              <w:bottom w:val="single" w:sz="4" w:space="0" w:color="auto"/>
              <w:right w:val="nil"/>
            </w:tcBorders>
            <w:shd w:val="clear" w:color="000000" w:fill="000000"/>
            <w:noWrap/>
            <w:vAlign w:val="bottom"/>
            <w:hideMark/>
          </w:tcPr>
          <w:p w14:paraId="1CEED013" w14:textId="77777777" w:rsidR="005C5CED" w:rsidRPr="005C5CED" w:rsidRDefault="005C5CED" w:rsidP="005C5CED">
            <w:pPr>
              <w:spacing w:after="0" w:line="240" w:lineRule="auto"/>
              <w:ind w:firstLineChars="200" w:firstLine="32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62" w:type="dxa"/>
            <w:tcBorders>
              <w:top w:val="nil"/>
              <w:left w:val="nil"/>
              <w:bottom w:val="single" w:sz="4" w:space="0" w:color="auto"/>
              <w:right w:val="nil"/>
            </w:tcBorders>
            <w:shd w:val="clear" w:color="000000" w:fill="000000"/>
            <w:noWrap/>
            <w:vAlign w:val="bottom"/>
            <w:hideMark/>
          </w:tcPr>
          <w:p w14:paraId="10B13735" w14:textId="77777777" w:rsidR="005C5CED" w:rsidRPr="005C5CED" w:rsidRDefault="005C5CED" w:rsidP="005C5CED">
            <w:pPr>
              <w:spacing w:after="0" w:line="240" w:lineRule="auto"/>
              <w:ind w:firstLineChars="200" w:firstLine="32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89" w:type="dxa"/>
            <w:tcBorders>
              <w:top w:val="nil"/>
              <w:left w:val="nil"/>
              <w:bottom w:val="single" w:sz="4" w:space="0" w:color="auto"/>
              <w:right w:val="nil"/>
            </w:tcBorders>
            <w:shd w:val="clear" w:color="000000" w:fill="000000"/>
            <w:noWrap/>
            <w:vAlign w:val="bottom"/>
            <w:hideMark/>
          </w:tcPr>
          <w:p w14:paraId="799F989C" w14:textId="77777777" w:rsidR="005C5CED" w:rsidRPr="005C5CED" w:rsidRDefault="005C5CED" w:rsidP="005C5CED">
            <w:pPr>
              <w:spacing w:after="0" w:line="240" w:lineRule="auto"/>
              <w:ind w:firstLineChars="200" w:firstLine="32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6E7F272F" w14:textId="77777777" w:rsidTr="00D12B52">
        <w:trPr>
          <w:trHeight w:val="366"/>
        </w:trPr>
        <w:tc>
          <w:tcPr>
            <w:tcW w:w="2327" w:type="dxa"/>
            <w:tcBorders>
              <w:top w:val="nil"/>
              <w:left w:val="nil"/>
              <w:bottom w:val="nil"/>
              <w:right w:val="nil"/>
            </w:tcBorders>
            <w:shd w:val="clear" w:color="auto" w:fill="auto"/>
            <w:noWrap/>
            <w:vAlign w:val="bottom"/>
            <w:hideMark/>
          </w:tcPr>
          <w:p w14:paraId="1479BA2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411" w:type="dxa"/>
            <w:tcBorders>
              <w:top w:val="nil"/>
              <w:left w:val="nil"/>
              <w:bottom w:val="nil"/>
              <w:right w:val="nil"/>
            </w:tcBorders>
            <w:shd w:val="clear" w:color="auto" w:fill="auto"/>
            <w:noWrap/>
            <w:vAlign w:val="center"/>
            <w:hideMark/>
          </w:tcPr>
          <w:p w14:paraId="1CE78EF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004" w:type="dxa"/>
            <w:tcBorders>
              <w:top w:val="nil"/>
              <w:left w:val="nil"/>
              <w:bottom w:val="nil"/>
              <w:right w:val="nil"/>
            </w:tcBorders>
            <w:shd w:val="clear" w:color="auto" w:fill="auto"/>
            <w:noWrap/>
            <w:vAlign w:val="center"/>
            <w:hideMark/>
          </w:tcPr>
          <w:p w14:paraId="7A63511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2162" w:type="dxa"/>
            <w:tcBorders>
              <w:top w:val="nil"/>
              <w:left w:val="nil"/>
              <w:bottom w:val="nil"/>
              <w:right w:val="nil"/>
            </w:tcBorders>
            <w:shd w:val="clear" w:color="auto" w:fill="auto"/>
            <w:noWrap/>
            <w:vAlign w:val="center"/>
            <w:hideMark/>
          </w:tcPr>
          <w:p w14:paraId="4F2A0F1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62" w:type="dxa"/>
            <w:tcBorders>
              <w:top w:val="nil"/>
              <w:left w:val="nil"/>
              <w:bottom w:val="nil"/>
              <w:right w:val="nil"/>
            </w:tcBorders>
            <w:shd w:val="clear" w:color="auto" w:fill="auto"/>
            <w:noWrap/>
            <w:vAlign w:val="center"/>
            <w:hideMark/>
          </w:tcPr>
          <w:p w14:paraId="1B926A7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89" w:type="dxa"/>
            <w:tcBorders>
              <w:top w:val="nil"/>
              <w:left w:val="nil"/>
              <w:bottom w:val="nil"/>
              <w:right w:val="nil"/>
            </w:tcBorders>
            <w:shd w:val="clear" w:color="auto" w:fill="auto"/>
            <w:noWrap/>
            <w:vAlign w:val="center"/>
            <w:hideMark/>
          </w:tcPr>
          <w:p w14:paraId="5B0BCB3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31FCCCC4" w14:textId="77777777" w:rsidTr="00D12B52">
        <w:trPr>
          <w:trHeight w:val="366"/>
        </w:trPr>
        <w:tc>
          <w:tcPr>
            <w:tcW w:w="2327" w:type="dxa"/>
            <w:tcBorders>
              <w:top w:val="nil"/>
              <w:left w:val="nil"/>
              <w:bottom w:val="nil"/>
              <w:right w:val="nil"/>
            </w:tcBorders>
            <w:shd w:val="clear" w:color="auto" w:fill="auto"/>
            <w:noWrap/>
            <w:vAlign w:val="bottom"/>
            <w:hideMark/>
          </w:tcPr>
          <w:p w14:paraId="1F0F371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Trade creditors</w:t>
            </w:r>
          </w:p>
        </w:tc>
        <w:tc>
          <w:tcPr>
            <w:tcW w:w="1411" w:type="dxa"/>
            <w:tcBorders>
              <w:top w:val="nil"/>
              <w:left w:val="nil"/>
              <w:bottom w:val="nil"/>
              <w:right w:val="nil"/>
            </w:tcBorders>
            <w:shd w:val="clear" w:color="auto" w:fill="auto"/>
            <w:noWrap/>
            <w:vAlign w:val="center"/>
          </w:tcPr>
          <w:p w14:paraId="25C1B23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4,885</w:t>
            </w:r>
          </w:p>
        </w:tc>
        <w:tc>
          <w:tcPr>
            <w:tcW w:w="1004" w:type="dxa"/>
            <w:tcBorders>
              <w:top w:val="nil"/>
              <w:left w:val="nil"/>
              <w:bottom w:val="nil"/>
              <w:right w:val="nil"/>
            </w:tcBorders>
            <w:shd w:val="clear" w:color="auto" w:fill="auto"/>
            <w:noWrap/>
            <w:vAlign w:val="center"/>
          </w:tcPr>
          <w:p w14:paraId="12DDE22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4,885</w:t>
            </w:r>
          </w:p>
        </w:tc>
        <w:tc>
          <w:tcPr>
            <w:tcW w:w="2162" w:type="dxa"/>
            <w:tcBorders>
              <w:top w:val="nil"/>
              <w:left w:val="nil"/>
              <w:bottom w:val="nil"/>
              <w:right w:val="nil"/>
            </w:tcBorders>
            <w:shd w:val="clear" w:color="auto" w:fill="auto"/>
            <w:noWrap/>
            <w:vAlign w:val="center"/>
          </w:tcPr>
          <w:p w14:paraId="653A08F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4,528</w:t>
            </w:r>
          </w:p>
        </w:tc>
        <w:tc>
          <w:tcPr>
            <w:tcW w:w="1262" w:type="dxa"/>
            <w:tcBorders>
              <w:top w:val="nil"/>
              <w:left w:val="nil"/>
              <w:bottom w:val="nil"/>
              <w:right w:val="nil"/>
            </w:tcBorders>
            <w:shd w:val="clear" w:color="auto" w:fill="auto"/>
            <w:noWrap/>
            <w:vAlign w:val="center"/>
          </w:tcPr>
          <w:p w14:paraId="7E78112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343</w:t>
            </w:r>
          </w:p>
        </w:tc>
        <w:tc>
          <w:tcPr>
            <w:tcW w:w="1189" w:type="dxa"/>
            <w:tcBorders>
              <w:top w:val="nil"/>
              <w:left w:val="nil"/>
              <w:bottom w:val="nil"/>
              <w:right w:val="nil"/>
            </w:tcBorders>
            <w:shd w:val="clear" w:color="auto" w:fill="auto"/>
            <w:noWrap/>
            <w:vAlign w:val="center"/>
          </w:tcPr>
          <w:p w14:paraId="5F35E77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w:t>
            </w:r>
          </w:p>
        </w:tc>
      </w:tr>
      <w:tr w:rsidR="005C5CED" w:rsidRPr="005C5CED" w14:paraId="2BC90E79" w14:textId="77777777" w:rsidTr="00D12B52">
        <w:trPr>
          <w:trHeight w:val="366"/>
        </w:trPr>
        <w:tc>
          <w:tcPr>
            <w:tcW w:w="2327" w:type="dxa"/>
            <w:tcBorders>
              <w:top w:val="nil"/>
              <w:left w:val="nil"/>
              <w:bottom w:val="nil"/>
              <w:right w:val="nil"/>
            </w:tcBorders>
            <w:shd w:val="clear" w:color="auto" w:fill="auto"/>
            <w:noWrap/>
            <w:vAlign w:val="bottom"/>
            <w:hideMark/>
          </w:tcPr>
          <w:p w14:paraId="4A48589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Accrued expenses</w:t>
            </w:r>
          </w:p>
        </w:tc>
        <w:tc>
          <w:tcPr>
            <w:tcW w:w="1411" w:type="dxa"/>
            <w:tcBorders>
              <w:top w:val="nil"/>
              <w:left w:val="nil"/>
              <w:bottom w:val="single" w:sz="4" w:space="0" w:color="auto"/>
              <w:right w:val="nil"/>
            </w:tcBorders>
            <w:shd w:val="clear" w:color="auto" w:fill="auto"/>
            <w:noWrap/>
            <w:vAlign w:val="center"/>
          </w:tcPr>
          <w:p w14:paraId="547A729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934</w:t>
            </w:r>
          </w:p>
        </w:tc>
        <w:tc>
          <w:tcPr>
            <w:tcW w:w="1004" w:type="dxa"/>
            <w:tcBorders>
              <w:top w:val="nil"/>
              <w:left w:val="nil"/>
              <w:bottom w:val="single" w:sz="4" w:space="0" w:color="auto"/>
              <w:right w:val="nil"/>
            </w:tcBorders>
            <w:shd w:val="clear" w:color="auto" w:fill="auto"/>
            <w:noWrap/>
            <w:vAlign w:val="center"/>
          </w:tcPr>
          <w:p w14:paraId="788AE25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934</w:t>
            </w:r>
          </w:p>
        </w:tc>
        <w:tc>
          <w:tcPr>
            <w:tcW w:w="2162" w:type="dxa"/>
            <w:tcBorders>
              <w:top w:val="nil"/>
              <w:left w:val="nil"/>
              <w:bottom w:val="single" w:sz="4" w:space="0" w:color="auto"/>
              <w:right w:val="nil"/>
            </w:tcBorders>
            <w:shd w:val="clear" w:color="auto" w:fill="auto"/>
            <w:noWrap/>
            <w:vAlign w:val="center"/>
          </w:tcPr>
          <w:p w14:paraId="031B365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573</w:t>
            </w:r>
          </w:p>
        </w:tc>
        <w:tc>
          <w:tcPr>
            <w:tcW w:w="1262" w:type="dxa"/>
            <w:tcBorders>
              <w:top w:val="nil"/>
              <w:left w:val="nil"/>
              <w:bottom w:val="single" w:sz="4" w:space="0" w:color="auto"/>
              <w:right w:val="nil"/>
            </w:tcBorders>
            <w:shd w:val="clear" w:color="auto" w:fill="auto"/>
            <w:noWrap/>
            <w:vAlign w:val="center"/>
          </w:tcPr>
          <w:p w14:paraId="4600B41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324</w:t>
            </w:r>
          </w:p>
        </w:tc>
        <w:tc>
          <w:tcPr>
            <w:tcW w:w="1189" w:type="dxa"/>
            <w:tcBorders>
              <w:top w:val="nil"/>
              <w:left w:val="nil"/>
              <w:bottom w:val="single" w:sz="4" w:space="0" w:color="auto"/>
              <w:right w:val="nil"/>
            </w:tcBorders>
            <w:shd w:val="clear" w:color="auto" w:fill="auto"/>
            <w:noWrap/>
            <w:vAlign w:val="center"/>
          </w:tcPr>
          <w:p w14:paraId="2409ECA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37</w:t>
            </w:r>
          </w:p>
        </w:tc>
      </w:tr>
      <w:tr w:rsidR="005C5CED" w:rsidRPr="005C5CED" w14:paraId="64D669FB" w14:textId="77777777" w:rsidTr="00D12B52">
        <w:trPr>
          <w:trHeight w:val="366"/>
        </w:trPr>
        <w:tc>
          <w:tcPr>
            <w:tcW w:w="2327" w:type="dxa"/>
            <w:tcBorders>
              <w:top w:val="single" w:sz="4" w:space="0" w:color="auto"/>
              <w:left w:val="nil"/>
              <w:bottom w:val="single" w:sz="4" w:space="0" w:color="auto"/>
              <w:right w:val="nil"/>
            </w:tcBorders>
            <w:shd w:val="clear" w:color="auto" w:fill="auto"/>
            <w:noWrap/>
            <w:vAlign w:val="bottom"/>
            <w:hideMark/>
          </w:tcPr>
          <w:p w14:paraId="5B3D1431"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roofErr w:type="gramStart"/>
            <w:r w:rsidRPr="005C5CED">
              <w:rPr>
                <w:rFonts w:eastAsia="Times New Roman" w:cs="Arial"/>
                <w:b/>
                <w:bCs/>
                <w:color w:val="auto"/>
                <w:sz w:val="16"/>
                <w:szCs w:val="16"/>
                <w:lang w:eastAsia="en-AU"/>
              </w:rPr>
              <w:t xml:space="preserve">Total  </w:t>
            </w:r>
            <w:r w:rsidRPr="005C5CED">
              <w:rPr>
                <w:rFonts w:eastAsia="Times New Roman" w:cs="Arial"/>
                <w:color w:val="auto"/>
                <w:sz w:val="16"/>
                <w:szCs w:val="16"/>
                <w:lang w:eastAsia="en-AU"/>
              </w:rPr>
              <w:t>(</w:t>
            </w:r>
            <w:proofErr w:type="gramEnd"/>
            <w:r w:rsidRPr="005C5CED">
              <w:rPr>
                <w:rFonts w:eastAsia="Times New Roman" w:cs="Arial"/>
                <w:color w:val="auto"/>
                <w:sz w:val="16"/>
                <w:szCs w:val="16"/>
                <w:lang w:eastAsia="en-AU"/>
              </w:rPr>
              <w:t>b)</w:t>
            </w:r>
          </w:p>
        </w:tc>
        <w:tc>
          <w:tcPr>
            <w:tcW w:w="1411" w:type="dxa"/>
            <w:tcBorders>
              <w:top w:val="nil"/>
              <w:left w:val="nil"/>
              <w:bottom w:val="single" w:sz="4" w:space="0" w:color="auto"/>
              <w:right w:val="nil"/>
            </w:tcBorders>
            <w:shd w:val="clear" w:color="auto" w:fill="auto"/>
            <w:noWrap/>
            <w:vAlign w:val="center"/>
          </w:tcPr>
          <w:p w14:paraId="513C8CA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5,819</w:t>
            </w:r>
          </w:p>
        </w:tc>
        <w:tc>
          <w:tcPr>
            <w:tcW w:w="1004" w:type="dxa"/>
            <w:tcBorders>
              <w:top w:val="nil"/>
              <w:left w:val="nil"/>
              <w:bottom w:val="single" w:sz="4" w:space="0" w:color="auto"/>
              <w:right w:val="nil"/>
            </w:tcBorders>
            <w:shd w:val="clear" w:color="auto" w:fill="auto"/>
            <w:noWrap/>
            <w:vAlign w:val="center"/>
          </w:tcPr>
          <w:p w14:paraId="1AEC5E8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5,819</w:t>
            </w:r>
          </w:p>
        </w:tc>
        <w:tc>
          <w:tcPr>
            <w:tcW w:w="2162" w:type="dxa"/>
            <w:tcBorders>
              <w:top w:val="nil"/>
              <w:left w:val="nil"/>
              <w:bottom w:val="single" w:sz="4" w:space="0" w:color="auto"/>
              <w:right w:val="nil"/>
            </w:tcBorders>
            <w:shd w:val="clear" w:color="auto" w:fill="auto"/>
            <w:noWrap/>
            <w:vAlign w:val="center"/>
          </w:tcPr>
          <w:p w14:paraId="78F3FB1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5,101</w:t>
            </w:r>
          </w:p>
        </w:tc>
        <w:tc>
          <w:tcPr>
            <w:tcW w:w="1262" w:type="dxa"/>
            <w:tcBorders>
              <w:top w:val="nil"/>
              <w:left w:val="nil"/>
              <w:bottom w:val="single" w:sz="4" w:space="0" w:color="auto"/>
              <w:right w:val="nil"/>
            </w:tcBorders>
            <w:shd w:val="clear" w:color="auto" w:fill="auto"/>
            <w:noWrap/>
            <w:vAlign w:val="center"/>
          </w:tcPr>
          <w:p w14:paraId="42F3D60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667</w:t>
            </w:r>
          </w:p>
        </w:tc>
        <w:tc>
          <w:tcPr>
            <w:tcW w:w="1189" w:type="dxa"/>
            <w:tcBorders>
              <w:top w:val="nil"/>
              <w:left w:val="nil"/>
              <w:bottom w:val="single" w:sz="4" w:space="0" w:color="auto"/>
              <w:right w:val="nil"/>
            </w:tcBorders>
            <w:shd w:val="clear" w:color="auto" w:fill="auto"/>
            <w:noWrap/>
            <w:vAlign w:val="center"/>
          </w:tcPr>
          <w:p w14:paraId="1F679BF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51</w:t>
            </w:r>
          </w:p>
        </w:tc>
      </w:tr>
      <w:tr w:rsidR="005C5CED" w:rsidRPr="005C5CED" w14:paraId="3B52AA15" w14:textId="77777777" w:rsidTr="00D12B52">
        <w:trPr>
          <w:trHeight w:val="366"/>
        </w:trPr>
        <w:tc>
          <w:tcPr>
            <w:tcW w:w="2327" w:type="dxa"/>
            <w:tcBorders>
              <w:top w:val="nil"/>
              <w:left w:val="nil"/>
              <w:bottom w:val="nil"/>
              <w:right w:val="nil"/>
            </w:tcBorders>
            <w:shd w:val="clear" w:color="auto" w:fill="auto"/>
            <w:noWrap/>
            <w:vAlign w:val="bottom"/>
            <w:hideMark/>
          </w:tcPr>
          <w:p w14:paraId="10AC9E93"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411" w:type="dxa"/>
            <w:tcBorders>
              <w:top w:val="nil"/>
              <w:left w:val="nil"/>
              <w:bottom w:val="nil"/>
              <w:right w:val="nil"/>
            </w:tcBorders>
            <w:shd w:val="clear" w:color="auto" w:fill="auto"/>
            <w:noWrap/>
            <w:vAlign w:val="center"/>
            <w:hideMark/>
          </w:tcPr>
          <w:p w14:paraId="494C1F7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004" w:type="dxa"/>
            <w:tcBorders>
              <w:top w:val="nil"/>
              <w:left w:val="nil"/>
              <w:bottom w:val="nil"/>
              <w:right w:val="nil"/>
            </w:tcBorders>
            <w:shd w:val="clear" w:color="auto" w:fill="auto"/>
            <w:noWrap/>
            <w:vAlign w:val="center"/>
            <w:hideMark/>
          </w:tcPr>
          <w:p w14:paraId="085F8BD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2162" w:type="dxa"/>
            <w:tcBorders>
              <w:top w:val="nil"/>
              <w:left w:val="nil"/>
              <w:bottom w:val="nil"/>
              <w:right w:val="nil"/>
            </w:tcBorders>
            <w:shd w:val="clear" w:color="auto" w:fill="auto"/>
            <w:noWrap/>
            <w:vAlign w:val="center"/>
            <w:hideMark/>
          </w:tcPr>
          <w:p w14:paraId="54859E9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62" w:type="dxa"/>
            <w:tcBorders>
              <w:top w:val="nil"/>
              <w:left w:val="nil"/>
              <w:bottom w:val="nil"/>
              <w:right w:val="nil"/>
            </w:tcBorders>
            <w:shd w:val="clear" w:color="auto" w:fill="auto"/>
            <w:noWrap/>
            <w:vAlign w:val="center"/>
            <w:hideMark/>
          </w:tcPr>
          <w:p w14:paraId="2522B42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89" w:type="dxa"/>
            <w:tcBorders>
              <w:top w:val="nil"/>
              <w:left w:val="nil"/>
              <w:bottom w:val="nil"/>
              <w:right w:val="nil"/>
            </w:tcBorders>
            <w:shd w:val="clear" w:color="auto" w:fill="auto"/>
            <w:noWrap/>
            <w:vAlign w:val="center"/>
            <w:hideMark/>
          </w:tcPr>
          <w:p w14:paraId="3F65B16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0BC99892" w14:textId="77777777" w:rsidTr="00D12B52">
        <w:trPr>
          <w:trHeight w:val="366"/>
        </w:trPr>
        <w:tc>
          <w:tcPr>
            <w:tcW w:w="2327" w:type="dxa"/>
            <w:tcBorders>
              <w:top w:val="nil"/>
              <w:left w:val="nil"/>
              <w:bottom w:val="nil"/>
              <w:right w:val="nil"/>
            </w:tcBorders>
            <w:shd w:val="clear" w:color="auto" w:fill="auto"/>
            <w:noWrap/>
            <w:vAlign w:val="bottom"/>
            <w:hideMark/>
          </w:tcPr>
          <w:p w14:paraId="6D53CB4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Trade creditors</w:t>
            </w:r>
          </w:p>
        </w:tc>
        <w:tc>
          <w:tcPr>
            <w:tcW w:w="1411" w:type="dxa"/>
            <w:tcBorders>
              <w:top w:val="nil"/>
              <w:left w:val="nil"/>
              <w:bottom w:val="nil"/>
              <w:right w:val="nil"/>
            </w:tcBorders>
            <w:shd w:val="clear" w:color="auto" w:fill="auto"/>
            <w:noWrap/>
            <w:vAlign w:val="center"/>
            <w:hideMark/>
          </w:tcPr>
          <w:p w14:paraId="42AA795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2,533</w:t>
            </w:r>
          </w:p>
        </w:tc>
        <w:tc>
          <w:tcPr>
            <w:tcW w:w="1004" w:type="dxa"/>
            <w:tcBorders>
              <w:top w:val="nil"/>
              <w:left w:val="nil"/>
              <w:bottom w:val="nil"/>
              <w:right w:val="nil"/>
            </w:tcBorders>
            <w:shd w:val="clear" w:color="auto" w:fill="auto"/>
            <w:noWrap/>
            <w:vAlign w:val="center"/>
            <w:hideMark/>
          </w:tcPr>
          <w:p w14:paraId="20FD3BD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2,533</w:t>
            </w:r>
          </w:p>
        </w:tc>
        <w:tc>
          <w:tcPr>
            <w:tcW w:w="2162" w:type="dxa"/>
            <w:tcBorders>
              <w:top w:val="nil"/>
              <w:left w:val="nil"/>
              <w:bottom w:val="nil"/>
              <w:right w:val="nil"/>
            </w:tcBorders>
            <w:shd w:val="clear" w:color="auto" w:fill="auto"/>
            <w:noWrap/>
            <w:vAlign w:val="center"/>
            <w:hideMark/>
          </w:tcPr>
          <w:p w14:paraId="2DEDAD6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2,533</w:t>
            </w:r>
          </w:p>
        </w:tc>
        <w:tc>
          <w:tcPr>
            <w:tcW w:w="1262" w:type="dxa"/>
            <w:tcBorders>
              <w:top w:val="nil"/>
              <w:left w:val="nil"/>
              <w:bottom w:val="nil"/>
              <w:right w:val="nil"/>
            </w:tcBorders>
            <w:shd w:val="clear" w:color="auto" w:fill="auto"/>
            <w:noWrap/>
            <w:vAlign w:val="center"/>
            <w:hideMark/>
          </w:tcPr>
          <w:p w14:paraId="122128E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89" w:type="dxa"/>
            <w:tcBorders>
              <w:top w:val="nil"/>
              <w:left w:val="nil"/>
              <w:bottom w:val="nil"/>
              <w:right w:val="nil"/>
            </w:tcBorders>
            <w:shd w:val="clear" w:color="auto" w:fill="auto"/>
            <w:noWrap/>
            <w:vAlign w:val="center"/>
            <w:hideMark/>
          </w:tcPr>
          <w:p w14:paraId="1D2ABE0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001410BE" w14:textId="77777777" w:rsidTr="00D12B52">
        <w:trPr>
          <w:trHeight w:val="366"/>
        </w:trPr>
        <w:tc>
          <w:tcPr>
            <w:tcW w:w="2327" w:type="dxa"/>
            <w:tcBorders>
              <w:top w:val="nil"/>
              <w:left w:val="nil"/>
              <w:bottom w:val="nil"/>
              <w:right w:val="nil"/>
            </w:tcBorders>
            <w:shd w:val="clear" w:color="auto" w:fill="auto"/>
            <w:noWrap/>
            <w:vAlign w:val="bottom"/>
            <w:hideMark/>
          </w:tcPr>
          <w:p w14:paraId="4FEED41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Accrued expenses</w:t>
            </w:r>
          </w:p>
        </w:tc>
        <w:tc>
          <w:tcPr>
            <w:tcW w:w="1411" w:type="dxa"/>
            <w:tcBorders>
              <w:top w:val="nil"/>
              <w:left w:val="nil"/>
              <w:bottom w:val="single" w:sz="4" w:space="0" w:color="auto"/>
              <w:right w:val="nil"/>
            </w:tcBorders>
            <w:shd w:val="clear" w:color="auto" w:fill="auto"/>
            <w:noWrap/>
            <w:vAlign w:val="center"/>
            <w:hideMark/>
          </w:tcPr>
          <w:p w14:paraId="184B089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2,017</w:t>
            </w:r>
          </w:p>
        </w:tc>
        <w:tc>
          <w:tcPr>
            <w:tcW w:w="1004" w:type="dxa"/>
            <w:tcBorders>
              <w:top w:val="nil"/>
              <w:left w:val="nil"/>
              <w:bottom w:val="single" w:sz="4" w:space="0" w:color="auto"/>
              <w:right w:val="nil"/>
            </w:tcBorders>
            <w:shd w:val="clear" w:color="auto" w:fill="auto"/>
            <w:noWrap/>
            <w:vAlign w:val="center"/>
            <w:hideMark/>
          </w:tcPr>
          <w:p w14:paraId="11945B7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2,017</w:t>
            </w:r>
          </w:p>
        </w:tc>
        <w:tc>
          <w:tcPr>
            <w:tcW w:w="2162" w:type="dxa"/>
            <w:tcBorders>
              <w:top w:val="nil"/>
              <w:left w:val="nil"/>
              <w:bottom w:val="single" w:sz="4" w:space="0" w:color="auto"/>
              <w:right w:val="nil"/>
            </w:tcBorders>
            <w:shd w:val="clear" w:color="auto" w:fill="auto"/>
            <w:noWrap/>
            <w:vAlign w:val="center"/>
            <w:hideMark/>
          </w:tcPr>
          <w:p w14:paraId="0385FEA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1,691</w:t>
            </w:r>
          </w:p>
        </w:tc>
        <w:tc>
          <w:tcPr>
            <w:tcW w:w="1262" w:type="dxa"/>
            <w:tcBorders>
              <w:top w:val="nil"/>
              <w:left w:val="nil"/>
              <w:bottom w:val="single" w:sz="4" w:space="0" w:color="auto"/>
              <w:right w:val="nil"/>
            </w:tcBorders>
            <w:shd w:val="clear" w:color="auto" w:fill="auto"/>
            <w:noWrap/>
            <w:vAlign w:val="center"/>
            <w:hideMark/>
          </w:tcPr>
          <w:p w14:paraId="46875AB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297</w:t>
            </w:r>
          </w:p>
        </w:tc>
        <w:tc>
          <w:tcPr>
            <w:tcW w:w="1189" w:type="dxa"/>
            <w:tcBorders>
              <w:top w:val="nil"/>
              <w:left w:val="nil"/>
              <w:bottom w:val="single" w:sz="4" w:space="0" w:color="auto"/>
              <w:right w:val="nil"/>
            </w:tcBorders>
            <w:shd w:val="clear" w:color="auto" w:fill="auto"/>
            <w:noWrap/>
            <w:vAlign w:val="center"/>
            <w:hideMark/>
          </w:tcPr>
          <w:p w14:paraId="51B0A0C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29</w:t>
            </w:r>
          </w:p>
        </w:tc>
      </w:tr>
      <w:tr w:rsidR="005C5CED" w:rsidRPr="005C5CED" w14:paraId="2FD826AC" w14:textId="77777777" w:rsidTr="00D12B52">
        <w:trPr>
          <w:trHeight w:val="366"/>
        </w:trPr>
        <w:tc>
          <w:tcPr>
            <w:tcW w:w="2327" w:type="dxa"/>
            <w:tcBorders>
              <w:top w:val="single" w:sz="4" w:space="0" w:color="auto"/>
              <w:left w:val="nil"/>
              <w:bottom w:val="single" w:sz="4" w:space="0" w:color="auto"/>
              <w:right w:val="nil"/>
            </w:tcBorders>
            <w:shd w:val="clear" w:color="auto" w:fill="auto"/>
            <w:noWrap/>
            <w:vAlign w:val="bottom"/>
            <w:hideMark/>
          </w:tcPr>
          <w:p w14:paraId="1CD2E978"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roofErr w:type="gramStart"/>
            <w:r w:rsidRPr="005C5CED">
              <w:rPr>
                <w:rFonts w:eastAsia="Times New Roman" w:cs="Arial"/>
                <w:b/>
                <w:bCs/>
                <w:color w:val="auto"/>
                <w:sz w:val="16"/>
                <w:szCs w:val="16"/>
                <w:lang w:eastAsia="en-AU"/>
              </w:rPr>
              <w:t xml:space="preserve">Total  </w:t>
            </w:r>
            <w:r w:rsidRPr="005C5CED">
              <w:rPr>
                <w:rFonts w:eastAsia="Times New Roman" w:cs="Arial"/>
                <w:color w:val="auto"/>
                <w:sz w:val="16"/>
                <w:szCs w:val="16"/>
                <w:lang w:eastAsia="en-AU"/>
              </w:rPr>
              <w:t>(</w:t>
            </w:r>
            <w:proofErr w:type="gramEnd"/>
            <w:r w:rsidRPr="005C5CED">
              <w:rPr>
                <w:rFonts w:eastAsia="Times New Roman" w:cs="Arial"/>
                <w:color w:val="auto"/>
                <w:sz w:val="16"/>
                <w:szCs w:val="16"/>
                <w:lang w:eastAsia="en-AU"/>
              </w:rPr>
              <w:t>b)</w:t>
            </w:r>
          </w:p>
        </w:tc>
        <w:tc>
          <w:tcPr>
            <w:tcW w:w="1411" w:type="dxa"/>
            <w:tcBorders>
              <w:top w:val="nil"/>
              <w:left w:val="nil"/>
              <w:bottom w:val="single" w:sz="4" w:space="0" w:color="auto"/>
              <w:right w:val="nil"/>
            </w:tcBorders>
            <w:shd w:val="clear" w:color="auto" w:fill="auto"/>
            <w:noWrap/>
            <w:vAlign w:val="center"/>
            <w:hideMark/>
          </w:tcPr>
          <w:p w14:paraId="62536D0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4,550</w:t>
            </w:r>
          </w:p>
        </w:tc>
        <w:tc>
          <w:tcPr>
            <w:tcW w:w="1004" w:type="dxa"/>
            <w:tcBorders>
              <w:top w:val="nil"/>
              <w:left w:val="nil"/>
              <w:bottom w:val="single" w:sz="4" w:space="0" w:color="auto"/>
              <w:right w:val="nil"/>
            </w:tcBorders>
            <w:shd w:val="clear" w:color="auto" w:fill="auto"/>
            <w:noWrap/>
            <w:vAlign w:val="center"/>
            <w:hideMark/>
          </w:tcPr>
          <w:p w14:paraId="358A4AC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4,550</w:t>
            </w:r>
          </w:p>
        </w:tc>
        <w:tc>
          <w:tcPr>
            <w:tcW w:w="2162" w:type="dxa"/>
            <w:tcBorders>
              <w:top w:val="nil"/>
              <w:left w:val="nil"/>
              <w:bottom w:val="single" w:sz="4" w:space="0" w:color="auto"/>
              <w:right w:val="nil"/>
            </w:tcBorders>
            <w:shd w:val="clear" w:color="auto" w:fill="auto"/>
            <w:noWrap/>
            <w:vAlign w:val="center"/>
            <w:hideMark/>
          </w:tcPr>
          <w:p w14:paraId="1563BF1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4,224</w:t>
            </w:r>
          </w:p>
        </w:tc>
        <w:tc>
          <w:tcPr>
            <w:tcW w:w="1262" w:type="dxa"/>
            <w:tcBorders>
              <w:top w:val="nil"/>
              <w:left w:val="nil"/>
              <w:bottom w:val="single" w:sz="4" w:space="0" w:color="auto"/>
              <w:right w:val="nil"/>
            </w:tcBorders>
            <w:shd w:val="clear" w:color="auto" w:fill="auto"/>
            <w:noWrap/>
            <w:vAlign w:val="center"/>
            <w:hideMark/>
          </w:tcPr>
          <w:p w14:paraId="2EA58B9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297</w:t>
            </w:r>
          </w:p>
        </w:tc>
        <w:tc>
          <w:tcPr>
            <w:tcW w:w="1189" w:type="dxa"/>
            <w:tcBorders>
              <w:top w:val="nil"/>
              <w:left w:val="nil"/>
              <w:bottom w:val="single" w:sz="4" w:space="0" w:color="auto"/>
              <w:right w:val="nil"/>
            </w:tcBorders>
            <w:shd w:val="clear" w:color="auto" w:fill="auto"/>
            <w:noWrap/>
            <w:vAlign w:val="center"/>
            <w:hideMark/>
          </w:tcPr>
          <w:p w14:paraId="1FE85A2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29</w:t>
            </w:r>
          </w:p>
        </w:tc>
      </w:tr>
    </w:tbl>
    <w:p w14:paraId="1250626A" w14:textId="77777777" w:rsidR="005C5CED" w:rsidRPr="005C5CED" w:rsidRDefault="005C5CED" w:rsidP="005C5CED">
      <w:pPr>
        <w:spacing w:after="60" w:line="259" w:lineRule="auto"/>
        <w:rPr>
          <w:rFonts w:eastAsia="Calibri" w:cs="Arial"/>
          <w:b/>
          <w:bCs/>
          <w:color w:val="auto"/>
          <w:sz w:val="18"/>
          <w:szCs w:val="18"/>
        </w:rPr>
      </w:pPr>
    </w:p>
    <w:p w14:paraId="30DC2C63"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Notes:</w:t>
      </w:r>
    </w:p>
    <w:p w14:paraId="099FAE6E"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(a) Maturity analysis is presented using the contractual undiscounted cash flows.</w:t>
      </w:r>
    </w:p>
    <w:p w14:paraId="4DF36AFB" w14:textId="77777777" w:rsidR="005C5CED" w:rsidRPr="005C5CED" w:rsidRDefault="005C5CED" w:rsidP="005C5CED">
      <w:pPr>
        <w:spacing w:line="259" w:lineRule="auto"/>
        <w:rPr>
          <w:rFonts w:eastAsia="Times New Roman" w:cs="Arial"/>
          <w:color w:val="auto"/>
          <w:sz w:val="16"/>
          <w:szCs w:val="20"/>
          <w:lang w:eastAsia="en-AU"/>
        </w:rPr>
      </w:pPr>
      <w:r w:rsidRPr="005C5CED">
        <w:rPr>
          <w:rFonts w:eastAsia="Times New Roman" w:cs="Arial"/>
          <w:color w:val="auto"/>
          <w:sz w:val="16"/>
          <w:szCs w:val="20"/>
          <w:lang w:eastAsia="en-AU"/>
        </w:rPr>
        <w:t xml:space="preserve">(b) The carrying amounts disclosed exclude statutory amounts (e.g., GST payables) and contract liabilities. </w:t>
      </w:r>
    </w:p>
    <w:p w14:paraId="0E5C01CB" w14:textId="77777777" w:rsidR="005C5CED" w:rsidRPr="005C5CED" w:rsidRDefault="005C5CED" w:rsidP="005C5CED">
      <w:pPr>
        <w:keepNext/>
        <w:keepLines/>
        <w:spacing w:before="240" w:after="60" w:line="240" w:lineRule="auto"/>
        <w:outlineLvl w:val="3"/>
        <w:rPr>
          <w:rFonts w:eastAsia="Yu Gothic Light" w:cs="Times New Roman"/>
          <w:color w:val="000000"/>
          <w:sz w:val="16"/>
          <w:szCs w:val="16"/>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lastRenderedPageBreak/>
        <w:t>Note 5.3 Other non-financial assets</w:t>
      </w:r>
    </w:p>
    <w:tbl>
      <w:tblPr>
        <w:tblW w:w="8388" w:type="dxa"/>
        <w:tblLook w:val="04A0" w:firstRow="1" w:lastRow="0" w:firstColumn="1" w:lastColumn="0" w:noHBand="0" w:noVBand="1"/>
      </w:tblPr>
      <w:tblGrid>
        <w:gridCol w:w="3376"/>
        <w:gridCol w:w="1596"/>
        <w:gridCol w:w="1068"/>
        <w:gridCol w:w="2348"/>
      </w:tblGrid>
      <w:tr w:rsidR="005C5CED" w:rsidRPr="005C5CED" w14:paraId="6EBF4F65" w14:textId="77777777" w:rsidTr="0062462F">
        <w:trPr>
          <w:trHeight w:val="225"/>
        </w:trPr>
        <w:tc>
          <w:tcPr>
            <w:tcW w:w="3376" w:type="dxa"/>
            <w:tcBorders>
              <w:top w:val="single" w:sz="4" w:space="0" w:color="auto"/>
              <w:left w:val="nil"/>
              <w:bottom w:val="nil"/>
              <w:right w:val="nil"/>
            </w:tcBorders>
            <w:shd w:val="clear" w:color="000000" w:fill="000000"/>
            <w:noWrap/>
            <w:vAlign w:val="bottom"/>
            <w:hideMark/>
          </w:tcPr>
          <w:p w14:paraId="7ABD7DB8"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96" w:type="dxa"/>
            <w:tcBorders>
              <w:top w:val="single" w:sz="4" w:space="0" w:color="auto"/>
              <w:left w:val="nil"/>
              <w:bottom w:val="nil"/>
              <w:right w:val="nil"/>
            </w:tcBorders>
            <w:shd w:val="clear" w:color="000000" w:fill="000000"/>
            <w:noWrap/>
            <w:vAlign w:val="bottom"/>
            <w:hideMark/>
          </w:tcPr>
          <w:p w14:paraId="528CE5CB" w14:textId="77777777" w:rsidR="005C5CED" w:rsidRPr="005C5CED" w:rsidRDefault="005C5CED" w:rsidP="005C5CED">
            <w:pPr>
              <w:spacing w:after="0" w:line="240" w:lineRule="auto"/>
              <w:jc w:val="center"/>
              <w:rPr>
                <w:rFonts w:eastAsia="Times New Roman" w:cs="Arial"/>
                <w:b/>
                <w:bCs/>
                <w:color w:val="FFFFFF"/>
                <w:sz w:val="16"/>
                <w:szCs w:val="16"/>
                <w:lang w:eastAsia="en-AU"/>
              </w:rPr>
            </w:pPr>
          </w:p>
        </w:tc>
        <w:tc>
          <w:tcPr>
            <w:tcW w:w="1068" w:type="dxa"/>
            <w:tcBorders>
              <w:top w:val="single" w:sz="4" w:space="0" w:color="auto"/>
              <w:left w:val="nil"/>
              <w:bottom w:val="nil"/>
              <w:right w:val="nil"/>
            </w:tcBorders>
            <w:shd w:val="clear" w:color="000000" w:fill="000000"/>
            <w:noWrap/>
            <w:vAlign w:val="bottom"/>
            <w:hideMark/>
          </w:tcPr>
          <w:p w14:paraId="0258709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2348" w:type="dxa"/>
            <w:tcBorders>
              <w:top w:val="single" w:sz="4" w:space="0" w:color="auto"/>
              <w:left w:val="nil"/>
              <w:bottom w:val="nil"/>
              <w:right w:val="nil"/>
            </w:tcBorders>
            <w:shd w:val="clear" w:color="000000" w:fill="000000"/>
            <w:noWrap/>
            <w:vAlign w:val="bottom"/>
            <w:hideMark/>
          </w:tcPr>
          <w:p w14:paraId="15E43483"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2A12BE59" w14:textId="77777777" w:rsidTr="0062462F">
        <w:trPr>
          <w:trHeight w:val="225"/>
        </w:trPr>
        <w:tc>
          <w:tcPr>
            <w:tcW w:w="3376" w:type="dxa"/>
            <w:tcBorders>
              <w:top w:val="nil"/>
              <w:left w:val="nil"/>
              <w:bottom w:val="single" w:sz="4" w:space="0" w:color="auto"/>
              <w:right w:val="nil"/>
            </w:tcBorders>
            <w:shd w:val="clear" w:color="000000" w:fill="000000"/>
            <w:noWrap/>
            <w:vAlign w:val="bottom"/>
            <w:hideMark/>
          </w:tcPr>
          <w:p w14:paraId="3C55C350"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96" w:type="dxa"/>
            <w:tcBorders>
              <w:top w:val="nil"/>
              <w:left w:val="nil"/>
              <w:bottom w:val="single" w:sz="4" w:space="0" w:color="auto"/>
              <w:right w:val="nil"/>
            </w:tcBorders>
            <w:shd w:val="clear" w:color="000000" w:fill="000000"/>
            <w:noWrap/>
            <w:vAlign w:val="bottom"/>
            <w:hideMark/>
          </w:tcPr>
          <w:p w14:paraId="4132A403"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068" w:type="dxa"/>
            <w:tcBorders>
              <w:top w:val="nil"/>
              <w:left w:val="nil"/>
              <w:bottom w:val="single" w:sz="4" w:space="0" w:color="auto"/>
              <w:right w:val="nil"/>
            </w:tcBorders>
            <w:shd w:val="clear" w:color="000000" w:fill="000000"/>
            <w:noWrap/>
            <w:vAlign w:val="bottom"/>
            <w:hideMark/>
          </w:tcPr>
          <w:p w14:paraId="4ECAD9A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2348" w:type="dxa"/>
            <w:tcBorders>
              <w:top w:val="nil"/>
              <w:left w:val="nil"/>
              <w:bottom w:val="single" w:sz="4" w:space="0" w:color="auto"/>
              <w:right w:val="nil"/>
            </w:tcBorders>
            <w:shd w:val="clear" w:color="000000" w:fill="000000"/>
            <w:noWrap/>
            <w:vAlign w:val="bottom"/>
            <w:hideMark/>
          </w:tcPr>
          <w:p w14:paraId="570D08A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10106D43" w14:textId="77777777" w:rsidTr="0062462F">
        <w:trPr>
          <w:trHeight w:val="342"/>
        </w:trPr>
        <w:tc>
          <w:tcPr>
            <w:tcW w:w="3376" w:type="dxa"/>
            <w:tcBorders>
              <w:top w:val="nil"/>
              <w:left w:val="nil"/>
              <w:bottom w:val="nil"/>
              <w:right w:val="nil"/>
            </w:tcBorders>
            <w:shd w:val="clear" w:color="auto" w:fill="auto"/>
            <w:noWrap/>
            <w:vAlign w:val="center"/>
            <w:hideMark/>
          </w:tcPr>
          <w:p w14:paraId="2C1D2C9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Current other assets</w:t>
            </w:r>
          </w:p>
        </w:tc>
        <w:tc>
          <w:tcPr>
            <w:tcW w:w="1596" w:type="dxa"/>
            <w:tcBorders>
              <w:top w:val="nil"/>
              <w:left w:val="nil"/>
              <w:bottom w:val="nil"/>
              <w:right w:val="nil"/>
            </w:tcBorders>
            <w:shd w:val="clear" w:color="auto" w:fill="auto"/>
            <w:noWrap/>
            <w:vAlign w:val="center"/>
            <w:hideMark/>
          </w:tcPr>
          <w:p w14:paraId="76441835"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068" w:type="dxa"/>
            <w:tcBorders>
              <w:top w:val="nil"/>
              <w:left w:val="nil"/>
              <w:bottom w:val="nil"/>
              <w:right w:val="nil"/>
            </w:tcBorders>
            <w:shd w:val="clear" w:color="auto" w:fill="auto"/>
            <w:noWrap/>
            <w:vAlign w:val="center"/>
            <w:hideMark/>
          </w:tcPr>
          <w:p w14:paraId="2D619F6B" w14:textId="77777777" w:rsidR="005C5CED" w:rsidRPr="005C5CED" w:rsidRDefault="005C5CED" w:rsidP="005C5CED">
            <w:pPr>
              <w:spacing w:after="0" w:line="240" w:lineRule="auto"/>
              <w:jc w:val="center"/>
              <w:rPr>
                <w:rFonts w:eastAsia="Times New Roman" w:cs="Arial"/>
                <w:color w:val="auto"/>
                <w:szCs w:val="20"/>
                <w:lang w:eastAsia="en-AU"/>
              </w:rPr>
            </w:pPr>
          </w:p>
        </w:tc>
        <w:tc>
          <w:tcPr>
            <w:tcW w:w="2348" w:type="dxa"/>
            <w:tcBorders>
              <w:top w:val="nil"/>
              <w:left w:val="nil"/>
              <w:bottom w:val="nil"/>
              <w:right w:val="nil"/>
            </w:tcBorders>
            <w:shd w:val="clear" w:color="000000" w:fill="E7E6E6"/>
            <w:noWrap/>
            <w:vAlign w:val="center"/>
            <w:hideMark/>
          </w:tcPr>
          <w:p w14:paraId="152D909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5E9E6B76" w14:textId="77777777" w:rsidTr="0062462F">
        <w:trPr>
          <w:trHeight w:val="342"/>
        </w:trPr>
        <w:tc>
          <w:tcPr>
            <w:tcW w:w="3376" w:type="dxa"/>
            <w:tcBorders>
              <w:top w:val="nil"/>
              <w:left w:val="nil"/>
              <w:bottom w:val="nil"/>
              <w:right w:val="nil"/>
            </w:tcBorders>
            <w:shd w:val="clear" w:color="auto" w:fill="auto"/>
            <w:noWrap/>
            <w:vAlign w:val="center"/>
            <w:hideMark/>
          </w:tcPr>
          <w:p w14:paraId="613C619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Prepayments</w:t>
            </w:r>
          </w:p>
        </w:tc>
        <w:tc>
          <w:tcPr>
            <w:tcW w:w="1596" w:type="dxa"/>
            <w:tcBorders>
              <w:top w:val="nil"/>
              <w:left w:val="nil"/>
              <w:bottom w:val="nil"/>
              <w:right w:val="nil"/>
            </w:tcBorders>
            <w:shd w:val="clear" w:color="auto" w:fill="auto"/>
            <w:noWrap/>
            <w:vAlign w:val="center"/>
            <w:hideMark/>
          </w:tcPr>
          <w:p w14:paraId="64794EF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1CD7943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1,104</w:t>
            </w:r>
          </w:p>
        </w:tc>
        <w:tc>
          <w:tcPr>
            <w:tcW w:w="2348" w:type="dxa"/>
            <w:tcBorders>
              <w:top w:val="nil"/>
              <w:left w:val="nil"/>
              <w:bottom w:val="nil"/>
              <w:right w:val="nil"/>
            </w:tcBorders>
            <w:shd w:val="clear" w:color="000000" w:fill="E7E6E6"/>
            <w:noWrap/>
            <w:vAlign w:val="center"/>
            <w:hideMark/>
          </w:tcPr>
          <w:p w14:paraId="155E52E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1,077</w:t>
            </w:r>
          </w:p>
        </w:tc>
      </w:tr>
      <w:tr w:rsidR="005C5CED" w:rsidRPr="005C5CED" w14:paraId="76C53F13" w14:textId="77777777" w:rsidTr="0062462F">
        <w:trPr>
          <w:trHeight w:val="342"/>
        </w:trPr>
        <w:tc>
          <w:tcPr>
            <w:tcW w:w="3376" w:type="dxa"/>
            <w:tcBorders>
              <w:top w:val="single" w:sz="4" w:space="0" w:color="auto"/>
              <w:left w:val="nil"/>
              <w:bottom w:val="single" w:sz="4" w:space="0" w:color="auto"/>
              <w:right w:val="nil"/>
            </w:tcBorders>
            <w:shd w:val="clear" w:color="auto" w:fill="auto"/>
            <w:noWrap/>
            <w:vAlign w:val="center"/>
            <w:hideMark/>
          </w:tcPr>
          <w:p w14:paraId="7E8D730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current other assets</w:t>
            </w:r>
          </w:p>
        </w:tc>
        <w:tc>
          <w:tcPr>
            <w:tcW w:w="1596" w:type="dxa"/>
            <w:tcBorders>
              <w:top w:val="single" w:sz="4" w:space="0" w:color="auto"/>
              <w:left w:val="nil"/>
              <w:bottom w:val="single" w:sz="4" w:space="0" w:color="auto"/>
              <w:right w:val="nil"/>
            </w:tcBorders>
            <w:shd w:val="clear" w:color="auto" w:fill="auto"/>
            <w:noWrap/>
            <w:vAlign w:val="center"/>
            <w:hideMark/>
          </w:tcPr>
          <w:p w14:paraId="138268E7"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068" w:type="dxa"/>
            <w:tcBorders>
              <w:top w:val="single" w:sz="4" w:space="0" w:color="auto"/>
              <w:left w:val="nil"/>
              <w:bottom w:val="single" w:sz="4" w:space="0" w:color="auto"/>
              <w:right w:val="nil"/>
            </w:tcBorders>
            <w:shd w:val="clear" w:color="auto" w:fill="auto"/>
            <w:noWrap/>
            <w:vAlign w:val="center"/>
          </w:tcPr>
          <w:p w14:paraId="0CFF108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1,104</w:t>
            </w:r>
          </w:p>
        </w:tc>
        <w:tc>
          <w:tcPr>
            <w:tcW w:w="2348" w:type="dxa"/>
            <w:tcBorders>
              <w:top w:val="single" w:sz="4" w:space="0" w:color="auto"/>
              <w:left w:val="nil"/>
              <w:bottom w:val="single" w:sz="4" w:space="0" w:color="auto"/>
              <w:right w:val="nil"/>
            </w:tcBorders>
            <w:shd w:val="clear" w:color="000000" w:fill="E7E6E6"/>
            <w:noWrap/>
            <w:vAlign w:val="center"/>
            <w:hideMark/>
          </w:tcPr>
          <w:p w14:paraId="302AD8A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1,077</w:t>
            </w:r>
          </w:p>
        </w:tc>
      </w:tr>
    </w:tbl>
    <w:p w14:paraId="0811AAA6" w14:textId="77777777" w:rsidR="005C5CED" w:rsidRPr="005C5CED" w:rsidRDefault="005C5CED" w:rsidP="005C5CED">
      <w:pPr>
        <w:spacing w:after="60" w:line="259" w:lineRule="auto"/>
        <w:rPr>
          <w:rFonts w:eastAsia="Calibri" w:cs="Arial"/>
          <w:color w:val="auto"/>
          <w:sz w:val="16"/>
          <w:szCs w:val="16"/>
        </w:rPr>
      </w:pPr>
    </w:p>
    <w:p w14:paraId="28CC67C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Calibri" w:cs="Arial"/>
          <w:color w:val="auto"/>
          <w:sz w:val="16"/>
          <w:szCs w:val="16"/>
        </w:rPr>
        <w:t>Other non-financial assets include prepayments, which represent payments in advance of receipt of goods or services, or the payments made for services covering a term extending beyond that financial accounting period.</w:t>
      </w:r>
    </w:p>
    <w:p w14:paraId="44B58C4A" w14:textId="77777777" w:rsidR="005C5CED" w:rsidRPr="005C5CED" w:rsidRDefault="005C5CED" w:rsidP="005C5CED">
      <w:pPr>
        <w:keepNext/>
        <w:keepLines/>
        <w:spacing w:before="300" w:after="60" w:line="240" w:lineRule="auto"/>
        <w:outlineLvl w:val="2"/>
        <w:rPr>
          <w:rFonts w:eastAsia="Yu Gothic Light" w:cs="Times New Roman"/>
          <w:b/>
          <w:bCs/>
          <w:color w:val="auto"/>
          <w:sz w:val="28"/>
          <w:szCs w:val="28"/>
        </w:rPr>
      </w:pPr>
      <w:r w:rsidRPr="005C5CED">
        <w:rPr>
          <w:rFonts w:eastAsia="Yu Gothic Light" w:cs="Times New Roman"/>
          <w:b/>
          <w:bCs/>
          <w:color w:val="auto"/>
          <w:sz w:val="28"/>
          <w:szCs w:val="28"/>
        </w:rPr>
        <w:t>Note 6: Financing our operations</w:t>
      </w:r>
    </w:p>
    <w:p w14:paraId="03D3D4AB"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Introduction</w:t>
      </w:r>
    </w:p>
    <w:p w14:paraId="7092592B" w14:textId="77777777" w:rsidR="005C5CED" w:rsidRPr="005C5CED" w:rsidRDefault="005C5CED" w:rsidP="005C5CED">
      <w:pPr>
        <w:spacing w:line="259" w:lineRule="auto"/>
        <w:rPr>
          <w:rFonts w:eastAsia="Calibri" w:cs="Arial"/>
          <w:color w:val="auto"/>
        </w:rPr>
      </w:pPr>
      <w:r w:rsidRPr="005C5CED">
        <w:rPr>
          <w:rFonts w:eastAsia="Calibri" w:cs="Arial"/>
          <w:color w:val="auto"/>
        </w:rPr>
        <w:t>This section sets out those assets and liabilities that arose from Sustainability Victoria’s controlled operations.</w:t>
      </w:r>
    </w:p>
    <w:p w14:paraId="3973B78A"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Structure</w:t>
      </w:r>
    </w:p>
    <w:p w14:paraId="2754F8C9" w14:textId="77777777" w:rsidR="005C5CED" w:rsidRPr="005C5CED" w:rsidRDefault="005C5CED" w:rsidP="005C5CED">
      <w:pPr>
        <w:spacing w:line="259" w:lineRule="auto"/>
        <w:rPr>
          <w:rFonts w:eastAsia="Calibri" w:cs="Arial"/>
          <w:color w:val="auto"/>
        </w:rPr>
      </w:pPr>
      <w:r w:rsidRPr="005C5CED">
        <w:rPr>
          <w:rFonts w:eastAsia="Calibri" w:cs="Arial"/>
          <w:color w:val="auto"/>
        </w:rPr>
        <w:t>6.1 Borrowings</w:t>
      </w:r>
    </w:p>
    <w:p w14:paraId="01D8EDB9" w14:textId="77777777" w:rsidR="005C5CED" w:rsidRPr="005C5CED" w:rsidRDefault="005C5CED" w:rsidP="005C5CED">
      <w:pPr>
        <w:spacing w:line="259" w:lineRule="auto"/>
        <w:rPr>
          <w:rFonts w:eastAsia="Calibri" w:cs="Arial"/>
          <w:color w:val="auto"/>
        </w:rPr>
      </w:pPr>
      <w:r w:rsidRPr="005C5CED">
        <w:rPr>
          <w:rFonts w:eastAsia="Calibri" w:cs="Arial"/>
          <w:color w:val="auto"/>
        </w:rPr>
        <w:t>6.2 Leases</w:t>
      </w:r>
    </w:p>
    <w:p w14:paraId="7A24763F" w14:textId="77777777" w:rsidR="005C5CED" w:rsidRPr="005C5CED" w:rsidRDefault="005C5CED" w:rsidP="005C5CED">
      <w:pPr>
        <w:spacing w:line="259" w:lineRule="auto"/>
        <w:rPr>
          <w:rFonts w:eastAsia="Calibri" w:cs="Arial"/>
          <w:color w:val="auto"/>
        </w:rPr>
      </w:pPr>
      <w:r w:rsidRPr="005C5CED">
        <w:rPr>
          <w:rFonts w:eastAsia="Calibri" w:cs="Arial"/>
          <w:color w:val="auto"/>
        </w:rPr>
        <w:t>6.3 Cash flow information and balances</w:t>
      </w:r>
    </w:p>
    <w:p w14:paraId="63D936E3" w14:textId="77777777" w:rsidR="005C5CED" w:rsidRPr="005C5CED" w:rsidRDefault="005C5CED" w:rsidP="005C5CED">
      <w:pPr>
        <w:spacing w:line="259" w:lineRule="auto"/>
        <w:rPr>
          <w:rFonts w:eastAsia="Calibri" w:cs="Arial"/>
          <w:color w:val="auto"/>
        </w:rPr>
      </w:pPr>
      <w:r w:rsidRPr="005C5CED">
        <w:rPr>
          <w:rFonts w:eastAsia="Calibri" w:cs="Arial"/>
          <w:color w:val="auto"/>
        </w:rPr>
        <w:t>6.4 Commitments for expenditure</w:t>
      </w:r>
    </w:p>
    <w:p w14:paraId="1F1B97E1"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6.1 Borrowings</w:t>
      </w:r>
    </w:p>
    <w:tbl>
      <w:tblPr>
        <w:tblW w:w="6032" w:type="dxa"/>
        <w:tblLook w:val="04A0" w:firstRow="1" w:lastRow="0" w:firstColumn="1" w:lastColumn="0" w:noHBand="0" w:noVBand="1"/>
      </w:tblPr>
      <w:tblGrid>
        <w:gridCol w:w="3376"/>
        <w:gridCol w:w="1588"/>
        <w:gridCol w:w="1068"/>
      </w:tblGrid>
      <w:tr w:rsidR="005C5CED" w:rsidRPr="005C5CED" w14:paraId="1CBDCFA2" w14:textId="77777777" w:rsidTr="0062462F">
        <w:trPr>
          <w:trHeight w:val="225"/>
        </w:trPr>
        <w:tc>
          <w:tcPr>
            <w:tcW w:w="3376" w:type="dxa"/>
            <w:tcBorders>
              <w:top w:val="single" w:sz="4" w:space="0" w:color="auto"/>
              <w:left w:val="nil"/>
              <w:bottom w:val="nil"/>
              <w:right w:val="nil"/>
            </w:tcBorders>
            <w:shd w:val="clear" w:color="000000" w:fill="000000"/>
            <w:noWrap/>
            <w:vAlign w:val="bottom"/>
            <w:hideMark/>
          </w:tcPr>
          <w:p w14:paraId="009E5E6C"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588" w:type="dxa"/>
            <w:tcBorders>
              <w:top w:val="single" w:sz="4" w:space="0" w:color="auto"/>
              <w:left w:val="nil"/>
              <w:bottom w:val="nil"/>
              <w:right w:val="nil"/>
            </w:tcBorders>
            <w:shd w:val="clear" w:color="000000" w:fill="000000"/>
            <w:noWrap/>
            <w:vAlign w:val="bottom"/>
            <w:hideMark/>
          </w:tcPr>
          <w:p w14:paraId="5698F3E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068" w:type="dxa"/>
            <w:tcBorders>
              <w:top w:val="single" w:sz="4" w:space="0" w:color="auto"/>
              <w:left w:val="nil"/>
              <w:bottom w:val="nil"/>
              <w:right w:val="nil"/>
            </w:tcBorders>
            <w:shd w:val="clear" w:color="000000" w:fill="000000"/>
            <w:noWrap/>
            <w:vAlign w:val="bottom"/>
            <w:hideMark/>
          </w:tcPr>
          <w:p w14:paraId="44D0E3B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53FECE89" w14:textId="77777777" w:rsidTr="0062462F">
        <w:trPr>
          <w:trHeight w:val="225"/>
        </w:trPr>
        <w:tc>
          <w:tcPr>
            <w:tcW w:w="3376" w:type="dxa"/>
            <w:tcBorders>
              <w:top w:val="nil"/>
              <w:left w:val="nil"/>
              <w:bottom w:val="single" w:sz="4" w:space="0" w:color="auto"/>
              <w:right w:val="nil"/>
            </w:tcBorders>
            <w:shd w:val="clear" w:color="000000" w:fill="000000"/>
            <w:noWrap/>
            <w:vAlign w:val="bottom"/>
            <w:hideMark/>
          </w:tcPr>
          <w:p w14:paraId="38D34B00"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588" w:type="dxa"/>
            <w:tcBorders>
              <w:top w:val="nil"/>
              <w:left w:val="nil"/>
              <w:bottom w:val="single" w:sz="4" w:space="0" w:color="auto"/>
              <w:right w:val="nil"/>
            </w:tcBorders>
            <w:shd w:val="clear" w:color="000000" w:fill="000000"/>
            <w:noWrap/>
            <w:vAlign w:val="bottom"/>
            <w:hideMark/>
          </w:tcPr>
          <w:p w14:paraId="1CF10DFA"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68" w:type="dxa"/>
            <w:tcBorders>
              <w:top w:val="nil"/>
              <w:left w:val="nil"/>
              <w:bottom w:val="single" w:sz="4" w:space="0" w:color="auto"/>
              <w:right w:val="nil"/>
            </w:tcBorders>
            <w:shd w:val="clear" w:color="000000" w:fill="000000"/>
            <w:noWrap/>
            <w:vAlign w:val="bottom"/>
            <w:hideMark/>
          </w:tcPr>
          <w:p w14:paraId="66B1F48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68850E96" w14:textId="77777777" w:rsidTr="0062462F">
        <w:trPr>
          <w:trHeight w:val="342"/>
        </w:trPr>
        <w:tc>
          <w:tcPr>
            <w:tcW w:w="3376" w:type="dxa"/>
            <w:tcBorders>
              <w:top w:val="nil"/>
              <w:left w:val="nil"/>
              <w:bottom w:val="nil"/>
              <w:right w:val="nil"/>
            </w:tcBorders>
            <w:shd w:val="clear" w:color="auto" w:fill="auto"/>
            <w:noWrap/>
            <w:vAlign w:val="center"/>
            <w:hideMark/>
          </w:tcPr>
          <w:p w14:paraId="7146426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Current borrowings</w:t>
            </w:r>
          </w:p>
        </w:tc>
        <w:tc>
          <w:tcPr>
            <w:tcW w:w="1588" w:type="dxa"/>
            <w:tcBorders>
              <w:top w:val="nil"/>
              <w:left w:val="nil"/>
              <w:bottom w:val="nil"/>
              <w:right w:val="nil"/>
            </w:tcBorders>
            <w:shd w:val="clear" w:color="auto" w:fill="auto"/>
            <w:noWrap/>
            <w:vAlign w:val="center"/>
            <w:hideMark/>
          </w:tcPr>
          <w:p w14:paraId="2F6E1AB9"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068" w:type="dxa"/>
            <w:tcBorders>
              <w:top w:val="nil"/>
              <w:left w:val="nil"/>
              <w:bottom w:val="nil"/>
              <w:right w:val="nil"/>
            </w:tcBorders>
            <w:shd w:val="clear" w:color="000000" w:fill="E7E6E6"/>
            <w:noWrap/>
            <w:vAlign w:val="center"/>
            <w:hideMark/>
          </w:tcPr>
          <w:p w14:paraId="2E03F2C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6379AC04" w14:textId="77777777" w:rsidTr="0062462F">
        <w:trPr>
          <w:trHeight w:val="342"/>
        </w:trPr>
        <w:tc>
          <w:tcPr>
            <w:tcW w:w="3376" w:type="dxa"/>
            <w:tcBorders>
              <w:top w:val="nil"/>
              <w:left w:val="nil"/>
              <w:bottom w:val="nil"/>
              <w:right w:val="nil"/>
            </w:tcBorders>
            <w:shd w:val="clear" w:color="auto" w:fill="auto"/>
            <w:noWrap/>
            <w:vAlign w:val="center"/>
            <w:hideMark/>
          </w:tcPr>
          <w:p w14:paraId="538D71F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 liabilities: buildings</w:t>
            </w:r>
          </w:p>
        </w:tc>
        <w:tc>
          <w:tcPr>
            <w:tcW w:w="1588" w:type="dxa"/>
            <w:tcBorders>
              <w:top w:val="nil"/>
              <w:left w:val="nil"/>
              <w:bottom w:val="nil"/>
              <w:right w:val="nil"/>
            </w:tcBorders>
            <w:shd w:val="clear" w:color="auto" w:fill="auto"/>
            <w:noWrap/>
            <w:vAlign w:val="center"/>
          </w:tcPr>
          <w:p w14:paraId="745A435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1,538</w:t>
            </w:r>
          </w:p>
        </w:tc>
        <w:tc>
          <w:tcPr>
            <w:tcW w:w="1068" w:type="dxa"/>
            <w:tcBorders>
              <w:top w:val="nil"/>
              <w:left w:val="nil"/>
              <w:bottom w:val="nil"/>
              <w:right w:val="nil"/>
            </w:tcBorders>
            <w:shd w:val="clear" w:color="000000" w:fill="E7E6E6"/>
            <w:noWrap/>
            <w:vAlign w:val="center"/>
            <w:hideMark/>
          </w:tcPr>
          <w:p w14:paraId="45D6FB7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1,456</w:t>
            </w:r>
          </w:p>
        </w:tc>
      </w:tr>
      <w:tr w:rsidR="005C5CED" w:rsidRPr="005C5CED" w14:paraId="0EB9DEE8" w14:textId="77777777" w:rsidTr="0062462F">
        <w:trPr>
          <w:trHeight w:val="342"/>
        </w:trPr>
        <w:tc>
          <w:tcPr>
            <w:tcW w:w="3376" w:type="dxa"/>
            <w:tcBorders>
              <w:top w:val="single" w:sz="4" w:space="0" w:color="auto"/>
              <w:left w:val="nil"/>
              <w:bottom w:val="single" w:sz="4" w:space="0" w:color="auto"/>
              <w:right w:val="nil"/>
            </w:tcBorders>
            <w:shd w:val="clear" w:color="auto" w:fill="auto"/>
            <w:noWrap/>
            <w:vAlign w:val="center"/>
            <w:hideMark/>
          </w:tcPr>
          <w:p w14:paraId="4DC9009A"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current borrowings</w:t>
            </w:r>
          </w:p>
        </w:tc>
        <w:tc>
          <w:tcPr>
            <w:tcW w:w="1588" w:type="dxa"/>
            <w:tcBorders>
              <w:top w:val="single" w:sz="4" w:space="0" w:color="auto"/>
              <w:left w:val="nil"/>
              <w:bottom w:val="single" w:sz="4" w:space="0" w:color="auto"/>
              <w:right w:val="nil"/>
            </w:tcBorders>
            <w:shd w:val="clear" w:color="auto" w:fill="auto"/>
            <w:noWrap/>
            <w:vAlign w:val="center"/>
          </w:tcPr>
          <w:p w14:paraId="3328E40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1,538</w:t>
            </w:r>
          </w:p>
        </w:tc>
        <w:tc>
          <w:tcPr>
            <w:tcW w:w="1068" w:type="dxa"/>
            <w:tcBorders>
              <w:top w:val="single" w:sz="4" w:space="0" w:color="auto"/>
              <w:left w:val="nil"/>
              <w:bottom w:val="single" w:sz="4" w:space="0" w:color="auto"/>
              <w:right w:val="nil"/>
            </w:tcBorders>
            <w:shd w:val="clear" w:color="000000" w:fill="E7E6E6"/>
            <w:noWrap/>
            <w:vAlign w:val="center"/>
            <w:hideMark/>
          </w:tcPr>
          <w:p w14:paraId="42C15A8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1,456</w:t>
            </w:r>
          </w:p>
        </w:tc>
      </w:tr>
      <w:tr w:rsidR="005C5CED" w:rsidRPr="005C5CED" w14:paraId="20E8FCCC" w14:textId="77777777" w:rsidTr="0062462F">
        <w:trPr>
          <w:trHeight w:val="342"/>
        </w:trPr>
        <w:tc>
          <w:tcPr>
            <w:tcW w:w="3376" w:type="dxa"/>
            <w:tcBorders>
              <w:top w:val="nil"/>
              <w:left w:val="nil"/>
              <w:bottom w:val="nil"/>
              <w:right w:val="nil"/>
            </w:tcBorders>
            <w:shd w:val="clear" w:color="auto" w:fill="auto"/>
            <w:noWrap/>
            <w:vAlign w:val="center"/>
            <w:hideMark/>
          </w:tcPr>
          <w:p w14:paraId="0BA92E2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Non-current borrowings</w:t>
            </w:r>
          </w:p>
        </w:tc>
        <w:tc>
          <w:tcPr>
            <w:tcW w:w="1588" w:type="dxa"/>
            <w:tcBorders>
              <w:top w:val="nil"/>
              <w:left w:val="nil"/>
              <w:bottom w:val="nil"/>
              <w:right w:val="nil"/>
            </w:tcBorders>
            <w:shd w:val="clear" w:color="auto" w:fill="auto"/>
            <w:noWrap/>
            <w:vAlign w:val="center"/>
          </w:tcPr>
          <w:p w14:paraId="745CF0D3"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068" w:type="dxa"/>
            <w:tcBorders>
              <w:top w:val="nil"/>
              <w:left w:val="nil"/>
              <w:bottom w:val="nil"/>
              <w:right w:val="nil"/>
            </w:tcBorders>
            <w:shd w:val="clear" w:color="000000" w:fill="E7E6E6"/>
            <w:noWrap/>
            <w:vAlign w:val="center"/>
            <w:hideMark/>
          </w:tcPr>
          <w:p w14:paraId="2C8FBA40"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28676A7B" w14:textId="77777777" w:rsidTr="0062462F">
        <w:trPr>
          <w:trHeight w:val="342"/>
        </w:trPr>
        <w:tc>
          <w:tcPr>
            <w:tcW w:w="3376" w:type="dxa"/>
            <w:tcBorders>
              <w:top w:val="nil"/>
              <w:left w:val="nil"/>
              <w:bottom w:val="nil"/>
              <w:right w:val="nil"/>
            </w:tcBorders>
            <w:shd w:val="clear" w:color="auto" w:fill="auto"/>
            <w:noWrap/>
            <w:vAlign w:val="center"/>
            <w:hideMark/>
          </w:tcPr>
          <w:p w14:paraId="2536E5E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 liabilities: buildings</w:t>
            </w:r>
          </w:p>
        </w:tc>
        <w:tc>
          <w:tcPr>
            <w:tcW w:w="1588" w:type="dxa"/>
            <w:tcBorders>
              <w:top w:val="nil"/>
              <w:left w:val="nil"/>
              <w:bottom w:val="nil"/>
              <w:right w:val="nil"/>
            </w:tcBorders>
            <w:shd w:val="clear" w:color="auto" w:fill="auto"/>
            <w:noWrap/>
            <w:vAlign w:val="center"/>
          </w:tcPr>
          <w:p w14:paraId="461E361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6,075</w:t>
            </w:r>
          </w:p>
        </w:tc>
        <w:tc>
          <w:tcPr>
            <w:tcW w:w="1068" w:type="dxa"/>
            <w:tcBorders>
              <w:top w:val="nil"/>
              <w:left w:val="nil"/>
              <w:bottom w:val="nil"/>
              <w:right w:val="nil"/>
            </w:tcBorders>
            <w:shd w:val="clear" w:color="000000" w:fill="E7E6E6"/>
            <w:noWrap/>
            <w:vAlign w:val="center"/>
            <w:hideMark/>
          </w:tcPr>
          <w:p w14:paraId="100EF20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17,329</w:t>
            </w:r>
          </w:p>
        </w:tc>
      </w:tr>
      <w:tr w:rsidR="005C5CED" w:rsidRPr="005C5CED" w14:paraId="18B4B6E0" w14:textId="77777777" w:rsidTr="0062462F">
        <w:trPr>
          <w:trHeight w:val="342"/>
        </w:trPr>
        <w:tc>
          <w:tcPr>
            <w:tcW w:w="3376" w:type="dxa"/>
            <w:tcBorders>
              <w:top w:val="single" w:sz="4" w:space="0" w:color="auto"/>
              <w:left w:val="nil"/>
              <w:bottom w:val="single" w:sz="4" w:space="0" w:color="auto"/>
              <w:right w:val="nil"/>
            </w:tcBorders>
            <w:shd w:val="clear" w:color="auto" w:fill="auto"/>
            <w:noWrap/>
            <w:vAlign w:val="center"/>
            <w:hideMark/>
          </w:tcPr>
          <w:p w14:paraId="226CC129"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non-current borrowings</w:t>
            </w:r>
          </w:p>
        </w:tc>
        <w:tc>
          <w:tcPr>
            <w:tcW w:w="1588" w:type="dxa"/>
            <w:tcBorders>
              <w:top w:val="single" w:sz="4" w:space="0" w:color="auto"/>
              <w:left w:val="nil"/>
              <w:bottom w:val="single" w:sz="4" w:space="0" w:color="auto"/>
              <w:right w:val="nil"/>
            </w:tcBorders>
            <w:shd w:val="clear" w:color="auto" w:fill="auto"/>
            <w:noWrap/>
            <w:vAlign w:val="center"/>
          </w:tcPr>
          <w:p w14:paraId="413AF88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6,075</w:t>
            </w:r>
          </w:p>
        </w:tc>
        <w:tc>
          <w:tcPr>
            <w:tcW w:w="1068" w:type="dxa"/>
            <w:tcBorders>
              <w:top w:val="single" w:sz="4" w:space="0" w:color="auto"/>
              <w:left w:val="nil"/>
              <w:bottom w:val="single" w:sz="4" w:space="0" w:color="auto"/>
              <w:right w:val="nil"/>
            </w:tcBorders>
            <w:shd w:val="clear" w:color="000000" w:fill="E7E6E6"/>
            <w:noWrap/>
            <w:vAlign w:val="center"/>
            <w:hideMark/>
          </w:tcPr>
          <w:p w14:paraId="0E5CC9C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17,329</w:t>
            </w:r>
          </w:p>
        </w:tc>
      </w:tr>
      <w:tr w:rsidR="005C5CED" w:rsidRPr="005C5CED" w14:paraId="51B4B502" w14:textId="77777777" w:rsidTr="0062462F">
        <w:trPr>
          <w:trHeight w:val="342"/>
        </w:trPr>
        <w:tc>
          <w:tcPr>
            <w:tcW w:w="3376" w:type="dxa"/>
            <w:tcBorders>
              <w:top w:val="nil"/>
              <w:left w:val="nil"/>
              <w:bottom w:val="single" w:sz="4" w:space="0" w:color="auto"/>
              <w:right w:val="nil"/>
            </w:tcBorders>
            <w:shd w:val="clear" w:color="auto" w:fill="auto"/>
            <w:noWrap/>
            <w:vAlign w:val="center"/>
            <w:hideMark/>
          </w:tcPr>
          <w:p w14:paraId="67D866F8"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borrowings</w:t>
            </w:r>
          </w:p>
        </w:tc>
        <w:tc>
          <w:tcPr>
            <w:tcW w:w="1588" w:type="dxa"/>
            <w:tcBorders>
              <w:top w:val="nil"/>
              <w:left w:val="nil"/>
              <w:bottom w:val="single" w:sz="4" w:space="0" w:color="auto"/>
              <w:right w:val="nil"/>
            </w:tcBorders>
            <w:shd w:val="clear" w:color="auto" w:fill="auto"/>
            <w:noWrap/>
            <w:vAlign w:val="center"/>
          </w:tcPr>
          <w:p w14:paraId="73F32FC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7,613</w:t>
            </w:r>
          </w:p>
        </w:tc>
        <w:tc>
          <w:tcPr>
            <w:tcW w:w="1068" w:type="dxa"/>
            <w:tcBorders>
              <w:top w:val="nil"/>
              <w:left w:val="nil"/>
              <w:bottom w:val="single" w:sz="4" w:space="0" w:color="auto"/>
              <w:right w:val="nil"/>
            </w:tcBorders>
            <w:shd w:val="clear" w:color="000000" w:fill="E7E6E6"/>
            <w:noWrap/>
            <w:vAlign w:val="center"/>
            <w:hideMark/>
          </w:tcPr>
          <w:p w14:paraId="537BDC0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18,785</w:t>
            </w:r>
          </w:p>
        </w:tc>
      </w:tr>
    </w:tbl>
    <w:p w14:paraId="1C90FDF9" w14:textId="77777777" w:rsidR="005C5CED" w:rsidRPr="005C5CED" w:rsidRDefault="005C5CED" w:rsidP="005C5CED">
      <w:pPr>
        <w:spacing w:after="60" w:line="259" w:lineRule="auto"/>
        <w:rPr>
          <w:rFonts w:eastAsia="Calibri" w:cs="Arial"/>
          <w:color w:val="auto"/>
          <w:sz w:val="16"/>
          <w:szCs w:val="16"/>
        </w:rPr>
      </w:pPr>
    </w:p>
    <w:p w14:paraId="016BF0AF" w14:textId="77777777" w:rsidR="005C5CED" w:rsidRPr="005C5CED" w:rsidRDefault="005C5CED" w:rsidP="005C5CED">
      <w:pPr>
        <w:spacing w:line="259" w:lineRule="auto"/>
        <w:rPr>
          <w:rFonts w:eastAsia="Calibri" w:cs="Arial"/>
          <w:color w:val="auto"/>
        </w:rPr>
      </w:pPr>
      <w:r w:rsidRPr="005C5CED">
        <w:rPr>
          <w:rFonts w:eastAsia="Calibri" w:cs="Arial"/>
          <w:color w:val="auto"/>
        </w:rPr>
        <w:t>Borrowings are all related to leases and are secured by the assets leased. Lease liabilities are effectively secured as the rights to the leased assets revert to the lessor in the event of default.</w:t>
      </w:r>
    </w:p>
    <w:p w14:paraId="24FD1808"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Borrowings refer to interest bearing liabilities. Sustainability Victoria's borrowings listed above are made up of liabilities recognised in applying AASB 16 </w:t>
      </w:r>
      <w:r w:rsidRPr="005C5CED">
        <w:rPr>
          <w:rFonts w:eastAsia="Calibri" w:cs="Arial"/>
          <w:i/>
          <w:iCs/>
          <w:color w:val="auto"/>
        </w:rPr>
        <w:t>Leases</w:t>
      </w:r>
      <w:r w:rsidRPr="005C5CED">
        <w:rPr>
          <w:rFonts w:eastAsia="Calibri" w:cs="Arial"/>
          <w:color w:val="auto"/>
        </w:rPr>
        <w:t xml:space="preserve"> to the office building rental and leased motor vehicles.</w:t>
      </w:r>
    </w:p>
    <w:p w14:paraId="1C8FB610" w14:textId="77777777" w:rsidR="005C5CED" w:rsidRPr="005C5CED" w:rsidRDefault="005C5CED" w:rsidP="005C5CED">
      <w:pPr>
        <w:spacing w:line="259" w:lineRule="auto"/>
        <w:rPr>
          <w:rFonts w:eastAsia="Calibri" w:cs="Arial"/>
          <w:color w:val="auto"/>
        </w:rPr>
      </w:pPr>
      <w:r w:rsidRPr="005C5CED">
        <w:rPr>
          <w:rFonts w:eastAsia="Calibri" w:cs="Arial"/>
          <w:color w:val="auto"/>
        </w:rPr>
        <w:t>All interest-bearing borrowings are initially recognised at the fair value of the consideration received less directly attributable transaction costs and subsequently measured at amortised cost using the effective interest method.</w:t>
      </w:r>
      <w:r w:rsidRPr="005C5CED">
        <w:rPr>
          <w:rFonts w:eastAsia="Calibri" w:cs="Arial"/>
          <w:color w:val="auto"/>
        </w:rPr>
        <w:tab/>
      </w:r>
    </w:p>
    <w:p w14:paraId="3E77028B" w14:textId="77777777" w:rsidR="00B13398" w:rsidRDefault="00B13398">
      <w:pPr>
        <w:spacing w:line="259" w:lineRule="auto"/>
        <w:rPr>
          <w:rFonts w:eastAsia="Times New Roman" w:cs="SegoeUI"/>
          <w:b/>
          <w:bCs/>
          <w:color w:val="595959"/>
          <w:lang w:eastAsia="en-AU"/>
        </w:rPr>
      </w:pPr>
      <w:r>
        <w:rPr>
          <w:rFonts w:eastAsia="Times New Roman" w:cs="SegoeUI"/>
          <w:b/>
          <w:bCs/>
          <w:color w:val="595959"/>
          <w:lang w:eastAsia="en-AU"/>
        </w:rPr>
        <w:br w:type="page"/>
      </w:r>
    </w:p>
    <w:p w14:paraId="504849E8" w14:textId="77777777" w:rsidR="005C5CED" w:rsidRPr="005C5CED" w:rsidRDefault="005C5CED" w:rsidP="005C5CED">
      <w:pPr>
        <w:keepNext/>
        <w:keepLines/>
        <w:spacing w:before="200" w:after="40" w:line="259" w:lineRule="auto"/>
        <w:outlineLvl w:val="4"/>
        <w:rPr>
          <w:rFonts w:eastAsia="Times New Roman" w:cs="SegoeUI"/>
          <w:b/>
          <w:bCs/>
          <w:color w:val="595959"/>
          <w:lang w:eastAsia="en-AU"/>
        </w:rPr>
      </w:pPr>
      <w:r w:rsidRPr="005C5CED">
        <w:rPr>
          <w:rFonts w:eastAsia="Times New Roman" w:cs="SegoeUI"/>
          <w:b/>
          <w:bCs/>
          <w:color w:val="595959"/>
          <w:lang w:eastAsia="en-AU"/>
        </w:rPr>
        <w:lastRenderedPageBreak/>
        <w:t xml:space="preserve">Maturity analysis of borrowings </w:t>
      </w:r>
    </w:p>
    <w:p w14:paraId="0048336C" w14:textId="77777777" w:rsidR="005C5CED" w:rsidRPr="005C5CED" w:rsidRDefault="005C5CED" w:rsidP="005C5CED">
      <w:pPr>
        <w:spacing w:after="0" w:line="240" w:lineRule="auto"/>
        <w:rPr>
          <w:rFonts w:eastAsia="Times New Roman" w:cs="Arial"/>
          <w:b/>
          <w:bCs/>
          <w:color w:val="auto"/>
          <w:sz w:val="16"/>
          <w:szCs w:val="16"/>
          <w:lang w:eastAsia="en-AU"/>
        </w:rPr>
      </w:pPr>
    </w:p>
    <w:tbl>
      <w:tblPr>
        <w:tblW w:w="9551" w:type="dxa"/>
        <w:tblLook w:val="04A0" w:firstRow="1" w:lastRow="0" w:firstColumn="1" w:lastColumn="0" w:noHBand="0" w:noVBand="1"/>
      </w:tblPr>
      <w:tblGrid>
        <w:gridCol w:w="1713"/>
        <w:gridCol w:w="1004"/>
        <w:gridCol w:w="1369"/>
        <w:gridCol w:w="1089"/>
        <w:gridCol w:w="1164"/>
        <w:gridCol w:w="1164"/>
        <w:gridCol w:w="928"/>
        <w:gridCol w:w="1120"/>
      </w:tblGrid>
      <w:tr w:rsidR="00B13398" w:rsidRPr="005C5CED" w14:paraId="7695F8F3" w14:textId="77777777" w:rsidTr="00B13398">
        <w:trPr>
          <w:trHeight w:val="281"/>
        </w:trPr>
        <w:tc>
          <w:tcPr>
            <w:tcW w:w="1713" w:type="dxa"/>
            <w:tcBorders>
              <w:top w:val="single" w:sz="4" w:space="0" w:color="auto"/>
              <w:left w:val="nil"/>
              <w:bottom w:val="nil"/>
              <w:right w:val="nil"/>
            </w:tcBorders>
            <w:shd w:val="clear" w:color="000000" w:fill="000000"/>
            <w:noWrap/>
            <w:vAlign w:val="bottom"/>
            <w:hideMark/>
          </w:tcPr>
          <w:p w14:paraId="6CE961D7"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004" w:type="dxa"/>
            <w:tcBorders>
              <w:top w:val="single" w:sz="4" w:space="0" w:color="auto"/>
              <w:left w:val="nil"/>
              <w:bottom w:val="nil"/>
              <w:right w:val="nil"/>
            </w:tcBorders>
            <w:shd w:val="clear" w:color="000000" w:fill="000000"/>
            <w:vAlign w:val="bottom"/>
            <w:hideMark/>
          </w:tcPr>
          <w:p w14:paraId="505B6A5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369" w:type="dxa"/>
            <w:tcBorders>
              <w:top w:val="single" w:sz="4" w:space="0" w:color="auto"/>
              <w:left w:val="nil"/>
              <w:bottom w:val="nil"/>
              <w:right w:val="nil"/>
            </w:tcBorders>
            <w:shd w:val="clear" w:color="000000" w:fill="000000"/>
            <w:vAlign w:val="bottom"/>
            <w:hideMark/>
          </w:tcPr>
          <w:p w14:paraId="5E0C8AB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089" w:type="dxa"/>
            <w:tcBorders>
              <w:top w:val="single" w:sz="4" w:space="0" w:color="auto"/>
              <w:left w:val="nil"/>
              <w:bottom w:val="nil"/>
              <w:right w:val="nil"/>
            </w:tcBorders>
            <w:shd w:val="clear" w:color="000000" w:fill="000000"/>
            <w:vAlign w:val="bottom"/>
            <w:hideMark/>
          </w:tcPr>
          <w:p w14:paraId="22325DE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Maturity dates</w:t>
            </w:r>
          </w:p>
        </w:tc>
        <w:tc>
          <w:tcPr>
            <w:tcW w:w="1164" w:type="dxa"/>
            <w:tcBorders>
              <w:top w:val="single" w:sz="4" w:space="0" w:color="auto"/>
              <w:left w:val="nil"/>
              <w:bottom w:val="nil"/>
              <w:right w:val="nil"/>
            </w:tcBorders>
            <w:shd w:val="clear" w:color="000000" w:fill="000000"/>
            <w:noWrap/>
            <w:vAlign w:val="center"/>
            <w:hideMark/>
          </w:tcPr>
          <w:p w14:paraId="01495571" w14:textId="77777777" w:rsidR="005C5CED" w:rsidRPr="005C5CED" w:rsidRDefault="005C5CED" w:rsidP="005C5CED">
            <w:pPr>
              <w:spacing w:after="0" w:line="240" w:lineRule="auto"/>
              <w:jc w:val="center"/>
              <w:rPr>
                <w:rFonts w:eastAsia="Times New Roman" w:cs="Arial"/>
                <w:b/>
                <w:bCs/>
                <w:color w:val="FFFFFF"/>
                <w:sz w:val="16"/>
                <w:szCs w:val="16"/>
                <w:lang w:eastAsia="en-AU"/>
              </w:rPr>
            </w:pPr>
          </w:p>
        </w:tc>
        <w:tc>
          <w:tcPr>
            <w:tcW w:w="1164" w:type="dxa"/>
            <w:tcBorders>
              <w:top w:val="single" w:sz="4" w:space="0" w:color="auto"/>
              <w:left w:val="nil"/>
              <w:bottom w:val="nil"/>
              <w:right w:val="nil"/>
            </w:tcBorders>
            <w:shd w:val="clear" w:color="000000" w:fill="000000"/>
            <w:noWrap/>
            <w:vAlign w:val="center"/>
            <w:hideMark/>
          </w:tcPr>
          <w:p w14:paraId="755F8074"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928" w:type="dxa"/>
            <w:tcBorders>
              <w:top w:val="single" w:sz="4" w:space="0" w:color="auto"/>
              <w:left w:val="nil"/>
              <w:bottom w:val="nil"/>
              <w:right w:val="nil"/>
            </w:tcBorders>
            <w:shd w:val="clear" w:color="000000" w:fill="000000"/>
            <w:noWrap/>
            <w:vAlign w:val="center"/>
            <w:hideMark/>
          </w:tcPr>
          <w:p w14:paraId="6BCFC904"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120" w:type="dxa"/>
            <w:tcBorders>
              <w:top w:val="single" w:sz="4" w:space="0" w:color="auto"/>
              <w:left w:val="nil"/>
              <w:bottom w:val="nil"/>
              <w:right w:val="nil"/>
            </w:tcBorders>
            <w:shd w:val="clear" w:color="000000" w:fill="000000"/>
          </w:tcPr>
          <w:p w14:paraId="1D5F92F8" w14:textId="77777777" w:rsidR="005C5CED" w:rsidRPr="005C5CED" w:rsidRDefault="005C5CED" w:rsidP="005C5CED">
            <w:pPr>
              <w:spacing w:after="0" w:line="240" w:lineRule="auto"/>
              <w:jc w:val="center"/>
              <w:rPr>
                <w:rFonts w:eastAsia="Times New Roman" w:cs="Arial"/>
                <w:b/>
                <w:bCs/>
                <w:color w:val="FFFFFF"/>
                <w:sz w:val="16"/>
                <w:szCs w:val="16"/>
                <w:lang w:eastAsia="en-AU"/>
              </w:rPr>
            </w:pPr>
          </w:p>
        </w:tc>
      </w:tr>
      <w:tr w:rsidR="00B13398" w:rsidRPr="005C5CED" w14:paraId="573C2DFF" w14:textId="77777777" w:rsidTr="00B13398">
        <w:trPr>
          <w:trHeight w:val="263"/>
        </w:trPr>
        <w:tc>
          <w:tcPr>
            <w:tcW w:w="1713" w:type="dxa"/>
            <w:tcBorders>
              <w:top w:val="nil"/>
              <w:left w:val="nil"/>
              <w:bottom w:val="nil"/>
              <w:right w:val="nil"/>
            </w:tcBorders>
            <w:shd w:val="clear" w:color="000000" w:fill="000000"/>
            <w:noWrap/>
            <w:vAlign w:val="bottom"/>
            <w:hideMark/>
          </w:tcPr>
          <w:p w14:paraId="727C7FB4"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004" w:type="dxa"/>
            <w:tcBorders>
              <w:top w:val="single" w:sz="4" w:space="0" w:color="auto"/>
              <w:left w:val="nil"/>
              <w:bottom w:val="nil"/>
              <w:right w:val="nil"/>
            </w:tcBorders>
            <w:shd w:val="clear" w:color="000000" w:fill="000000"/>
            <w:vAlign w:val="bottom"/>
            <w:hideMark/>
          </w:tcPr>
          <w:p w14:paraId="2D3C1F4B"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Carrying</w:t>
            </w:r>
            <w:r w:rsidRPr="005C5CED">
              <w:rPr>
                <w:rFonts w:eastAsia="Times New Roman" w:cs="Arial"/>
                <w:b/>
                <w:bCs/>
                <w:color w:val="FFFFFF"/>
                <w:sz w:val="16"/>
                <w:szCs w:val="16"/>
                <w:lang w:eastAsia="en-AU"/>
              </w:rPr>
              <w:br/>
              <w:t>amount</w:t>
            </w:r>
          </w:p>
        </w:tc>
        <w:tc>
          <w:tcPr>
            <w:tcW w:w="1369" w:type="dxa"/>
            <w:tcBorders>
              <w:top w:val="single" w:sz="4" w:space="0" w:color="auto"/>
              <w:left w:val="nil"/>
              <w:bottom w:val="nil"/>
              <w:right w:val="nil"/>
            </w:tcBorders>
            <w:shd w:val="clear" w:color="000000" w:fill="000000"/>
            <w:vAlign w:val="bottom"/>
            <w:hideMark/>
          </w:tcPr>
          <w:p w14:paraId="7689404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Nominal</w:t>
            </w:r>
            <w:r w:rsidRPr="005C5CED">
              <w:rPr>
                <w:rFonts w:eastAsia="Times New Roman" w:cs="Arial"/>
                <w:b/>
                <w:bCs/>
                <w:color w:val="FFFFFF"/>
                <w:sz w:val="16"/>
                <w:szCs w:val="16"/>
                <w:lang w:eastAsia="en-AU"/>
              </w:rPr>
              <w:br/>
              <w:t>amount</w:t>
            </w:r>
          </w:p>
        </w:tc>
        <w:tc>
          <w:tcPr>
            <w:tcW w:w="1089" w:type="dxa"/>
            <w:tcBorders>
              <w:top w:val="nil"/>
              <w:left w:val="nil"/>
              <w:bottom w:val="nil"/>
              <w:right w:val="nil"/>
            </w:tcBorders>
            <w:shd w:val="clear" w:color="000000" w:fill="000000"/>
            <w:hideMark/>
          </w:tcPr>
          <w:p w14:paraId="0A74FC28"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Less than 1 month</w:t>
            </w:r>
          </w:p>
        </w:tc>
        <w:tc>
          <w:tcPr>
            <w:tcW w:w="1164" w:type="dxa"/>
            <w:tcBorders>
              <w:top w:val="nil"/>
              <w:left w:val="nil"/>
              <w:bottom w:val="nil"/>
              <w:right w:val="nil"/>
            </w:tcBorders>
            <w:shd w:val="clear" w:color="000000" w:fill="000000"/>
            <w:hideMark/>
          </w:tcPr>
          <w:p w14:paraId="44FA3BE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1 - 3</w:t>
            </w:r>
            <w:r w:rsidRPr="005C5CED">
              <w:rPr>
                <w:rFonts w:eastAsia="Times New Roman" w:cs="Arial"/>
                <w:b/>
                <w:bCs/>
                <w:color w:val="FFFFFF"/>
                <w:sz w:val="16"/>
                <w:szCs w:val="16"/>
                <w:lang w:eastAsia="en-AU"/>
              </w:rPr>
              <w:br/>
              <w:t>months</w:t>
            </w:r>
          </w:p>
        </w:tc>
        <w:tc>
          <w:tcPr>
            <w:tcW w:w="1164" w:type="dxa"/>
            <w:tcBorders>
              <w:top w:val="nil"/>
              <w:left w:val="nil"/>
              <w:bottom w:val="nil"/>
              <w:right w:val="nil"/>
            </w:tcBorders>
            <w:shd w:val="clear" w:color="000000" w:fill="000000"/>
            <w:vAlign w:val="bottom"/>
            <w:hideMark/>
          </w:tcPr>
          <w:p w14:paraId="4ED92805"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3 months -</w:t>
            </w:r>
            <w:r w:rsidRPr="005C5CED">
              <w:rPr>
                <w:rFonts w:eastAsia="Times New Roman" w:cs="Arial"/>
                <w:b/>
                <w:bCs/>
                <w:color w:val="FFFFFF"/>
                <w:sz w:val="16"/>
                <w:szCs w:val="16"/>
                <w:lang w:eastAsia="en-AU"/>
              </w:rPr>
              <w:br/>
              <w:t>1 year</w:t>
            </w:r>
          </w:p>
        </w:tc>
        <w:tc>
          <w:tcPr>
            <w:tcW w:w="928" w:type="dxa"/>
            <w:tcBorders>
              <w:top w:val="nil"/>
              <w:left w:val="nil"/>
              <w:bottom w:val="nil"/>
              <w:right w:val="nil"/>
            </w:tcBorders>
            <w:shd w:val="clear" w:color="000000" w:fill="000000"/>
            <w:vAlign w:val="bottom"/>
            <w:hideMark/>
          </w:tcPr>
          <w:p w14:paraId="7BE12181"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1 - 5</w:t>
            </w:r>
            <w:r w:rsidRPr="005C5CED">
              <w:rPr>
                <w:rFonts w:eastAsia="Times New Roman" w:cs="Arial"/>
                <w:b/>
                <w:bCs/>
                <w:color w:val="FFFFFF"/>
                <w:sz w:val="16"/>
                <w:szCs w:val="16"/>
                <w:lang w:eastAsia="en-AU"/>
              </w:rPr>
              <w:br/>
              <w:t>years</w:t>
            </w:r>
          </w:p>
        </w:tc>
        <w:tc>
          <w:tcPr>
            <w:tcW w:w="1120" w:type="dxa"/>
            <w:tcBorders>
              <w:top w:val="nil"/>
              <w:left w:val="nil"/>
              <w:bottom w:val="nil"/>
              <w:right w:val="nil"/>
            </w:tcBorders>
            <w:shd w:val="clear" w:color="000000" w:fill="000000"/>
          </w:tcPr>
          <w:p w14:paraId="06CF3BF7"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5+ years</w:t>
            </w:r>
          </w:p>
        </w:tc>
      </w:tr>
      <w:tr w:rsidR="00B13398" w:rsidRPr="005C5CED" w14:paraId="277E8600" w14:textId="77777777" w:rsidTr="00B13398">
        <w:trPr>
          <w:trHeight w:val="281"/>
        </w:trPr>
        <w:tc>
          <w:tcPr>
            <w:tcW w:w="1713" w:type="dxa"/>
            <w:tcBorders>
              <w:top w:val="nil"/>
              <w:left w:val="nil"/>
              <w:bottom w:val="single" w:sz="4" w:space="0" w:color="auto"/>
              <w:right w:val="nil"/>
            </w:tcBorders>
            <w:shd w:val="clear" w:color="000000" w:fill="000000"/>
            <w:noWrap/>
            <w:vAlign w:val="bottom"/>
            <w:hideMark/>
          </w:tcPr>
          <w:p w14:paraId="3ABD837A"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004" w:type="dxa"/>
            <w:tcBorders>
              <w:top w:val="nil"/>
              <w:left w:val="nil"/>
              <w:bottom w:val="single" w:sz="4" w:space="0" w:color="auto"/>
              <w:right w:val="nil"/>
            </w:tcBorders>
            <w:shd w:val="clear" w:color="000000" w:fill="000000"/>
            <w:noWrap/>
            <w:vAlign w:val="bottom"/>
            <w:hideMark/>
          </w:tcPr>
          <w:p w14:paraId="1369B21E"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369" w:type="dxa"/>
            <w:tcBorders>
              <w:top w:val="nil"/>
              <w:left w:val="nil"/>
              <w:bottom w:val="single" w:sz="4" w:space="0" w:color="auto"/>
              <w:right w:val="nil"/>
            </w:tcBorders>
            <w:shd w:val="clear" w:color="000000" w:fill="000000"/>
            <w:noWrap/>
            <w:vAlign w:val="bottom"/>
            <w:hideMark/>
          </w:tcPr>
          <w:p w14:paraId="58E2F7B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89" w:type="dxa"/>
            <w:tcBorders>
              <w:top w:val="nil"/>
              <w:left w:val="nil"/>
              <w:bottom w:val="single" w:sz="4" w:space="0" w:color="auto"/>
              <w:right w:val="nil"/>
            </w:tcBorders>
            <w:shd w:val="clear" w:color="000000" w:fill="000000"/>
            <w:noWrap/>
            <w:vAlign w:val="bottom"/>
            <w:hideMark/>
          </w:tcPr>
          <w:p w14:paraId="1646515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64" w:type="dxa"/>
            <w:tcBorders>
              <w:top w:val="nil"/>
              <w:left w:val="nil"/>
              <w:bottom w:val="single" w:sz="4" w:space="0" w:color="auto"/>
              <w:right w:val="nil"/>
            </w:tcBorders>
            <w:shd w:val="clear" w:color="000000" w:fill="000000"/>
            <w:noWrap/>
            <w:vAlign w:val="bottom"/>
            <w:hideMark/>
          </w:tcPr>
          <w:p w14:paraId="22AB6E58"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64" w:type="dxa"/>
            <w:tcBorders>
              <w:top w:val="nil"/>
              <w:left w:val="nil"/>
              <w:bottom w:val="single" w:sz="4" w:space="0" w:color="auto"/>
              <w:right w:val="nil"/>
            </w:tcBorders>
            <w:shd w:val="clear" w:color="000000" w:fill="000000"/>
            <w:noWrap/>
            <w:vAlign w:val="bottom"/>
            <w:hideMark/>
          </w:tcPr>
          <w:p w14:paraId="25B4E37D"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928" w:type="dxa"/>
            <w:tcBorders>
              <w:top w:val="nil"/>
              <w:left w:val="nil"/>
              <w:bottom w:val="single" w:sz="4" w:space="0" w:color="auto"/>
              <w:right w:val="nil"/>
            </w:tcBorders>
            <w:shd w:val="clear" w:color="000000" w:fill="000000"/>
            <w:noWrap/>
            <w:vAlign w:val="bottom"/>
            <w:hideMark/>
          </w:tcPr>
          <w:p w14:paraId="2787EAC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20" w:type="dxa"/>
            <w:tcBorders>
              <w:top w:val="nil"/>
              <w:left w:val="nil"/>
              <w:bottom w:val="single" w:sz="4" w:space="0" w:color="auto"/>
              <w:right w:val="nil"/>
            </w:tcBorders>
            <w:shd w:val="clear" w:color="000000" w:fill="000000"/>
          </w:tcPr>
          <w:p w14:paraId="2445DEBC"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B13398" w:rsidRPr="005C5CED" w14:paraId="2BE89BC9" w14:textId="77777777" w:rsidTr="00B13398">
        <w:trPr>
          <w:trHeight w:val="428"/>
        </w:trPr>
        <w:tc>
          <w:tcPr>
            <w:tcW w:w="1713" w:type="dxa"/>
            <w:tcBorders>
              <w:top w:val="nil"/>
              <w:left w:val="nil"/>
              <w:bottom w:val="nil"/>
              <w:right w:val="nil"/>
            </w:tcBorders>
            <w:shd w:val="clear" w:color="auto" w:fill="auto"/>
            <w:noWrap/>
            <w:vAlign w:val="bottom"/>
            <w:hideMark/>
          </w:tcPr>
          <w:p w14:paraId="3BE76E3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004" w:type="dxa"/>
            <w:tcBorders>
              <w:top w:val="nil"/>
              <w:left w:val="nil"/>
              <w:bottom w:val="nil"/>
              <w:right w:val="nil"/>
            </w:tcBorders>
            <w:shd w:val="clear" w:color="auto" w:fill="auto"/>
            <w:noWrap/>
            <w:vAlign w:val="center"/>
            <w:hideMark/>
          </w:tcPr>
          <w:p w14:paraId="387C010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369" w:type="dxa"/>
            <w:tcBorders>
              <w:top w:val="nil"/>
              <w:left w:val="nil"/>
              <w:bottom w:val="nil"/>
              <w:right w:val="nil"/>
            </w:tcBorders>
            <w:shd w:val="clear" w:color="auto" w:fill="auto"/>
            <w:noWrap/>
            <w:vAlign w:val="center"/>
            <w:hideMark/>
          </w:tcPr>
          <w:p w14:paraId="083F791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089" w:type="dxa"/>
            <w:tcBorders>
              <w:top w:val="nil"/>
              <w:left w:val="nil"/>
              <w:bottom w:val="nil"/>
              <w:right w:val="nil"/>
            </w:tcBorders>
            <w:shd w:val="clear" w:color="auto" w:fill="auto"/>
            <w:noWrap/>
            <w:vAlign w:val="center"/>
            <w:hideMark/>
          </w:tcPr>
          <w:p w14:paraId="0614B57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64" w:type="dxa"/>
            <w:tcBorders>
              <w:top w:val="nil"/>
              <w:left w:val="nil"/>
              <w:bottom w:val="nil"/>
              <w:right w:val="nil"/>
            </w:tcBorders>
            <w:shd w:val="clear" w:color="auto" w:fill="auto"/>
            <w:noWrap/>
            <w:vAlign w:val="center"/>
            <w:hideMark/>
          </w:tcPr>
          <w:p w14:paraId="6381FE0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64" w:type="dxa"/>
            <w:tcBorders>
              <w:top w:val="nil"/>
              <w:left w:val="nil"/>
              <w:bottom w:val="nil"/>
              <w:right w:val="nil"/>
            </w:tcBorders>
            <w:shd w:val="clear" w:color="auto" w:fill="auto"/>
            <w:noWrap/>
            <w:vAlign w:val="center"/>
            <w:hideMark/>
          </w:tcPr>
          <w:p w14:paraId="0CFB390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928" w:type="dxa"/>
            <w:tcBorders>
              <w:top w:val="nil"/>
              <w:left w:val="nil"/>
              <w:bottom w:val="nil"/>
              <w:right w:val="nil"/>
            </w:tcBorders>
            <w:shd w:val="clear" w:color="auto" w:fill="auto"/>
            <w:noWrap/>
            <w:vAlign w:val="center"/>
            <w:hideMark/>
          </w:tcPr>
          <w:p w14:paraId="1CC8476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20" w:type="dxa"/>
            <w:tcBorders>
              <w:top w:val="nil"/>
              <w:left w:val="nil"/>
              <w:bottom w:val="nil"/>
              <w:right w:val="nil"/>
            </w:tcBorders>
          </w:tcPr>
          <w:p w14:paraId="4A68A757"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B13398" w:rsidRPr="005C5CED" w14:paraId="7F1A9654" w14:textId="77777777" w:rsidTr="00B13398">
        <w:trPr>
          <w:trHeight w:val="428"/>
        </w:trPr>
        <w:tc>
          <w:tcPr>
            <w:tcW w:w="1713" w:type="dxa"/>
            <w:tcBorders>
              <w:top w:val="nil"/>
              <w:left w:val="nil"/>
              <w:bottom w:val="nil"/>
              <w:right w:val="nil"/>
            </w:tcBorders>
            <w:shd w:val="clear" w:color="auto" w:fill="auto"/>
            <w:noWrap/>
            <w:vAlign w:val="bottom"/>
            <w:hideMark/>
          </w:tcPr>
          <w:p w14:paraId="15AD261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 liabilities</w:t>
            </w:r>
          </w:p>
        </w:tc>
        <w:tc>
          <w:tcPr>
            <w:tcW w:w="1004" w:type="dxa"/>
            <w:tcBorders>
              <w:top w:val="nil"/>
              <w:left w:val="nil"/>
              <w:bottom w:val="single" w:sz="4" w:space="0" w:color="auto"/>
              <w:right w:val="nil"/>
            </w:tcBorders>
            <w:shd w:val="clear" w:color="auto" w:fill="auto"/>
            <w:noWrap/>
            <w:vAlign w:val="center"/>
          </w:tcPr>
          <w:p w14:paraId="2E9A2EE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7,613</w:t>
            </w:r>
          </w:p>
        </w:tc>
        <w:tc>
          <w:tcPr>
            <w:tcW w:w="1369" w:type="dxa"/>
            <w:tcBorders>
              <w:top w:val="nil"/>
              <w:left w:val="nil"/>
              <w:bottom w:val="single" w:sz="4" w:space="0" w:color="auto"/>
              <w:right w:val="nil"/>
            </w:tcBorders>
            <w:shd w:val="clear" w:color="auto" w:fill="auto"/>
            <w:noWrap/>
            <w:vAlign w:val="center"/>
          </w:tcPr>
          <w:p w14:paraId="6C06D7E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8,431</w:t>
            </w:r>
          </w:p>
        </w:tc>
        <w:tc>
          <w:tcPr>
            <w:tcW w:w="1089" w:type="dxa"/>
            <w:tcBorders>
              <w:top w:val="nil"/>
              <w:left w:val="nil"/>
              <w:bottom w:val="nil"/>
              <w:right w:val="nil"/>
            </w:tcBorders>
            <w:shd w:val="clear" w:color="auto" w:fill="auto"/>
            <w:noWrap/>
            <w:vAlign w:val="center"/>
          </w:tcPr>
          <w:p w14:paraId="5D96377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151</w:t>
            </w:r>
          </w:p>
        </w:tc>
        <w:tc>
          <w:tcPr>
            <w:tcW w:w="1164" w:type="dxa"/>
            <w:tcBorders>
              <w:top w:val="nil"/>
              <w:left w:val="nil"/>
              <w:bottom w:val="nil"/>
              <w:right w:val="nil"/>
            </w:tcBorders>
            <w:shd w:val="clear" w:color="auto" w:fill="auto"/>
            <w:noWrap/>
            <w:vAlign w:val="center"/>
          </w:tcPr>
          <w:p w14:paraId="66DA11F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301</w:t>
            </w:r>
          </w:p>
        </w:tc>
        <w:tc>
          <w:tcPr>
            <w:tcW w:w="1164" w:type="dxa"/>
            <w:tcBorders>
              <w:top w:val="nil"/>
              <w:left w:val="nil"/>
              <w:bottom w:val="nil"/>
              <w:right w:val="nil"/>
            </w:tcBorders>
            <w:shd w:val="clear" w:color="auto" w:fill="auto"/>
            <w:noWrap/>
            <w:vAlign w:val="center"/>
          </w:tcPr>
          <w:p w14:paraId="56F00CB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1,410</w:t>
            </w:r>
          </w:p>
        </w:tc>
        <w:tc>
          <w:tcPr>
            <w:tcW w:w="928" w:type="dxa"/>
            <w:tcBorders>
              <w:top w:val="nil"/>
              <w:left w:val="nil"/>
              <w:bottom w:val="nil"/>
              <w:right w:val="nil"/>
            </w:tcBorders>
            <w:shd w:val="clear" w:color="auto" w:fill="auto"/>
            <w:noWrap/>
            <w:vAlign w:val="center"/>
          </w:tcPr>
          <w:p w14:paraId="5225B0F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6,569</w:t>
            </w:r>
          </w:p>
        </w:tc>
        <w:tc>
          <w:tcPr>
            <w:tcW w:w="1120" w:type="dxa"/>
            <w:tcBorders>
              <w:top w:val="nil"/>
              <w:left w:val="nil"/>
              <w:bottom w:val="nil"/>
              <w:right w:val="nil"/>
            </w:tcBorders>
          </w:tcPr>
          <w:p w14:paraId="0B02A25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B13398" w:rsidRPr="005C5CED" w14:paraId="22806C8C" w14:textId="77777777" w:rsidTr="00B13398">
        <w:trPr>
          <w:trHeight w:val="428"/>
        </w:trPr>
        <w:tc>
          <w:tcPr>
            <w:tcW w:w="1713" w:type="dxa"/>
            <w:tcBorders>
              <w:top w:val="single" w:sz="4" w:space="0" w:color="auto"/>
              <w:left w:val="nil"/>
              <w:bottom w:val="single" w:sz="4" w:space="0" w:color="auto"/>
              <w:right w:val="nil"/>
            </w:tcBorders>
            <w:shd w:val="clear" w:color="auto" w:fill="auto"/>
            <w:noWrap/>
            <w:vAlign w:val="center"/>
            <w:hideMark/>
          </w:tcPr>
          <w:p w14:paraId="3A061398"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w:t>
            </w:r>
          </w:p>
        </w:tc>
        <w:tc>
          <w:tcPr>
            <w:tcW w:w="1004" w:type="dxa"/>
            <w:tcBorders>
              <w:top w:val="nil"/>
              <w:left w:val="nil"/>
              <w:bottom w:val="single" w:sz="4" w:space="0" w:color="auto"/>
              <w:right w:val="nil"/>
            </w:tcBorders>
            <w:shd w:val="clear" w:color="auto" w:fill="auto"/>
            <w:noWrap/>
            <w:vAlign w:val="center"/>
          </w:tcPr>
          <w:p w14:paraId="162A8A7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7,613</w:t>
            </w:r>
          </w:p>
        </w:tc>
        <w:tc>
          <w:tcPr>
            <w:tcW w:w="1369" w:type="dxa"/>
            <w:tcBorders>
              <w:top w:val="nil"/>
              <w:left w:val="nil"/>
              <w:bottom w:val="single" w:sz="4" w:space="0" w:color="auto"/>
              <w:right w:val="nil"/>
            </w:tcBorders>
            <w:shd w:val="clear" w:color="auto" w:fill="auto"/>
            <w:noWrap/>
            <w:vAlign w:val="center"/>
          </w:tcPr>
          <w:p w14:paraId="790E74F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8,431</w:t>
            </w:r>
          </w:p>
        </w:tc>
        <w:tc>
          <w:tcPr>
            <w:tcW w:w="1089" w:type="dxa"/>
            <w:tcBorders>
              <w:top w:val="single" w:sz="4" w:space="0" w:color="auto"/>
              <w:left w:val="nil"/>
              <w:bottom w:val="single" w:sz="4" w:space="0" w:color="auto"/>
              <w:right w:val="nil"/>
            </w:tcBorders>
            <w:shd w:val="clear" w:color="auto" w:fill="auto"/>
            <w:noWrap/>
            <w:vAlign w:val="center"/>
          </w:tcPr>
          <w:p w14:paraId="3AAAB02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151</w:t>
            </w:r>
          </w:p>
        </w:tc>
        <w:tc>
          <w:tcPr>
            <w:tcW w:w="1164" w:type="dxa"/>
            <w:tcBorders>
              <w:top w:val="single" w:sz="4" w:space="0" w:color="auto"/>
              <w:left w:val="nil"/>
              <w:bottom w:val="single" w:sz="4" w:space="0" w:color="auto"/>
              <w:right w:val="nil"/>
            </w:tcBorders>
            <w:shd w:val="clear" w:color="auto" w:fill="auto"/>
            <w:noWrap/>
            <w:vAlign w:val="center"/>
          </w:tcPr>
          <w:p w14:paraId="4134A27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301</w:t>
            </w:r>
          </w:p>
        </w:tc>
        <w:tc>
          <w:tcPr>
            <w:tcW w:w="1164" w:type="dxa"/>
            <w:tcBorders>
              <w:top w:val="single" w:sz="4" w:space="0" w:color="auto"/>
              <w:left w:val="nil"/>
              <w:bottom w:val="single" w:sz="4" w:space="0" w:color="auto"/>
              <w:right w:val="nil"/>
            </w:tcBorders>
            <w:shd w:val="clear" w:color="auto" w:fill="auto"/>
            <w:noWrap/>
            <w:vAlign w:val="center"/>
          </w:tcPr>
          <w:p w14:paraId="1B4937A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1,410</w:t>
            </w:r>
          </w:p>
        </w:tc>
        <w:tc>
          <w:tcPr>
            <w:tcW w:w="928" w:type="dxa"/>
            <w:tcBorders>
              <w:top w:val="single" w:sz="4" w:space="0" w:color="auto"/>
              <w:left w:val="nil"/>
              <w:bottom w:val="single" w:sz="4" w:space="0" w:color="auto"/>
              <w:right w:val="nil"/>
            </w:tcBorders>
            <w:shd w:val="clear" w:color="auto" w:fill="auto"/>
            <w:noWrap/>
            <w:vAlign w:val="center"/>
          </w:tcPr>
          <w:p w14:paraId="62E7B5C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6,569</w:t>
            </w:r>
          </w:p>
        </w:tc>
        <w:tc>
          <w:tcPr>
            <w:tcW w:w="1120" w:type="dxa"/>
            <w:tcBorders>
              <w:top w:val="single" w:sz="4" w:space="0" w:color="auto"/>
              <w:left w:val="nil"/>
              <w:bottom w:val="single" w:sz="4" w:space="0" w:color="auto"/>
              <w:right w:val="nil"/>
            </w:tcBorders>
          </w:tcPr>
          <w:p w14:paraId="6E35D6D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r>
      <w:tr w:rsidR="00B13398" w:rsidRPr="005C5CED" w14:paraId="5C0837B9" w14:textId="77777777" w:rsidTr="00B13398">
        <w:trPr>
          <w:trHeight w:val="428"/>
        </w:trPr>
        <w:tc>
          <w:tcPr>
            <w:tcW w:w="1713" w:type="dxa"/>
            <w:tcBorders>
              <w:top w:val="nil"/>
              <w:left w:val="nil"/>
              <w:bottom w:val="nil"/>
              <w:right w:val="nil"/>
            </w:tcBorders>
            <w:shd w:val="clear" w:color="auto" w:fill="auto"/>
            <w:noWrap/>
            <w:vAlign w:val="bottom"/>
            <w:hideMark/>
          </w:tcPr>
          <w:p w14:paraId="33D0FA5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004" w:type="dxa"/>
            <w:tcBorders>
              <w:top w:val="nil"/>
              <w:left w:val="nil"/>
              <w:bottom w:val="nil"/>
              <w:right w:val="nil"/>
            </w:tcBorders>
            <w:shd w:val="clear" w:color="auto" w:fill="auto"/>
            <w:noWrap/>
            <w:vAlign w:val="center"/>
            <w:hideMark/>
          </w:tcPr>
          <w:p w14:paraId="7321DB3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369" w:type="dxa"/>
            <w:tcBorders>
              <w:top w:val="nil"/>
              <w:left w:val="nil"/>
              <w:bottom w:val="nil"/>
              <w:right w:val="nil"/>
            </w:tcBorders>
            <w:shd w:val="clear" w:color="auto" w:fill="auto"/>
            <w:noWrap/>
            <w:vAlign w:val="center"/>
            <w:hideMark/>
          </w:tcPr>
          <w:p w14:paraId="74E48CF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089" w:type="dxa"/>
            <w:tcBorders>
              <w:top w:val="nil"/>
              <w:left w:val="nil"/>
              <w:bottom w:val="nil"/>
              <w:right w:val="nil"/>
            </w:tcBorders>
            <w:shd w:val="clear" w:color="auto" w:fill="auto"/>
            <w:noWrap/>
            <w:vAlign w:val="center"/>
            <w:hideMark/>
          </w:tcPr>
          <w:p w14:paraId="7F020ABE"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164" w:type="dxa"/>
            <w:tcBorders>
              <w:top w:val="nil"/>
              <w:left w:val="nil"/>
              <w:bottom w:val="nil"/>
              <w:right w:val="nil"/>
            </w:tcBorders>
            <w:shd w:val="clear" w:color="auto" w:fill="auto"/>
            <w:noWrap/>
            <w:vAlign w:val="center"/>
            <w:hideMark/>
          </w:tcPr>
          <w:p w14:paraId="0C6321D3" w14:textId="77777777" w:rsidR="005C5CED" w:rsidRPr="005C5CED" w:rsidRDefault="005C5CED" w:rsidP="005C5CED">
            <w:pPr>
              <w:spacing w:after="0" w:line="240" w:lineRule="auto"/>
              <w:jc w:val="right"/>
              <w:rPr>
                <w:rFonts w:eastAsia="Times New Roman" w:cs="Arial"/>
                <w:color w:val="auto"/>
                <w:szCs w:val="20"/>
                <w:lang w:eastAsia="en-AU"/>
              </w:rPr>
            </w:pPr>
          </w:p>
        </w:tc>
        <w:tc>
          <w:tcPr>
            <w:tcW w:w="1164" w:type="dxa"/>
            <w:tcBorders>
              <w:top w:val="nil"/>
              <w:left w:val="nil"/>
              <w:bottom w:val="nil"/>
              <w:right w:val="nil"/>
            </w:tcBorders>
            <w:shd w:val="clear" w:color="auto" w:fill="auto"/>
            <w:noWrap/>
            <w:vAlign w:val="center"/>
            <w:hideMark/>
          </w:tcPr>
          <w:p w14:paraId="52154670" w14:textId="77777777" w:rsidR="005C5CED" w:rsidRPr="005C5CED" w:rsidRDefault="005C5CED" w:rsidP="005C5CED">
            <w:pPr>
              <w:spacing w:after="0" w:line="240" w:lineRule="auto"/>
              <w:jc w:val="right"/>
              <w:rPr>
                <w:rFonts w:eastAsia="Times New Roman" w:cs="Arial"/>
                <w:color w:val="auto"/>
                <w:szCs w:val="20"/>
                <w:lang w:eastAsia="en-AU"/>
              </w:rPr>
            </w:pPr>
          </w:p>
        </w:tc>
        <w:tc>
          <w:tcPr>
            <w:tcW w:w="928" w:type="dxa"/>
            <w:tcBorders>
              <w:top w:val="nil"/>
              <w:left w:val="nil"/>
              <w:bottom w:val="nil"/>
              <w:right w:val="nil"/>
            </w:tcBorders>
            <w:shd w:val="clear" w:color="auto" w:fill="auto"/>
            <w:noWrap/>
            <w:vAlign w:val="center"/>
            <w:hideMark/>
          </w:tcPr>
          <w:p w14:paraId="153C05AA" w14:textId="77777777" w:rsidR="005C5CED" w:rsidRPr="005C5CED" w:rsidRDefault="005C5CED" w:rsidP="005C5CED">
            <w:pPr>
              <w:spacing w:after="0" w:line="240" w:lineRule="auto"/>
              <w:jc w:val="right"/>
              <w:rPr>
                <w:rFonts w:eastAsia="Times New Roman" w:cs="Arial"/>
                <w:color w:val="auto"/>
                <w:szCs w:val="20"/>
                <w:lang w:eastAsia="en-AU"/>
              </w:rPr>
            </w:pPr>
          </w:p>
        </w:tc>
        <w:tc>
          <w:tcPr>
            <w:tcW w:w="1120" w:type="dxa"/>
            <w:tcBorders>
              <w:top w:val="nil"/>
              <w:left w:val="nil"/>
              <w:bottom w:val="nil"/>
              <w:right w:val="nil"/>
            </w:tcBorders>
          </w:tcPr>
          <w:p w14:paraId="3AB20F78" w14:textId="77777777" w:rsidR="005C5CED" w:rsidRPr="005C5CED" w:rsidRDefault="005C5CED" w:rsidP="005C5CED">
            <w:pPr>
              <w:spacing w:after="0" w:line="240" w:lineRule="auto"/>
              <w:jc w:val="right"/>
              <w:rPr>
                <w:rFonts w:eastAsia="Times New Roman" w:cs="Arial"/>
                <w:color w:val="auto"/>
                <w:szCs w:val="20"/>
                <w:lang w:eastAsia="en-AU"/>
              </w:rPr>
            </w:pPr>
          </w:p>
        </w:tc>
      </w:tr>
      <w:tr w:rsidR="00B13398" w:rsidRPr="005C5CED" w14:paraId="654C36F3" w14:textId="77777777" w:rsidTr="00B13398">
        <w:trPr>
          <w:trHeight w:val="428"/>
        </w:trPr>
        <w:tc>
          <w:tcPr>
            <w:tcW w:w="1713" w:type="dxa"/>
            <w:tcBorders>
              <w:top w:val="nil"/>
              <w:left w:val="nil"/>
              <w:bottom w:val="nil"/>
              <w:right w:val="nil"/>
            </w:tcBorders>
            <w:shd w:val="clear" w:color="auto" w:fill="auto"/>
            <w:noWrap/>
            <w:vAlign w:val="bottom"/>
            <w:hideMark/>
          </w:tcPr>
          <w:p w14:paraId="424E98D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 liabilities</w:t>
            </w:r>
          </w:p>
        </w:tc>
        <w:tc>
          <w:tcPr>
            <w:tcW w:w="1004" w:type="dxa"/>
            <w:tcBorders>
              <w:top w:val="nil"/>
              <w:left w:val="nil"/>
              <w:bottom w:val="single" w:sz="4" w:space="0" w:color="auto"/>
              <w:right w:val="nil"/>
            </w:tcBorders>
            <w:shd w:val="clear" w:color="auto" w:fill="auto"/>
            <w:noWrap/>
            <w:vAlign w:val="center"/>
            <w:hideMark/>
          </w:tcPr>
          <w:p w14:paraId="5C4A216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18,785</w:t>
            </w:r>
          </w:p>
        </w:tc>
        <w:tc>
          <w:tcPr>
            <w:tcW w:w="1369" w:type="dxa"/>
            <w:tcBorders>
              <w:top w:val="nil"/>
              <w:left w:val="nil"/>
              <w:bottom w:val="single" w:sz="4" w:space="0" w:color="auto"/>
              <w:right w:val="nil"/>
            </w:tcBorders>
            <w:shd w:val="clear" w:color="auto" w:fill="auto"/>
            <w:noWrap/>
            <w:vAlign w:val="center"/>
            <w:hideMark/>
          </w:tcPr>
          <w:p w14:paraId="22F0808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20,573</w:t>
            </w:r>
          </w:p>
        </w:tc>
        <w:tc>
          <w:tcPr>
            <w:tcW w:w="1089" w:type="dxa"/>
            <w:tcBorders>
              <w:top w:val="nil"/>
              <w:left w:val="nil"/>
              <w:bottom w:val="single" w:sz="4" w:space="0" w:color="auto"/>
              <w:right w:val="nil"/>
            </w:tcBorders>
            <w:shd w:val="clear" w:color="auto" w:fill="auto"/>
            <w:noWrap/>
            <w:vAlign w:val="center"/>
            <w:hideMark/>
          </w:tcPr>
          <w:p w14:paraId="7F807F0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145</w:t>
            </w:r>
          </w:p>
        </w:tc>
        <w:tc>
          <w:tcPr>
            <w:tcW w:w="1164" w:type="dxa"/>
            <w:tcBorders>
              <w:top w:val="nil"/>
              <w:left w:val="nil"/>
              <w:bottom w:val="single" w:sz="4" w:space="0" w:color="auto"/>
              <w:right w:val="nil"/>
            </w:tcBorders>
            <w:shd w:val="clear" w:color="auto" w:fill="auto"/>
            <w:noWrap/>
            <w:vAlign w:val="center"/>
            <w:hideMark/>
          </w:tcPr>
          <w:p w14:paraId="7F963FA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290</w:t>
            </w:r>
          </w:p>
        </w:tc>
        <w:tc>
          <w:tcPr>
            <w:tcW w:w="1164" w:type="dxa"/>
            <w:tcBorders>
              <w:top w:val="nil"/>
              <w:left w:val="nil"/>
              <w:bottom w:val="single" w:sz="4" w:space="0" w:color="auto"/>
              <w:right w:val="nil"/>
            </w:tcBorders>
            <w:shd w:val="clear" w:color="auto" w:fill="auto"/>
            <w:noWrap/>
            <w:vAlign w:val="center"/>
            <w:hideMark/>
          </w:tcPr>
          <w:p w14:paraId="4213E8B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1,355</w:t>
            </w:r>
          </w:p>
        </w:tc>
        <w:tc>
          <w:tcPr>
            <w:tcW w:w="928" w:type="dxa"/>
            <w:tcBorders>
              <w:top w:val="nil"/>
              <w:left w:val="nil"/>
              <w:bottom w:val="single" w:sz="4" w:space="0" w:color="auto"/>
              <w:right w:val="nil"/>
            </w:tcBorders>
            <w:shd w:val="clear" w:color="auto" w:fill="auto"/>
            <w:noWrap/>
            <w:vAlign w:val="center"/>
            <w:hideMark/>
          </w:tcPr>
          <w:p w14:paraId="10D39D9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7,902</w:t>
            </w:r>
          </w:p>
        </w:tc>
        <w:tc>
          <w:tcPr>
            <w:tcW w:w="1120" w:type="dxa"/>
            <w:tcBorders>
              <w:top w:val="nil"/>
              <w:left w:val="nil"/>
              <w:bottom w:val="single" w:sz="4" w:space="0" w:color="auto"/>
              <w:right w:val="nil"/>
            </w:tcBorders>
            <w:vAlign w:val="center"/>
          </w:tcPr>
          <w:p w14:paraId="21521715" w14:textId="77777777" w:rsidR="005C5CED" w:rsidRPr="005C5CED" w:rsidRDefault="005C5CED" w:rsidP="005C5CED">
            <w:pPr>
              <w:spacing w:after="0" w:line="240" w:lineRule="auto"/>
              <w:jc w:val="right"/>
              <w:rPr>
                <w:rFonts w:eastAsia="Times New Roman" w:cs="Arial"/>
                <w:color w:val="000000"/>
                <w:sz w:val="16"/>
                <w:szCs w:val="16"/>
                <w:lang w:eastAsia="en-AU"/>
              </w:rPr>
            </w:pPr>
            <w:r w:rsidRPr="005C5CED">
              <w:rPr>
                <w:rFonts w:eastAsia="Times New Roman" w:cs="Arial"/>
                <w:color w:val="auto"/>
                <w:sz w:val="16"/>
                <w:szCs w:val="16"/>
                <w:lang w:eastAsia="en-AU"/>
              </w:rPr>
              <w:t>10,881</w:t>
            </w:r>
          </w:p>
        </w:tc>
      </w:tr>
      <w:tr w:rsidR="00B13398" w:rsidRPr="005C5CED" w14:paraId="0A4D27EE" w14:textId="77777777" w:rsidTr="00B13398">
        <w:trPr>
          <w:trHeight w:val="428"/>
        </w:trPr>
        <w:tc>
          <w:tcPr>
            <w:tcW w:w="1713" w:type="dxa"/>
            <w:tcBorders>
              <w:top w:val="single" w:sz="4" w:space="0" w:color="auto"/>
              <w:left w:val="nil"/>
              <w:bottom w:val="single" w:sz="4" w:space="0" w:color="auto"/>
              <w:right w:val="nil"/>
            </w:tcBorders>
            <w:shd w:val="clear" w:color="auto" w:fill="auto"/>
            <w:noWrap/>
            <w:vAlign w:val="center"/>
            <w:hideMark/>
          </w:tcPr>
          <w:p w14:paraId="37E4FC91"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w:t>
            </w:r>
          </w:p>
        </w:tc>
        <w:tc>
          <w:tcPr>
            <w:tcW w:w="1004" w:type="dxa"/>
            <w:tcBorders>
              <w:top w:val="nil"/>
              <w:left w:val="nil"/>
              <w:bottom w:val="single" w:sz="4" w:space="0" w:color="auto"/>
              <w:right w:val="nil"/>
            </w:tcBorders>
            <w:shd w:val="clear" w:color="auto" w:fill="auto"/>
            <w:noWrap/>
            <w:vAlign w:val="center"/>
            <w:hideMark/>
          </w:tcPr>
          <w:p w14:paraId="66BA1CE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18,785</w:t>
            </w:r>
          </w:p>
        </w:tc>
        <w:tc>
          <w:tcPr>
            <w:tcW w:w="1369" w:type="dxa"/>
            <w:tcBorders>
              <w:top w:val="nil"/>
              <w:left w:val="nil"/>
              <w:bottom w:val="single" w:sz="4" w:space="0" w:color="auto"/>
              <w:right w:val="nil"/>
            </w:tcBorders>
            <w:shd w:val="clear" w:color="auto" w:fill="auto"/>
            <w:noWrap/>
            <w:vAlign w:val="center"/>
            <w:hideMark/>
          </w:tcPr>
          <w:p w14:paraId="0CF43FD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20,573</w:t>
            </w:r>
          </w:p>
        </w:tc>
        <w:tc>
          <w:tcPr>
            <w:tcW w:w="1089" w:type="dxa"/>
            <w:tcBorders>
              <w:top w:val="nil"/>
              <w:left w:val="nil"/>
              <w:bottom w:val="single" w:sz="4" w:space="0" w:color="auto"/>
              <w:right w:val="nil"/>
            </w:tcBorders>
            <w:shd w:val="clear" w:color="auto" w:fill="auto"/>
            <w:noWrap/>
            <w:vAlign w:val="center"/>
            <w:hideMark/>
          </w:tcPr>
          <w:p w14:paraId="1141ADC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145</w:t>
            </w:r>
          </w:p>
        </w:tc>
        <w:tc>
          <w:tcPr>
            <w:tcW w:w="1164" w:type="dxa"/>
            <w:tcBorders>
              <w:top w:val="nil"/>
              <w:left w:val="nil"/>
              <w:bottom w:val="single" w:sz="4" w:space="0" w:color="auto"/>
              <w:right w:val="nil"/>
            </w:tcBorders>
            <w:shd w:val="clear" w:color="auto" w:fill="auto"/>
            <w:noWrap/>
            <w:vAlign w:val="center"/>
            <w:hideMark/>
          </w:tcPr>
          <w:p w14:paraId="1FB3F47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290</w:t>
            </w:r>
          </w:p>
        </w:tc>
        <w:tc>
          <w:tcPr>
            <w:tcW w:w="1164" w:type="dxa"/>
            <w:tcBorders>
              <w:top w:val="nil"/>
              <w:left w:val="nil"/>
              <w:bottom w:val="single" w:sz="4" w:space="0" w:color="auto"/>
              <w:right w:val="nil"/>
            </w:tcBorders>
            <w:shd w:val="clear" w:color="auto" w:fill="auto"/>
            <w:noWrap/>
            <w:vAlign w:val="center"/>
            <w:hideMark/>
          </w:tcPr>
          <w:p w14:paraId="55B594C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1,355</w:t>
            </w:r>
          </w:p>
        </w:tc>
        <w:tc>
          <w:tcPr>
            <w:tcW w:w="928" w:type="dxa"/>
            <w:tcBorders>
              <w:top w:val="nil"/>
              <w:left w:val="nil"/>
              <w:bottom w:val="single" w:sz="4" w:space="0" w:color="auto"/>
              <w:right w:val="nil"/>
            </w:tcBorders>
            <w:shd w:val="clear" w:color="auto" w:fill="auto"/>
            <w:noWrap/>
            <w:vAlign w:val="center"/>
            <w:hideMark/>
          </w:tcPr>
          <w:p w14:paraId="321873B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7,902</w:t>
            </w:r>
          </w:p>
        </w:tc>
        <w:tc>
          <w:tcPr>
            <w:tcW w:w="1120" w:type="dxa"/>
            <w:tcBorders>
              <w:top w:val="nil"/>
              <w:left w:val="nil"/>
              <w:bottom w:val="single" w:sz="4" w:space="0" w:color="auto"/>
              <w:right w:val="nil"/>
            </w:tcBorders>
            <w:vAlign w:val="center"/>
          </w:tcPr>
          <w:p w14:paraId="6F1B6DB8" w14:textId="77777777" w:rsidR="005C5CED" w:rsidRPr="005C5CED" w:rsidRDefault="005C5CED" w:rsidP="005C5CED">
            <w:pPr>
              <w:spacing w:after="0" w:line="240" w:lineRule="auto"/>
              <w:jc w:val="right"/>
              <w:rPr>
                <w:rFonts w:eastAsia="Times New Roman" w:cs="Arial"/>
                <w:b/>
                <w:bCs/>
                <w:color w:val="000000"/>
                <w:sz w:val="16"/>
                <w:szCs w:val="16"/>
                <w:lang w:eastAsia="en-AU"/>
              </w:rPr>
            </w:pPr>
            <w:r w:rsidRPr="005C5CED">
              <w:rPr>
                <w:rFonts w:eastAsia="Times New Roman" w:cs="Arial"/>
                <w:b/>
                <w:bCs/>
                <w:color w:val="auto"/>
                <w:sz w:val="16"/>
                <w:szCs w:val="16"/>
                <w:lang w:eastAsia="en-AU"/>
              </w:rPr>
              <w:t>10,881</w:t>
            </w:r>
          </w:p>
        </w:tc>
      </w:tr>
    </w:tbl>
    <w:p w14:paraId="4D01812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br w:type="page"/>
      </w:r>
    </w:p>
    <w:p w14:paraId="4DC43E4F" w14:textId="77777777" w:rsidR="005C5CED" w:rsidRPr="005C5CED" w:rsidRDefault="005C5CED" w:rsidP="005C5CED">
      <w:pPr>
        <w:keepNext/>
        <w:keepLines/>
        <w:spacing w:before="200" w:after="40" w:line="259" w:lineRule="auto"/>
        <w:outlineLvl w:val="4"/>
        <w:rPr>
          <w:rFonts w:eastAsia="Times New Roman" w:cs="SegoeUI"/>
          <w:b/>
          <w:bCs/>
          <w:color w:val="595959"/>
          <w:lang w:eastAsia="en-AU"/>
        </w:rPr>
      </w:pPr>
      <w:r w:rsidRPr="005C5CED">
        <w:rPr>
          <w:rFonts w:eastAsia="Times New Roman" w:cs="SegoeUI"/>
          <w:b/>
          <w:bCs/>
          <w:color w:val="595959"/>
          <w:lang w:eastAsia="en-AU"/>
        </w:rPr>
        <w:lastRenderedPageBreak/>
        <w:t>Interest expense</w:t>
      </w:r>
    </w:p>
    <w:tbl>
      <w:tblPr>
        <w:tblW w:w="4532" w:type="dxa"/>
        <w:tblLook w:val="04A0" w:firstRow="1" w:lastRow="0" w:firstColumn="1" w:lastColumn="0" w:noHBand="0" w:noVBand="1"/>
      </w:tblPr>
      <w:tblGrid>
        <w:gridCol w:w="1876"/>
        <w:gridCol w:w="251"/>
        <w:gridCol w:w="283"/>
        <w:gridCol w:w="1054"/>
        <w:gridCol w:w="1068"/>
      </w:tblGrid>
      <w:tr w:rsidR="005C5CED" w:rsidRPr="005C5CED" w14:paraId="61ECCCEC" w14:textId="77777777" w:rsidTr="0062462F">
        <w:trPr>
          <w:trHeight w:val="225"/>
        </w:trPr>
        <w:tc>
          <w:tcPr>
            <w:tcW w:w="1876" w:type="dxa"/>
            <w:tcBorders>
              <w:top w:val="single" w:sz="4" w:space="0" w:color="auto"/>
              <w:left w:val="nil"/>
              <w:bottom w:val="nil"/>
              <w:right w:val="nil"/>
            </w:tcBorders>
            <w:shd w:val="clear" w:color="000000" w:fill="000000"/>
            <w:noWrap/>
            <w:vAlign w:val="bottom"/>
            <w:hideMark/>
          </w:tcPr>
          <w:p w14:paraId="7C973CAE"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88" w:type="dxa"/>
            <w:gridSpan w:val="3"/>
            <w:tcBorders>
              <w:top w:val="single" w:sz="4" w:space="0" w:color="auto"/>
              <w:left w:val="nil"/>
              <w:bottom w:val="nil"/>
              <w:right w:val="nil"/>
            </w:tcBorders>
            <w:shd w:val="clear" w:color="000000" w:fill="000000"/>
            <w:noWrap/>
            <w:vAlign w:val="bottom"/>
            <w:hideMark/>
          </w:tcPr>
          <w:p w14:paraId="50FFD333"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068" w:type="dxa"/>
            <w:tcBorders>
              <w:top w:val="single" w:sz="4" w:space="0" w:color="auto"/>
              <w:left w:val="nil"/>
              <w:bottom w:val="nil"/>
              <w:right w:val="nil"/>
            </w:tcBorders>
            <w:shd w:val="clear" w:color="000000" w:fill="000000"/>
            <w:noWrap/>
            <w:vAlign w:val="bottom"/>
            <w:hideMark/>
          </w:tcPr>
          <w:p w14:paraId="01562C4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0E46E9B2" w14:textId="77777777" w:rsidTr="0062462F">
        <w:trPr>
          <w:trHeight w:val="225"/>
        </w:trPr>
        <w:tc>
          <w:tcPr>
            <w:tcW w:w="1876" w:type="dxa"/>
            <w:tcBorders>
              <w:top w:val="nil"/>
              <w:left w:val="nil"/>
              <w:bottom w:val="single" w:sz="4" w:space="0" w:color="auto"/>
              <w:right w:val="nil"/>
            </w:tcBorders>
            <w:shd w:val="clear" w:color="000000" w:fill="000000"/>
            <w:noWrap/>
            <w:vAlign w:val="bottom"/>
            <w:hideMark/>
          </w:tcPr>
          <w:p w14:paraId="547E579F"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88" w:type="dxa"/>
            <w:gridSpan w:val="3"/>
            <w:tcBorders>
              <w:top w:val="nil"/>
              <w:left w:val="nil"/>
              <w:bottom w:val="single" w:sz="4" w:space="0" w:color="auto"/>
              <w:right w:val="nil"/>
            </w:tcBorders>
            <w:shd w:val="clear" w:color="000000" w:fill="000000"/>
            <w:noWrap/>
            <w:vAlign w:val="bottom"/>
            <w:hideMark/>
          </w:tcPr>
          <w:p w14:paraId="0DF4448F"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68" w:type="dxa"/>
            <w:tcBorders>
              <w:top w:val="nil"/>
              <w:left w:val="nil"/>
              <w:bottom w:val="single" w:sz="4" w:space="0" w:color="auto"/>
              <w:right w:val="nil"/>
            </w:tcBorders>
            <w:shd w:val="clear" w:color="000000" w:fill="000000"/>
            <w:noWrap/>
            <w:vAlign w:val="bottom"/>
            <w:hideMark/>
          </w:tcPr>
          <w:p w14:paraId="6EF6D49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00990727" w14:textId="77777777" w:rsidTr="0062462F">
        <w:trPr>
          <w:trHeight w:val="342"/>
        </w:trPr>
        <w:tc>
          <w:tcPr>
            <w:tcW w:w="2410" w:type="dxa"/>
            <w:gridSpan w:val="3"/>
            <w:tcBorders>
              <w:top w:val="nil"/>
              <w:left w:val="nil"/>
              <w:bottom w:val="nil"/>
              <w:right w:val="nil"/>
            </w:tcBorders>
            <w:shd w:val="clear" w:color="auto" w:fill="auto"/>
            <w:noWrap/>
            <w:vAlign w:val="center"/>
            <w:hideMark/>
          </w:tcPr>
          <w:p w14:paraId="51800BB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Interest on lease liabilities</w:t>
            </w:r>
          </w:p>
        </w:tc>
        <w:tc>
          <w:tcPr>
            <w:tcW w:w="1054" w:type="dxa"/>
            <w:tcBorders>
              <w:top w:val="nil"/>
              <w:left w:val="nil"/>
              <w:bottom w:val="nil"/>
              <w:right w:val="nil"/>
            </w:tcBorders>
            <w:shd w:val="clear" w:color="auto" w:fill="auto"/>
            <w:noWrap/>
            <w:vAlign w:val="center"/>
          </w:tcPr>
          <w:p w14:paraId="384EFC5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334</w:t>
            </w:r>
          </w:p>
        </w:tc>
        <w:tc>
          <w:tcPr>
            <w:tcW w:w="1068" w:type="dxa"/>
            <w:tcBorders>
              <w:top w:val="nil"/>
              <w:left w:val="nil"/>
              <w:bottom w:val="nil"/>
              <w:right w:val="nil"/>
            </w:tcBorders>
            <w:shd w:val="clear" w:color="000000" w:fill="E7E6E6"/>
            <w:noWrap/>
            <w:vAlign w:val="center"/>
            <w:hideMark/>
          </w:tcPr>
          <w:p w14:paraId="4934908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358</w:t>
            </w:r>
          </w:p>
        </w:tc>
      </w:tr>
      <w:tr w:rsidR="005C5CED" w:rsidRPr="005C5CED" w14:paraId="302362C7" w14:textId="77777777" w:rsidTr="0062462F">
        <w:trPr>
          <w:trHeight w:val="342"/>
        </w:trPr>
        <w:tc>
          <w:tcPr>
            <w:tcW w:w="2127" w:type="dxa"/>
            <w:gridSpan w:val="2"/>
            <w:tcBorders>
              <w:top w:val="single" w:sz="4" w:space="0" w:color="auto"/>
              <w:left w:val="nil"/>
              <w:bottom w:val="single" w:sz="4" w:space="0" w:color="auto"/>
              <w:right w:val="nil"/>
            </w:tcBorders>
            <w:shd w:val="clear" w:color="auto" w:fill="auto"/>
            <w:noWrap/>
            <w:vAlign w:val="center"/>
            <w:hideMark/>
          </w:tcPr>
          <w:p w14:paraId="09B40590"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interest expense</w:t>
            </w:r>
          </w:p>
        </w:tc>
        <w:tc>
          <w:tcPr>
            <w:tcW w:w="1337" w:type="dxa"/>
            <w:gridSpan w:val="2"/>
            <w:tcBorders>
              <w:top w:val="single" w:sz="4" w:space="0" w:color="auto"/>
              <w:left w:val="nil"/>
              <w:bottom w:val="single" w:sz="4" w:space="0" w:color="auto"/>
              <w:right w:val="nil"/>
            </w:tcBorders>
            <w:shd w:val="clear" w:color="auto" w:fill="auto"/>
            <w:noWrap/>
            <w:vAlign w:val="center"/>
          </w:tcPr>
          <w:p w14:paraId="5A46271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334</w:t>
            </w:r>
          </w:p>
        </w:tc>
        <w:tc>
          <w:tcPr>
            <w:tcW w:w="1068" w:type="dxa"/>
            <w:tcBorders>
              <w:top w:val="single" w:sz="4" w:space="0" w:color="auto"/>
              <w:left w:val="nil"/>
              <w:bottom w:val="single" w:sz="4" w:space="0" w:color="auto"/>
              <w:right w:val="nil"/>
            </w:tcBorders>
            <w:shd w:val="clear" w:color="000000" w:fill="E7E6E6"/>
            <w:noWrap/>
            <w:vAlign w:val="center"/>
            <w:hideMark/>
          </w:tcPr>
          <w:p w14:paraId="5056E1D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358</w:t>
            </w:r>
          </w:p>
        </w:tc>
      </w:tr>
    </w:tbl>
    <w:p w14:paraId="58914C6D" w14:textId="77777777" w:rsidR="005C5CED" w:rsidRPr="005C5CED" w:rsidRDefault="005C5CED" w:rsidP="005C5CED">
      <w:pPr>
        <w:spacing w:line="259" w:lineRule="auto"/>
        <w:rPr>
          <w:rFonts w:eastAsia="Calibri" w:cs="Arial"/>
          <w:color w:val="auto"/>
        </w:rPr>
      </w:pPr>
    </w:p>
    <w:p w14:paraId="592DCD29" w14:textId="77777777" w:rsidR="005C5CED" w:rsidRPr="005C5CED" w:rsidRDefault="005C5CED" w:rsidP="005C5CED">
      <w:pPr>
        <w:spacing w:line="259" w:lineRule="auto"/>
        <w:rPr>
          <w:rFonts w:eastAsia="Calibri" w:cs="Arial"/>
          <w:color w:val="auto"/>
        </w:rPr>
      </w:pPr>
      <w:r w:rsidRPr="005C5CED">
        <w:rPr>
          <w:rFonts w:eastAsia="Calibri" w:cs="Arial"/>
          <w:color w:val="auto"/>
        </w:rPr>
        <w:t>Interest expense includes costs incurred in connection with the interest component of lease repayments. Interest expense is recognised in the period in which it is incurred.</w:t>
      </w:r>
    </w:p>
    <w:p w14:paraId="4D247662"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6.2 Leases</w:t>
      </w:r>
    </w:p>
    <w:p w14:paraId="0ADE7B4D"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Information about leases for which Sustainability Victoria is a lessee is presented below.  </w:t>
      </w:r>
    </w:p>
    <w:p w14:paraId="142CE974" w14:textId="77777777" w:rsidR="005C5CED" w:rsidRPr="005C5CED" w:rsidRDefault="005C5CED" w:rsidP="005C5CED">
      <w:pPr>
        <w:spacing w:line="259" w:lineRule="auto"/>
        <w:rPr>
          <w:rFonts w:eastAsia="Yu Gothic Light" w:cs="SegoeUI"/>
          <w:b/>
          <w:color w:val="FF0000"/>
        </w:rPr>
      </w:pPr>
      <w:r w:rsidRPr="005C5CED">
        <w:rPr>
          <w:rFonts w:eastAsia="Calibri" w:cs="Arial"/>
          <w:color w:val="auto"/>
        </w:rPr>
        <w:t xml:space="preserve">Sustainability Victoria leases an office space located at 321 Exhibition Street, Melbourne. The lease term is 7 years with an option to extend an additional 4 years. The lease term at inception was measured at 7 years with an option to extend an additional 4 years. Changes in working conditions post pandemic have demonstrated the option to extend the lease is now certain not to be exercised which has led to a decrease in the right-of-use asset of $8,774,188. An increase in the incremental borrowing rate </w:t>
      </w:r>
      <w:proofErr w:type="gramStart"/>
      <w:r w:rsidRPr="005C5CED">
        <w:rPr>
          <w:rFonts w:eastAsia="Calibri" w:cs="Arial"/>
          <w:color w:val="auto"/>
        </w:rPr>
        <w:t>lead</w:t>
      </w:r>
      <w:proofErr w:type="gramEnd"/>
      <w:r w:rsidRPr="005C5CED">
        <w:rPr>
          <w:rFonts w:eastAsia="Calibri" w:cs="Arial"/>
          <w:color w:val="auto"/>
        </w:rPr>
        <w:t xml:space="preserve"> to a decrease in the right-of-use asset of $1,004,496, total decrease from changes in accounting estimates is $9,778,684 Additionally, a market revaluation has been undertaken to ascertain the fair value of the underlying asset in the current financial year leading to a fair value decrement recognised through net result of the right of use asset of $2,198,126. These factors combined with changes in the underlying borrowing rate have reduced the overall asset carrying value of the office space.</w:t>
      </w:r>
    </w:p>
    <w:p w14:paraId="1A04CEA0"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6.2 (a) Right-of-use assets</w:t>
      </w:r>
    </w:p>
    <w:p w14:paraId="45778E8A" w14:textId="77777777" w:rsidR="005C5CED" w:rsidRPr="005C5CED" w:rsidRDefault="005C5CED" w:rsidP="005C5CED">
      <w:pPr>
        <w:spacing w:line="259" w:lineRule="auto"/>
        <w:rPr>
          <w:rFonts w:eastAsia="Calibri" w:cs="Arial"/>
          <w:color w:val="auto"/>
        </w:rPr>
      </w:pPr>
      <w:r w:rsidRPr="005C5CED">
        <w:rPr>
          <w:rFonts w:eastAsia="Calibri" w:cs="Arial"/>
          <w:color w:val="auto"/>
        </w:rPr>
        <w:t>Right-of-use assets are presented in note 4.1</w:t>
      </w:r>
    </w:p>
    <w:p w14:paraId="16A429BD"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6.2 (b) Amounts recognised in the Comprehensive Operating Statement</w:t>
      </w:r>
    </w:p>
    <w:p w14:paraId="32E1F6D3"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The following amounts are recognised in the Comprehensive Operating Statement relating to leases:</w:t>
      </w:r>
    </w:p>
    <w:tbl>
      <w:tblPr>
        <w:tblW w:w="8192" w:type="dxa"/>
        <w:tblLook w:val="04A0" w:firstRow="1" w:lastRow="0" w:firstColumn="1" w:lastColumn="0" w:noHBand="0" w:noVBand="1"/>
      </w:tblPr>
      <w:tblGrid>
        <w:gridCol w:w="5812"/>
        <w:gridCol w:w="1312"/>
        <w:gridCol w:w="1068"/>
      </w:tblGrid>
      <w:tr w:rsidR="005C5CED" w:rsidRPr="005C5CED" w14:paraId="584398D6" w14:textId="77777777" w:rsidTr="0062462F">
        <w:trPr>
          <w:trHeight w:val="225"/>
        </w:trPr>
        <w:tc>
          <w:tcPr>
            <w:tcW w:w="5812" w:type="dxa"/>
            <w:tcBorders>
              <w:top w:val="single" w:sz="4" w:space="0" w:color="auto"/>
              <w:left w:val="nil"/>
              <w:bottom w:val="nil"/>
              <w:right w:val="nil"/>
            </w:tcBorders>
            <w:shd w:val="clear" w:color="000000" w:fill="000000"/>
            <w:noWrap/>
            <w:vAlign w:val="bottom"/>
            <w:hideMark/>
          </w:tcPr>
          <w:p w14:paraId="21C6DB37"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312" w:type="dxa"/>
            <w:tcBorders>
              <w:top w:val="single" w:sz="4" w:space="0" w:color="auto"/>
              <w:left w:val="nil"/>
              <w:bottom w:val="nil"/>
              <w:right w:val="nil"/>
            </w:tcBorders>
            <w:shd w:val="clear" w:color="000000" w:fill="000000"/>
            <w:noWrap/>
            <w:vAlign w:val="bottom"/>
            <w:hideMark/>
          </w:tcPr>
          <w:p w14:paraId="64D4894C"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068" w:type="dxa"/>
            <w:tcBorders>
              <w:top w:val="single" w:sz="4" w:space="0" w:color="auto"/>
              <w:left w:val="nil"/>
              <w:bottom w:val="nil"/>
              <w:right w:val="nil"/>
            </w:tcBorders>
            <w:shd w:val="clear" w:color="000000" w:fill="000000"/>
            <w:noWrap/>
            <w:vAlign w:val="bottom"/>
            <w:hideMark/>
          </w:tcPr>
          <w:p w14:paraId="48A40AEA"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614C35E5" w14:textId="77777777" w:rsidTr="0062462F">
        <w:trPr>
          <w:trHeight w:val="225"/>
        </w:trPr>
        <w:tc>
          <w:tcPr>
            <w:tcW w:w="5812" w:type="dxa"/>
            <w:tcBorders>
              <w:top w:val="nil"/>
              <w:left w:val="nil"/>
              <w:bottom w:val="single" w:sz="4" w:space="0" w:color="auto"/>
              <w:right w:val="nil"/>
            </w:tcBorders>
            <w:shd w:val="clear" w:color="000000" w:fill="000000"/>
            <w:noWrap/>
            <w:vAlign w:val="bottom"/>
            <w:hideMark/>
          </w:tcPr>
          <w:p w14:paraId="344B1DD0"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312" w:type="dxa"/>
            <w:tcBorders>
              <w:top w:val="nil"/>
              <w:left w:val="nil"/>
              <w:bottom w:val="single" w:sz="4" w:space="0" w:color="auto"/>
              <w:right w:val="nil"/>
            </w:tcBorders>
            <w:shd w:val="clear" w:color="000000" w:fill="000000"/>
            <w:noWrap/>
            <w:vAlign w:val="bottom"/>
            <w:hideMark/>
          </w:tcPr>
          <w:p w14:paraId="40C386C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68" w:type="dxa"/>
            <w:tcBorders>
              <w:top w:val="nil"/>
              <w:left w:val="nil"/>
              <w:bottom w:val="single" w:sz="4" w:space="0" w:color="auto"/>
              <w:right w:val="nil"/>
            </w:tcBorders>
            <w:shd w:val="clear" w:color="000000" w:fill="000000"/>
            <w:noWrap/>
            <w:vAlign w:val="bottom"/>
            <w:hideMark/>
          </w:tcPr>
          <w:p w14:paraId="2815A44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67DE108C" w14:textId="77777777" w:rsidTr="0062462F">
        <w:trPr>
          <w:trHeight w:val="428"/>
        </w:trPr>
        <w:tc>
          <w:tcPr>
            <w:tcW w:w="5812" w:type="dxa"/>
            <w:tcBorders>
              <w:top w:val="nil"/>
              <w:left w:val="nil"/>
              <w:bottom w:val="nil"/>
              <w:right w:val="nil"/>
            </w:tcBorders>
            <w:shd w:val="clear" w:color="auto" w:fill="auto"/>
            <w:noWrap/>
            <w:vAlign w:val="center"/>
            <w:hideMark/>
          </w:tcPr>
          <w:p w14:paraId="43BC86E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Interest on lease liabilities</w:t>
            </w:r>
          </w:p>
        </w:tc>
        <w:tc>
          <w:tcPr>
            <w:tcW w:w="1312" w:type="dxa"/>
            <w:tcBorders>
              <w:top w:val="nil"/>
              <w:left w:val="nil"/>
              <w:bottom w:val="nil"/>
              <w:right w:val="nil"/>
            </w:tcBorders>
            <w:shd w:val="clear" w:color="auto" w:fill="auto"/>
            <w:noWrap/>
            <w:vAlign w:val="center"/>
          </w:tcPr>
          <w:p w14:paraId="3291322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334</w:t>
            </w:r>
          </w:p>
        </w:tc>
        <w:tc>
          <w:tcPr>
            <w:tcW w:w="1068" w:type="dxa"/>
            <w:tcBorders>
              <w:top w:val="nil"/>
              <w:left w:val="nil"/>
              <w:bottom w:val="nil"/>
              <w:right w:val="nil"/>
            </w:tcBorders>
            <w:shd w:val="clear" w:color="000000" w:fill="E7E6E6"/>
            <w:noWrap/>
            <w:vAlign w:val="center"/>
            <w:hideMark/>
          </w:tcPr>
          <w:p w14:paraId="073DC5E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358</w:t>
            </w:r>
          </w:p>
        </w:tc>
      </w:tr>
      <w:tr w:rsidR="005C5CED" w:rsidRPr="005C5CED" w14:paraId="1CB70175" w14:textId="77777777" w:rsidTr="0062462F">
        <w:trPr>
          <w:trHeight w:val="342"/>
        </w:trPr>
        <w:tc>
          <w:tcPr>
            <w:tcW w:w="5812" w:type="dxa"/>
            <w:tcBorders>
              <w:top w:val="single" w:sz="4" w:space="0" w:color="auto"/>
              <w:left w:val="nil"/>
              <w:bottom w:val="single" w:sz="4" w:space="0" w:color="auto"/>
              <w:right w:val="nil"/>
            </w:tcBorders>
            <w:shd w:val="clear" w:color="auto" w:fill="auto"/>
            <w:noWrap/>
            <w:vAlign w:val="center"/>
            <w:hideMark/>
          </w:tcPr>
          <w:p w14:paraId="4D2DBEB3"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amount recognised in the Comprehensive Operating Statement</w:t>
            </w:r>
          </w:p>
        </w:tc>
        <w:tc>
          <w:tcPr>
            <w:tcW w:w="1312" w:type="dxa"/>
            <w:tcBorders>
              <w:top w:val="single" w:sz="4" w:space="0" w:color="auto"/>
              <w:left w:val="nil"/>
              <w:bottom w:val="single" w:sz="4" w:space="0" w:color="auto"/>
              <w:right w:val="nil"/>
            </w:tcBorders>
            <w:shd w:val="clear" w:color="auto" w:fill="auto"/>
            <w:noWrap/>
            <w:vAlign w:val="center"/>
          </w:tcPr>
          <w:p w14:paraId="6EF9ABD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334</w:t>
            </w:r>
          </w:p>
        </w:tc>
        <w:tc>
          <w:tcPr>
            <w:tcW w:w="1068" w:type="dxa"/>
            <w:tcBorders>
              <w:top w:val="single" w:sz="4" w:space="0" w:color="auto"/>
              <w:left w:val="nil"/>
              <w:bottom w:val="single" w:sz="4" w:space="0" w:color="auto"/>
              <w:right w:val="nil"/>
            </w:tcBorders>
            <w:shd w:val="clear" w:color="000000" w:fill="E7E6E6"/>
            <w:noWrap/>
            <w:vAlign w:val="center"/>
            <w:hideMark/>
          </w:tcPr>
          <w:p w14:paraId="7B418C7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358</w:t>
            </w:r>
          </w:p>
        </w:tc>
      </w:tr>
    </w:tbl>
    <w:p w14:paraId="33BFB6F4" w14:textId="77777777" w:rsidR="005C5CED" w:rsidRPr="005C5CED" w:rsidRDefault="005C5CED" w:rsidP="005C5CED">
      <w:pPr>
        <w:spacing w:after="60" w:line="259" w:lineRule="auto"/>
        <w:rPr>
          <w:rFonts w:eastAsia="Calibri" w:cs="Arial"/>
          <w:b/>
          <w:bCs/>
          <w:color w:val="auto"/>
          <w:sz w:val="16"/>
          <w:szCs w:val="16"/>
        </w:rPr>
      </w:pPr>
    </w:p>
    <w:p w14:paraId="5CDA7320"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6.2 (c) Amounts recognised in the Statement of Cashflows</w:t>
      </w:r>
    </w:p>
    <w:tbl>
      <w:tblPr>
        <w:tblW w:w="8192" w:type="dxa"/>
        <w:tblLook w:val="04A0" w:firstRow="1" w:lastRow="0" w:firstColumn="1" w:lastColumn="0" w:noHBand="0" w:noVBand="1"/>
      </w:tblPr>
      <w:tblGrid>
        <w:gridCol w:w="5536"/>
        <w:gridCol w:w="1588"/>
        <w:gridCol w:w="1068"/>
      </w:tblGrid>
      <w:tr w:rsidR="005C5CED" w:rsidRPr="005C5CED" w14:paraId="4F7773F4" w14:textId="77777777" w:rsidTr="0062462F">
        <w:trPr>
          <w:trHeight w:val="225"/>
        </w:trPr>
        <w:tc>
          <w:tcPr>
            <w:tcW w:w="5536" w:type="dxa"/>
            <w:tcBorders>
              <w:top w:val="single" w:sz="4" w:space="0" w:color="auto"/>
              <w:left w:val="nil"/>
              <w:bottom w:val="nil"/>
              <w:right w:val="nil"/>
            </w:tcBorders>
            <w:shd w:val="clear" w:color="000000" w:fill="000000"/>
            <w:noWrap/>
            <w:vAlign w:val="bottom"/>
            <w:hideMark/>
          </w:tcPr>
          <w:p w14:paraId="437F6D37"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88" w:type="dxa"/>
            <w:tcBorders>
              <w:top w:val="single" w:sz="4" w:space="0" w:color="auto"/>
              <w:left w:val="nil"/>
              <w:bottom w:val="nil"/>
              <w:right w:val="nil"/>
            </w:tcBorders>
            <w:shd w:val="clear" w:color="000000" w:fill="000000"/>
            <w:noWrap/>
            <w:vAlign w:val="bottom"/>
            <w:hideMark/>
          </w:tcPr>
          <w:p w14:paraId="0A8DA19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068" w:type="dxa"/>
            <w:tcBorders>
              <w:top w:val="single" w:sz="4" w:space="0" w:color="auto"/>
              <w:left w:val="nil"/>
              <w:bottom w:val="nil"/>
              <w:right w:val="nil"/>
            </w:tcBorders>
            <w:shd w:val="clear" w:color="000000" w:fill="000000"/>
            <w:noWrap/>
            <w:vAlign w:val="bottom"/>
            <w:hideMark/>
          </w:tcPr>
          <w:p w14:paraId="767DB43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75922DCD" w14:textId="77777777" w:rsidTr="0062462F">
        <w:trPr>
          <w:trHeight w:val="225"/>
        </w:trPr>
        <w:tc>
          <w:tcPr>
            <w:tcW w:w="5536" w:type="dxa"/>
            <w:tcBorders>
              <w:top w:val="nil"/>
              <w:left w:val="nil"/>
              <w:bottom w:val="single" w:sz="4" w:space="0" w:color="auto"/>
              <w:right w:val="nil"/>
            </w:tcBorders>
            <w:shd w:val="clear" w:color="000000" w:fill="000000"/>
            <w:noWrap/>
            <w:vAlign w:val="bottom"/>
            <w:hideMark/>
          </w:tcPr>
          <w:p w14:paraId="34A826B1"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88" w:type="dxa"/>
            <w:tcBorders>
              <w:top w:val="nil"/>
              <w:left w:val="nil"/>
              <w:bottom w:val="single" w:sz="4" w:space="0" w:color="auto"/>
              <w:right w:val="nil"/>
            </w:tcBorders>
            <w:shd w:val="clear" w:color="000000" w:fill="000000"/>
            <w:noWrap/>
            <w:vAlign w:val="bottom"/>
            <w:hideMark/>
          </w:tcPr>
          <w:p w14:paraId="31E11FF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68" w:type="dxa"/>
            <w:tcBorders>
              <w:top w:val="nil"/>
              <w:left w:val="nil"/>
              <w:bottom w:val="single" w:sz="4" w:space="0" w:color="auto"/>
              <w:right w:val="nil"/>
            </w:tcBorders>
            <w:shd w:val="clear" w:color="000000" w:fill="000000"/>
            <w:noWrap/>
            <w:vAlign w:val="bottom"/>
            <w:hideMark/>
          </w:tcPr>
          <w:p w14:paraId="2494A53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38F65676" w14:textId="77777777" w:rsidTr="0062462F">
        <w:trPr>
          <w:trHeight w:val="342"/>
        </w:trPr>
        <w:tc>
          <w:tcPr>
            <w:tcW w:w="5536" w:type="dxa"/>
            <w:tcBorders>
              <w:top w:val="nil"/>
              <w:left w:val="nil"/>
              <w:bottom w:val="nil"/>
              <w:right w:val="nil"/>
            </w:tcBorders>
            <w:shd w:val="clear" w:color="auto" w:fill="auto"/>
            <w:noWrap/>
            <w:vAlign w:val="center"/>
            <w:hideMark/>
          </w:tcPr>
          <w:p w14:paraId="03F40BF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Interest expense on lease liabilities</w:t>
            </w:r>
          </w:p>
        </w:tc>
        <w:tc>
          <w:tcPr>
            <w:tcW w:w="1588" w:type="dxa"/>
            <w:tcBorders>
              <w:top w:val="nil"/>
              <w:left w:val="nil"/>
              <w:bottom w:val="nil"/>
              <w:right w:val="nil"/>
            </w:tcBorders>
            <w:shd w:val="clear" w:color="auto" w:fill="auto"/>
            <w:noWrap/>
            <w:vAlign w:val="center"/>
          </w:tcPr>
          <w:p w14:paraId="447C756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334</w:t>
            </w:r>
          </w:p>
        </w:tc>
        <w:tc>
          <w:tcPr>
            <w:tcW w:w="1068" w:type="dxa"/>
            <w:tcBorders>
              <w:top w:val="nil"/>
              <w:left w:val="nil"/>
              <w:bottom w:val="nil"/>
              <w:right w:val="nil"/>
            </w:tcBorders>
            <w:shd w:val="clear" w:color="000000" w:fill="E7E6E6"/>
            <w:noWrap/>
            <w:vAlign w:val="center"/>
            <w:hideMark/>
          </w:tcPr>
          <w:p w14:paraId="75B196E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358</w:t>
            </w:r>
          </w:p>
        </w:tc>
      </w:tr>
      <w:tr w:rsidR="005C5CED" w:rsidRPr="005C5CED" w14:paraId="3FA3BDCD" w14:textId="77777777" w:rsidTr="0062462F">
        <w:trPr>
          <w:trHeight w:val="342"/>
        </w:trPr>
        <w:tc>
          <w:tcPr>
            <w:tcW w:w="5536" w:type="dxa"/>
            <w:tcBorders>
              <w:top w:val="single" w:sz="4" w:space="0" w:color="auto"/>
              <w:left w:val="nil"/>
              <w:bottom w:val="single" w:sz="4" w:space="0" w:color="auto"/>
              <w:right w:val="nil"/>
            </w:tcBorders>
            <w:shd w:val="clear" w:color="auto" w:fill="auto"/>
            <w:noWrap/>
            <w:vAlign w:val="center"/>
            <w:hideMark/>
          </w:tcPr>
          <w:p w14:paraId="5D5FB82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Payments for lease principal</w:t>
            </w:r>
          </w:p>
        </w:tc>
        <w:tc>
          <w:tcPr>
            <w:tcW w:w="1588" w:type="dxa"/>
            <w:tcBorders>
              <w:top w:val="single" w:sz="4" w:space="0" w:color="auto"/>
              <w:left w:val="nil"/>
              <w:bottom w:val="single" w:sz="4" w:space="0" w:color="auto"/>
              <w:right w:val="nil"/>
            </w:tcBorders>
            <w:shd w:val="clear" w:color="auto" w:fill="auto"/>
            <w:noWrap/>
            <w:vAlign w:val="center"/>
          </w:tcPr>
          <w:p w14:paraId="3C29388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1,456</w:t>
            </w:r>
          </w:p>
        </w:tc>
        <w:tc>
          <w:tcPr>
            <w:tcW w:w="1068" w:type="dxa"/>
            <w:tcBorders>
              <w:top w:val="single" w:sz="4" w:space="0" w:color="auto"/>
              <w:left w:val="nil"/>
              <w:bottom w:val="single" w:sz="4" w:space="0" w:color="auto"/>
              <w:right w:val="nil"/>
            </w:tcBorders>
            <w:shd w:val="clear" w:color="000000" w:fill="E7E6E6"/>
            <w:noWrap/>
            <w:vAlign w:val="center"/>
            <w:hideMark/>
          </w:tcPr>
          <w:p w14:paraId="1469F33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1,362</w:t>
            </w:r>
          </w:p>
        </w:tc>
      </w:tr>
      <w:tr w:rsidR="005C5CED" w:rsidRPr="005C5CED" w14:paraId="06BC4A2D" w14:textId="77777777" w:rsidTr="0062462F">
        <w:trPr>
          <w:trHeight w:val="342"/>
        </w:trPr>
        <w:tc>
          <w:tcPr>
            <w:tcW w:w="5536" w:type="dxa"/>
            <w:tcBorders>
              <w:top w:val="nil"/>
              <w:left w:val="nil"/>
              <w:bottom w:val="single" w:sz="4" w:space="0" w:color="auto"/>
              <w:right w:val="nil"/>
            </w:tcBorders>
            <w:shd w:val="clear" w:color="auto" w:fill="auto"/>
            <w:noWrap/>
            <w:vAlign w:val="center"/>
            <w:hideMark/>
          </w:tcPr>
          <w:p w14:paraId="07B525E3"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cash outflow for leases</w:t>
            </w:r>
          </w:p>
        </w:tc>
        <w:tc>
          <w:tcPr>
            <w:tcW w:w="1588" w:type="dxa"/>
            <w:tcBorders>
              <w:top w:val="nil"/>
              <w:left w:val="nil"/>
              <w:bottom w:val="single" w:sz="4" w:space="0" w:color="auto"/>
              <w:right w:val="nil"/>
            </w:tcBorders>
            <w:shd w:val="clear" w:color="auto" w:fill="auto"/>
            <w:noWrap/>
            <w:vAlign w:val="center"/>
          </w:tcPr>
          <w:p w14:paraId="4B7B22B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1,790</w:t>
            </w:r>
          </w:p>
        </w:tc>
        <w:tc>
          <w:tcPr>
            <w:tcW w:w="1068" w:type="dxa"/>
            <w:tcBorders>
              <w:top w:val="nil"/>
              <w:left w:val="nil"/>
              <w:bottom w:val="single" w:sz="4" w:space="0" w:color="auto"/>
              <w:right w:val="nil"/>
            </w:tcBorders>
            <w:shd w:val="clear" w:color="000000" w:fill="E7E6E6"/>
            <w:noWrap/>
            <w:vAlign w:val="center"/>
            <w:hideMark/>
          </w:tcPr>
          <w:p w14:paraId="4DEFE1F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1,720</w:t>
            </w:r>
          </w:p>
        </w:tc>
      </w:tr>
    </w:tbl>
    <w:p w14:paraId="00764F7B" w14:textId="77777777" w:rsidR="005C5CED" w:rsidRPr="005C5CED" w:rsidRDefault="005C5CED" w:rsidP="005C5CED">
      <w:pPr>
        <w:spacing w:after="60" w:line="259" w:lineRule="auto"/>
        <w:rPr>
          <w:rFonts w:eastAsia="Calibri" w:cs="Arial"/>
          <w:b/>
          <w:bCs/>
          <w:color w:val="auto"/>
          <w:sz w:val="16"/>
          <w:szCs w:val="16"/>
        </w:rPr>
      </w:pPr>
    </w:p>
    <w:p w14:paraId="55D3DED3" w14:textId="77777777" w:rsidR="005C5CED" w:rsidRPr="005C5CED" w:rsidRDefault="005C5CED" w:rsidP="005C5CED">
      <w:pPr>
        <w:spacing w:line="259" w:lineRule="auto"/>
        <w:rPr>
          <w:rFonts w:eastAsia="Calibri" w:cs="Arial"/>
          <w:color w:val="auto"/>
        </w:rPr>
      </w:pPr>
      <w:r w:rsidRPr="005C5CED">
        <w:rPr>
          <w:rFonts w:eastAsia="Calibri" w:cs="Arial"/>
          <w:color w:val="auto"/>
        </w:rPr>
        <w:t>Cash payments for the interest portion of lease payments are recognised as operating activities consistent with the presentation of interest payments. Cash payments for the principal portion of lease payments are recognised as financing activities.</w:t>
      </w:r>
    </w:p>
    <w:p w14:paraId="3C1826E3"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For any new contracts entered into on or after 1 July 2019, Sustainability Victoria considers whether a contract </w:t>
      </w:r>
      <w:proofErr w:type="gramStart"/>
      <w:r w:rsidRPr="005C5CED">
        <w:rPr>
          <w:rFonts w:eastAsia="Calibri" w:cs="Arial"/>
          <w:color w:val="auto"/>
        </w:rPr>
        <w:t>is, or</w:t>
      </w:r>
      <w:proofErr w:type="gramEnd"/>
      <w:r w:rsidRPr="005C5CED">
        <w:rPr>
          <w:rFonts w:eastAsia="Calibri" w:cs="Arial"/>
          <w:color w:val="auto"/>
        </w:rPr>
        <w:t xml:space="preserve"> contains a lease. A lease is defined as ‘a contract, or part of a contract, that conveys the right to use an asset (the underlying asset) for a period of time in exchange for consideration’. To apply this definition Sustainability Victoria assesses whether the contract meets three key evaluations:</w:t>
      </w:r>
    </w:p>
    <w:p w14:paraId="0598966E" w14:textId="77777777" w:rsidR="005C5CED" w:rsidRPr="005C5CED" w:rsidRDefault="005C5CED" w:rsidP="00196A67">
      <w:pPr>
        <w:numPr>
          <w:ilvl w:val="0"/>
          <w:numId w:val="37"/>
        </w:numPr>
        <w:spacing w:line="259" w:lineRule="auto"/>
        <w:rPr>
          <w:rFonts w:eastAsia="Calibri" w:cs="Arial"/>
          <w:color w:val="auto"/>
        </w:rPr>
      </w:pPr>
      <w:r w:rsidRPr="005C5CED">
        <w:rPr>
          <w:rFonts w:eastAsia="Calibri" w:cs="Arial"/>
          <w:color w:val="auto"/>
        </w:rPr>
        <w:lastRenderedPageBreak/>
        <w:t>Whether the contract contains an identified asset, which is either explicitly identified in the contract or implicitly specified by being identified at the time the asset is made available to Sustainability Victoria and for which the supplier does not have substantive substitution rights</w:t>
      </w:r>
    </w:p>
    <w:p w14:paraId="49CFA3C5" w14:textId="77777777" w:rsidR="005C5CED" w:rsidRPr="005C5CED" w:rsidRDefault="005C5CED" w:rsidP="00196A67">
      <w:pPr>
        <w:numPr>
          <w:ilvl w:val="0"/>
          <w:numId w:val="37"/>
        </w:numPr>
        <w:spacing w:line="259" w:lineRule="auto"/>
        <w:rPr>
          <w:rFonts w:eastAsia="Calibri" w:cs="Arial"/>
          <w:color w:val="auto"/>
        </w:rPr>
      </w:pPr>
      <w:r w:rsidRPr="005C5CED">
        <w:rPr>
          <w:rFonts w:eastAsia="Calibri" w:cs="Arial"/>
          <w:color w:val="auto"/>
        </w:rPr>
        <w:t xml:space="preserve">Whether Sustainability Victoria has the right to obtain substantially </w:t>
      </w:r>
      <w:proofErr w:type="gramStart"/>
      <w:r w:rsidRPr="005C5CED">
        <w:rPr>
          <w:rFonts w:eastAsia="Calibri" w:cs="Arial"/>
          <w:color w:val="auto"/>
        </w:rPr>
        <w:t>all of</w:t>
      </w:r>
      <w:proofErr w:type="gramEnd"/>
      <w:r w:rsidRPr="005C5CED">
        <w:rPr>
          <w:rFonts w:eastAsia="Calibri" w:cs="Arial"/>
          <w:color w:val="auto"/>
        </w:rPr>
        <w:t xml:space="preserve"> the economic benefits from use of the identified asset throughout the period of use, considering its rights within the defined scope of the contract and Sustainability Victoria has the right to direct the use of the identified asset throughout the period of use; and</w:t>
      </w:r>
    </w:p>
    <w:p w14:paraId="3DCAA40B" w14:textId="77777777" w:rsidR="005C5CED" w:rsidRPr="005C5CED" w:rsidRDefault="005C5CED" w:rsidP="00196A67">
      <w:pPr>
        <w:numPr>
          <w:ilvl w:val="0"/>
          <w:numId w:val="37"/>
        </w:numPr>
        <w:spacing w:line="259" w:lineRule="auto"/>
        <w:rPr>
          <w:rFonts w:eastAsia="Calibri" w:cs="Arial"/>
          <w:color w:val="auto"/>
        </w:rPr>
      </w:pPr>
      <w:r w:rsidRPr="005C5CED">
        <w:rPr>
          <w:rFonts w:eastAsia="Calibri" w:cs="Arial"/>
          <w:color w:val="auto"/>
        </w:rPr>
        <w:t>Whether Sustainability Victoria has the right to take decisions in respect of ‘how and for what purpose’ the asset is used throughout the period of use.</w:t>
      </w:r>
    </w:p>
    <w:p w14:paraId="22040DEB"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This policy is applied to contracts </w:t>
      </w:r>
      <w:proofErr w:type="gramStart"/>
      <w:r w:rsidRPr="005C5CED">
        <w:rPr>
          <w:rFonts w:eastAsia="Calibri" w:cs="Arial"/>
          <w:color w:val="auto"/>
        </w:rPr>
        <w:t>entered into</w:t>
      </w:r>
      <w:proofErr w:type="gramEnd"/>
      <w:r w:rsidRPr="005C5CED">
        <w:rPr>
          <w:rFonts w:eastAsia="Calibri" w:cs="Arial"/>
          <w:color w:val="auto"/>
        </w:rPr>
        <w:t>, or changed, on or after 1 July 2019.</w:t>
      </w:r>
    </w:p>
    <w:p w14:paraId="1096B4A2"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Separation of lease and non-lease components</w:t>
      </w:r>
    </w:p>
    <w:p w14:paraId="009C708A" w14:textId="77777777" w:rsidR="005C5CED" w:rsidRPr="005C5CED" w:rsidRDefault="005C5CED" w:rsidP="005C5CED">
      <w:pPr>
        <w:spacing w:line="259" w:lineRule="auto"/>
        <w:rPr>
          <w:rFonts w:eastAsia="Calibri" w:cs="Arial"/>
          <w:color w:val="auto"/>
        </w:rPr>
      </w:pPr>
      <w:r w:rsidRPr="005C5CED">
        <w:rPr>
          <w:rFonts w:eastAsia="Calibri" w:cs="Arial"/>
          <w:color w:val="auto"/>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0C960EC4"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Times New Roman" w:cs="SegoeUI"/>
          <w:b/>
          <w:bCs/>
          <w:color w:val="595959"/>
          <w:lang w:eastAsia="en-AU"/>
        </w:rPr>
        <w:t>Recognition and measurement of leases as a lessee</w:t>
      </w:r>
    </w:p>
    <w:p w14:paraId="73C12442" w14:textId="77777777" w:rsidR="005C5CED" w:rsidRPr="005C5CED" w:rsidRDefault="005C5CED" w:rsidP="005C5CED">
      <w:pPr>
        <w:spacing w:line="259" w:lineRule="auto"/>
        <w:rPr>
          <w:rFonts w:eastAsia="Calibri" w:cs="Arial"/>
          <w:i/>
          <w:iCs/>
          <w:color w:val="174F37"/>
        </w:rPr>
      </w:pPr>
      <w:r w:rsidRPr="005C5CED">
        <w:rPr>
          <w:rFonts w:eastAsia="Calibri" w:cs="Arial"/>
          <w:b/>
          <w:bCs/>
          <w:i/>
          <w:iCs/>
          <w:color w:val="174F37"/>
        </w:rPr>
        <w:t>Lease liability – initial measurement</w:t>
      </w:r>
    </w:p>
    <w:p w14:paraId="5398E003"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The lease liability is initially measured at the present value of the lease payments unpaid at the commencement date, discounted using the interest rate implicit in the lease if that rate is readily determinable or Sustainability Victoria's incremental borrowing rate.</w:t>
      </w:r>
    </w:p>
    <w:p w14:paraId="2AD6C834" w14:textId="77777777" w:rsidR="005C5CED" w:rsidRPr="005C5CED" w:rsidRDefault="005C5CED" w:rsidP="005C5CED">
      <w:pPr>
        <w:spacing w:line="259" w:lineRule="auto"/>
        <w:rPr>
          <w:rFonts w:eastAsia="Calibri" w:cs="Arial"/>
          <w:i/>
          <w:iCs/>
          <w:color w:val="174F37"/>
        </w:rPr>
      </w:pPr>
      <w:r w:rsidRPr="005C5CED">
        <w:rPr>
          <w:rFonts w:eastAsia="Calibri" w:cs="Arial"/>
          <w:b/>
          <w:bCs/>
          <w:i/>
          <w:iCs/>
          <w:color w:val="174F37"/>
        </w:rPr>
        <w:t>Lease payments included in the measurement of the lease liability comprise the following:</w:t>
      </w:r>
    </w:p>
    <w:p w14:paraId="0CCB4910" w14:textId="77777777" w:rsidR="005C5CED" w:rsidRPr="005C5CED" w:rsidRDefault="005C5CED" w:rsidP="00196A67">
      <w:pPr>
        <w:numPr>
          <w:ilvl w:val="0"/>
          <w:numId w:val="38"/>
        </w:numPr>
        <w:spacing w:after="0" w:line="240" w:lineRule="auto"/>
        <w:rPr>
          <w:rFonts w:eastAsia="Symbol" w:cs="Calibri"/>
          <w:color w:val="auto"/>
          <w:szCs w:val="24"/>
          <w:shd w:val="clear" w:color="auto" w:fill="FFFFFF"/>
          <w:lang w:eastAsia="en-AU"/>
        </w:rPr>
      </w:pPr>
      <w:r w:rsidRPr="005C5CED">
        <w:rPr>
          <w:rFonts w:eastAsia="Symbol" w:cs="Calibri"/>
          <w:color w:val="auto"/>
          <w:szCs w:val="24"/>
          <w:shd w:val="clear" w:color="auto" w:fill="FFFFFF"/>
          <w:lang w:eastAsia="en-AU"/>
        </w:rPr>
        <w:t>fixed payments (including in-substance fixed payments) less any lease incentive receivable</w:t>
      </w:r>
    </w:p>
    <w:p w14:paraId="6DBE99F1" w14:textId="77777777" w:rsidR="005C5CED" w:rsidRPr="005C5CED" w:rsidRDefault="005C5CED" w:rsidP="00196A67">
      <w:pPr>
        <w:numPr>
          <w:ilvl w:val="0"/>
          <w:numId w:val="38"/>
        </w:numPr>
        <w:spacing w:after="0" w:line="240" w:lineRule="auto"/>
        <w:rPr>
          <w:rFonts w:eastAsia="Symbol" w:cs="Calibri"/>
          <w:color w:val="auto"/>
          <w:szCs w:val="24"/>
          <w:shd w:val="clear" w:color="auto" w:fill="FFFFFF"/>
          <w:lang w:eastAsia="en-AU"/>
        </w:rPr>
      </w:pPr>
      <w:r w:rsidRPr="005C5CED">
        <w:rPr>
          <w:rFonts w:eastAsia="Symbol" w:cs="Calibri"/>
          <w:color w:val="auto"/>
          <w:szCs w:val="24"/>
          <w:shd w:val="clear" w:color="auto" w:fill="FFFFFF"/>
          <w:lang w:eastAsia="en-AU"/>
        </w:rPr>
        <w:t>variable payments based on an index or rate, initially measured using the index or rate as at the commencement date</w:t>
      </w:r>
    </w:p>
    <w:p w14:paraId="4424960E" w14:textId="77777777" w:rsidR="005C5CED" w:rsidRPr="005C5CED" w:rsidRDefault="005C5CED" w:rsidP="00196A67">
      <w:pPr>
        <w:numPr>
          <w:ilvl w:val="0"/>
          <w:numId w:val="38"/>
        </w:numPr>
        <w:spacing w:after="0" w:line="240" w:lineRule="auto"/>
        <w:rPr>
          <w:rFonts w:eastAsia="Symbol" w:cs="Calibri"/>
          <w:color w:val="auto"/>
          <w:szCs w:val="24"/>
          <w:shd w:val="clear" w:color="auto" w:fill="FFFFFF"/>
          <w:lang w:eastAsia="en-AU"/>
        </w:rPr>
      </w:pPr>
      <w:r w:rsidRPr="005C5CED">
        <w:rPr>
          <w:rFonts w:eastAsia="Symbol" w:cs="Calibri"/>
          <w:color w:val="auto"/>
          <w:szCs w:val="24"/>
          <w:shd w:val="clear" w:color="auto" w:fill="FFFFFF"/>
          <w:lang w:eastAsia="en-AU"/>
        </w:rPr>
        <w:t>amounts expected to be payable under a residual value guarantee</w:t>
      </w:r>
    </w:p>
    <w:p w14:paraId="4A9D7951" w14:textId="77777777" w:rsidR="005C5CED" w:rsidRPr="005C5CED" w:rsidRDefault="005C5CED" w:rsidP="00196A67">
      <w:pPr>
        <w:numPr>
          <w:ilvl w:val="0"/>
          <w:numId w:val="38"/>
        </w:numPr>
        <w:spacing w:after="0" w:line="240" w:lineRule="auto"/>
        <w:rPr>
          <w:rFonts w:eastAsia="Yu Mincho" w:cs="Arial"/>
          <w:b/>
          <w:bCs/>
          <w:color w:val="auto"/>
          <w:shd w:val="clear" w:color="auto" w:fill="FFFFFF"/>
        </w:rPr>
      </w:pPr>
      <w:r w:rsidRPr="005C5CED">
        <w:rPr>
          <w:rFonts w:eastAsia="Symbol" w:cs="Calibri"/>
          <w:color w:val="auto"/>
          <w:szCs w:val="24"/>
          <w:shd w:val="clear" w:color="auto" w:fill="FFFFFF"/>
          <w:lang w:eastAsia="en-AU"/>
        </w:rPr>
        <w:t>payments arising from purchase and termination options reasonably certain to be exercised.</w:t>
      </w:r>
    </w:p>
    <w:p w14:paraId="1643F74A" w14:textId="77777777" w:rsidR="005C5CED" w:rsidRPr="005C5CED" w:rsidRDefault="005C5CED" w:rsidP="005C5CED">
      <w:pPr>
        <w:spacing w:after="60" w:line="259" w:lineRule="auto"/>
        <w:rPr>
          <w:rFonts w:eastAsia="Calibri" w:cs="Arial"/>
          <w:i/>
          <w:iCs/>
          <w:color w:val="auto"/>
          <w:sz w:val="16"/>
          <w:szCs w:val="16"/>
        </w:rPr>
      </w:pPr>
    </w:p>
    <w:p w14:paraId="487283B6" w14:textId="77777777" w:rsidR="005C5CED" w:rsidRPr="005C5CED" w:rsidRDefault="005C5CED" w:rsidP="005C5CED">
      <w:pPr>
        <w:spacing w:line="259" w:lineRule="auto"/>
        <w:rPr>
          <w:rFonts w:eastAsia="Calibri" w:cs="Arial"/>
          <w:i/>
          <w:iCs/>
          <w:color w:val="174F37"/>
        </w:rPr>
      </w:pPr>
      <w:r w:rsidRPr="005C5CED">
        <w:rPr>
          <w:rFonts w:eastAsia="Calibri" w:cs="Arial"/>
          <w:b/>
          <w:bCs/>
          <w:i/>
          <w:iCs/>
          <w:color w:val="174F37"/>
        </w:rPr>
        <w:t>Lease liability – subsequent measurement</w:t>
      </w:r>
    </w:p>
    <w:p w14:paraId="6C33AEF0" w14:textId="77777777" w:rsidR="005C5CED" w:rsidRPr="005C5CED" w:rsidRDefault="005C5CED" w:rsidP="005C5CED">
      <w:pPr>
        <w:spacing w:line="259" w:lineRule="auto"/>
        <w:rPr>
          <w:rFonts w:eastAsia="Calibri" w:cs="Arial"/>
          <w:color w:val="auto"/>
        </w:rPr>
      </w:pPr>
      <w:proofErr w:type="gramStart"/>
      <w:r w:rsidRPr="005C5CED">
        <w:rPr>
          <w:rFonts w:eastAsia="Calibri" w:cs="Arial"/>
          <w:color w:val="auto"/>
        </w:rPr>
        <w:t>Subsequent to</w:t>
      </w:r>
      <w:proofErr w:type="gramEnd"/>
      <w:r w:rsidRPr="005C5CED">
        <w:rPr>
          <w:rFonts w:eastAsia="Calibri" w:cs="Arial"/>
          <w:color w:val="auto"/>
        </w:rPr>
        <w:t xml:space="preserve"> initial measurement, the liability will be reduced for payments made and increased for interest. It is remeasured to reflect any reassessment or modification, or if there are changes to in-substance fixed payments. </w:t>
      </w:r>
      <w:r w:rsidRPr="005C5CED">
        <w:rPr>
          <w:rFonts w:eastAsia="Calibri" w:cs="Arial"/>
          <w:color w:val="auto"/>
        </w:rPr>
        <w:tab/>
      </w:r>
    </w:p>
    <w:p w14:paraId="15CB1484"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When the lease liability is remeasured, the corresponding adjustment is reflected in the right-of-use asset, or profit and loss if the right-of-use asset is already reduced to zero. </w:t>
      </w:r>
    </w:p>
    <w:p w14:paraId="2ADED203" w14:textId="77777777" w:rsidR="005C5CED" w:rsidRPr="005C5CED" w:rsidRDefault="005C5CED" w:rsidP="005C5CED">
      <w:pPr>
        <w:spacing w:line="259" w:lineRule="auto"/>
        <w:rPr>
          <w:rFonts w:eastAsia="Calibri" w:cs="Arial"/>
          <w:i/>
          <w:iCs/>
          <w:color w:val="174F37"/>
        </w:rPr>
      </w:pPr>
      <w:r w:rsidRPr="005C5CED">
        <w:rPr>
          <w:rFonts w:eastAsia="Calibri" w:cs="Arial"/>
          <w:b/>
          <w:bCs/>
          <w:i/>
          <w:iCs/>
          <w:color w:val="174F37"/>
        </w:rPr>
        <w:t>Short-term leases and leases of low-value assets</w:t>
      </w:r>
    </w:p>
    <w:p w14:paraId="412B908F"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AASB 16 </w:t>
      </w:r>
      <w:r w:rsidRPr="005C5CED">
        <w:rPr>
          <w:rFonts w:eastAsia="Calibri" w:cs="Arial"/>
          <w:i/>
          <w:iCs/>
          <w:color w:val="auto"/>
        </w:rPr>
        <w:t>Leases</w:t>
      </w:r>
      <w:r w:rsidRPr="005C5CED">
        <w:rPr>
          <w:rFonts w:eastAsia="Calibri" w:cs="Arial"/>
          <w:color w:val="auto"/>
        </w:rPr>
        <w:t xml:space="preserve"> provides a practical expedient for short-term leases and leases of low value assets. Instead of recognising a right-of-use asset and lease liability, the payments in relation to these can be recognised as an expense in profit or loss on a straight-line basis over the lease term. Sustainability Victoria has not identified any short-term leases or leases of low value assets.</w:t>
      </w:r>
    </w:p>
    <w:p w14:paraId="3F55A520" w14:textId="77777777" w:rsidR="005C5CED" w:rsidRPr="005C5CED" w:rsidRDefault="005C5CED" w:rsidP="005C5CED">
      <w:pPr>
        <w:spacing w:line="259" w:lineRule="auto"/>
        <w:rPr>
          <w:rFonts w:eastAsia="Calibri" w:cs="Arial"/>
          <w:i/>
          <w:iCs/>
          <w:color w:val="174F37"/>
        </w:rPr>
      </w:pPr>
      <w:r w:rsidRPr="005C5CED">
        <w:rPr>
          <w:rFonts w:eastAsia="Calibri" w:cs="Arial"/>
          <w:b/>
          <w:bCs/>
          <w:i/>
          <w:iCs/>
          <w:color w:val="174F37"/>
        </w:rPr>
        <w:t>Presentation of right-of-use assets and lease liabilities</w:t>
      </w:r>
    </w:p>
    <w:p w14:paraId="53AC9B09"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presents right-of-use assets as ‘property, plant, and equipment’ in the balance sheet. Lease liabilities are presented as ‘borrowings’ in the balance sheet.</w:t>
      </w:r>
    </w:p>
    <w:p w14:paraId="1FC47D04" w14:textId="77777777" w:rsidR="005C5CED" w:rsidRPr="005C5CED" w:rsidRDefault="005C5CED" w:rsidP="005C5CED">
      <w:pPr>
        <w:keepNext/>
        <w:keepLines/>
        <w:spacing w:before="240" w:after="60" w:line="240" w:lineRule="auto"/>
        <w:outlineLvl w:val="3"/>
        <w:rPr>
          <w:rFonts w:eastAsia="Yu Gothic Light" w:cs="SegoeUI"/>
          <w:color w:val="000000"/>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6.3 Cash flow information and balances</w:t>
      </w:r>
    </w:p>
    <w:p w14:paraId="4FFCC6A3"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 xml:space="preserve">Cash and deposits, including cash equivalents, comprise cash on hand and cash at bank, deposits at call and those highly liquid investments with an original maturity of three months or less, which are </w:t>
      </w:r>
      <w:r w:rsidRPr="005C5CED">
        <w:rPr>
          <w:rFonts w:eastAsia="Calibri" w:cs="Arial"/>
          <w:color w:val="auto"/>
        </w:rPr>
        <w:lastRenderedPageBreak/>
        <w:t>held for the purpose of meeting short term cash commitments rather than for investment purposes, and which are readily convertible to known amounts of cash with insignificant risk of changes in value.</w:t>
      </w:r>
    </w:p>
    <w:tbl>
      <w:tblPr>
        <w:tblW w:w="8028" w:type="dxa"/>
        <w:tblLook w:val="04A0" w:firstRow="1" w:lastRow="0" w:firstColumn="1" w:lastColumn="0" w:noHBand="0" w:noVBand="1"/>
      </w:tblPr>
      <w:tblGrid>
        <w:gridCol w:w="3576"/>
        <w:gridCol w:w="1596"/>
        <w:gridCol w:w="1068"/>
        <w:gridCol w:w="1788"/>
      </w:tblGrid>
      <w:tr w:rsidR="005C5CED" w:rsidRPr="005C5CED" w14:paraId="26C3727B" w14:textId="77777777" w:rsidTr="0062462F">
        <w:trPr>
          <w:trHeight w:val="225"/>
        </w:trPr>
        <w:tc>
          <w:tcPr>
            <w:tcW w:w="3576" w:type="dxa"/>
            <w:tcBorders>
              <w:top w:val="single" w:sz="4" w:space="0" w:color="auto"/>
              <w:left w:val="nil"/>
              <w:bottom w:val="nil"/>
              <w:right w:val="nil"/>
            </w:tcBorders>
            <w:shd w:val="clear" w:color="000000" w:fill="000000"/>
            <w:noWrap/>
            <w:vAlign w:val="bottom"/>
            <w:hideMark/>
          </w:tcPr>
          <w:p w14:paraId="2F5D404B"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96" w:type="dxa"/>
            <w:tcBorders>
              <w:top w:val="single" w:sz="4" w:space="0" w:color="auto"/>
              <w:left w:val="nil"/>
              <w:bottom w:val="nil"/>
              <w:right w:val="nil"/>
            </w:tcBorders>
            <w:shd w:val="clear" w:color="000000" w:fill="000000"/>
            <w:noWrap/>
            <w:vAlign w:val="bottom"/>
            <w:hideMark/>
          </w:tcPr>
          <w:p w14:paraId="2778585C" w14:textId="77777777" w:rsidR="005C5CED" w:rsidRPr="005C5CED" w:rsidRDefault="005C5CED" w:rsidP="005C5CED">
            <w:pPr>
              <w:spacing w:after="0" w:line="240" w:lineRule="auto"/>
              <w:jc w:val="center"/>
              <w:rPr>
                <w:rFonts w:eastAsia="Times New Roman" w:cs="Arial"/>
                <w:b/>
                <w:bCs/>
                <w:color w:val="FFFFFF"/>
                <w:sz w:val="16"/>
                <w:szCs w:val="16"/>
                <w:lang w:eastAsia="en-AU"/>
              </w:rPr>
            </w:pPr>
          </w:p>
        </w:tc>
        <w:tc>
          <w:tcPr>
            <w:tcW w:w="1068" w:type="dxa"/>
            <w:tcBorders>
              <w:top w:val="single" w:sz="4" w:space="0" w:color="auto"/>
              <w:left w:val="nil"/>
              <w:bottom w:val="nil"/>
              <w:right w:val="nil"/>
            </w:tcBorders>
            <w:shd w:val="clear" w:color="000000" w:fill="000000"/>
            <w:noWrap/>
            <w:vAlign w:val="bottom"/>
            <w:hideMark/>
          </w:tcPr>
          <w:p w14:paraId="4EE2967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788" w:type="dxa"/>
            <w:tcBorders>
              <w:top w:val="single" w:sz="4" w:space="0" w:color="auto"/>
              <w:left w:val="nil"/>
              <w:bottom w:val="nil"/>
              <w:right w:val="nil"/>
            </w:tcBorders>
            <w:shd w:val="clear" w:color="000000" w:fill="000000"/>
            <w:noWrap/>
            <w:vAlign w:val="bottom"/>
            <w:hideMark/>
          </w:tcPr>
          <w:p w14:paraId="65B3334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59055BD2" w14:textId="77777777" w:rsidTr="0062462F">
        <w:trPr>
          <w:trHeight w:val="225"/>
        </w:trPr>
        <w:tc>
          <w:tcPr>
            <w:tcW w:w="3576" w:type="dxa"/>
            <w:tcBorders>
              <w:top w:val="nil"/>
              <w:left w:val="nil"/>
              <w:bottom w:val="single" w:sz="4" w:space="0" w:color="auto"/>
              <w:right w:val="nil"/>
            </w:tcBorders>
            <w:shd w:val="clear" w:color="000000" w:fill="000000"/>
            <w:noWrap/>
            <w:vAlign w:val="bottom"/>
            <w:hideMark/>
          </w:tcPr>
          <w:p w14:paraId="330B8EEF"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96" w:type="dxa"/>
            <w:tcBorders>
              <w:top w:val="nil"/>
              <w:left w:val="nil"/>
              <w:bottom w:val="single" w:sz="4" w:space="0" w:color="auto"/>
              <w:right w:val="nil"/>
            </w:tcBorders>
            <w:shd w:val="clear" w:color="000000" w:fill="000000"/>
            <w:noWrap/>
            <w:vAlign w:val="bottom"/>
            <w:hideMark/>
          </w:tcPr>
          <w:p w14:paraId="5D772DC8"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068" w:type="dxa"/>
            <w:tcBorders>
              <w:top w:val="nil"/>
              <w:left w:val="nil"/>
              <w:bottom w:val="single" w:sz="4" w:space="0" w:color="auto"/>
              <w:right w:val="nil"/>
            </w:tcBorders>
            <w:shd w:val="clear" w:color="000000" w:fill="000000"/>
            <w:noWrap/>
            <w:vAlign w:val="bottom"/>
            <w:hideMark/>
          </w:tcPr>
          <w:p w14:paraId="40242C0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788" w:type="dxa"/>
            <w:tcBorders>
              <w:top w:val="nil"/>
              <w:left w:val="nil"/>
              <w:bottom w:val="single" w:sz="4" w:space="0" w:color="auto"/>
              <w:right w:val="nil"/>
            </w:tcBorders>
            <w:shd w:val="clear" w:color="000000" w:fill="000000"/>
            <w:noWrap/>
            <w:vAlign w:val="bottom"/>
            <w:hideMark/>
          </w:tcPr>
          <w:p w14:paraId="46B997E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6A41AA49" w14:textId="77777777" w:rsidTr="0062462F">
        <w:trPr>
          <w:trHeight w:val="342"/>
        </w:trPr>
        <w:tc>
          <w:tcPr>
            <w:tcW w:w="3576" w:type="dxa"/>
            <w:tcBorders>
              <w:top w:val="single" w:sz="4" w:space="0" w:color="auto"/>
              <w:left w:val="nil"/>
              <w:bottom w:val="single" w:sz="4" w:space="0" w:color="auto"/>
              <w:right w:val="nil"/>
            </w:tcBorders>
            <w:shd w:val="clear" w:color="auto" w:fill="auto"/>
            <w:noWrap/>
            <w:vAlign w:val="center"/>
            <w:hideMark/>
          </w:tcPr>
          <w:p w14:paraId="3DA07E8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Cash at bank</w:t>
            </w:r>
          </w:p>
        </w:tc>
        <w:tc>
          <w:tcPr>
            <w:tcW w:w="1596" w:type="dxa"/>
            <w:tcBorders>
              <w:top w:val="single" w:sz="4" w:space="0" w:color="auto"/>
              <w:left w:val="nil"/>
              <w:bottom w:val="single" w:sz="4" w:space="0" w:color="auto"/>
              <w:right w:val="nil"/>
            </w:tcBorders>
            <w:shd w:val="clear" w:color="auto" w:fill="auto"/>
            <w:noWrap/>
            <w:vAlign w:val="center"/>
            <w:hideMark/>
          </w:tcPr>
          <w:p w14:paraId="5121CDF7"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single" w:sz="4" w:space="0" w:color="auto"/>
              <w:left w:val="nil"/>
              <w:bottom w:val="single" w:sz="4" w:space="0" w:color="auto"/>
              <w:right w:val="nil"/>
            </w:tcBorders>
            <w:shd w:val="clear" w:color="auto" w:fill="auto"/>
            <w:noWrap/>
            <w:vAlign w:val="center"/>
          </w:tcPr>
          <w:p w14:paraId="18E751E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c>
          <w:tcPr>
            <w:tcW w:w="1788" w:type="dxa"/>
            <w:tcBorders>
              <w:top w:val="nil"/>
              <w:left w:val="nil"/>
              <w:bottom w:val="nil"/>
              <w:right w:val="nil"/>
            </w:tcBorders>
            <w:shd w:val="clear" w:color="000000" w:fill="E7E6E6"/>
            <w:noWrap/>
            <w:vAlign w:val="center"/>
            <w:hideMark/>
          </w:tcPr>
          <w:p w14:paraId="7D3EB8B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r>
      <w:tr w:rsidR="005C5CED" w:rsidRPr="005C5CED" w14:paraId="29031F4D" w14:textId="77777777" w:rsidTr="0062462F">
        <w:trPr>
          <w:trHeight w:val="342"/>
        </w:trPr>
        <w:tc>
          <w:tcPr>
            <w:tcW w:w="3576" w:type="dxa"/>
            <w:tcBorders>
              <w:top w:val="single" w:sz="4" w:space="0" w:color="auto"/>
              <w:left w:val="nil"/>
              <w:bottom w:val="single" w:sz="4" w:space="0" w:color="auto"/>
              <w:right w:val="nil"/>
            </w:tcBorders>
            <w:shd w:val="clear" w:color="auto" w:fill="auto"/>
            <w:noWrap/>
            <w:vAlign w:val="center"/>
            <w:hideMark/>
          </w:tcPr>
          <w:p w14:paraId="742E8FF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Balance as per cash flow statement </w:t>
            </w:r>
          </w:p>
        </w:tc>
        <w:tc>
          <w:tcPr>
            <w:tcW w:w="1596" w:type="dxa"/>
            <w:tcBorders>
              <w:top w:val="single" w:sz="4" w:space="0" w:color="auto"/>
              <w:left w:val="nil"/>
              <w:bottom w:val="single" w:sz="4" w:space="0" w:color="auto"/>
              <w:right w:val="nil"/>
            </w:tcBorders>
            <w:shd w:val="clear" w:color="auto" w:fill="auto"/>
            <w:noWrap/>
            <w:vAlign w:val="center"/>
            <w:hideMark/>
          </w:tcPr>
          <w:p w14:paraId="395570E3"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068" w:type="dxa"/>
            <w:tcBorders>
              <w:top w:val="single" w:sz="4" w:space="0" w:color="auto"/>
              <w:left w:val="nil"/>
              <w:bottom w:val="single" w:sz="4" w:space="0" w:color="auto"/>
              <w:right w:val="nil"/>
            </w:tcBorders>
            <w:shd w:val="clear" w:color="auto" w:fill="auto"/>
            <w:noWrap/>
            <w:vAlign w:val="center"/>
          </w:tcPr>
          <w:p w14:paraId="1DD8880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79,141</w:t>
            </w:r>
          </w:p>
        </w:tc>
        <w:tc>
          <w:tcPr>
            <w:tcW w:w="1788" w:type="dxa"/>
            <w:tcBorders>
              <w:top w:val="single" w:sz="4" w:space="0" w:color="auto"/>
              <w:left w:val="nil"/>
              <w:bottom w:val="single" w:sz="4" w:space="0" w:color="auto"/>
              <w:right w:val="nil"/>
            </w:tcBorders>
            <w:shd w:val="clear" w:color="000000" w:fill="E7E6E6"/>
            <w:noWrap/>
            <w:vAlign w:val="center"/>
            <w:hideMark/>
          </w:tcPr>
          <w:p w14:paraId="16E6A2E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71,033</w:t>
            </w:r>
          </w:p>
        </w:tc>
      </w:tr>
    </w:tbl>
    <w:p w14:paraId="335B3362" w14:textId="77777777" w:rsidR="005C5CED" w:rsidRPr="005C5CED" w:rsidRDefault="005C5CED" w:rsidP="005C5CED">
      <w:pPr>
        <w:spacing w:line="259" w:lineRule="auto"/>
        <w:rPr>
          <w:rFonts w:eastAsia="Calibri" w:cs="Arial"/>
          <w:color w:val="auto"/>
          <w:sz w:val="22"/>
        </w:rPr>
      </w:pPr>
    </w:p>
    <w:p w14:paraId="5B3CFCAA" w14:textId="77777777" w:rsidR="005C5CED" w:rsidRPr="005C5CED" w:rsidRDefault="00B13398" w:rsidP="005C5CED">
      <w:pPr>
        <w:keepNext/>
        <w:keepLines/>
        <w:spacing w:before="200" w:after="40" w:line="259" w:lineRule="auto"/>
        <w:outlineLvl w:val="4"/>
        <w:rPr>
          <w:rFonts w:eastAsia="Yu Gothic Light" w:cs="SegoeUI"/>
          <w:b/>
          <w:bCs/>
          <w:color w:val="595959"/>
        </w:rPr>
      </w:pPr>
      <w:r>
        <w:rPr>
          <w:rFonts w:eastAsia="Yu Gothic Light" w:cs="SegoeUI"/>
          <w:b/>
          <w:bCs/>
          <w:color w:val="595959"/>
        </w:rPr>
        <w:t>N</w:t>
      </w:r>
      <w:r w:rsidR="005C5CED" w:rsidRPr="005C5CED">
        <w:rPr>
          <w:rFonts w:eastAsia="Yu Gothic Light" w:cs="SegoeUI"/>
          <w:b/>
          <w:bCs/>
          <w:color w:val="595959"/>
        </w:rPr>
        <w:t>ote 6.3.1 Reconciliation of net result for the period to cash flow from operating activities</w:t>
      </w:r>
    </w:p>
    <w:tbl>
      <w:tblPr>
        <w:tblW w:w="8828" w:type="dxa"/>
        <w:tblLook w:val="04A0" w:firstRow="1" w:lastRow="0" w:firstColumn="1" w:lastColumn="0" w:noHBand="0" w:noVBand="1"/>
      </w:tblPr>
      <w:tblGrid>
        <w:gridCol w:w="4376"/>
        <w:gridCol w:w="1596"/>
        <w:gridCol w:w="1068"/>
        <w:gridCol w:w="1788"/>
      </w:tblGrid>
      <w:tr w:rsidR="005C5CED" w:rsidRPr="005C5CED" w14:paraId="0B6D2490" w14:textId="77777777" w:rsidTr="0062462F">
        <w:trPr>
          <w:trHeight w:val="225"/>
        </w:trPr>
        <w:tc>
          <w:tcPr>
            <w:tcW w:w="4376" w:type="dxa"/>
            <w:tcBorders>
              <w:top w:val="single" w:sz="4" w:space="0" w:color="auto"/>
              <w:left w:val="nil"/>
              <w:bottom w:val="nil"/>
              <w:right w:val="nil"/>
            </w:tcBorders>
            <w:shd w:val="clear" w:color="000000" w:fill="000000"/>
            <w:noWrap/>
            <w:vAlign w:val="bottom"/>
            <w:hideMark/>
          </w:tcPr>
          <w:p w14:paraId="4DB5E032"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96" w:type="dxa"/>
            <w:tcBorders>
              <w:top w:val="single" w:sz="4" w:space="0" w:color="auto"/>
              <w:left w:val="nil"/>
              <w:bottom w:val="nil"/>
              <w:right w:val="nil"/>
            </w:tcBorders>
            <w:shd w:val="clear" w:color="000000" w:fill="000000"/>
            <w:noWrap/>
            <w:vAlign w:val="bottom"/>
            <w:hideMark/>
          </w:tcPr>
          <w:p w14:paraId="5566C138" w14:textId="77777777" w:rsidR="005C5CED" w:rsidRPr="005C5CED" w:rsidRDefault="005C5CED" w:rsidP="005C5CED">
            <w:pPr>
              <w:spacing w:after="0" w:line="240" w:lineRule="auto"/>
              <w:jc w:val="center"/>
              <w:rPr>
                <w:rFonts w:eastAsia="Times New Roman" w:cs="Arial"/>
                <w:b/>
                <w:bCs/>
                <w:color w:val="FFFFFF"/>
                <w:sz w:val="16"/>
                <w:szCs w:val="16"/>
                <w:lang w:eastAsia="en-AU"/>
              </w:rPr>
            </w:pPr>
          </w:p>
        </w:tc>
        <w:tc>
          <w:tcPr>
            <w:tcW w:w="1068" w:type="dxa"/>
            <w:tcBorders>
              <w:top w:val="single" w:sz="4" w:space="0" w:color="auto"/>
              <w:left w:val="nil"/>
              <w:bottom w:val="nil"/>
              <w:right w:val="nil"/>
            </w:tcBorders>
            <w:shd w:val="clear" w:color="000000" w:fill="000000"/>
            <w:noWrap/>
            <w:vAlign w:val="bottom"/>
            <w:hideMark/>
          </w:tcPr>
          <w:p w14:paraId="620F602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788" w:type="dxa"/>
            <w:tcBorders>
              <w:top w:val="single" w:sz="4" w:space="0" w:color="auto"/>
              <w:left w:val="nil"/>
              <w:bottom w:val="nil"/>
              <w:right w:val="nil"/>
            </w:tcBorders>
            <w:shd w:val="clear" w:color="000000" w:fill="000000"/>
            <w:noWrap/>
            <w:vAlign w:val="bottom"/>
            <w:hideMark/>
          </w:tcPr>
          <w:p w14:paraId="02E7A33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7230AE5A" w14:textId="77777777" w:rsidTr="0062462F">
        <w:trPr>
          <w:trHeight w:val="225"/>
        </w:trPr>
        <w:tc>
          <w:tcPr>
            <w:tcW w:w="4376" w:type="dxa"/>
            <w:tcBorders>
              <w:top w:val="nil"/>
              <w:left w:val="nil"/>
              <w:bottom w:val="single" w:sz="4" w:space="0" w:color="auto"/>
              <w:right w:val="nil"/>
            </w:tcBorders>
            <w:shd w:val="clear" w:color="000000" w:fill="000000"/>
            <w:noWrap/>
            <w:vAlign w:val="bottom"/>
            <w:hideMark/>
          </w:tcPr>
          <w:p w14:paraId="752068E6"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96" w:type="dxa"/>
            <w:tcBorders>
              <w:top w:val="nil"/>
              <w:left w:val="nil"/>
              <w:bottom w:val="single" w:sz="4" w:space="0" w:color="auto"/>
              <w:right w:val="nil"/>
            </w:tcBorders>
            <w:shd w:val="clear" w:color="000000" w:fill="000000"/>
            <w:noWrap/>
            <w:vAlign w:val="bottom"/>
            <w:hideMark/>
          </w:tcPr>
          <w:p w14:paraId="7765466A"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068" w:type="dxa"/>
            <w:tcBorders>
              <w:top w:val="nil"/>
              <w:left w:val="nil"/>
              <w:bottom w:val="single" w:sz="4" w:space="0" w:color="auto"/>
              <w:right w:val="nil"/>
            </w:tcBorders>
            <w:shd w:val="clear" w:color="000000" w:fill="000000"/>
            <w:noWrap/>
            <w:vAlign w:val="bottom"/>
            <w:hideMark/>
          </w:tcPr>
          <w:p w14:paraId="034B3FC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788" w:type="dxa"/>
            <w:tcBorders>
              <w:top w:val="nil"/>
              <w:left w:val="nil"/>
              <w:bottom w:val="single" w:sz="4" w:space="0" w:color="auto"/>
              <w:right w:val="nil"/>
            </w:tcBorders>
            <w:shd w:val="clear" w:color="000000" w:fill="000000"/>
            <w:noWrap/>
            <w:vAlign w:val="bottom"/>
            <w:hideMark/>
          </w:tcPr>
          <w:p w14:paraId="78DA851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107E3C0E" w14:textId="77777777" w:rsidTr="0062462F">
        <w:trPr>
          <w:trHeight w:val="342"/>
        </w:trPr>
        <w:tc>
          <w:tcPr>
            <w:tcW w:w="4376" w:type="dxa"/>
            <w:tcBorders>
              <w:top w:val="nil"/>
              <w:left w:val="nil"/>
              <w:bottom w:val="nil"/>
              <w:right w:val="nil"/>
            </w:tcBorders>
            <w:shd w:val="clear" w:color="auto" w:fill="auto"/>
            <w:noWrap/>
            <w:vAlign w:val="center"/>
            <w:hideMark/>
          </w:tcPr>
          <w:p w14:paraId="509DB24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result for the financial year</w:t>
            </w:r>
          </w:p>
        </w:tc>
        <w:tc>
          <w:tcPr>
            <w:tcW w:w="1596" w:type="dxa"/>
            <w:tcBorders>
              <w:top w:val="nil"/>
              <w:left w:val="nil"/>
              <w:bottom w:val="nil"/>
              <w:right w:val="nil"/>
            </w:tcBorders>
            <w:shd w:val="clear" w:color="auto" w:fill="auto"/>
            <w:noWrap/>
            <w:vAlign w:val="center"/>
            <w:hideMark/>
          </w:tcPr>
          <w:p w14:paraId="4CCDF456"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068" w:type="dxa"/>
            <w:tcBorders>
              <w:top w:val="nil"/>
              <w:left w:val="nil"/>
              <w:bottom w:val="nil"/>
              <w:right w:val="nil"/>
            </w:tcBorders>
            <w:shd w:val="clear" w:color="auto" w:fill="auto"/>
            <w:noWrap/>
            <w:vAlign w:val="center"/>
          </w:tcPr>
          <w:p w14:paraId="1423623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1,187</w:t>
            </w:r>
          </w:p>
          <w:p w14:paraId="2C7B525D"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788" w:type="dxa"/>
            <w:tcBorders>
              <w:top w:val="nil"/>
              <w:left w:val="nil"/>
              <w:bottom w:val="nil"/>
              <w:right w:val="nil"/>
            </w:tcBorders>
            <w:shd w:val="clear" w:color="000000" w:fill="E7E6E6"/>
            <w:noWrap/>
            <w:vAlign w:val="center"/>
            <w:hideMark/>
          </w:tcPr>
          <w:p w14:paraId="12137BB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2,545</w:t>
            </w:r>
          </w:p>
        </w:tc>
      </w:tr>
      <w:tr w:rsidR="005C5CED" w:rsidRPr="005C5CED" w14:paraId="2AF3019A" w14:textId="77777777" w:rsidTr="0062462F">
        <w:trPr>
          <w:trHeight w:val="342"/>
        </w:trPr>
        <w:tc>
          <w:tcPr>
            <w:tcW w:w="4376" w:type="dxa"/>
            <w:tcBorders>
              <w:top w:val="nil"/>
              <w:left w:val="nil"/>
              <w:bottom w:val="nil"/>
              <w:right w:val="nil"/>
            </w:tcBorders>
            <w:shd w:val="clear" w:color="auto" w:fill="auto"/>
            <w:noWrap/>
            <w:vAlign w:val="center"/>
            <w:hideMark/>
          </w:tcPr>
          <w:p w14:paraId="55D2A26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Non-cash movements:</w:t>
            </w:r>
          </w:p>
        </w:tc>
        <w:tc>
          <w:tcPr>
            <w:tcW w:w="1596" w:type="dxa"/>
            <w:tcBorders>
              <w:top w:val="nil"/>
              <w:left w:val="nil"/>
              <w:bottom w:val="nil"/>
              <w:right w:val="nil"/>
            </w:tcBorders>
            <w:shd w:val="clear" w:color="auto" w:fill="auto"/>
            <w:noWrap/>
            <w:vAlign w:val="center"/>
            <w:hideMark/>
          </w:tcPr>
          <w:p w14:paraId="0CAC2D0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4448D59D" w14:textId="77777777" w:rsidR="005C5CED" w:rsidRPr="005C5CED" w:rsidRDefault="005C5CED" w:rsidP="005C5CED">
            <w:pPr>
              <w:spacing w:after="0" w:line="240" w:lineRule="auto"/>
              <w:jc w:val="right"/>
              <w:rPr>
                <w:rFonts w:eastAsia="Times New Roman" w:cs="Arial"/>
                <w:color w:val="auto"/>
                <w:szCs w:val="20"/>
                <w:lang w:eastAsia="en-AU"/>
              </w:rPr>
            </w:pPr>
          </w:p>
        </w:tc>
        <w:tc>
          <w:tcPr>
            <w:tcW w:w="1788" w:type="dxa"/>
            <w:tcBorders>
              <w:top w:val="nil"/>
              <w:left w:val="nil"/>
              <w:bottom w:val="nil"/>
              <w:right w:val="nil"/>
            </w:tcBorders>
            <w:shd w:val="clear" w:color="000000" w:fill="E7E6E6"/>
            <w:noWrap/>
            <w:vAlign w:val="center"/>
            <w:hideMark/>
          </w:tcPr>
          <w:p w14:paraId="3937C0FA"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0431F545" w14:textId="77777777" w:rsidTr="0062462F">
        <w:trPr>
          <w:trHeight w:val="342"/>
        </w:trPr>
        <w:tc>
          <w:tcPr>
            <w:tcW w:w="4376" w:type="dxa"/>
            <w:tcBorders>
              <w:top w:val="nil"/>
              <w:left w:val="nil"/>
              <w:bottom w:val="nil"/>
              <w:right w:val="nil"/>
            </w:tcBorders>
            <w:shd w:val="clear" w:color="auto" w:fill="auto"/>
            <w:noWrap/>
            <w:vAlign w:val="center"/>
            <w:hideMark/>
          </w:tcPr>
          <w:p w14:paraId="47912F1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Depreciation</w:t>
            </w:r>
          </w:p>
        </w:tc>
        <w:tc>
          <w:tcPr>
            <w:tcW w:w="1596" w:type="dxa"/>
            <w:tcBorders>
              <w:top w:val="nil"/>
              <w:left w:val="nil"/>
              <w:bottom w:val="nil"/>
              <w:right w:val="nil"/>
            </w:tcBorders>
            <w:shd w:val="clear" w:color="auto" w:fill="auto"/>
            <w:noWrap/>
            <w:vAlign w:val="center"/>
            <w:hideMark/>
          </w:tcPr>
          <w:p w14:paraId="27C7428B"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22509E2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2,121</w:t>
            </w:r>
          </w:p>
        </w:tc>
        <w:tc>
          <w:tcPr>
            <w:tcW w:w="1788" w:type="dxa"/>
            <w:tcBorders>
              <w:top w:val="nil"/>
              <w:left w:val="nil"/>
              <w:bottom w:val="nil"/>
              <w:right w:val="nil"/>
            </w:tcBorders>
            <w:shd w:val="clear" w:color="000000" w:fill="E7E6E6"/>
            <w:noWrap/>
            <w:vAlign w:val="center"/>
            <w:hideMark/>
          </w:tcPr>
          <w:p w14:paraId="09CFCE8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2,090</w:t>
            </w:r>
          </w:p>
        </w:tc>
      </w:tr>
      <w:tr w:rsidR="005C5CED" w:rsidRPr="005C5CED" w14:paraId="1F2CA8EC" w14:textId="77777777" w:rsidTr="0062462F">
        <w:trPr>
          <w:trHeight w:val="342"/>
        </w:trPr>
        <w:tc>
          <w:tcPr>
            <w:tcW w:w="4376" w:type="dxa"/>
            <w:tcBorders>
              <w:top w:val="nil"/>
              <w:left w:val="nil"/>
              <w:bottom w:val="nil"/>
              <w:right w:val="nil"/>
            </w:tcBorders>
            <w:shd w:val="clear" w:color="auto" w:fill="auto"/>
            <w:noWrap/>
            <w:vAlign w:val="center"/>
          </w:tcPr>
          <w:p w14:paraId="0B9B19B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costs</w:t>
            </w:r>
          </w:p>
        </w:tc>
        <w:tc>
          <w:tcPr>
            <w:tcW w:w="1596" w:type="dxa"/>
            <w:tcBorders>
              <w:top w:val="nil"/>
              <w:left w:val="nil"/>
              <w:bottom w:val="nil"/>
              <w:right w:val="nil"/>
            </w:tcBorders>
            <w:shd w:val="clear" w:color="auto" w:fill="auto"/>
            <w:noWrap/>
            <w:vAlign w:val="center"/>
          </w:tcPr>
          <w:p w14:paraId="5835ECB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27C7695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788" w:type="dxa"/>
            <w:tcBorders>
              <w:top w:val="nil"/>
              <w:left w:val="nil"/>
              <w:bottom w:val="nil"/>
              <w:right w:val="nil"/>
            </w:tcBorders>
            <w:shd w:val="clear" w:color="000000" w:fill="E7E6E6"/>
            <w:noWrap/>
            <w:vAlign w:val="center"/>
          </w:tcPr>
          <w:p w14:paraId="282143A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w:t>
            </w:r>
          </w:p>
        </w:tc>
      </w:tr>
      <w:tr w:rsidR="005C5CED" w:rsidRPr="005C5CED" w14:paraId="7B2C7565" w14:textId="77777777" w:rsidTr="0062462F">
        <w:trPr>
          <w:trHeight w:val="342"/>
        </w:trPr>
        <w:tc>
          <w:tcPr>
            <w:tcW w:w="4376" w:type="dxa"/>
            <w:tcBorders>
              <w:top w:val="nil"/>
              <w:left w:val="nil"/>
              <w:bottom w:val="nil"/>
              <w:right w:val="nil"/>
            </w:tcBorders>
            <w:shd w:val="clear" w:color="auto" w:fill="auto"/>
            <w:noWrap/>
            <w:vAlign w:val="center"/>
            <w:hideMark/>
          </w:tcPr>
          <w:p w14:paraId="0F591E0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Net gain/(loss) on non-financial assets</w:t>
            </w:r>
          </w:p>
        </w:tc>
        <w:tc>
          <w:tcPr>
            <w:tcW w:w="1596" w:type="dxa"/>
            <w:tcBorders>
              <w:top w:val="nil"/>
              <w:left w:val="nil"/>
              <w:bottom w:val="nil"/>
              <w:right w:val="nil"/>
            </w:tcBorders>
            <w:shd w:val="clear" w:color="auto" w:fill="auto"/>
            <w:noWrap/>
            <w:vAlign w:val="center"/>
            <w:hideMark/>
          </w:tcPr>
          <w:p w14:paraId="68E0F60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194AAF4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2,198</w:t>
            </w:r>
          </w:p>
        </w:tc>
        <w:tc>
          <w:tcPr>
            <w:tcW w:w="1788" w:type="dxa"/>
            <w:tcBorders>
              <w:top w:val="nil"/>
              <w:left w:val="nil"/>
              <w:bottom w:val="nil"/>
              <w:right w:val="nil"/>
            </w:tcBorders>
            <w:shd w:val="clear" w:color="000000" w:fill="E7E6E6"/>
            <w:noWrap/>
            <w:vAlign w:val="center"/>
            <w:hideMark/>
          </w:tcPr>
          <w:p w14:paraId="6132F6A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033EBCA4" w14:textId="77777777" w:rsidTr="0062462F">
        <w:trPr>
          <w:trHeight w:val="342"/>
        </w:trPr>
        <w:tc>
          <w:tcPr>
            <w:tcW w:w="4376" w:type="dxa"/>
            <w:tcBorders>
              <w:top w:val="nil"/>
              <w:left w:val="nil"/>
              <w:bottom w:val="nil"/>
              <w:right w:val="nil"/>
            </w:tcBorders>
            <w:shd w:val="clear" w:color="auto" w:fill="auto"/>
            <w:noWrap/>
            <w:vAlign w:val="center"/>
          </w:tcPr>
          <w:p w14:paraId="73A0AE0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non-cash movements</w:t>
            </w:r>
          </w:p>
        </w:tc>
        <w:tc>
          <w:tcPr>
            <w:tcW w:w="1596" w:type="dxa"/>
            <w:tcBorders>
              <w:top w:val="nil"/>
              <w:left w:val="nil"/>
              <w:bottom w:val="nil"/>
              <w:right w:val="nil"/>
            </w:tcBorders>
            <w:shd w:val="clear" w:color="auto" w:fill="auto"/>
            <w:noWrap/>
            <w:vAlign w:val="center"/>
          </w:tcPr>
          <w:p w14:paraId="7640688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1FF7E3B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62</w:t>
            </w:r>
          </w:p>
        </w:tc>
        <w:tc>
          <w:tcPr>
            <w:tcW w:w="1788" w:type="dxa"/>
            <w:tcBorders>
              <w:top w:val="nil"/>
              <w:left w:val="nil"/>
              <w:bottom w:val="nil"/>
              <w:right w:val="nil"/>
            </w:tcBorders>
            <w:shd w:val="clear" w:color="000000" w:fill="E7E6E6"/>
            <w:noWrap/>
            <w:vAlign w:val="center"/>
          </w:tcPr>
          <w:p w14:paraId="03E8562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16AD5CC8" w14:textId="77777777" w:rsidTr="0062462F">
        <w:trPr>
          <w:trHeight w:val="342"/>
        </w:trPr>
        <w:tc>
          <w:tcPr>
            <w:tcW w:w="4376" w:type="dxa"/>
            <w:tcBorders>
              <w:top w:val="nil"/>
              <w:left w:val="nil"/>
              <w:bottom w:val="nil"/>
              <w:right w:val="nil"/>
            </w:tcBorders>
            <w:shd w:val="clear" w:color="auto" w:fill="auto"/>
            <w:noWrap/>
            <w:vAlign w:val="center"/>
          </w:tcPr>
          <w:p w14:paraId="18D78D3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(Gain) / loss on disposal of assets</w:t>
            </w:r>
          </w:p>
        </w:tc>
        <w:tc>
          <w:tcPr>
            <w:tcW w:w="1596" w:type="dxa"/>
            <w:tcBorders>
              <w:top w:val="nil"/>
              <w:left w:val="nil"/>
              <w:bottom w:val="nil"/>
              <w:right w:val="nil"/>
            </w:tcBorders>
            <w:shd w:val="clear" w:color="auto" w:fill="auto"/>
            <w:noWrap/>
            <w:vAlign w:val="center"/>
          </w:tcPr>
          <w:p w14:paraId="20511BD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62A62C65"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788" w:type="dxa"/>
            <w:tcBorders>
              <w:top w:val="nil"/>
              <w:left w:val="nil"/>
              <w:bottom w:val="nil"/>
              <w:right w:val="nil"/>
            </w:tcBorders>
            <w:shd w:val="clear" w:color="000000" w:fill="E7E6E6"/>
            <w:noWrap/>
            <w:vAlign w:val="center"/>
          </w:tcPr>
          <w:p w14:paraId="1C02135B"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(149)</w:t>
            </w:r>
          </w:p>
        </w:tc>
      </w:tr>
      <w:tr w:rsidR="005C5CED" w:rsidRPr="005C5CED" w14:paraId="1F9F84D3" w14:textId="77777777" w:rsidTr="0062462F">
        <w:trPr>
          <w:trHeight w:val="342"/>
        </w:trPr>
        <w:tc>
          <w:tcPr>
            <w:tcW w:w="4376" w:type="dxa"/>
            <w:tcBorders>
              <w:top w:val="nil"/>
              <w:left w:val="nil"/>
              <w:bottom w:val="nil"/>
              <w:right w:val="nil"/>
            </w:tcBorders>
            <w:shd w:val="clear" w:color="auto" w:fill="auto"/>
            <w:noWrap/>
            <w:vAlign w:val="center"/>
            <w:hideMark/>
          </w:tcPr>
          <w:p w14:paraId="13CD2C8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Movements in assets and liabilities:</w:t>
            </w:r>
          </w:p>
        </w:tc>
        <w:tc>
          <w:tcPr>
            <w:tcW w:w="1596" w:type="dxa"/>
            <w:tcBorders>
              <w:top w:val="nil"/>
              <w:left w:val="nil"/>
              <w:bottom w:val="nil"/>
              <w:right w:val="nil"/>
            </w:tcBorders>
            <w:shd w:val="clear" w:color="auto" w:fill="auto"/>
            <w:noWrap/>
            <w:vAlign w:val="center"/>
            <w:hideMark/>
          </w:tcPr>
          <w:p w14:paraId="41317ED9"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068" w:type="dxa"/>
            <w:tcBorders>
              <w:top w:val="nil"/>
              <w:left w:val="nil"/>
              <w:bottom w:val="nil"/>
              <w:right w:val="nil"/>
            </w:tcBorders>
            <w:shd w:val="clear" w:color="auto" w:fill="auto"/>
            <w:noWrap/>
            <w:vAlign w:val="center"/>
          </w:tcPr>
          <w:p w14:paraId="22DC1BD5" w14:textId="77777777" w:rsidR="005C5CED" w:rsidRPr="005C5CED" w:rsidRDefault="005C5CED" w:rsidP="005C5CED">
            <w:pPr>
              <w:spacing w:after="0" w:line="240" w:lineRule="auto"/>
              <w:jc w:val="right"/>
              <w:rPr>
                <w:rFonts w:eastAsia="Times New Roman" w:cs="Arial"/>
                <w:color w:val="auto"/>
                <w:szCs w:val="20"/>
                <w:lang w:eastAsia="en-AU"/>
              </w:rPr>
            </w:pPr>
          </w:p>
        </w:tc>
        <w:tc>
          <w:tcPr>
            <w:tcW w:w="1788" w:type="dxa"/>
            <w:tcBorders>
              <w:top w:val="nil"/>
              <w:left w:val="nil"/>
              <w:bottom w:val="nil"/>
              <w:right w:val="nil"/>
            </w:tcBorders>
            <w:shd w:val="clear" w:color="000000" w:fill="E7E6E6"/>
            <w:noWrap/>
            <w:vAlign w:val="center"/>
            <w:hideMark/>
          </w:tcPr>
          <w:p w14:paraId="71247B6A"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74B765F5" w14:textId="77777777" w:rsidTr="0062462F">
        <w:trPr>
          <w:trHeight w:val="342"/>
        </w:trPr>
        <w:tc>
          <w:tcPr>
            <w:tcW w:w="4376" w:type="dxa"/>
            <w:tcBorders>
              <w:top w:val="nil"/>
              <w:left w:val="nil"/>
              <w:bottom w:val="nil"/>
              <w:right w:val="nil"/>
            </w:tcBorders>
            <w:shd w:val="clear" w:color="auto" w:fill="auto"/>
            <w:noWrap/>
            <w:vAlign w:val="center"/>
            <w:hideMark/>
          </w:tcPr>
          <w:p w14:paraId="45B75B1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Increase / (decrease) in employee related provisions</w:t>
            </w:r>
          </w:p>
        </w:tc>
        <w:tc>
          <w:tcPr>
            <w:tcW w:w="1596" w:type="dxa"/>
            <w:tcBorders>
              <w:top w:val="nil"/>
              <w:left w:val="nil"/>
              <w:bottom w:val="nil"/>
              <w:right w:val="nil"/>
            </w:tcBorders>
            <w:shd w:val="clear" w:color="auto" w:fill="auto"/>
            <w:noWrap/>
            <w:vAlign w:val="center"/>
            <w:hideMark/>
          </w:tcPr>
          <w:p w14:paraId="262F0D7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7623CB2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402</w:t>
            </w:r>
          </w:p>
        </w:tc>
        <w:tc>
          <w:tcPr>
            <w:tcW w:w="1788" w:type="dxa"/>
            <w:tcBorders>
              <w:top w:val="nil"/>
              <w:left w:val="nil"/>
              <w:bottom w:val="nil"/>
              <w:right w:val="nil"/>
            </w:tcBorders>
            <w:shd w:val="clear" w:color="000000" w:fill="E7E6E6"/>
            <w:noWrap/>
            <w:vAlign w:val="center"/>
            <w:hideMark/>
          </w:tcPr>
          <w:p w14:paraId="56361B0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(54)</w:t>
            </w:r>
          </w:p>
        </w:tc>
      </w:tr>
      <w:tr w:rsidR="005C5CED" w:rsidRPr="005C5CED" w14:paraId="3E6A704F" w14:textId="77777777" w:rsidTr="0062462F">
        <w:trPr>
          <w:trHeight w:val="342"/>
        </w:trPr>
        <w:tc>
          <w:tcPr>
            <w:tcW w:w="4376" w:type="dxa"/>
            <w:tcBorders>
              <w:top w:val="nil"/>
              <w:left w:val="nil"/>
              <w:bottom w:val="nil"/>
              <w:right w:val="nil"/>
            </w:tcBorders>
            <w:shd w:val="clear" w:color="auto" w:fill="auto"/>
            <w:noWrap/>
            <w:vAlign w:val="center"/>
            <w:hideMark/>
          </w:tcPr>
          <w:p w14:paraId="3ACF4B5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Increase / (decrease) in payables and contract liabilities</w:t>
            </w:r>
          </w:p>
        </w:tc>
        <w:tc>
          <w:tcPr>
            <w:tcW w:w="1596" w:type="dxa"/>
            <w:tcBorders>
              <w:top w:val="nil"/>
              <w:left w:val="nil"/>
              <w:bottom w:val="nil"/>
              <w:right w:val="nil"/>
            </w:tcBorders>
            <w:shd w:val="clear" w:color="auto" w:fill="auto"/>
            <w:noWrap/>
            <w:vAlign w:val="center"/>
            <w:hideMark/>
          </w:tcPr>
          <w:p w14:paraId="3D8ADCD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1347FF5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1,840</w:t>
            </w:r>
          </w:p>
        </w:tc>
        <w:tc>
          <w:tcPr>
            <w:tcW w:w="1788" w:type="dxa"/>
            <w:tcBorders>
              <w:top w:val="nil"/>
              <w:left w:val="nil"/>
              <w:bottom w:val="nil"/>
              <w:right w:val="nil"/>
            </w:tcBorders>
            <w:shd w:val="clear" w:color="000000" w:fill="E7E6E6"/>
            <w:noWrap/>
            <w:vAlign w:val="center"/>
            <w:hideMark/>
          </w:tcPr>
          <w:p w14:paraId="4C1AE25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(19,118)</w:t>
            </w:r>
          </w:p>
        </w:tc>
      </w:tr>
      <w:tr w:rsidR="005C5CED" w:rsidRPr="005C5CED" w14:paraId="3D75F71E" w14:textId="77777777" w:rsidTr="0062462F">
        <w:trPr>
          <w:trHeight w:val="342"/>
        </w:trPr>
        <w:tc>
          <w:tcPr>
            <w:tcW w:w="4376" w:type="dxa"/>
            <w:tcBorders>
              <w:top w:val="nil"/>
              <w:left w:val="nil"/>
              <w:bottom w:val="nil"/>
              <w:right w:val="nil"/>
            </w:tcBorders>
            <w:shd w:val="clear" w:color="auto" w:fill="auto"/>
            <w:noWrap/>
            <w:vAlign w:val="center"/>
            <w:hideMark/>
          </w:tcPr>
          <w:p w14:paraId="146369D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(Increase) / decrease in prepayments</w:t>
            </w:r>
          </w:p>
        </w:tc>
        <w:tc>
          <w:tcPr>
            <w:tcW w:w="1596" w:type="dxa"/>
            <w:tcBorders>
              <w:top w:val="nil"/>
              <w:left w:val="nil"/>
              <w:bottom w:val="nil"/>
              <w:right w:val="nil"/>
            </w:tcBorders>
            <w:shd w:val="clear" w:color="auto" w:fill="auto"/>
            <w:noWrap/>
            <w:vAlign w:val="center"/>
            <w:hideMark/>
          </w:tcPr>
          <w:p w14:paraId="44DFCFC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593285A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(28)</w:t>
            </w:r>
          </w:p>
        </w:tc>
        <w:tc>
          <w:tcPr>
            <w:tcW w:w="1788" w:type="dxa"/>
            <w:tcBorders>
              <w:top w:val="nil"/>
              <w:left w:val="nil"/>
              <w:bottom w:val="nil"/>
              <w:right w:val="nil"/>
            </w:tcBorders>
            <w:shd w:val="clear" w:color="000000" w:fill="E7E6E6"/>
            <w:noWrap/>
            <w:vAlign w:val="center"/>
            <w:hideMark/>
          </w:tcPr>
          <w:p w14:paraId="023EC77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w:t>
            </w:r>
          </w:p>
        </w:tc>
      </w:tr>
      <w:tr w:rsidR="005C5CED" w:rsidRPr="005C5CED" w14:paraId="3E5FA169" w14:textId="77777777" w:rsidTr="0062462F">
        <w:trPr>
          <w:trHeight w:val="342"/>
        </w:trPr>
        <w:tc>
          <w:tcPr>
            <w:tcW w:w="4376" w:type="dxa"/>
            <w:tcBorders>
              <w:top w:val="nil"/>
              <w:left w:val="nil"/>
              <w:bottom w:val="nil"/>
              <w:right w:val="nil"/>
            </w:tcBorders>
            <w:shd w:val="clear" w:color="auto" w:fill="auto"/>
            <w:noWrap/>
            <w:vAlign w:val="center"/>
            <w:hideMark/>
          </w:tcPr>
          <w:p w14:paraId="7196152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Decrease / (increase) in receivables</w:t>
            </w:r>
          </w:p>
        </w:tc>
        <w:tc>
          <w:tcPr>
            <w:tcW w:w="1596" w:type="dxa"/>
            <w:tcBorders>
              <w:top w:val="nil"/>
              <w:left w:val="nil"/>
              <w:bottom w:val="nil"/>
              <w:right w:val="nil"/>
            </w:tcBorders>
            <w:shd w:val="clear" w:color="auto" w:fill="auto"/>
            <w:noWrap/>
            <w:vAlign w:val="center"/>
            <w:hideMark/>
          </w:tcPr>
          <w:p w14:paraId="25B6BFE1"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068" w:type="dxa"/>
            <w:tcBorders>
              <w:top w:val="nil"/>
              <w:left w:val="nil"/>
              <w:bottom w:val="nil"/>
              <w:right w:val="nil"/>
            </w:tcBorders>
            <w:shd w:val="clear" w:color="auto" w:fill="auto"/>
            <w:noWrap/>
            <w:vAlign w:val="center"/>
          </w:tcPr>
          <w:p w14:paraId="6EEBE97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1,840</w:t>
            </w:r>
          </w:p>
        </w:tc>
        <w:tc>
          <w:tcPr>
            <w:tcW w:w="1788" w:type="dxa"/>
            <w:tcBorders>
              <w:top w:val="nil"/>
              <w:left w:val="nil"/>
              <w:bottom w:val="nil"/>
              <w:right w:val="nil"/>
            </w:tcBorders>
            <w:shd w:val="clear" w:color="000000" w:fill="E7E6E6"/>
            <w:noWrap/>
            <w:vAlign w:val="center"/>
            <w:hideMark/>
          </w:tcPr>
          <w:p w14:paraId="6B69369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(4,561)</w:t>
            </w:r>
          </w:p>
        </w:tc>
      </w:tr>
      <w:tr w:rsidR="005C5CED" w:rsidRPr="005C5CED" w14:paraId="50AF21E4" w14:textId="77777777" w:rsidTr="0062462F">
        <w:trPr>
          <w:trHeight w:val="342"/>
        </w:trPr>
        <w:tc>
          <w:tcPr>
            <w:tcW w:w="4376" w:type="dxa"/>
            <w:tcBorders>
              <w:top w:val="single" w:sz="4" w:space="0" w:color="auto"/>
              <w:left w:val="nil"/>
              <w:bottom w:val="single" w:sz="4" w:space="0" w:color="auto"/>
              <w:right w:val="nil"/>
            </w:tcBorders>
            <w:shd w:val="clear" w:color="auto" w:fill="auto"/>
            <w:noWrap/>
            <w:vAlign w:val="center"/>
            <w:hideMark/>
          </w:tcPr>
          <w:p w14:paraId="75C0044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Net cash flows from/ (used in) operating activities</w:t>
            </w:r>
          </w:p>
        </w:tc>
        <w:tc>
          <w:tcPr>
            <w:tcW w:w="1596" w:type="dxa"/>
            <w:tcBorders>
              <w:top w:val="single" w:sz="4" w:space="0" w:color="auto"/>
              <w:left w:val="nil"/>
              <w:bottom w:val="single" w:sz="4" w:space="0" w:color="auto"/>
              <w:right w:val="nil"/>
            </w:tcBorders>
            <w:shd w:val="clear" w:color="auto" w:fill="auto"/>
            <w:noWrap/>
            <w:vAlign w:val="center"/>
            <w:hideMark/>
          </w:tcPr>
          <w:p w14:paraId="6271B891"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068" w:type="dxa"/>
            <w:tcBorders>
              <w:top w:val="single" w:sz="4" w:space="0" w:color="auto"/>
              <w:left w:val="nil"/>
              <w:bottom w:val="single" w:sz="4" w:space="0" w:color="auto"/>
              <w:right w:val="nil"/>
            </w:tcBorders>
            <w:shd w:val="clear" w:color="auto" w:fill="auto"/>
            <w:noWrap/>
            <w:vAlign w:val="center"/>
          </w:tcPr>
          <w:p w14:paraId="3FC26E5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9,622</w:t>
            </w:r>
          </w:p>
        </w:tc>
        <w:tc>
          <w:tcPr>
            <w:tcW w:w="1788" w:type="dxa"/>
            <w:tcBorders>
              <w:top w:val="single" w:sz="4" w:space="0" w:color="auto"/>
              <w:left w:val="nil"/>
              <w:bottom w:val="single" w:sz="4" w:space="0" w:color="auto"/>
              <w:right w:val="nil"/>
            </w:tcBorders>
            <w:shd w:val="clear" w:color="000000" w:fill="E7E6E6"/>
            <w:noWrap/>
            <w:vAlign w:val="center"/>
            <w:hideMark/>
          </w:tcPr>
          <w:p w14:paraId="210ED28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19,247</w:t>
            </w:r>
          </w:p>
        </w:tc>
      </w:tr>
    </w:tbl>
    <w:p w14:paraId="69B3FF0B" w14:textId="77777777" w:rsidR="005C5CED" w:rsidRPr="005C5CED" w:rsidRDefault="005C5CED" w:rsidP="005C5CED">
      <w:pPr>
        <w:spacing w:after="60" w:line="259" w:lineRule="auto"/>
        <w:rPr>
          <w:rFonts w:eastAsia="Calibri" w:cs="Arial"/>
          <w:b/>
          <w:bCs/>
          <w:color w:val="auto"/>
          <w:sz w:val="16"/>
          <w:szCs w:val="16"/>
        </w:rPr>
      </w:pPr>
    </w:p>
    <w:p w14:paraId="64067D20" w14:textId="77777777" w:rsidR="00B13398" w:rsidRDefault="00B13398">
      <w:pPr>
        <w:spacing w:line="259" w:lineRule="auto"/>
        <w:rPr>
          <w:rFonts w:eastAsia="Yu Gothic Light" w:cs="Times New Roman"/>
          <w:color w:val="000000"/>
          <w:sz w:val="24"/>
          <w:szCs w:val="24"/>
          <w14:textFill>
            <w14:solidFill>
              <w14:srgbClr w14:val="000000">
                <w14:lumMod w14:val="65000"/>
                <w14:lumOff w14:val="35000"/>
              </w14:srgbClr>
            </w14:solidFill>
          </w14:textFill>
        </w:rPr>
      </w:pPr>
      <w:r>
        <w:rPr>
          <w:rFonts w:eastAsia="Yu Gothic Light" w:cs="Times New Roman"/>
          <w:color w:val="000000"/>
          <w:sz w:val="24"/>
          <w:szCs w:val="24"/>
          <w14:textFill>
            <w14:solidFill>
              <w14:srgbClr w14:val="000000">
                <w14:lumMod w14:val="65000"/>
                <w14:lumOff w14:val="35000"/>
              </w14:srgbClr>
            </w14:solidFill>
          </w14:textFill>
        </w:rPr>
        <w:br w:type="page"/>
      </w:r>
    </w:p>
    <w:p w14:paraId="394C3352"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lastRenderedPageBreak/>
        <w:t>Note 6.4 Commitments for expenditure</w:t>
      </w:r>
      <w:r w:rsidRPr="005C5CED">
        <w:rPr>
          <w:rFonts w:eastAsia="Yu Gothic Light" w:cs="Times New Roman"/>
          <w:color w:val="000000"/>
          <w:sz w:val="24"/>
          <w:szCs w:val="24"/>
          <w14:textFill>
            <w14:solidFill>
              <w14:srgbClr w14:val="000000">
                <w14:lumMod w14:val="65000"/>
                <w14:lumOff w14:val="35000"/>
              </w14:srgbClr>
            </w14:solidFill>
          </w14:textFill>
        </w:rPr>
        <w:tab/>
      </w:r>
    </w:p>
    <w:p w14:paraId="3B59A0F7" w14:textId="77777777" w:rsidR="005C5CED" w:rsidRPr="005C5CED" w:rsidRDefault="005C5CED" w:rsidP="005C5CED">
      <w:pPr>
        <w:spacing w:line="259" w:lineRule="auto"/>
        <w:rPr>
          <w:rFonts w:eastAsia="Calibri" w:cs="Arial"/>
          <w:color w:val="auto"/>
        </w:rPr>
      </w:pPr>
      <w:r w:rsidRPr="005C5CED">
        <w:rPr>
          <w:rFonts w:eastAsia="Calibri" w:cs="Arial"/>
          <w:color w:val="auto"/>
        </w:rPr>
        <w:t>Commitments for future expenditure include operating commitments arising from contracts. These commitments are recorded below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w:t>
      </w:r>
    </w:p>
    <w:tbl>
      <w:tblPr>
        <w:tblW w:w="9008" w:type="dxa"/>
        <w:tblLook w:val="04A0" w:firstRow="1" w:lastRow="0" w:firstColumn="1" w:lastColumn="0" w:noHBand="0" w:noVBand="1"/>
      </w:tblPr>
      <w:tblGrid>
        <w:gridCol w:w="3888"/>
        <w:gridCol w:w="1399"/>
        <w:gridCol w:w="938"/>
        <w:gridCol w:w="1578"/>
        <w:gridCol w:w="1205"/>
      </w:tblGrid>
      <w:tr w:rsidR="005C5CED" w:rsidRPr="005C5CED" w14:paraId="3E67AE0B" w14:textId="77777777" w:rsidTr="00B13398">
        <w:trPr>
          <w:trHeight w:val="247"/>
        </w:trPr>
        <w:tc>
          <w:tcPr>
            <w:tcW w:w="3888" w:type="dxa"/>
            <w:tcBorders>
              <w:top w:val="nil"/>
              <w:left w:val="nil"/>
              <w:bottom w:val="nil"/>
              <w:right w:val="nil"/>
            </w:tcBorders>
            <w:shd w:val="clear" w:color="000000" w:fill="000000"/>
            <w:noWrap/>
            <w:vAlign w:val="bottom"/>
            <w:hideMark/>
          </w:tcPr>
          <w:p w14:paraId="7880E4D7"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99" w:type="dxa"/>
            <w:tcBorders>
              <w:top w:val="nil"/>
              <w:left w:val="nil"/>
              <w:bottom w:val="nil"/>
              <w:right w:val="nil"/>
            </w:tcBorders>
            <w:shd w:val="clear" w:color="000000" w:fill="000000"/>
            <w:vAlign w:val="bottom"/>
            <w:hideMark/>
          </w:tcPr>
          <w:p w14:paraId="03D8066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Less than</w:t>
            </w:r>
            <w:r w:rsidRPr="005C5CED">
              <w:rPr>
                <w:rFonts w:eastAsia="Times New Roman" w:cs="Arial"/>
                <w:b/>
                <w:bCs/>
                <w:color w:val="FFFFFF"/>
                <w:sz w:val="16"/>
                <w:szCs w:val="16"/>
                <w:lang w:eastAsia="en-AU"/>
              </w:rPr>
              <w:br/>
              <w:t>1 year</w:t>
            </w:r>
          </w:p>
        </w:tc>
        <w:tc>
          <w:tcPr>
            <w:tcW w:w="938" w:type="dxa"/>
            <w:tcBorders>
              <w:top w:val="nil"/>
              <w:left w:val="nil"/>
              <w:bottom w:val="nil"/>
              <w:right w:val="nil"/>
            </w:tcBorders>
            <w:shd w:val="clear" w:color="000000" w:fill="000000"/>
            <w:vAlign w:val="bottom"/>
            <w:hideMark/>
          </w:tcPr>
          <w:p w14:paraId="1179EE9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1-5 years</w:t>
            </w:r>
          </w:p>
        </w:tc>
        <w:tc>
          <w:tcPr>
            <w:tcW w:w="1578" w:type="dxa"/>
            <w:tcBorders>
              <w:top w:val="nil"/>
              <w:left w:val="nil"/>
              <w:bottom w:val="nil"/>
              <w:right w:val="nil"/>
            </w:tcBorders>
            <w:shd w:val="clear" w:color="000000" w:fill="000000"/>
            <w:vAlign w:val="bottom"/>
            <w:hideMark/>
          </w:tcPr>
          <w:p w14:paraId="0DC2DC8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More than</w:t>
            </w:r>
            <w:r w:rsidRPr="005C5CED">
              <w:rPr>
                <w:rFonts w:eastAsia="Times New Roman" w:cs="Arial"/>
                <w:b/>
                <w:bCs/>
                <w:color w:val="FFFFFF"/>
                <w:sz w:val="16"/>
                <w:szCs w:val="16"/>
                <w:lang w:eastAsia="en-AU"/>
              </w:rPr>
              <w:br/>
              <w:t>5 years</w:t>
            </w:r>
          </w:p>
        </w:tc>
        <w:tc>
          <w:tcPr>
            <w:tcW w:w="1205" w:type="dxa"/>
            <w:tcBorders>
              <w:top w:val="nil"/>
              <w:left w:val="nil"/>
              <w:bottom w:val="nil"/>
              <w:right w:val="nil"/>
            </w:tcBorders>
            <w:shd w:val="clear" w:color="000000" w:fill="000000"/>
            <w:vAlign w:val="bottom"/>
            <w:hideMark/>
          </w:tcPr>
          <w:p w14:paraId="0793712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Total</w:t>
            </w:r>
          </w:p>
        </w:tc>
      </w:tr>
      <w:tr w:rsidR="005C5CED" w:rsidRPr="005C5CED" w14:paraId="21482698" w14:textId="77777777" w:rsidTr="00B13398">
        <w:trPr>
          <w:trHeight w:val="247"/>
        </w:trPr>
        <w:tc>
          <w:tcPr>
            <w:tcW w:w="3888" w:type="dxa"/>
            <w:tcBorders>
              <w:top w:val="nil"/>
              <w:left w:val="nil"/>
              <w:bottom w:val="nil"/>
              <w:right w:val="nil"/>
            </w:tcBorders>
            <w:shd w:val="clear" w:color="000000" w:fill="000000"/>
            <w:noWrap/>
            <w:vAlign w:val="bottom"/>
            <w:hideMark/>
          </w:tcPr>
          <w:p w14:paraId="2A8CB889"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99" w:type="dxa"/>
            <w:tcBorders>
              <w:top w:val="nil"/>
              <w:left w:val="nil"/>
              <w:bottom w:val="nil"/>
              <w:right w:val="nil"/>
            </w:tcBorders>
            <w:shd w:val="clear" w:color="000000" w:fill="000000"/>
            <w:vAlign w:val="bottom"/>
            <w:hideMark/>
          </w:tcPr>
          <w:p w14:paraId="73901FC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938" w:type="dxa"/>
            <w:tcBorders>
              <w:top w:val="nil"/>
              <w:left w:val="nil"/>
              <w:bottom w:val="nil"/>
              <w:right w:val="nil"/>
            </w:tcBorders>
            <w:shd w:val="clear" w:color="000000" w:fill="000000"/>
            <w:vAlign w:val="bottom"/>
            <w:hideMark/>
          </w:tcPr>
          <w:p w14:paraId="7B1F33F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578" w:type="dxa"/>
            <w:tcBorders>
              <w:top w:val="nil"/>
              <w:left w:val="nil"/>
              <w:bottom w:val="nil"/>
              <w:right w:val="nil"/>
            </w:tcBorders>
            <w:shd w:val="clear" w:color="000000" w:fill="000000"/>
            <w:vAlign w:val="bottom"/>
            <w:hideMark/>
          </w:tcPr>
          <w:p w14:paraId="7719402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1205" w:type="dxa"/>
            <w:tcBorders>
              <w:top w:val="nil"/>
              <w:left w:val="nil"/>
              <w:bottom w:val="nil"/>
              <w:right w:val="nil"/>
            </w:tcBorders>
            <w:shd w:val="clear" w:color="000000" w:fill="000000"/>
            <w:vAlign w:val="bottom"/>
            <w:hideMark/>
          </w:tcPr>
          <w:p w14:paraId="1EBF05A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r>
      <w:tr w:rsidR="005C5CED" w:rsidRPr="005C5CED" w14:paraId="48F5335C" w14:textId="77777777" w:rsidTr="00B13398">
        <w:trPr>
          <w:trHeight w:val="247"/>
        </w:trPr>
        <w:tc>
          <w:tcPr>
            <w:tcW w:w="3888" w:type="dxa"/>
            <w:tcBorders>
              <w:top w:val="nil"/>
              <w:left w:val="nil"/>
              <w:bottom w:val="nil"/>
              <w:right w:val="nil"/>
            </w:tcBorders>
            <w:shd w:val="clear" w:color="000000" w:fill="000000"/>
            <w:noWrap/>
            <w:vAlign w:val="bottom"/>
            <w:hideMark/>
          </w:tcPr>
          <w:p w14:paraId="67FD49AB"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99" w:type="dxa"/>
            <w:tcBorders>
              <w:top w:val="nil"/>
              <w:left w:val="nil"/>
              <w:bottom w:val="nil"/>
              <w:right w:val="nil"/>
            </w:tcBorders>
            <w:shd w:val="clear" w:color="000000" w:fill="000000"/>
            <w:noWrap/>
            <w:vAlign w:val="bottom"/>
            <w:hideMark/>
          </w:tcPr>
          <w:p w14:paraId="7B0004A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938" w:type="dxa"/>
            <w:tcBorders>
              <w:top w:val="nil"/>
              <w:left w:val="nil"/>
              <w:bottom w:val="nil"/>
              <w:right w:val="nil"/>
            </w:tcBorders>
            <w:shd w:val="clear" w:color="000000" w:fill="000000"/>
            <w:noWrap/>
            <w:vAlign w:val="bottom"/>
            <w:hideMark/>
          </w:tcPr>
          <w:p w14:paraId="4ABF6B3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578" w:type="dxa"/>
            <w:tcBorders>
              <w:top w:val="nil"/>
              <w:left w:val="nil"/>
              <w:bottom w:val="nil"/>
              <w:right w:val="nil"/>
            </w:tcBorders>
            <w:shd w:val="clear" w:color="000000" w:fill="000000"/>
            <w:noWrap/>
            <w:vAlign w:val="bottom"/>
            <w:hideMark/>
          </w:tcPr>
          <w:p w14:paraId="2C80C9D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05" w:type="dxa"/>
            <w:tcBorders>
              <w:top w:val="nil"/>
              <w:left w:val="nil"/>
              <w:bottom w:val="nil"/>
              <w:right w:val="nil"/>
            </w:tcBorders>
            <w:shd w:val="clear" w:color="000000" w:fill="000000"/>
            <w:noWrap/>
            <w:vAlign w:val="bottom"/>
            <w:hideMark/>
          </w:tcPr>
          <w:p w14:paraId="63CCF58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1D1F943C" w14:textId="77777777" w:rsidTr="00B13398">
        <w:trPr>
          <w:trHeight w:val="375"/>
        </w:trPr>
        <w:tc>
          <w:tcPr>
            <w:tcW w:w="3888" w:type="dxa"/>
            <w:tcBorders>
              <w:top w:val="nil"/>
              <w:left w:val="nil"/>
              <w:bottom w:val="nil"/>
              <w:right w:val="nil"/>
            </w:tcBorders>
            <w:shd w:val="clear" w:color="auto" w:fill="auto"/>
            <w:noWrap/>
            <w:vAlign w:val="center"/>
            <w:hideMark/>
          </w:tcPr>
          <w:p w14:paraId="01C0240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399" w:type="dxa"/>
            <w:tcBorders>
              <w:top w:val="nil"/>
              <w:left w:val="nil"/>
              <w:bottom w:val="nil"/>
              <w:right w:val="nil"/>
            </w:tcBorders>
            <w:shd w:val="clear" w:color="auto" w:fill="auto"/>
            <w:noWrap/>
            <w:vAlign w:val="center"/>
            <w:hideMark/>
          </w:tcPr>
          <w:p w14:paraId="433388BF"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938" w:type="dxa"/>
            <w:tcBorders>
              <w:top w:val="nil"/>
              <w:left w:val="nil"/>
              <w:bottom w:val="nil"/>
              <w:right w:val="nil"/>
            </w:tcBorders>
            <w:shd w:val="clear" w:color="auto" w:fill="auto"/>
            <w:noWrap/>
            <w:vAlign w:val="center"/>
            <w:hideMark/>
          </w:tcPr>
          <w:p w14:paraId="2B11DD8F" w14:textId="77777777" w:rsidR="005C5CED" w:rsidRPr="005C5CED" w:rsidRDefault="005C5CED" w:rsidP="005C5CED">
            <w:pPr>
              <w:spacing w:after="0" w:line="240" w:lineRule="auto"/>
              <w:rPr>
                <w:rFonts w:eastAsia="Times New Roman" w:cs="Arial"/>
                <w:color w:val="auto"/>
                <w:szCs w:val="20"/>
                <w:lang w:eastAsia="en-AU"/>
              </w:rPr>
            </w:pPr>
          </w:p>
        </w:tc>
        <w:tc>
          <w:tcPr>
            <w:tcW w:w="1578" w:type="dxa"/>
            <w:tcBorders>
              <w:top w:val="nil"/>
              <w:left w:val="nil"/>
              <w:bottom w:val="nil"/>
              <w:right w:val="nil"/>
            </w:tcBorders>
            <w:shd w:val="clear" w:color="auto" w:fill="auto"/>
            <w:noWrap/>
            <w:vAlign w:val="center"/>
            <w:hideMark/>
          </w:tcPr>
          <w:p w14:paraId="676D7D14" w14:textId="77777777" w:rsidR="005C5CED" w:rsidRPr="005C5CED" w:rsidRDefault="005C5CED" w:rsidP="005C5CED">
            <w:pPr>
              <w:spacing w:after="0" w:line="240" w:lineRule="auto"/>
              <w:rPr>
                <w:rFonts w:eastAsia="Times New Roman" w:cs="Arial"/>
                <w:color w:val="auto"/>
                <w:szCs w:val="20"/>
                <w:lang w:eastAsia="en-AU"/>
              </w:rPr>
            </w:pPr>
          </w:p>
        </w:tc>
        <w:tc>
          <w:tcPr>
            <w:tcW w:w="1205" w:type="dxa"/>
            <w:tcBorders>
              <w:top w:val="nil"/>
              <w:left w:val="nil"/>
              <w:bottom w:val="nil"/>
              <w:right w:val="nil"/>
            </w:tcBorders>
            <w:shd w:val="clear" w:color="auto" w:fill="auto"/>
            <w:noWrap/>
            <w:vAlign w:val="center"/>
            <w:hideMark/>
          </w:tcPr>
          <w:p w14:paraId="6E646911"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41B3B473" w14:textId="77777777" w:rsidTr="00B13398">
        <w:trPr>
          <w:trHeight w:val="375"/>
        </w:trPr>
        <w:tc>
          <w:tcPr>
            <w:tcW w:w="3888" w:type="dxa"/>
            <w:tcBorders>
              <w:top w:val="nil"/>
              <w:left w:val="nil"/>
              <w:bottom w:val="nil"/>
              <w:right w:val="nil"/>
            </w:tcBorders>
            <w:shd w:val="clear" w:color="auto" w:fill="auto"/>
            <w:noWrap/>
            <w:vAlign w:val="center"/>
            <w:hideMark/>
          </w:tcPr>
          <w:p w14:paraId="5F867A5E"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Other commitments - contracts</w:t>
            </w:r>
          </w:p>
        </w:tc>
        <w:tc>
          <w:tcPr>
            <w:tcW w:w="1399" w:type="dxa"/>
            <w:tcBorders>
              <w:top w:val="nil"/>
              <w:left w:val="nil"/>
              <w:bottom w:val="nil"/>
              <w:right w:val="nil"/>
            </w:tcBorders>
            <w:shd w:val="clear" w:color="auto" w:fill="auto"/>
            <w:noWrap/>
            <w:vAlign w:val="center"/>
            <w:hideMark/>
          </w:tcPr>
          <w:p w14:paraId="4511474F"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p>
        </w:tc>
        <w:tc>
          <w:tcPr>
            <w:tcW w:w="938" w:type="dxa"/>
            <w:tcBorders>
              <w:top w:val="nil"/>
              <w:left w:val="nil"/>
              <w:bottom w:val="nil"/>
              <w:right w:val="nil"/>
            </w:tcBorders>
            <w:shd w:val="clear" w:color="auto" w:fill="auto"/>
            <w:noWrap/>
            <w:vAlign w:val="center"/>
            <w:hideMark/>
          </w:tcPr>
          <w:p w14:paraId="42E96F66"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578" w:type="dxa"/>
            <w:tcBorders>
              <w:top w:val="nil"/>
              <w:left w:val="nil"/>
              <w:bottom w:val="nil"/>
              <w:right w:val="nil"/>
            </w:tcBorders>
            <w:shd w:val="clear" w:color="auto" w:fill="auto"/>
            <w:noWrap/>
            <w:vAlign w:val="center"/>
            <w:hideMark/>
          </w:tcPr>
          <w:p w14:paraId="106383C2"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205" w:type="dxa"/>
            <w:tcBorders>
              <w:top w:val="nil"/>
              <w:left w:val="nil"/>
              <w:bottom w:val="nil"/>
              <w:right w:val="nil"/>
            </w:tcBorders>
            <w:shd w:val="clear" w:color="auto" w:fill="auto"/>
            <w:noWrap/>
            <w:vAlign w:val="center"/>
            <w:hideMark/>
          </w:tcPr>
          <w:p w14:paraId="54C26BF0"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69169BEE" w14:textId="77777777" w:rsidTr="00B13398">
        <w:trPr>
          <w:trHeight w:val="375"/>
        </w:trPr>
        <w:tc>
          <w:tcPr>
            <w:tcW w:w="3888" w:type="dxa"/>
            <w:tcBorders>
              <w:top w:val="nil"/>
              <w:left w:val="nil"/>
              <w:bottom w:val="nil"/>
              <w:right w:val="nil"/>
            </w:tcBorders>
            <w:shd w:val="clear" w:color="auto" w:fill="auto"/>
            <w:noWrap/>
            <w:vAlign w:val="center"/>
            <w:hideMark/>
          </w:tcPr>
          <w:p w14:paraId="261E669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Tied funding</w:t>
            </w:r>
          </w:p>
        </w:tc>
        <w:tc>
          <w:tcPr>
            <w:tcW w:w="1399" w:type="dxa"/>
            <w:tcBorders>
              <w:top w:val="nil"/>
              <w:left w:val="nil"/>
              <w:bottom w:val="nil"/>
              <w:right w:val="nil"/>
            </w:tcBorders>
            <w:shd w:val="clear" w:color="auto" w:fill="auto"/>
            <w:noWrap/>
            <w:vAlign w:val="center"/>
          </w:tcPr>
          <w:p w14:paraId="775254E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52,646</w:t>
            </w:r>
          </w:p>
        </w:tc>
        <w:tc>
          <w:tcPr>
            <w:tcW w:w="938" w:type="dxa"/>
            <w:tcBorders>
              <w:top w:val="nil"/>
              <w:left w:val="nil"/>
              <w:bottom w:val="nil"/>
              <w:right w:val="nil"/>
            </w:tcBorders>
            <w:shd w:val="clear" w:color="auto" w:fill="auto"/>
            <w:noWrap/>
            <w:vAlign w:val="center"/>
          </w:tcPr>
          <w:p w14:paraId="2C909FB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3,306</w:t>
            </w:r>
          </w:p>
        </w:tc>
        <w:tc>
          <w:tcPr>
            <w:tcW w:w="1578" w:type="dxa"/>
            <w:tcBorders>
              <w:top w:val="nil"/>
              <w:left w:val="nil"/>
              <w:bottom w:val="nil"/>
              <w:right w:val="nil"/>
            </w:tcBorders>
            <w:shd w:val="clear" w:color="auto" w:fill="auto"/>
            <w:noWrap/>
            <w:vAlign w:val="center"/>
          </w:tcPr>
          <w:p w14:paraId="434B784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05" w:type="dxa"/>
            <w:tcBorders>
              <w:top w:val="nil"/>
              <w:left w:val="nil"/>
              <w:bottom w:val="nil"/>
              <w:right w:val="nil"/>
            </w:tcBorders>
            <w:shd w:val="clear" w:color="auto" w:fill="auto"/>
            <w:noWrap/>
            <w:vAlign w:val="center"/>
          </w:tcPr>
          <w:p w14:paraId="41515AD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55,952</w:t>
            </w:r>
          </w:p>
        </w:tc>
      </w:tr>
      <w:tr w:rsidR="005C5CED" w:rsidRPr="005C5CED" w14:paraId="55B1F866" w14:textId="77777777" w:rsidTr="00B13398">
        <w:trPr>
          <w:trHeight w:val="375"/>
        </w:trPr>
        <w:tc>
          <w:tcPr>
            <w:tcW w:w="3888" w:type="dxa"/>
            <w:tcBorders>
              <w:top w:val="nil"/>
              <w:left w:val="nil"/>
              <w:bottom w:val="nil"/>
              <w:right w:val="nil"/>
            </w:tcBorders>
            <w:shd w:val="clear" w:color="auto" w:fill="auto"/>
            <w:noWrap/>
            <w:vAlign w:val="center"/>
            <w:hideMark/>
          </w:tcPr>
          <w:p w14:paraId="2368F1A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funding</w:t>
            </w:r>
          </w:p>
        </w:tc>
        <w:tc>
          <w:tcPr>
            <w:tcW w:w="1399" w:type="dxa"/>
            <w:tcBorders>
              <w:top w:val="nil"/>
              <w:left w:val="nil"/>
              <w:bottom w:val="single" w:sz="4" w:space="0" w:color="auto"/>
              <w:right w:val="nil"/>
            </w:tcBorders>
            <w:shd w:val="clear" w:color="auto" w:fill="auto"/>
            <w:noWrap/>
            <w:vAlign w:val="center"/>
          </w:tcPr>
          <w:p w14:paraId="0C0B2E4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9,116</w:t>
            </w:r>
          </w:p>
        </w:tc>
        <w:tc>
          <w:tcPr>
            <w:tcW w:w="938" w:type="dxa"/>
            <w:tcBorders>
              <w:top w:val="nil"/>
              <w:left w:val="nil"/>
              <w:bottom w:val="single" w:sz="4" w:space="0" w:color="auto"/>
              <w:right w:val="nil"/>
            </w:tcBorders>
            <w:shd w:val="clear" w:color="auto" w:fill="auto"/>
            <w:noWrap/>
            <w:vAlign w:val="center"/>
          </w:tcPr>
          <w:p w14:paraId="23FAD30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2,627</w:t>
            </w:r>
          </w:p>
        </w:tc>
        <w:tc>
          <w:tcPr>
            <w:tcW w:w="1578" w:type="dxa"/>
            <w:tcBorders>
              <w:top w:val="nil"/>
              <w:left w:val="nil"/>
              <w:bottom w:val="single" w:sz="4" w:space="0" w:color="auto"/>
              <w:right w:val="nil"/>
            </w:tcBorders>
            <w:shd w:val="clear" w:color="auto" w:fill="auto"/>
            <w:noWrap/>
            <w:vAlign w:val="center"/>
          </w:tcPr>
          <w:p w14:paraId="687F663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05" w:type="dxa"/>
            <w:tcBorders>
              <w:top w:val="nil"/>
              <w:left w:val="nil"/>
              <w:bottom w:val="single" w:sz="4" w:space="0" w:color="auto"/>
              <w:right w:val="nil"/>
            </w:tcBorders>
            <w:shd w:val="clear" w:color="auto" w:fill="auto"/>
            <w:noWrap/>
            <w:vAlign w:val="center"/>
          </w:tcPr>
          <w:p w14:paraId="7A81840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11,743</w:t>
            </w:r>
          </w:p>
        </w:tc>
      </w:tr>
      <w:tr w:rsidR="005C5CED" w:rsidRPr="005C5CED" w14:paraId="24926CE2" w14:textId="77777777" w:rsidTr="00B13398">
        <w:trPr>
          <w:trHeight w:val="375"/>
        </w:trPr>
        <w:tc>
          <w:tcPr>
            <w:tcW w:w="3888" w:type="dxa"/>
            <w:tcBorders>
              <w:top w:val="single" w:sz="4" w:space="0" w:color="auto"/>
              <w:left w:val="nil"/>
              <w:bottom w:val="single" w:sz="4" w:space="0" w:color="auto"/>
              <w:right w:val="nil"/>
            </w:tcBorders>
            <w:shd w:val="clear" w:color="auto" w:fill="auto"/>
            <w:noWrap/>
            <w:vAlign w:val="center"/>
            <w:hideMark/>
          </w:tcPr>
          <w:p w14:paraId="2793396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commitments (inclusive of GST)</w:t>
            </w:r>
          </w:p>
        </w:tc>
        <w:tc>
          <w:tcPr>
            <w:tcW w:w="1399" w:type="dxa"/>
            <w:tcBorders>
              <w:top w:val="nil"/>
              <w:left w:val="nil"/>
              <w:bottom w:val="single" w:sz="4" w:space="0" w:color="auto"/>
              <w:right w:val="nil"/>
            </w:tcBorders>
            <w:shd w:val="clear" w:color="auto" w:fill="auto"/>
            <w:noWrap/>
            <w:vAlign w:val="center"/>
          </w:tcPr>
          <w:p w14:paraId="560DB77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61,762</w:t>
            </w:r>
          </w:p>
        </w:tc>
        <w:tc>
          <w:tcPr>
            <w:tcW w:w="938" w:type="dxa"/>
            <w:tcBorders>
              <w:top w:val="nil"/>
              <w:left w:val="nil"/>
              <w:bottom w:val="single" w:sz="4" w:space="0" w:color="auto"/>
              <w:right w:val="nil"/>
            </w:tcBorders>
            <w:shd w:val="clear" w:color="auto" w:fill="auto"/>
            <w:noWrap/>
            <w:vAlign w:val="center"/>
          </w:tcPr>
          <w:p w14:paraId="674395D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5,933</w:t>
            </w:r>
          </w:p>
        </w:tc>
        <w:tc>
          <w:tcPr>
            <w:tcW w:w="1578" w:type="dxa"/>
            <w:tcBorders>
              <w:top w:val="nil"/>
              <w:left w:val="nil"/>
              <w:bottom w:val="single" w:sz="4" w:space="0" w:color="auto"/>
              <w:right w:val="nil"/>
            </w:tcBorders>
            <w:shd w:val="clear" w:color="auto" w:fill="auto"/>
            <w:noWrap/>
            <w:vAlign w:val="center"/>
          </w:tcPr>
          <w:p w14:paraId="26D9060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05" w:type="dxa"/>
            <w:tcBorders>
              <w:top w:val="nil"/>
              <w:left w:val="nil"/>
              <w:bottom w:val="single" w:sz="4" w:space="0" w:color="auto"/>
              <w:right w:val="nil"/>
            </w:tcBorders>
            <w:shd w:val="clear" w:color="auto" w:fill="auto"/>
            <w:noWrap/>
            <w:vAlign w:val="center"/>
          </w:tcPr>
          <w:p w14:paraId="6EC8B34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67,695</w:t>
            </w:r>
          </w:p>
        </w:tc>
      </w:tr>
      <w:tr w:rsidR="005C5CED" w:rsidRPr="005C5CED" w14:paraId="722A30EA" w14:textId="77777777" w:rsidTr="00B13398">
        <w:trPr>
          <w:trHeight w:val="375"/>
        </w:trPr>
        <w:tc>
          <w:tcPr>
            <w:tcW w:w="3888" w:type="dxa"/>
            <w:tcBorders>
              <w:top w:val="nil"/>
              <w:left w:val="nil"/>
              <w:bottom w:val="nil"/>
              <w:right w:val="nil"/>
            </w:tcBorders>
            <w:shd w:val="clear" w:color="auto" w:fill="auto"/>
            <w:noWrap/>
            <w:vAlign w:val="center"/>
            <w:hideMark/>
          </w:tcPr>
          <w:p w14:paraId="2067D5A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Less GST recoverable from the Australian Tax Office</w:t>
            </w:r>
          </w:p>
        </w:tc>
        <w:tc>
          <w:tcPr>
            <w:tcW w:w="1399" w:type="dxa"/>
            <w:tcBorders>
              <w:top w:val="nil"/>
              <w:left w:val="nil"/>
              <w:bottom w:val="single" w:sz="4" w:space="0" w:color="auto"/>
              <w:right w:val="nil"/>
            </w:tcBorders>
            <w:shd w:val="clear" w:color="auto" w:fill="auto"/>
            <w:noWrap/>
            <w:vAlign w:val="center"/>
          </w:tcPr>
          <w:p w14:paraId="4A7CEA7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(5,615)</w:t>
            </w:r>
          </w:p>
        </w:tc>
        <w:tc>
          <w:tcPr>
            <w:tcW w:w="938" w:type="dxa"/>
            <w:tcBorders>
              <w:top w:val="nil"/>
              <w:left w:val="nil"/>
              <w:bottom w:val="single" w:sz="4" w:space="0" w:color="auto"/>
              <w:right w:val="nil"/>
            </w:tcBorders>
            <w:shd w:val="clear" w:color="auto" w:fill="auto"/>
            <w:noWrap/>
            <w:vAlign w:val="center"/>
          </w:tcPr>
          <w:p w14:paraId="353BE64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(539)</w:t>
            </w:r>
          </w:p>
        </w:tc>
        <w:tc>
          <w:tcPr>
            <w:tcW w:w="1578" w:type="dxa"/>
            <w:tcBorders>
              <w:top w:val="nil"/>
              <w:left w:val="nil"/>
              <w:bottom w:val="single" w:sz="4" w:space="0" w:color="auto"/>
              <w:right w:val="nil"/>
            </w:tcBorders>
            <w:shd w:val="clear" w:color="auto" w:fill="auto"/>
            <w:noWrap/>
            <w:vAlign w:val="center"/>
          </w:tcPr>
          <w:p w14:paraId="55FDB56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05" w:type="dxa"/>
            <w:tcBorders>
              <w:top w:val="nil"/>
              <w:left w:val="nil"/>
              <w:bottom w:val="single" w:sz="4" w:space="0" w:color="auto"/>
              <w:right w:val="nil"/>
            </w:tcBorders>
            <w:shd w:val="clear" w:color="auto" w:fill="auto"/>
            <w:noWrap/>
            <w:vAlign w:val="center"/>
          </w:tcPr>
          <w:p w14:paraId="01248C6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(6,154)</w:t>
            </w:r>
          </w:p>
        </w:tc>
      </w:tr>
      <w:tr w:rsidR="005C5CED" w:rsidRPr="005C5CED" w14:paraId="7FA7FA33" w14:textId="77777777" w:rsidTr="00B13398">
        <w:trPr>
          <w:trHeight w:val="375"/>
        </w:trPr>
        <w:tc>
          <w:tcPr>
            <w:tcW w:w="3888" w:type="dxa"/>
            <w:tcBorders>
              <w:top w:val="single" w:sz="4" w:space="0" w:color="auto"/>
              <w:left w:val="nil"/>
              <w:bottom w:val="single" w:sz="4" w:space="0" w:color="auto"/>
              <w:right w:val="nil"/>
            </w:tcBorders>
            <w:shd w:val="clear" w:color="auto" w:fill="auto"/>
            <w:noWrap/>
            <w:vAlign w:val="center"/>
            <w:hideMark/>
          </w:tcPr>
          <w:p w14:paraId="57A36C61"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commitments (exclusive of GST)</w:t>
            </w:r>
          </w:p>
        </w:tc>
        <w:tc>
          <w:tcPr>
            <w:tcW w:w="1399" w:type="dxa"/>
            <w:tcBorders>
              <w:top w:val="nil"/>
              <w:left w:val="nil"/>
              <w:bottom w:val="single" w:sz="4" w:space="0" w:color="auto"/>
              <w:right w:val="nil"/>
            </w:tcBorders>
            <w:shd w:val="clear" w:color="auto" w:fill="auto"/>
            <w:noWrap/>
            <w:vAlign w:val="center"/>
          </w:tcPr>
          <w:p w14:paraId="3381B5D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56,147</w:t>
            </w:r>
          </w:p>
        </w:tc>
        <w:tc>
          <w:tcPr>
            <w:tcW w:w="938" w:type="dxa"/>
            <w:tcBorders>
              <w:top w:val="nil"/>
              <w:left w:val="nil"/>
              <w:bottom w:val="single" w:sz="4" w:space="0" w:color="auto"/>
              <w:right w:val="nil"/>
            </w:tcBorders>
            <w:shd w:val="clear" w:color="auto" w:fill="auto"/>
            <w:noWrap/>
            <w:vAlign w:val="center"/>
          </w:tcPr>
          <w:p w14:paraId="122A6CA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5,394</w:t>
            </w:r>
          </w:p>
        </w:tc>
        <w:tc>
          <w:tcPr>
            <w:tcW w:w="1578" w:type="dxa"/>
            <w:tcBorders>
              <w:top w:val="nil"/>
              <w:left w:val="nil"/>
              <w:bottom w:val="single" w:sz="4" w:space="0" w:color="auto"/>
              <w:right w:val="nil"/>
            </w:tcBorders>
            <w:shd w:val="clear" w:color="auto" w:fill="auto"/>
            <w:noWrap/>
            <w:vAlign w:val="center"/>
          </w:tcPr>
          <w:p w14:paraId="0095F65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05" w:type="dxa"/>
            <w:tcBorders>
              <w:top w:val="nil"/>
              <w:left w:val="nil"/>
              <w:bottom w:val="single" w:sz="4" w:space="0" w:color="auto"/>
              <w:right w:val="nil"/>
            </w:tcBorders>
            <w:shd w:val="clear" w:color="auto" w:fill="auto"/>
            <w:noWrap/>
            <w:vAlign w:val="center"/>
          </w:tcPr>
          <w:p w14:paraId="141834A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61,541</w:t>
            </w:r>
          </w:p>
        </w:tc>
      </w:tr>
      <w:tr w:rsidR="005C5CED" w:rsidRPr="005C5CED" w14:paraId="4048C1BB" w14:textId="77777777" w:rsidTr="00B13398">
        <w:trPr>
          <w:trHeight w:val="247"/>
        </w:trPr>
        <w:tc>
          <w:tcPr>
            <w:tcW w:w="3888" w:type="dxa"/>
            <w:tcBorders>
              <w:top w:val="nil"/>
              <w:left w:val="nil"/>
              <w:bottom w:val="nil"/>
              <w:right w:val="nil"/>
            </w:tcBorders>
            <w:shd w:val="clear" w:color="auto" w:fill="auto"/>
            <w:noWrap/>
            <w:vAlign w:val="center"/>
            <w:hideMark/>
          </w:tcPr>
          <w:p w14:paraId="6A366994"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399" w:type="dxa"/>
            <w:tcBorders>
              <w:top w:val="nil"/>
              <w:left w:val="nil"/>
              <w:bottom w:val="nil"/>
              <w:right w:val="nil"/>
            </w:tcBorders>
            <w:shd w:val="clear" w:color="auto" w:fill="auto"/>
            <w:noWrap/>
            <w:vAlign w:val="center"/>
            <w:hideMark/>
          </w:tcPr>
          <w:p w14:paraId="447D3C57" w14:textId="77777777" w:rsidR="005C5CED" w:rsidRPr="005C5CED" w:rsidRDefault="005C5CED" w:rsidP="005C5CED">
            <w:pPr>
              <w:spacing w:after="0" w:line="240" w:lineRule="auto"/>
              <w:jc w:val="right"/>
              <w:rPr>
                <w:rFonts w:eastAsia="Times New Roman" w:cs="Arial"/>
                <w:color w:val="auto"/>
                <w:szCs w:val="20"/>
                <w:lang w:eastAsia="en-AU"/>
              </w:rPr>
            </w:pPr>
          </w:p>
        </w:tc>
        <w:tc>
          <w:tcPr>
            <w:tcW w:w="938" w:type="dxa"/>
            <w:tcBorders>
              <w:top w:val="nil"/>
              <w:left w:val="nil"/>
              <w:bottom w:val="nil"/>
              <w:right w:val="nil"/>
            </w:tcBorders>
            <w:shd w:val="clear" w:color="auto" w:fill="auto"/>
            <w:noWrap/>
            <w:vAlign w:val="center"/>
            <w:hideMark/>
          </w:tcPr>
          <w:p w14:paraId="1380ACD3" w14:textId="77777777" w:rsidR="005C5CED" w:rsidRPr="005C5CED" w:rsidRDefault="005C5CED" w:rsidP="005C5CED">
            <w:pPr>
              <w:spacing w:after="0" w:line="240" w:lineRule="auto"/>
              <w:jc w:val="right"/>
              <w:rPr>
                <w:rFonts w:eastAsia="Times New Roman" w:cs="Arial"/>
                <w:color w:val="auto"/>
                <w:szCs w:val="20"/>
                <w:lang w:eastAsia="en-AU"/>
              </w:rPr>
            </w:pPr>
          </w:p>
        </w:tc>
        <w:tc>
          <w:tcPr>
            <w:tcW w:w="1578" w:type="dxa"/>
            <w:tcBorders>
              <w:top w:val="nil"/>
              <w:left w:val="nil"/>
              <w:bottom w:val="nil"/>
              <w:right w:val="nil"/>
            </w:tcBorders>
            <w:shd w:val="clear" w:color="auto" w:fill="auto"/>
            <w:noWrap/>
            <w:vAlign w:val="center"/>
            <w:hideMark/>
          </w:tcPr>
          <w:p w14:paraId="4A72DE9D" w14:textId="77777777" w:rsidR="005C5CED" w:rsidRPr="005C5CED" w:rsidRDefault="005C5CED" w:rsidP="005C5CED">
            <w:pPr>
              <w:spacing w:after="0" w:line="240" w:lineRule="auto"/>
              <w:jc w:val="right"/>
              <w:rPr>
                <w:rFonts w:eastAsia="Times New Roman" w:cs="Arial"/>
                <w:color w:val="auto"/>
                <w:szCs w:val="20"/>
                <w:lang w:eastAsia="en-AU"/>
              </w:rPr>
            </w:pPr>
          </w:p>
        </w:tc>
        <w:tc>
          <w:tcPr>
            <w:tcW w:w="1205" w:type="dxa"/>
            <w:tcBorders>
              <w:top w:val="nil"/>
              <w:left w:val="nil"/>
              <w:bottom w:val="nil"/>
              <w:right w:val="nil"/>
            </w:tcBorders>
            <w:shd w:val="clear" w:color="auto" w:fill="auto"/>
            <w:noWrap/>
            <w:vAlign w:val="center"/>
            <w:hideMark/>
          </w:tcPr>
          <w:p w14:paraId="33D2FD36"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3678BAB4" w14:textId="77777777" w:rsidTr="00B13398">
        <w:trPr>
          <w:trHeight w:val="375"/>
        </w:trPr>
        <w:tc>
          <w:tcPr>
            <w:tcW w:w="3888" w:type="dxa"/>
            <w:tcBorders>
              <w:top w:val="nil"/>
              <w:left w:val="nil"/>
              <w:bottom w:val="nil"/>
              <w:right w:val="nil"/>
            </w:tcBorders>
            <w:shd w:val="clear" w:color="auto" w:fill="auto"/>
            <w:noWrap/>
            <w:vAlign w:val="center"/>
            <w:hideMark/>
          </w:tcPr>
          <w:p w14:paraId="423CF6D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399" w:type="dxa"/>
            <w:tcBorders>
              <w:top w:val="nil"/>
              <w:left w:val="nil"/>
              <w:bottom w:val="nil"/>
              <w:right w:val="nil"/>
            </w:tcBorders>
            <w:shd w:val="clear" w:color="auto" w:fill="auto"/>
            <w:noWrap/>
            <w:vAlign w:val="center"/>
            <w:hideMark/>
          </w:tcPr>
          <w:p w14:paraId="37D6F3D2"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938" w:type="dxa"/>
            <w:tcBorders>
              <w:top w:val="nil"/>
              <w:left w:val="nil"/>
              <w:bottom w:val="nil"/>
              <w:right w:val="nil"/>
            </w:tcBorders>
            <w:shd w:val="clear" w:color="auto" w:fill="auto"/>
            <w:noWrap/>
            <w:vAlign w:val="center"/>
            <w:hideMark/>
          </w:tcPr>
          <w:p w14:paraId="4C5484F9" w14:textId="77777777" w:rsidR="005C5CED" w:rsidRPr="005C5CED" w:rsidRDefault="005C5CED" w:rsidP="005C5CED">
            <w:pPr>
              <w:spacing w:after="0" w:line="240" w:lineRule="auto"/>
              <w:jc w:val="right"/>
              <w:rPr>
                <w:rFonts w:eastAsia="Times New Roman" w:cs="Arial"/>
                <w:color w:val="auto"/>
                <w:szCs w:val="20"/>
                <w:lang w:eastAsia="en-AU"/>
              </w:rPr>
            </w:pPr>
          </w:p>
        </w:tc>
        <w:tc>
          <w:tcPr>
            <w:tcW w:w="1578" w:type="dxa"/>
            <w:tcBorders>
              <w:top w:val="nil"/>
              <w:left w:val="nil"/>
              <w:bottom w:val="nil"/>
              <w:right w:val="nil"/>
            </w:tcBorders>
            <w:shd w:val="clear" w:color="auto" w:fill="auto"/>
            <w:noWrap/>
            <w:vAlign w:val="center"/>
            <w:hideMark/>
          </w:tcPr>
          <w:p w14:paraId="617E1B72" w14:textId="77777777" w:rsidR="005C5CED" w:rsidRPr="005C5CED" w:rsidRDefault="005C5CED" w:rsidP="005C5CED">
            <w:pPr>
              <w:spacing w:after="0" w:line="240" w:lineRule="auto"/>
              <w:jc w:val="right"/>
              <w:rPr>
                <w:rFonts w:eastAsia="Times New Roman" w:cs="Arial"/>
                <w:color w:val="auto"/>
                <w:szCs w:val="20"/>
                <w:lang w:eastAsia="en-AU"/>
              </w:rPr>
            </w:pPr>
          </w:p>
        </w:tc>
        <w:tc>
          <w:tcPr>
            <w:tcW w:w="1205" w:type="dxa"/>
            <w:tcBorders>
              <w:top w:val="nil"/>
              <w:left w:val="nil"/>
              <w:bottom w:val="nil"/>
              <w:right w:val="nil"/>
            </w:tcBorders>
            <w:shd w:val="clear" w:color="auto" w:fill="auto"/>
            <w:noWrap/>
            <w:vAlign w:val="center"/>
            <w:hideMark/>
          </w:tcPr>
          <w:p w14:paraId="3DEFE032"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468DD5E7" w14:textId="77777777" w:rsidTr="00B13398">
        <w:trPr>
          <w:trHeight w:val="375"/>
        </w:trPr>
        <w:tc>
          <w:tcPr>
            <w:tcW w:w="3888" w:type="dxa"/>
            <w:tcBorders>
              <w:top w:val="nil"/>
              <w:left w:val="nil"/>
              <w:bottom w:val="nil"/>
              <w:right w:val="nil"/>
            </w:tcBorders>
            <w:shd w:val="clear" w:color="auto" w:fill="auto"/>
            <w:noWrap/>
            <w:vAlign w:val="center"/>
            <w:hideMark/>
          </w:tcPr>
          <w:p w14:paraId="509F4B61"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Other commitments - contracts</w:t>
            </w:r>
          </w:p>
        </w:tc>
        <w:tc>
          <w:tcPr>
            <w:tcW w:w="1399" w:type="dxa"/>
            <w:tcBorders>
              <w:top w:val="nil"/>
              <w:left w:val="nil"/>
              <w:bottom w:val="nil"/>
              <w:right w:val="nil"/>
            </w:tcBorders>
            <w:shd w:val="clear" w:color="000000" w:fill="E7E6E6"/>
            <w:noWrap/>
            <w:vAlign w:val="center"/>
          </w:tcPr>
          <w:p w14:paraId="0A1BA6BA"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938" w:type="dxa"/>
            <w:tcBorders>
              <w:top w:val="nil"/>
              <w:left w:val="nil"/>
              <w:bottom w:val="nil"/>
              <w:right w:val="nil"/>
            </w:tcBorders>
            <w:shd w:val="clear" w:color="000000" w:fill="E7E6E6"/>
            <w:noWrap/>
            <w:vAlign w:val="center"/>
          </w:tcPr>
          <w:p w14:paraId="61D7E2EB"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578" w:type="dxa"/>
            <w:tcBorders>
              <w:top w:val="nil"/>
              <w:left w:val="nil"/>
              <w:bottom w:val="nil"/>
              <w:right w:val="nil"/>
            </w:tcBorders>
            <w:shd w:val="clear" w:color="000000" w:fill="E7E6E6"/>
            <w:noWrap/>
            <w:vAlign w:val="center"/>
          </w:tcPr>
          <w:p w14:paraId="322937CD"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205" w:type="dxa"/>
            <w:tcBorders>
              <w:top w:val="nil"/>
              <w:left w:val="nil"/>
              <w:bottom w:val="nil"/>
              <w:right w:val="nil"/>
            </w:tcBorders>
            <w:shd w:val="clear" w:color="000000" w:fill="E7E6E6"/>
            <w:noWrap/>
            <w:vAlign w:val="center"/>
          </w:tcPr>
          <w:p w14:paraId="724E728F"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0B879255" w14:textId="77777777" w:rsidTr="00B13398">
        <w:trPr>
          <w:trHeight w:val="375"/>
        </w:trPr>
        <w:tc>
          <w:tcPr>
            <w:tcW w:w="3888" w:type="dxa"/>
            <w:tcBorders>
              <w:top w:val="nil"/>
              <w:left w:val="nil"/>
              <w:bottom w:val="nil"/>
              <w:right w:val="nil"/>
            </w:tcBorders>
            <w:shd w:val="clear" w:color="auto" w:fill="auto"/>
            <w:noWrap/>
            <w:vAlign w:val="center"/>
            <w:hideMark/>
          </w:tcPr>
          <w:p w14:paraId="4A53E5C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Tied funding</w:t>
            </w:r>
          </w:p>
        </w:tc>
        <w:tc>
          <w:tcPr>
            <w:tcW w:w="1399" w:type="dxa"/>
            <w:tcBorders>
              <w:top w:val="nil"/>
              <w:left w:val="nil"/>
              <w:bottom w:val="nil"/>
              <w:right w:val="nil"/>
            </w:tcBorders>
            <w:shd w:val="clear" w:color="000000" w:fill="E7E6E6"/>
            <w:noWrap/>
            <w:vAlign w:val="center"/>
          </w:tcPr>
          <w:p w14:paraId="0FA385A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59,553</w:t>
            </w:r>
          </w:p>
        </w:tc>
        <w:tc>
          <w:tcPr>
            <w:tcW w:w="938" w:type="dxa"/>
            <w:tcBorders>
              <w:top w:val="nil"/>
              <w:left w:val="nil"/>
              <w:bottom w:val="nil"/>
              <w:right w:val="nil"/>
            </w:tcBorders>
            <w:shd w:val="clear" w:color="000000" w:fill="E7E6E6"/>
            <w:noWrap/>
            <w:vAlign w:val="center"/>
          </w:tcPr>
          <w:p w14:paraId="0F4AF02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8,900</w:t>
            </w:r>
          </w:p>
        </w:tc>
        <w:tc>
          <w:tcPr>
            <w:tcW w:w="1578" w:type="dxa"/>
            <w:tcBorders>
              <w:top w:val="nil"/>
              <w:left w:val="nil"/>
              <w:bottom w:val="nil"/>
              <w:right w:val="nil"/>
            </w:tcBorders>
            <w:shd w:val="clear" w:color="000000" w:fill="E7E6E6"/>
            <w:noWrap/>
            <w:vAlign w:val="center"/>
          </w:tcPr>
          <w:p w14:paraId="48EC8AA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05" w:type="dxa"/>
            <w:tcBorders>
              <w:top w:val="nil"/>
              <w:left w:val="nil"/>
              <w:bottom w:val="nil"/>
              <w:right w:val="nil"/>
            </w:tcBorders>
            <w:shd w:val="clear" w:color="000000" w:fill="E7E6E6"/>
            <w:noWrap/>
            <w:vAlign w:val="center"/>
          </w:tcPr>
          <w:p w14:paraId="3590B54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68,453</w:t>
            </w:r>
          </w:p>
        </w:tc>
      </w:tr>
      <w:tr w:rsidR="005C5CED" w:rsidRPr="005C5CED" w14:paraId="6138D300" w14:textId="77777777" w:rsidTr="00B13398">
        <w:trPr>
          <w:trHeight w:val="375"/>
        </w:trPr>
        <w:tc>
          <w:tcPr>
            <w:tcW w:w="3888" w:type="dxa"/>
            <w:tcBorders>
              <w:top w:val="nil"/>
              <w:left w:val="nil"/>
              <w:bottom w:val="nil"/>
              <w:right w:val="nil"/>
            </w:tcBorders>
            <w:shd w:val="clear" w:color="auto" w:fill="auto"/>
            <w:noWrap/>
            <w:vAlign w:val="center"/>
            <w:hideMark/>
          </w:tcPr>
          <w:p w14:paraId="6B056E1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funding</w:t>
            </w:r>
          </w:p>
        </w:tc>
        <w:tc>
          <w:tcPr>
            <w:tcW w:w="1399" w:type="dxa"/>
            <w:tcBorders>
              <w:top w:val="nil"/>
              <w:left w:val="nil"/>
              <w:bottom w:val="single" w:sz="4" w:space="0" w:color="auto"/>
              <w:right w:val="nil"/>
            </w:tcBorders>
            <w:shd w:val="clear" w:color="000000" w:fill="E7E6E6"/>
            <w:noWrap/>
            <w:vAlign w:val="center"/>
          </w:tcPr>
          <w:p w14:paraId="4A5C5BF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11,285</w:t>
            </w:r>
          </w:p>
        </w:tc>
        <w:tc>
          <w:tcPr>
            <w:tcW w:w="938" w:type="dxa"/>
            <w:tcBorders>
              <w:top w:val="nil"/>
              <w:left w:val="nil"/>
              <w:bottom w:val="single" w:sz="4" w:space="0" w:color="auto"/>
              <w:right w:val="nil"/>
            </w:tcBorders>
            <w:shd w:val="clear" w:color="000000" w:fill="E7E6E6"/>
            <w:noWrap/>
            <w:vAlign w:val="center"/>
          </w:tcPr>
          <w:p w14:paraId="543FF76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1,715</w:t>
            </w:r>
          </w:p>
        </w:tc>
        <w:tc>
          <w:tcPr>
            <w:tcW w:w="1578" w:type="dxa"/>
            <w:tcBorders>
              <w:top w:val="nil"/>
              <w:left w:val="nil"/>
              <w:bottom w:val="single" w:sz="4" w:space="0" w:color="auto"/>
              <w:right w:val="nil"/>
            </w:tcBorders>
            <w:shd w:val="clear" w:color="000000" w:fill="E7E6E6"/>
            <w:noWrap/>
            <w:vAlign w:val="center"/>
          </w:tcPr>
          <w:p w14:paraId="350315D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05" w:type="dxa"/>
            <w:tcBorders>
              <w:top w:val="nil"/>
              <w:left w:val="nil"/>
              <w:bottom w:val="single" w:sz="4" w:space="0" w:color="auto"/>
              <w:right w:val="nil"/>
            </w:tcBorders>
            <w:shd w:val="clear" w:color="000000" w:fill="E7E6E6"/>
            <w:noWrap/>
            <w:vAlign w:val="center"/>
          </w:tcPr>
          <w:p w14:paraId="526AAB4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13,000</w:t>
            </w:r>
          </w:p>
        </w:tc>
      </w:tr>
      <w:tr w:rsidR="005C5CED" w:rsidRPr="005C5CED" w14:paraId="26C1146C" w14:textId="77777777" w:rsidTr="00B13398">
        <w:trPr>
          <w:trHeight w:val="375"/>
        </w:trPr>
        <w:tc>
          <w:tcPr>
            <w:tcW w:w="3888" w:type="dxa"/>
            <w:tcBorders>
              <w:top w:val="single" w:sz="4" w:space="0" w:color="auto"/>
              <w:left w:val="nil"/>
              <w:bottom w:val="single" w:sz="4" w:space="0" w:color="auto"/>
              <w:right w:val="nil"/>
            </w:tcBorders>
            <w:shd w:val="clear" w:color="auto" w:fill="auto"/>
            <w:noWrap/>
            <w:vAlign w:val="center"/>
            <w:hideMark/>
          </w:tcPr>
          <w:p w14:paraId="5C03808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commitments (inclusive of GST)</w:t>
            </w:r>
          </w:p>
        </w:tc>
        <w:tc>
          <w:tcPr>
            <w:tcW w:w="1399" w:type="dxa"/>
            <w:tcBorders>
              <w:top w:val="nil"/>
              <w:left w:val="nil"/>
              <w:bottom w:val="single" w:sz="4" w:space="0" w:color="auto"/>
              <w:right w:val="nil"/>
            </w:tcBorders>
            <w:shd w:val="clear" w:color="000000" w:fill="E7E6E6"/>
            <w:noWrap/>
            <w:vAlign w:val="center"/>
          </w:tcPr>
          <w:p w14:paraId="0D670A4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70,838</w:t>
            </w:r>
          </w:p>
        </w:tc>
        <w:tc>
          <w:tcPr>
            <w:tcW w:w="938" w:type="dxa"/>
            <w:tcBorders>
              <w:top w:val="nil"/>
              <w:left w:val="nil"/>
              <w:bottom w:val="single" w:sz="4" w:space="0" w:color="auto"/>
              <w:right w:val="nil"/>
            </w:tcBorders>
            <w:shd w:val="clear" w:color="000000" w:fill="E7E6E6"/>
            <w:noWrap/>
            <w:vAlign w:val="center"/>
          </w:tcPr>
          <w:p w14:paraId="4502C91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10,615</w:t>
            </w:r>
          </w:p>
        </w:tc>
        <w:tc>
          <w:tcPr>
            <w:tcW w:w="1578" w:type="dxa"/>
            <w:tcBorders>
              <w:top w:val="nil"/>
              <w:left w:val="nil"/>
              <w:bottom w:val="single" w:sz="4" w:space="0" w:color="auto"/>
              <w:right w:val="nil"/>
            </w:tcBorders>
            <w:shd w:val="clear" w:color="000000" w:fill="E7E6E6"/>
            <w:noWrap/>
            <w:vAlign w:val="center"/>
          </w:tcPr>
          <w:p w14:paraId="16EA76F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05" w:type="dxa"/>
            <w:tcBorders>
              <w:top w:val="nil"/>
              <w:left w:val="nil"/>
              <w:bottom w:val="single" w:sz="4" w:space="0" w:color="auto"/>
              <w:right w:val="nil"/>
            </w:tcBorders>
            <w:shd w:val="clear" w:color="000000" w:fill="E7E6E6"/>
            <w:noWrap/>
            <w:vAlign w:val="center"/>
          </w:tcPr>
          <w:p w14:paraId="3BE3A1C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81,453</w:t>
            </w:r>
          </w:p>
        </w:tc>
      </w:tr>
      <w:tr w:rsidR="005C5CED" w:rsidRPr="005C5CED" w14:paraId="2286B228" w14:textId="77777777" w:rsidTr="00B13398">
        <w:trPr>
          <w:trHeight w:val="375"/>
        </w:trPr>
        <w:tc>
          <w:tcPr>
            <w:tcW w:w="3888" w:type="dxa"/>
            <w:tcBorders>
              <w:top w:val="nil"/>
              <w:left w:val="nil"/>
              <w:bottom w:val="nil"/>
              <w:right w:val="nil"/>
            </w:tcBorders>
            <w:shd w:val="clear" w:color="auto" w:fill="auto"/>
            <w:noWrap/>
            <w:vAlign w:val="center"/>
            <w:hideMark/>
          </w:tcPr>
          <w:p w14:paraId="58394C9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Less GST recoverable from the Australian Tax Office</w:t>
            </w:r>
          </w:p>
        </w:tc>
        <w:tc>
          <w:tcPr>
            <w:tcW w:w="1399" w:type="dxa"/>
            <w:tcBorders>
              <w:top w:val="nil"/>
              <w:left w:val="nil"/>
              <w:bottom w:val="single" w:sz="4" w:space="0" w:color="auto"/>
              <w:right w:val="nil"/>
            </w:tcBorders>
            <w:shd w:val="clear" w:color="000000" w:fill="E7E6E6"/>
            <w:noWrap/>
            <w:vAlign w:val="center"/>
          </w:tcPr>
          <w:p w14:paraId="293D645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(6,440)</w:t>
            </w:r>
          </w:p>
        </w:tc>
        <w:tc>
          <w:tcPr>
            <w:tcW w:w="938" w:type="dxa"/>
            <w:tcBorders>
              <w:top w:val="nil"/>
              <w:left w:val="nil"/>
              <w:bottom w:val="single" w:sz="4" w:space="0" w:color="auto"/>
              <w:right w:val="nil"/>
            </w:tcBorders>
            <w:shd w:val="clear" w:color="000000" w:fill="E7E6E6"/>
            <w:noWrap/>
            <w:vAlign w:val="center"/>
          </w:tcPr>
          <w:p w14:paraId="333F9C7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(965)</w:t>
            </w:r>
          </w:p>
        </w:tc>
        <w:tc>
          <w:tcPr>
            <w:tcW w:w="1578" w:type="dxa"/>
            <w:tcBorders>
              <w:top w:val="nil"/>
              <w:left w:val="nil"/>
              <w:bottom w:val="single" w:sz="4" w:space="0" w:color="auto"/>
              <w:right w:val="nil"/>
            </w:tcBorders>
            <w:shd w:val="clear" w:color="000000" w:fill="E7E6E6"/>
            <w:noWrap/>
            <w:vAlign w:val="center"/>
          </w:tcPr>
          <w:p w14:paraId="2A61B3C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05" w:type="dxa"/>
            <w:tcBorders>
              <w:top w:val="nil"/>
              <w:left w:val="nil"/>
              <w:bottom w:val="single" w:sz="4" w:space="0" w:color="auto"/>
              <w:right w:val="nil"/>
            </w:tcBorders>
            <w:shd w:val="clear" w:color="000000" w:fill="E7E6E6"/>
            <w:noWrap/>
            <w:vAlign w:val="center"/>
          </w:tcPr>
          <w:p w14:paraId="0139D40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(7,405)</w:t>
            </w:r>
          </w:p>
        </w:tc>
      </w:tr>
      <w:tr w:rsidR="005C5CED" w:rsidRPr="005C5CED" w14:paraId="611E7B66" w14:textId="77777777" w:rsidTr="00B13398">
        <w:trPr>
          <w:trHeight w:val="375"/>
        </w:trPr>
        <w:tc>
          <w:tcPr>
            <w:tcW w:w="3888" w:type="dxa"/>
            <w:tcBorders>
              <w:top w:val="single" w:sz="4" w:space="0" w:color="auto"/>
              <w:left w:val="nil"/>
              <w:bottom w:val="single" w:sz="4" w:space="0" w:color="auto"/>
              <w:right w:val="nil"/>
            </w:tcBorders>
            <w:shd w:val="clear" w:color="auto" w:fill="auto"/>
            <w:noWrap/>
            <w:vAlign w:val="center"/>
            <w:hideMark/>
          </w:tcPr>
          <w:p w14:paraId="246D7E2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commitments (exclusive of GST)</w:t>
            </w:r>
          </w:p>
        </w:tc>
        <w:tc>
          <w:tcPr>
            <w:tcW w:w="1399" w:type="dxa"/>
            <w:tcBorders>
              <w:top w:val="nil"/>
              <w:left w:val="nil"/>
              <w:bottom w:val="single" w:sz="4" w:space="0" w:color="auto"/>
              <w:right w:val="nil"/>
            </w:tcBorders>
            <w:shd w:val="clear" w:color="000000" w:fill="E7E6E6"/>
            <w:noWrap/>
            <w:vAlign w:val="center"/>
          </w:tcPr>
          <w:p w14:paraId="178E5AE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64,398</w:t>
            </w:r>
          </w:p>
        </w:tc>
        <w:tc>
          <w:tcPr>
            <w:tcW w:w="938" w:type="dxa"/>
            <w:tcBorders>
              <w:top w:val="nil"/>
              <w:left w:val="nil"/>
              <w:bottom w:val="single" w:sz="4" w:space="0" w:color="auto"/>
              <w:right w:val="nil"/>
            </w:tcBorders>
            <w:shd w:val="clear" w:color="000000" w:fill="E7E6E6"/>
            <w:noWrap/>
            <w:vAlign w:val="center"/>
          </w:tcPr>
          <w:p w14:paraId="4B431EB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9,650</w:t>
            </w:r>
          </w:p>
        </w:tc>
        <w:tc>
          <w:tcPr>
            <w:tcW w:w="1578" w:type="dxa"/>
            <w:tcBorders>
              <w:top w:val="nil"/>
              <w:left w:val="nil"/>
              <w:bottom w:val="single" w:sz="4" w:space="0" w:color="auto"/>
              <w:right w:val="nil"/>
            </w:tcBorders>
            <w:shd w:val="clear" w:color="000000" w:fill="E7E6E6"/>
            <w:noWrap/>
            <w:vAlign w:val="center"/>
          </w:tcPr>
          <w:p w14:paraId="68FEF25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05" w:type="dxa"/>
            <w:tcBorders>
              <w:top w:val="nil"/>
              <w:left w:val="nil"/>
              <w:bottom w:val="single" w:sz="4" w:space="0" w:color="auto"/>
              <w:right w:val="nil"/>
            </w:tcBorders>
            <w:shd w:val="clear" w:color="000000" w:fill="E7E6E6"/>
            <w:noWrap/>
            <w:vAlign w:val="center"/>
          </w:tcPr>
          <w:p w14:paraId="17A2F1A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74,048</w:t>
            </w:r>
          </w:p>
        </w:tc>
      </w:tr>
    </w:tbl>
    <w:p w14:paraId="6970D410" w14:textId="77777777" w:rsidR="005C5CED" w:rsidRPr="005C5CED" w:rsidRDefault="005C5CED" w:rsidP="005C5CED">
      <w:pPr>
        <w:spacing w:after="60" w:line="259" w:lineRule="auto"/>
        <w:rPr>
          <w:rFonts w:eastAsia="Calibri" w:cs="Arial"/>
          <w:b/>
          <w:bCs/>
          <w:color w:val="auto"/>
          <w:sz w:val="16"/>
          <w:szCs w:val="16"/>
        </w:rPr>
      </w:pP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r w:rsidRPr="005C5CED">
        <w:rPr>
          <w:rFonts w:eastAsia="Calibri" w:cs="Arial"/>
          <w:b/>
          <w:bCs/>
          <w:color w:val="auto"/>
          <w:sz w:val="16"/>
          <w:szCs w:val="16"/>
        </w:rPr>
        <w:tab/>
      </w:r>
    </w:p>
    <w:p w14:paraId="28846C1D" w14:textId="77777777" w:rsidR="005C5CED" w:rsidRPr="005C5CED" w:rsidRDefault="005C5CED" w:rsidP="005C5CED">
      <w:pPr>
        <w:spacing w:line="259" w:lineRule="auto"/>
        <w:rPr>
          <w:rFonts w:eastAsia="Calibri" w:cs="Arial"/>
          <w:b/>
          <w:bCs/>
          <w:color w:val="auto"/>
          <w:sz w:val="22"/>
        </w:rPr>
      </w:pPr>
      <w:r w:rsidRPr="005C5CED">
        <w:rPr>
          <w:rFonts w:eastAsia="Calibri" w:cs="Arial"/>
          <w:b/>
          <w:bCs/>
          <w:color w:val="auto"/>
          <w:sz w:val="22"/>
        </w:rPr>
        <w:br w:type="page"/>
      </w:r>
    </w:p>
    <w:p w14:paraId="7B346980" w14:textId="77777777" w:rsidR="005C5CED" w:rsidRPr="005C5CED" w:rsidRDefault="005C5CED" w:rsidP="005C5CED">
      <w:pPr>
        <w:keepNext/>
        <w:keepLines/>
        <w:spacing w:before="300" w:after="60" w:line="240" w:lineRule="auto"/>
        <w:outlineLvl w:val="2"/>
        <w:rPr>
          <w:rFonts w:eastAsia="Yu Gothic Light" w:cs="Times New Roman"/>
          <w:b/>
          <w:bCs/>
          <w:color w:val="auto"/>
          <w:sz w:val="16"/>
          <w:szCs w:val="16"/>
        </w:rPr>
      </w:pPr>
      <w:r w:rsidRPr="005C5CED">
        <w:rPr>
          <w:rFonts w:eastAsia="Yu Gothic Light" w:cs="Times New Roman"/>
          <w:b/>
          <w:bCs/>
          <w:color w:val="auto"/>
          <w:sz w:val="28"/>
          <w:szCs w:val="28"/>
        </w:rPr>
        <w:lastRenderedPageBreak/>
        <w:t>Note 7: Risk, contingencies and valuation judgements</w:t>
      </w:r>
    </w:p>
    <w:p w14:paraId="24C052F4" w14:textId="77777777" w:rsidR="005C5CED" w:rsidRPr="005C5CED" w:rsidRDefault="005C5CED" w:rsidP="005C5CED">
      <w:pPr>
        <w:spacing w:after="60" w:line="259" w:lineRule="auto"/>
        <w:rPr>
          <w:rFonts w:eastAsia="Calibri" w:cs="Arial"/>
          <w:b/>
          <w:bCs/>
          <w:color w:val="auto"/>
          <w:sz w:val="22"/>
        </w:rPr>
      </w:pPr>
    </w:p>
    <w:p w14:paraId="013B336F"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Introduction</w:t>
      </w:r>
    </w:p>
    <w:p w14:paraId="5730E62A"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Sustainability Victoria related mainly to fair value determination.</w:t>
      </w:r>
    </w:p>
    <w:p w14:paraId="09FAC5FC"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Structure</w:t>
      </w:r>
    </w:p>
    <w:p w14:paraId="748A02A0" w14:textId="77777777" w:rsidR="005C5CED" w:rsidRPr="005C5CED" w:rsidRDefault="005C5CED" w:rsidP="005C5CED">
      <w:pPr>
        <w:spacing w:line="259" w:lineRule="auto"/>
        <w:rPr>
          <w:rFonts w:eastAsia="Calibri" w:cs="Arial"/>
          <w:color w:val="auto"/>
        </w:rPr>
      </w:pPr>
      <w:r w:rsidRPr="005C5CED">
        <w:rPr>
          <w:rFonts w:eastAsia="Calibri" w:cs="Arial"/>
          <w:color w:val="auto"/>
        </w:rPr>
        <w:t>7.1 Financial instruments specific disclosures</w:t>
      </w:r>
    </w:p>
    <w:p w14:paraId="6D93A929" w14:textId="77777777" w:rsidR="005C5CED" w:rsidRPr="005C5CED" w:rsidRDefault="005C5CED" w:rsidP="005C5CED">
      <w:pPr>
        <w:spacing w:line="259" w:lineRule="auto"/>
        <w:rPr>
          <w:rFonts w:eastAsia="Calibri" w:cs="Arial"/>
          <w:color w:val="auto"/>
        </w:rPr>
      </w:pPr>
      <w:r w:rsidRPr="005C5CED">
        <w:rPr>
          <w:rFonts w:eastAsia="Calibri" w:cs="Arial"/>
          <w:color w:val="auto"/>
        </w:rPr>
        <w:t>7.2 Contingent assets and contingent liabilities</w:t>
      </w:r>
    </w:p>
    <w:p w14:paraId="54CD7F9B" w14:textId="77777777" w:rsidR="005C5CED" w:rsidRPr="005C5CED" w:rsidRDefault="005C5CED" w:rsidP="005C5CED">
      <w:pPr>
        <w:spacing w:line="259" w:lineRule="auto"/>
        <w:rPr>
          <w:rFonts w:eastAsia="Calibri" w:cs="Arial"/>
          <w:color w:val="auto"/>
        </w:rPr>
      </w:pPr>
      <w:r w:rsidRPr="005C5CED">
        <w:rPr>
          <w:rFonts w:eastAsia="Calibri" w:cs="Arial"/>
          <w:color w:val="auto"/>
        </w:rPr>
        <w:t>7.3 Fair value determination</w:t>
      </w:r>
    </w:p>
    <w:p w14:paraId="6AA544EF"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7.1 Financial instruments specific disclosures</w:t>
      </w:r>
    </w:p>
    <w:p w14:paraId="615266AE" w14:textId="77777777" w:rsidR="005C5CED" w:rsidRPr="005C5CED" w:rsidRDefault="005C5CED" w:rsidP="005C5CED">
      <w:pPr>
        <w:spacing w:line="259" w:lineRule="auto"/>
        <w:rPr>
          <w:rFonts w:eastAsia="Calibri" w:cs="Arial"/>
          <w:b/>
          <w:bCs/>
          <w:i/>
          <w:iCs/>
          <w:color w:val="auto"/>
        </w:rPr>
      </w:pPr>
      <w:r w:rsidRPr="005C5CED">
        <w:rPr>
          <w:rFonts w:eastAsia="Calibri" w:cs="Arial"/>
          <w:color w:val="auto"/>
        </w:rPr>
        <w:t xml:space="preserve">Financial instruments arise out of contractual agreements that give rise to a financial asset of one entity and a financial liability or equity instrument of another entity. Due to the nature of Sustainability Victoria’s activities, certain financial assets and financial liabilities arise under statute rather than a contract (for example taxes, fines and penalties). Such assets and liabilities do not meet the definition of financial instruments in AASB 132 </w:t>
      </w:r>
      <w:r w:rsidRPr="005C5CED">
        <w:rPr>
          <w:rFonts w:eastAsia="Calibri" w:cs="Arial"/>
          <w:i/>
          <w:iCs/>
          <w:color w:val="auto"/>
        </w:rPr>
        <w:t>Financial Instruments: Presentation.</w:t>
      </w:r>
    </w:p>
    <w:p w14:paraId="313A0398" w14:textId="77777777" w:rsidR="005C5CED" w:rsidRPr="005C5CED" w:rsidRDefault="005C5CED" w:rsidP="005C5CED">
      <w:pPr>
        <w:spacing w:line="259" w:lineRule="auto"/>
        <w:rPr>
          <w:rFonts w:eastAsia="Calibri" w:cs="Arial"/>
          <w:color w:val="auto"/>
        </w:rPr>
      </w:pPr>
      <w:r w:rsidRPr="005C5CED">
        <w:rPr>
          <w:rFonts w:eastAsia="Calibri" w:cs="Arial"/>
          <w:color w:val="auto"/>
        </w:rPr>
        <w:t>Guarantees issued on behalf of Sustainability Victoria are financial instruments because, although authorised under statute, terms and conditions for each financial guarantee may vary and are subject to an agreement.</w:t>
      </w:r>
    </w:p>
    <w:p w14:paraId="19A8A4A7"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 xml:space="preserve">Categories of financial assets </w:t>
      </w:r>
    </w:p>
    <w:p w14:paraId="75C16A9D" w14:textId="77777777" w:rsidR="005C5CED" w:rsidRPr="005C5CED" w:rsidRDefault="005C5CED" w:rsidP="005C5CED">
      <w:pPr>
        <w:spacing w:after="60" w:line="259" w:lineRule="auto"/>
        <w:rPr>
          <w:rFonts w:eastAsia="Calibri" w:cs="Arial"/>
          <w:color w:val="auto"/>
          <w:sz w:val="16"/>
          <w:szCs w:val="16"/>
        </w:rPr>
      </w:pPr>
    </w:p>
    <w:p w14:paraId="182401F9"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t>Financial assets at amortised cost</w:t>
      </w:r>
    </w:p>
    <w:p w14:paraId="386C6787" w14:textId="77777777" w:rsidR="005C5CED" w:rsidRPr="005C5CED" w:rsidRDefault="005C5CED" w:rsidP="005C5CED">
      <w:pPr>
        <w:spacing w:line="259" w:lineRule="auto"/>
        <w:rPr>
          <w:rFonts w:eastAsia="Calibri" w:cs="Arial"/>
          <w:color w:val="auto"/>
        </w:rPr>
      </w:pPr>
      <w:r w:rsidRPr="005C5CED">
        <w:rPr>
          <w:rFonts w:eastAsia="Calibri" w:cs="Arial"/>
          <w:color w:val="auto"/>
        </w:rPr>
        <w:t>Financial assets are measured at amortised costs if both of the following criteria are met, and the assets are not designated as fair value through net result:</w:t>
      </w:r>
    </w:p>
    <w:p w14:paraId="31CC771E" w14:textId="77777777" w:rsidR="005C5CED" w:rsidRPr="005C5CED" w:rsidRDefault="005C5CED" w:rsidP="00196A67">
      <w:pPr>
        <w:numPr>
          <w:ilvl w:val="0"/>
          <w:numId w:val="39"/>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the assets are held by Sustainability Victoria to collect the contractual cash flows, and</w:t>
      </w:r>
    </w:p>
    <w:p w14:paraId="0C0281E8" w14:textId="77777777" w:rsidR="005C5CED" w:rsidRPr="005C5CED" w:rsidRDefault="005C5CED" w:rsidP="00196A67">
      <w:pPr>
        <w:numPr>
          <w:ilvl w:val="0"/>
          <w:numId w:val="39"/>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the assets’ contractual terms give rise to cash flows that are solely payments of principal and interest.</w:t>
      </w:r>
    </w:p>
    <w:p w14:paraId="573E6A1C" w14:textId="77777777" w:rsidR="005C5CED" w:rsidRPr="005C5CED" w:rsidRDefault="005C5CED" w:rsidP="004A1121">
      <w:pPr>
        <w:spacing w:after="0" w:line="240" w:lineRule="auto"/>
        <w:rPr>
          <w:rFonts w:eastAsia="Yu Mincho" w:cs="Calibri"/>
          <w:color w:val="auto"/>
          <w:szCs w:val="24"/>
          <w:shd w:val="clear" w:color="auto" w:fill="FFFFFF"/>
        </w:rPr>
      </w:pPr>
    </w:p>
    <w:p w14:paraId="1079A34B" w14:textId="77777777" w:rsidR="005C5CED" w:rsidRPr="005C5CED" w:rsidRDefault="005C5CED" w:rsidP="005C5CED">
      <w:pPr>
        <w:spacing w:line="259" w:lineRule="auto"/>
        <w:rPr>
          <w:rFonts w:eastAsia="Calibri" w:cs="Arial"/>
          <w:color w:val="auto"/>
        </w:rPr>
      </w:pPr>
      <w:r w:rsidRPr="005C5CED">
        <w:rPr>
          <w:rFonts w:eastAsia="Calibri" w:cs="Arial"/>
          <w:color w:val="auto"/>
        </w:rPr>
        <w:t>These assets are initially recognised at fair value plus any directly attributable transaction costs and subsequently measured at amortised cost using the effective interest method less any impairment.</w:t>
      </w:r>
    </w:p>
    <w:p w14:paraId="257A3609"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recognises the following assets in this category:</w:t>
      </w:r>
    </w:p>
    <w:p w14:paraId="5C77BD2D" w14:textId="77777777" w:rsidR="005C5CED" w:rsidRPr="005C5CED" w:rsidRDefault="005C5CED" w:rsidP="00196A67">
      <w:pPr>
        <w:numPr>
          <w:ilvl w:val="0"/>
          <w:numId w:val="40"/>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cash and deposits</w:t>
      </w:r>
    </w:p>
    <w:p w14:paraId="78A1533E" w14:textId="77777777" w:rsidR="005C5CED" w:rsidRPr="005C5CED" w:rsidRDefault="005C5CED" w:rsidP="00196A67">
      <w:pPr>
        <w:numPr>
          <w:ilvl w:val="0"/>
          <w:numId w:val="40"/>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receivables (excluding statutory receivables).</w:t>
      </w:r>
    </w:p>
    <w:p w14:paraId="600360F1" w14:textId="77777777" w:rsidR="005C5CED" w:rsidRPr="005C5CED" w:rsidRDefault="005C5CED" w:rsidP="005C5CED">
      <w:pPr>
        <w:spacing w:after="60" w:line="259" w:lineRule="auto"/>
        <w:rPr>
          <w:rFonts w:eastAsia="Calibri" w:cs="Arial"/>
          <w:b/>
          <w:bCs/>
          <w:color w:val="auto"/>
          <w:sz w:val="18"/>
          <w:szCs w:val="18"/>
        </w:rPr>
      </w:pPr>
    </w:p>
    <w:p w14:paraId="7CAADB48"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 xml:space="preserve">Categories of financial liabilities </w:t>
      </w:r>
      <w:r w:rsidRPr="005C5CED">
        <w:rPr>
          <w:rFonts w:eastAsia="Yu Gothic Light" w:cs="SegoeUI"/>
          <w:b/>
          <w:bCs/>
          <w:color w:val="595959"/>
        </w:rPr>
        <w:tab/>
      </w:r>
    </w:p>
    <w:p w14:paraId="41AB6246" w14:textId="77777777" w:rsidR="005C5CED" w:rsidRPr="005C5CED" w:rsidRDefault="005C5CED" w:rsidP="005C5CED">
      <w:pPr>
        <w:spacing w:after="60" w:line="259" w:lineRule="auto"/>
        <w:rPr>
          <w:rFonts w:eastAsia="Calibri" w:cs="Arial"/>
          <w:b/>
          <w:bCs/>
          <w:color w:val="auto"/>
          <w:sz w:val="16"/>
          <w:szCs w:val="16"/>
        </w:rPr>
      </w:pPr>
    </w:p>
    <w:p w14:paraId="66E600DA"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t>Financial liabilities at amortised cost</w:t>
      </w:r>
    </w:p>
    <w:p w14:paraId="20BB9AD7"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Financial liabilities at amortised cost are initially recognised on the date they are originated, at fair value plus any directly attributable transaction costs. </w:t>
      </w:r>
      <w:proofErr w:type="gramStart"/>
      <w:r w:rsidRPr="005C5CED">
        <w:rPr>
          <w:rFonts w:eastAsia="Calibri" w:cs="Arial"/>
          <w:color w:val="auto"/>
        </w:rPr>
        <w:t>Subsequent to</w:t>
      </w:r>
      <w:proofErr w:type="gramEnd"/>
      <w:r w:rsidRPr="005C5CED">
        <w:rPr>
          <w:rFonts w:eastAsia="Calibri" w:cs="Arial"/>
          <w:color w:val="auto"/>
        </w:rPr>
        <w:t xml:space="preserve">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w:t>
      </w:r>
    </w:p>
    <w:p w14:paraId="582FF64E" w14:textId="77777777" w:rsidR="005C5CED" w:rsidRPr="005C5CED" w:rsidRDefault="005C5CED" w:rsidP="005C5CED">
      <w:pPr>
        <w:spacing w:line="259" w:lineRule="auto"/>
        <w:rPr>
          <w:rFonts w:eastAsia="Calibri" w:cs="Arial"/>
          <w:color w:val="auto"/>
        </w:rPr>
      </w:pPr>
      <w:r w:rsidRPr="005C5CED">
        <w:rPr>
          <w:rFonts w:eastAsia="Calibri" w:cs="Arial"/>
          <w:color w:val="auto"/>
        </w:rPr>
        <w:lastRenderedPageBreak/>
        <w:t>Sustainability Victoria recognises the following liabilities in this category:</w:t>
      </w:r>
    </w:p>
    <w:p w14:paraId="43090420" w14:textId="77777777" w:rsidR="005C5CED" w:rsidRPr="005C5CED" w:rsidRDefault="005C5CED" w:rsidP="00196A67">
      <w:pPr>
        <w:numPr>
          <w:ilvl w:val="0"/>
          <w:numId w:val="41"/>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Payables (excluding statutory payables); and</w:t>
      </w:r>
    </w:p>
    <w:p w14:paraId="4BF007C8" w14:textId="77777777" w:rsidR="005C5CED" w:rsidRPr="005C5CED" w:rsidRDefault="005C5CED" w:rsidP="00196A67">
      <w:pPr>
        <w:numPr>
          <w:ilvl w:val="0"/>
          <w:numId w:val="41"/>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Borrowings (including lease liabilities).</w:t>
      </w:r>
      <w:r w:rsidRPr="005C5CED">
        <w:rPr>
          <w:rFonts w:eastAsia="Yu Mincho" w:cs="Calibri"/>
          <w:color w:val="auto"/>
          <w:szCs w:val="24"/>
          <w:shd w:val="clear" w:color="auto" w:fill="FFFFFF"/>
        </w:rPr>
        <w:br w:type="page"/>
      </w:r>
    </w:p>
    <w:p w14:paraId="52675A6C" w14:textId="77777777" w:rsidR="005C5CED" w:rsidRPr="005C5CED" w:rsidRDefault="005C5CED" w:rsidP="005C5CED">
      <w:pPr>
        <w:spacing w:before="60" w:after="60" w:line="259" w:lineRule="auto"/>
        <w:rPr>
          <w:rFonts w:eastAsia="Calibri" w:cs="Arial"/>
          <w:i/>
          <w:iCs/>
          <w:color w:val="174F37"/>
          <w:sz w:val="22"/>
        </w:rPr>
      </w:pPr>
      <w:r w:rsidRPr="005C5CED">
        <w:rPr>
          <w:rFonts w:eastAsia="Calibri" w:cs="Arial"/>
          <w:b/>
          <w:bCs/>
          <w:i/>
          <w:iCs/>
          <w:color w:val="174F37"/>
          <w:szCs w:val="20"/>
        </w:rPr>
        <w:lastRenderedPageBreak/>
        <w:t>Derecognition of financial assets</w:t>
      </w:r>
      <w:r w:rsidRPr="005C5CED">
        <w:rPr>
          <w:rFonts w:eastAsia="Calibri" w:cs="Arial"/>
          <w:b/>
          <w:bCs/>
          <w:i/>
          <w:iCs/>
          <w:color w:val="174F37"/>
          <w:sz w:val="22"/>
        </w:rPr>
        <w:tab/>
      </w:r>
    </w:p>
    <w:p w14:paraId="6204C81C" w14:textId="77777777" w:rsidR="005C5CED" w:rsidRPr="005C5CED" w:rsidRDefault="005C5CED" w:rsidP="005C5CED">
      <w:pPr>
        <w:spacing w:line="259" w:lineRule="auto"/>
        <w:rPr>
          <w:rFonts w:eastAsia="Calibri" w:cs="Arial"/>
          <w:color w:val="auto"/>
        </w:rPr>
      </w:pPr>
      <w:r w:rsidRPr="005C5CED">
        <w:rPr>
          <w:rFonts w:eastAsia="Calibri" w:cs="Arial"/>
          <w:color w:val="auto"/>
        </w:rPr>
        <w:t>A financial asset (or, where applicable, a part of a financial asset or part of a group of similar financial assets) is derecognised when:</w:t>
      </w:r>
    </w:p>
    <w:p w14:paraId="6C7DC312" w14:textId="77777777" w:rsidR="005C5CED" w:rsidRPr="005C5CED" w:rsidRDefault="005C5CED" w:rsidP="00196A67">
      <w:pPr>
        <w:numPr>
          <w:ilvl w:val="0"/>
          <w:numId w:val="42"/>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the rights to receive cash flows from the asset have expired</w:t>
      </w:r>
    </w:p>
    <w:p w14:paraId="2FB16EC5" w14:textId="77777777" w:rsidR="005C5CED" w:rsidRPr="005C5CED" w:rsidRDefault="005C5CED" w:rsidP="00196A67">
      <w:pPr>
        <w:numPr>
          <w:ilvl w:val="0"/>
          <w:numId w:val="42"/>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 xml:space="preserve">Sustainability Victoria retains the right to receive cash flows from the </w:t>
      </w:r>
      <w:proofErr w:type="gramStart"/>
      <w:r w:rsidRPr="005C5CED">
        <w:rPr>
          <w:rFonts w:eastAsia="Yu Mincho" w:cs="Calibri"/>
          <w:color w:val="auto"/>
          <w:szCs w:val="24"/>
          <w:shd w:val="clear" w:color="auto" w:fill="FFFFFF"/>
        </w:rPr>
        <w:t>asset, but</w:t>
      </w:r>
      <w:proofErr w:type="gramEnd"/>
      <w:r w:rsidRPr="005C5CED">
        <w:rPr>
          <w:rFonts w:eastAsia="Yu Mincho" w:cs="Calibri"/>
          <w:color w:val="auto"/>
          <w:szCs w:val="24"/>
          <w:shd w:val="clear" w:color="auto" w:fill="FFFFFF"/>
        </w:rPr>
        <w:t xml:space="preserve"> has assumed an obligation to pay them in full without material delay to a third party under a ‘pass through’ arrangement.</w:t>
      </w:r>
      <w:r w:rsidRPr="005C5CED">
        <w:rPr>
          <w:rFonts w:eastAsia="Yu Mincho" w:cs="Calibri"/>
          <w:color w:val="auto"/>
          <w:szCs w:val="24"/>
          <w:shd w:val="clear" w:color="auto" w:fill="FFFFFF"/>
        </w:rPr>
        <w:br/>
      </w:r>
    </w:p>
    <w:p w14:paraId="44F33E54"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has transferred its rights to receive cash flows from the asset and either:</w:t>
      </w:r>
    </w:p>
    <w:p w14:paraId="42AAF049" w14:textId="77777777" w:rsidR="005C5CED" w:rsidRPr="005C5CED" w:rsidRDefault="005C5CED" w:rsidP="00196A67">
      <w:pPr>
        <w:numPr>
          <w:ilvl w:val="0"/>
          <w:numId w:val="43"/>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has transferred substantially all the risks and rewards of the asset</w:t>
      </w:r>
    </w:p>
    <w:p w14:paraId="32D0FD35" w14:textId="77777777" w:rsidR="005C5CED" w:rsidRPr="005C5CED" w:rsidRDefault="005C5CED" w:rsidP="00196A67">
      <w:pPr>
        <w:numPr>
          <w:ilvl w:val="0"/>
          <w:numId w:val="43"/>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has neither transferred nor retained substantially all the risks and rewards of the asset but has transferred control of the asset.</w:t>
      </w:r>
      <w:r w:rsidRPr="005C5CED">
        <w:rPr>
          <w:rFonts w:eastAsia="Yu Mincho" w:cs="Calibri"/>
          <w:color w:val="auto"/>
          <w:szCs w:val="24"/>
          <w:shd w:val="clear" w:color="auto" w:fill="FFFFFF"/>
        </w:rPr>
        <w:br/>
      </w:r>
    </w:p>
    <w:p w14:paraId="168EA82F" w14:textId="77777777" w:rsidR="005C5CED" w:rsidRPr="005C5CED" w:rsidRDefault="005C5CED" w:rsidP="005C5CED">
      <w:pPr>
        <w:spacing w:line="259" w:lineRule="auto"/>
        <w:rPr>
          <w:rFonts w:eastAsia="Calibri" w:cs="Arial"/>
          <w:color w:val="auto"/>
        </w:rPr>
      </w:pPr>
      <w:r w:rsidRPr="005C5CED">
        <w:rPr>
          <w:rFonts w:eastAsia="Calibri" w:cs="Arial"/>
          <w:color w:val="auto"/>
        </w:rPr>
        <w:t>Where Sustainability Victoria has neither transferred nor retained substantially all the risks and rewards or transferred control, the asset is recognised to the extent of Sustainability Victoria’s continuing involvement in the asset.</w:t>
      </w:r>
    </w:p>
    <w:p w14:paraId="79D6C2F3" w14:textId="77777777" w:rsidR="005C5CED" w:rsidRPr="005C5CED" w:rsidRDefault="005C5CED" w:rsidP="005C5CED">
      <w:pPr>
        <w:spacing w:before="60" w:after="60" w:line="259" w:lineRule="auto"/>
        <w:rPr>
          <w:rFonts w:eastAsia="Calibri" w:cs="Arial"/>
          <w:b/>
          <w:bCs/>
          <w:color w:val="auto"/>
          <w:sz w:val="16"/>
          <w:szCs w:val="16"/>
        </w:rPr>
      </w:pPr>
    </w:p>
    <w:p w14:paraId="3F01E71A" w14:textId="77777777" w:rsidR="005C5CED" w:rsidRPr="005C5CED" w:rsidRDefault="005C5CED" w:rsidP="005C5CED">
      <w:pPr>
        <w:spacing w:before="60" w:after="60" w:line="259" w:lineRule="auto"/>
        <w:rPr>
          <w:rFonts w:eastAsia="Calibri" w:cs="Arial"/>
          <w:i/>
          <w:iCs/>
          <w:color w:val="174F37"/>
          <w:szCs w:val="20"/>
        </w:rPr>
      </w:pPr>
      <w:r w:rsidRPr="005C5CED">
        <w:rPr>
          <w:rFonts w:eastAsia="Calibri" w:cs="Arial"/>
          <w:b/>
          <w:bCs/>
          <w:i/>
          <w:iCs/>
          <w:color w:val="174F37"/>
          <w:szCs w:val="20"/>
        </w:rPr>
        <w:t>Derecognition of financial liabilities</w:t>
      </w:r>
    </w:p>
    <w:p w14:paraId="470BAFFB" w14:textId="77777777" w:rsidR="005C5CED" w:rsidRPr="005C5CED" w:rsidRDefault="005C5CED" w:rsidP="005C5CED">
      <w:pPr>
        <w:spacing w:line="259" w:lineRule="auto"/>
        <w:rPr>
          <w:rFonts w:eastAsia="Calibri" w:cs="Arial"/>
          <w:color w:val="auto"/>
        </w:rPr>
      </w:pPr>
      <w:r w:rsidRPr="005C5CED">
        <w:rPr>
          <w:rFonts w:eastAsia="Calibri" w:cs="Arial"/>
          <w:color w:val="auto"/>
        </w:rPr>
        <w:t>A financial liability is derecognised when the obligation under the liability is discharged, cancelled, or expires.</w:t>
      </w:r>
    </w:p>
    <w:p w14:paraId="266AFA5D" w14:textId="77777777" w:rsidR="005C5CED" w:rsidRPr="005C5CED" w:rsidRDefault="005C5CED" w:rsidP="005C5CED">
      <w:pPr>
        <w:spacing w:line="259" w:lineRule="auto"/>
        <w:rPr>
          <w:rFonts w:eastAsia="Calibri" w:cs="Arial"/>
          <w:color w:val="auto"/>
        </w:rPr>
      </w:pPr>
      <w:r w:rsidRPr="005C5CED">
        <w:rPr>
          <w:rFonts w:eastAsia="Calibri" w:cs="Arial"/>
          <w:color w:val="auto"/>
        </w:rP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711394E1" w14:textId="77777777" w:rsidR="005C5CED" w:rsidRPr="005C5CED" w:rsidRDefault="005C5CED" w:rsidP="005C5CED">
      <w:pPr>
        <w:spacing w:after="60" w:line="259" w:lineRule="auto"/>
        <w:rPr>
          <w:rFonts w:eastAsia="Calibri" w:cs="Arial"/>
          <w:color w:val="auto"/>
          <w:sz w:val="16"/>
          <w:szCs w:val="16"/>
        </w:rPr>
      </w:pPr>
    </w:p>
    <w:p w14:paraId="17436670" w14:textId="77777777" w:rsidR="005C5CED" w:rsidRPr="005C5CED" w:rsidRDefault="005C5CED" w:rsidP="005C5CED">
      <w:pPr>
        <w:spacing w:after="0" w:line="240" w:lineRule="auto"/>
        <w:rPr>
          <w:rFonts w:eastAsia="Calibri" w:cs="Arial"/>
          <w:i/>
          <w:iCs/>
          <w:color w:val="174F37"/>
          <w:szCs w:val="20"/>
        </w:rPr>
      </w:pPr>
      <w:r w:rsidRPr="005C5CED">
        <w:rPr>
          <w:rFonts w:eastAsia="Calibri" w:cs="Arial"/>
          <w:b/>
          <w:bCs/>
          <w:i/>
          <w:iCs/>
          <w:color w:val="174F37"/>
          <w:szCs w:val="20"/>
        </w:rPr>
        <w:t>Reclassification of financial instruments</w:t>
      </w:r>
    </w:p>
    <w:p w14:paraId="0FBDA358" w14:textId="77777777" w:rsidR="005C5CED" w:rsidRPr="005C5CED" w:rsidRDefault="005C5CED" w:rsidP="005C5CED">
      <w:pPr>
        <w:spacing w:line="259" w:lineRule="auto"/>
        <w:rPr>
          <w:rFonts w:eastAsia="Calibri" w:cs="Arial"/>
          <w:color w:val="auto"/>
        </w:rPr>
      </w:pPr>
      <w:proofErr w:type="gramStart"/>
      <w:r w:rsidRPr="005C5CED">
        <w:rPr>
          <w:rFonts w:eastAsia="Calibri" w:cs="Arial"/>
          <w:color w:val="auto"/>
        </w:rPr>
        <w:t>Subsequent to</w:t>
      </w:r>
      <w:proofErr w:type="gramEnd"/>
      <w:r w:rsidRPr="005C5CED">
        <w:rPr>
          <w:rFonts w:eastAsia="Calibri" w:cs="Arial"/>
          <w:color w:val="auto"/>
        </w:rPr>
        <w:t xml:space="preserve"> initial recognition, reclassification of financial liabilities is not permitted. Financial assets are required to be reclassified between fair value through net result, fair value through other comprehensive income and amortised cost when and only when Sustainability Victoria’s business model for managing its financial assets has changed such that its previous model would no longer apply.  </w:t>
      </w:r>
    </w:p>
    <w:p w14:paraId="79301379"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is generally unable to change its business model because it is determined by the Performance Management Framework (PMF) and all Victorian government departments are required to apply the PMF under the Standing Directions 2018 under the FMA.</w:t>
      </w:r>
    </w:p>
    <w:p w14:paraId="4468051D" w14:textId="77777777" w:rsidR="005C5CED" w:rsidRPr="005C5CED" w:rsidRDefault="005C5CED" w:rsidP="005C5CED">
      <w:pPr>
        <w:spacing w:line="259" w:lineRule="auto"/>
        <w:rPr>
          <w:rFonts w:eastAsia="Calibri" w:cs="Arial"/>
          <w:color w:val="auto"/>
        </w:rPr>
      </w:pPr>
      <w:r w:rsidRPr="005C5CED">
        <w:rPr>
          <w:rFonts w:eastAsia="Calibri" w:cs="Arial"/>
          <w:color w:val="auto"/>
        </w:rPr>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6599029F" w14:textId="77777777" w:rsidR="005C5CED" w:rsidRPr="005C5CED" w:rsidRDefault="005C5CED" w:rsidP="005C5CED">
      <w:pPr>
        <w:spacing w:after="60" w:line="259"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br w:type="page"/>
      </w:r>
    </w:p>
    <w:p w14:paraId="3A068CD7"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lastRenderedPageBreak/>
        <w:t>Note 7.1.1 Financial instruments: categorisation</w:t>
      </w:r>
    </w:p>
    <w:tbl>
      <w:tblPr>
        <w:tblW w:w="9192" w:type="dxa"/>
        <w:tblLook w:val="04A0" w:firstRow="1" w:lastRow="0" w:firstColumn="1" w:lastColumn="0" w:noHBand="0" w:noVBand="1"/>
      </w:tblPr>
      <w:tblGrid>
        <w:gridCol w:w="3104"/>
        <w:gridCol w:w="759"/>
        <w:gridCol w:w="1159"/>
        <w:gridCol w:w="1545"/>
        <w:gridCol w:w="1545"/>
        <w:gridCol w:w="1080"/>
      </w:tblGrid>
      <w:tr w:rsidR="005C5CED" w:rsidRPr="005C5CED" w14:paraId="46DDE9D2" w14:textId="77777777" w:rsidTr="008214F9">
        <w:trPr>
          <w:trHeight w:val="275"/>
        </w:trPr>
        <w:tc>
          <w:tcPr>
            <w:tcW w:w="3104" w:type="dxa"/>
            <w:tcBorders>
              <w:top w:val="nil"/>
              <w:left w:val="nil"/>
              <w:bottom w:val="nil"/>
              <w:right w:val="nil"/>
            </w:tcBorders>
            <w:shd w:val="clear" w:color="000000" w:fill="000000"/>
            <w:noWrap/>
            <w:vAlign w:val="bottom"/>
            <w:hideMark/>
          </w:tcPr>
          <w:p w14:paraId="2855F058"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759" w:type="dxa"/>
            <w:tcBorders>
              <w:top w:val="nil"/>
              <w:left w:val="nil"/>
              <w:bottom w:val="nil"/>
              <w:right w:val="nil"/>
            </w:tcBorders>
            <w:shd w:val="clear" w:color="000000" w:fill="000000"/>
            <w:noWrap/>
            <w:vAlign w:val="bottom"/>
            <w:hideMark/>
          </w:tcPr>
          <w:p w14:paraId="03F22A74"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Notes </w:t>
            </w:r>
          </w:p>
        </w:tc>
        <w:tc>
          <w:tcPr>
            <w:tcW w:w="1159" w:type="dxa"/>
            <w:tcBorders>
              <w:top w:val="nil"/>
              <w:left w:val="nil"/>
              <w:bottom w:val="nil"/>
              <w:right w:val="nil"/>
            </w:tcBorders>
            <w:shd w:val="clear" w:color="000000" w:fill="000000"/>
            <w:vAlign w:val="bottom"/>
            <w:hideMark/>
          </w:tcPr>
          <w:p w14:paraId="7C53466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Cash and deposits</w:t>
            </w:r>
          </w:p>
        </w:tc>
        <w:tc>
          <w:tcPr>
            <w:tcW w:w="1545" w:type="dxa"/>
            <w:tcBorders>
              <w:top w:val="nil"/>
              <w:left w:val="nil"/>
              <w:bottom w:val="nil"/>
              <w:right w:val="nil"/>
            </w:tcBorders>
            <w:shd w:val="clear" w:color="000000" w:fill="000000"/>
            <w:vAlign w:val="bottom"/>
            <w:hideMark/>
          </w:tcPr>
          <w:p w14:paraId="21BFF7D1"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Financial assets at amortised cost</w:t>
            </w:r>
          </w:p>
        </w:tc>
        <w:tc>
          <w:tcPr>
            <w:tcW w:w="1545" w:type="dxa"/>
            <w:tcBorders>
              <w:top w:val="nil"/>
              <w:left w:val="nil"/>
              <w:bottom w:val="nil"/>
              <w:right w:val="nil"/>
            </w:tcBorders>
            <w:shd w:val="clear" w:color="000000" w:fill="000000"/>
            <w:vAlign w:val="bottom"/>
            <w:hideMark/>
          </w:tcPr>
          <w:p w14:paraId="5C92DB13"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Financial liabilities at amortised cost</w:t>
            </w:r>
          </w:p>
        </w:tc>
        <w:tc>
          <w:tcPr>
            <w:tcW w:w="1080" w:type="dxa"/>
            <w:tcBorders>
              <w:top w:val="nil"/>
              <w:left w:val="nil"/>
              <w:bottom w:val="nil"/>
              <w:right w:val="nil"/>
            </w:tcBorders>
            <w:shd w:val="clear" w:color="000000" w:fill="000000"/>
            <w:vAlign w:val="bottom"/>
            <w:hideMark/>
          </w:tcPr>
          <w:p w14:paraId="08EB530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Total</w:t>
            </w:r>
          </w:p>
        </w:tc>
      </w:tr>
      <w:tr w:rsidR="005C5CED" w:rsidRPr="005C5CED" w14:paraId="509F321B" w14:textId="77777777" w:rsidTr="008214F9">
        <w:trPr>
          <w:trHeight w:val="275"/>
        </w:trPr>
        <w:tc>
          <w:tcPr>
            <w:tcW w:w="3104" w:type="dxa"/>
            <w:tcBorders>
              <w:top w:val="nil"/>
              <w:left w:val="nil"/>
              <w:bottom w:val="nil"/>
              <w:right w:val="nil"/>
            </w:tcBorders>
            <w:shd w:val="clear" w:color="000000" w:fill="000000"/>
            <w:noWrap/>
            <w:vAlign w:val="bottom"/>
            <w:hideMark/>
          </w:tcPr>
          <w:p w14:paraId="4A5FFDCC"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759" w:type="dxa"/>
            <w:tcBorders>
              <w:top w:val="nil"/>
              <w:left w:val="nil"/>
              <w:bottom w:val="nil"/>
              <w:right w:val="nil"/>
            </w:tcBorders>
            <w:shd w:val="clear" w:color="000000" w:fill="000000"/>
            <w:noWrap/>
            <w:vAlign w:val="bottom"/>
            <w:hideMark/>
          </w:tcPr>
          <w:p w14:paraId="5F985326" w14:textId="77777777" w:rsidR="005C5CED" w:rsidRPr="005C5CED" w:rsidRDefault="005C5CED" w:rsidP="005C5CED">
            <w:pPr>
              <w:spacing w:after="0" w:line="240" w:lineRule="auto"/>
              <w:jc w:val="center"/>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59" w:type="dxa"/>
            <w:tcBorders>
              <w:top w:val="nil"/>
              <w:left w:val="nil"/>
              <w:bottom w:val="nil"/>
              <w:right w:val="nil"/>
            </w:tcBorders>
            <w:shd w:val="clear" w:color="000000" w:fill="000000"/>
            <w:noWrap/>
            <w:vAlign w:val="bottom"/>
            <w:hideMark/>
          </w:tcPr>
          <w:p w14:paraId="71BAC30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545" w:type="dxa"/>
            <w:tcBorders>
              <w:top w:val="nil"/>
              <w:left w:val="nil"/>
              <w:bottom w:val="nil"/>
              <w:right w:val="nil"/>
            </w:tcBorders>
            <w:shd w:val="clear" w:color="000000" w:fill="000000"/>
            <w:noWrap/>
            <w:vAlign w:val="bottom"/>
            <w:hideMark/>
          </w:tcPr>
          <w:p w14:paraId="24D9B94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545" w:type="dxa"/>
            <w:tcBorders>
              <w:top w:val="nil"/>
              <w:left w:val="nil"/>
              <w:bottom w:val="nil"/>
              <w:right w:val="nil"/>
            </w:tcBorders>
            <w:shd w:val="clear" w:color="000000" w:fill="000000"/>
            <w:noWrap/>
            <w:vAlign w:val="bottom"/>
            <w:hideMark/>
          </w:tcPr>
          <w:p w14:paraId="4FA6378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80" w:type="dxa"/>
            <w:tcBorders>
              <w:top w:val="nil"/>
              <w:left w:val="nil"/>
              <w:bottom w:val="nil"/>
              <w:right w:val="nil"/>
            </w:tcBorders>
            <w:shd w:val="clear" w:color="000000" w:fill="000000"/>
            <w:noWrap/>
            <w:vAlign w:val="bottom"/>
            <w:hideMark/>
          </w:tcPr>
          <w:p w14:paraId="36AE1D1A"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29AFB13B" w14:textId="77777777" w:rsidTr="008214F9">
        <w:trPr>
          <w:trHeight w:val="418"/>
        </w:trPr>
        <w:tc>
          <w:tcPr>
            <w:tcW w:w="3104" w:type="dxa"/>
            <w:tcBorders>
              <w:top w:val="nil"/>
              <w:left w:val="nil"/>
              <w:bottom w:val="nil"/>
              <w:right w:val="nil"/>
            </w:tcBorders>
            <w:shd w:val="clear" w:color="auto" w:fill="auto"/>
            <w:noWrap/>
            <w:vAlign w:val="center"/>
            <w:hideMark/>
          </w:tcPr>
          <w:p w14:paraId="0652107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759" w:type="dxa"/>
            <w:tcBorders>
              <w:top w:val="nil"/>
              <w:left w:val="nil"/>
              <w:bottom w:val="nil"/>
              <w:right w:val="nil"/>
            </w:tcBorders>
            <w:shd w:val="clear" w:color="auto" w:fill="auto"/>
            <w:noWrap/>
            <w:vAlign w:val="center"/>
            <w:hideMark/>
          </w:tcPr>
          <w:p w14:paraId="154EC38F"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59" w:type="dxa"/>
            <w:tcBorders>
              <w:top w:val="nil"/>
              <w:left w:val="nil"/>
              <w:bottom w:val="nil"/>
              <w:right w:val="nil"/>
            </w:tcBorders>
            <w:shd w:val="clear" w:color="auto" w:fill="auto"/>
            <w:noWrap/>
            <w:vAlign w:val="center"/>
            <w:hideMark/>
          </w:tcPr>
          <w:p w14:paraId="09B0F103" w14:textId="77777777" w:rsidR="005C5CED" w:rsidRPr="005C5CED" w:rsidRDefault="005C5CED" w:rsidP="005C5CED">
            <w:pPr>
              <w:spacing w:after="0" w:line="240" w:lineRule="auto"/>
              <w:jc w:val="center"/>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641AAC12" w14:textId="77777777" w:rsidR="005C5CED" w:rsidRPr="005C5CED" w:rsidRDefault="005C5CED" w:rsidP="005C5CED">
            <w:pPr>
              <w:spacing w:after="0" w:line="240" w:lineRule="auto"/>
              <w:jc w:val="right"/>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6E482047" w14:textId="77777777" w:rsidR="005C5CED" w:rsidRPr="005C5CED" w:rsidRDefault="005C5CED" w:rsidP="005C5CED">
            <w:pPr>
              <w:spacing w:after="0" w:line="240" w:lineRule="auto"/>
              <w:jc w:val="right"/>
              <w:rPr>
                <w:rFonts w:eastAsia="Times New Roman" w:cs="Arial"/>
                <w:color w:val="auto"/>
                <w:szCs w:val="20"/>
                <w:lang w:eastAsia="en-AU"/>
              </w:rPr>
            </w:pPr>
          </w:p>
        </w:tc>
        <w:tc>
          <w:tcPr>
            <w:tcW w:w="1080" w:type="dxa"/>
            <w:tcBorders>
              <w:top w:val="nil"/>
              <w:left w:val="nil"/>
              <w:bottom w:val="nil"/>
              <w:right w:val="nil"/>
            </w:tcBorders>
            <w:shd w:val="clear" w:color="auto" w:fill="auto"/>
            <w:noWrap/>
            <w:vAlign w:val="center"/>
            <w:hideMark/>
          </w:tcPr>
          <w:p w14:paraId="600B39A7"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04227C9F" w14:textId="77777777" w:rsidTr="008214F9">
        <w:trPr>
          <w:trHeight w:val="418"/>
        </w:trPr>
        <w:tc>
          <w:tcPr>
            <w:tcW w:w="3104" w:type="dxa"/>
            <w:tcBorders>
              <w:top w:val="nil"/>
              <w:left w:val="nil"/>
              <w:bottom w:val="nil"/>
              <w:right w:val="nil"/>
            </w:tcBorders>
            <w:shd w:val="clear" w:color="auto" w:fill="auto"/>
            <w:noWrap/>
            <w:vAlign w:val="center"/>
            <w:hideMark/>
          </w:tcPr>
          <w:p w14:paraId="542EFE0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Contractual financial assets</w:t>
            </w:r>
          </w:p>
        </w:tc>
        <w:tc>
          <w:tcPr>
            <w:tcW w:w="759" w:type="dxa"/>
            <w:tcBorders>
              <w:top w:val="nil"/>
              <w:left w:val="nil"/>
              <w:bottom w:val="nil"/>
              <w:right w:val="nil"/>
            </w:tcBorders>
            <w:shd w:val="clear" w:color="auto" w:fill="auto"/>
            <w:noWrap/>
            <w:vAlign w:val="center"/>
            <w:hideMark/>
          </w:tcPr>
          <w:p w14:paraId="29D4F57E"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59" w:type="dxa"/>
            <w:tcBorders>
              <w:top w:val="nil"/>
              <w:left w:val="nil"/>
              <w:bottom w:val="nil"/>
              <w:right w:val="nil"/>
            </w:tcBorders>
            <w:shd w:val="clear" w:color="auto" w:fill="auto"/>
            <w:noWrap/>
            <w:vAlign w:val="center"/>
            <w:hideMark/>
          </w:tcPr>
          <w:p w14:paraId="69DAA229" w14:textId="77777777" w:rsidR="005C5CED" w:rsidRPr="005C5CED" w:rsidRDefault="005C5CED" w:rsidP="005C5CED">
            <w:pPr>
              <w:spacing w:after="0" w:line="240" w:lineRule="auto"/>
              <w:jc w:val="center"/>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038BF25D" w14:textId="77777777" w:rsidR="005C5CED" w:rsidRPr="005C5CED" w:rsidRDefault="005C5CED" w:rsidP="005C5CED">
            <w:pPr>
              <w:spacing w:after="0" w:line="240" w:lineRule="auto"/>
              <w:jc w:val="right"/>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2ADD89BE" w14:textId="77777777" w:rsidR="005C5CED" w:rsidRPr="005C5CED" w:rsidRDefault="005C5CED" w:rsidP="005C5CED">
            <w:pPr>
              <w:spacing w:after="0" w:line="240" w:lineRule="auto"/>
              <w:jc w:val="right"/>
              <w:rPr>
                <w:rFonts w:eastAsia="Times New Roman" w:cs="Arial"/>
                <w:color w:val="auto"/>
                <w:szCs w:val="20"/>
                <w:lang w:eastAsia="en-AU"/>
              </w:rPr>
            </w:pPr>
          </w:p>
        </w:tc>
        <w:tc>
          <w:tcPr>
            <w:tcW w:w="1080" w:type="dxa"/>
            <w:tcBorders>
              <w:top w:val="nil"/>
              <w:left w:val="nil"/>
              <w:bottom w:val="nil"/>
              <w:right w:val="nil"/>
            </w:tcBorders>
            <w:shd w:val="clear" w:color="auto" w:fill="auto"/>
            <w:noWrap/>
            <w:vAlign w:val="center"/>
            <w:hideMark/>
          </w:tcPr>
          <w:p w14:paraId="0FF9FB18"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5E7F5FD3" w14:textId="77777777" w:rsidTr="008214F9">
        <w:trPr>
          <w:trHeight w:val="418"/>
        </w:trPr>
        <w:tc>
          <w:tcPr>
            <w:tcW w:w="3104" w:type="dxa"/>
            <w:tcBorders>
              <w:top w:val="nil"/>
              <w:left w:val="nil"/>
              <w:bottom w:val="nil"/>
              <w:right w:val="nil"/>
            </w:tcBorders>
            <w:shd w:val="clear" w:color="auto" w:fill="auto"/>
            <w:noWrap/>
            <w:vAlign w:val="center"/>
            <w:hideMark/>
          </w:tcPr>
          <w:p w14:paraId="3A139C61"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759" w:type="dxa"/>
            <w:tcBorders>
              <w:top w:val="nil"/>
              <w:left w:val="nil"/>
              <w:bottom w:val="nil"/>
              <w:right w:val="nil"/>
            </w:tcBorders>
            <w:shd w:val="clear" w:color="auto" w:fill="auto"/>
            <w:noWrap/>
            <w:vAlign w:val="center"/>
            <w:hideMark/>
          </w:tcPr>
          <w:p w14:paraId="1D630D0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59" w:type="dxa"/>
            <w:tcBorders>
              <w:top w:val="nil"/>
              <w:left w:val="nil"/>
              <w:bottom w:val="nil"/>
              <w:right w:val="nil"/>
            </w:tcBorders>
            <w:shd w:val="clear" w:color="auto" w:fill="auto"/>
            <w:noWrap/>
            <w:vAlign w:val="center"/>
          </w:tcPr>
          <w:p w14:paraId="7BF8A76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c>
          <w:tcPr>
            <w:tcW w:w="1545" w:type="dxa"/>
            <w:tcBorders>
              <w:top w:val="nil"/>
              <w:left w:val="nil"/>
              <w:bottom w:val="nil"/>
              <w:right w:val="nil"/>
            </w:tcBorders>
            <w:shd w:val="clear" w:color="auto" w:fill="auto"/>
            <w:noWrap/>
            <w:vAlign w:val="center"/>
          </w:tcPr>
          <w:p w14:paraId="0D3BFC8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auto" w:fill="auto"/>
            <w:noWrap/>
            <w:vAlign w:val="center"/>
          </w:tcPr>
          <w:p w14:paraId="5153B1A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80" w:type="dxa"/>
            <w:tcBorders>
              <w:top w:val="nil"/>
              <w:left w:val="nil"/>
              <w:bottom w:val="nil"/>
              <w:right w:val="nil"/>
            </w:tcBorders>
            <w:shd w:val="clear" w:color="auto" w:fill="auto"/>
            <w:noWrap/>
            <w:vAlign w:val="center"/>
          </w:tcPr>
          <w:p w14:paraId="12D3B2C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r>
      <w:tr w:rsidR="005C5CED" w:rsidRPr="005C5CED" w14:paraId="5102FD85" w14:textId="77777777" w:rsidTr="008214F9">
        <w:trPr>
          <w:trHeight w:val="418"/>
        </w:trPr>
        <w:tc>
          <w:tcPr>
            <w:tcW w:w="3104" w:type="dxa"/>
            <w:tcBorders>
              <w:top w:val="nil"/>
              <w:left w:val="nil"/>
              <w:bottom w:val="nil"/>
              <w:right w:val="nil"/>
            </w:tcBorders>
            <w:shd w:val="clear" w:color="auto" w:fill="auto"/>
            <w:noWrap/>
            <w:vAlign w:val="center"/>
            <w:hideMark/>
          </w:tcPr>
          <w:p w14:paraId="578C1D6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Receivables     </w:t>
            </w:r>
          </w:p>
        </w:tc>
        <w:tc>
          <w:tcPr>
            <w:tcW w:w="759" w:type="dxa"/>
            <w:tcBorders>
              <w:top w:val="nil"/>
              <w:left w:val="nil"/>
              <w:bottom w:val="nil"/>
              <w:right w:val="nil"/>
            </w:tcBorders>
            <w:shd w:val="clear" w:color="auto" w:fill="auto"/>
            <w:noWrap/>
            <w:vAlign w:val="center"/>
            <w:hideMark/>
          </w:tcPr>
          <w:p w14:paraId="355207DD"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1159" w:type="dxa"/>
            <w:tcBorders>
              <w:top w:val="nil"/>
              <w:left w:val="nil"/>
              <w:bottom w:val="nil"/>
              <w:right w:val="nil"/>
            </w:tcBorders>
            <w:shd w:val="clear" w:color="auto" w:fill="auto"/>
            <w:noWrap/>
            <w:vAlign w:val="center"/>
          </w:tcPr>
          <w:p w14:paraId="2704694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auto" w:fill="auto"/>
            <w:noWrap/>
            <w:vAlign w:val="center"/>
          </w:tcPr>
          <w:p w14:paraId="6F4780E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10,657</w:t>
            </w:r>
          </w:p>
        </w:tc>
        <w:tc>
          <w:tcPr>
            <w:tcW w:w="1545" w:type="dxa"/>
            <w:tcBorders>
              <w:top w:val="nil"/>
              <w:left w:val="nil"/>
              <w:bottom w:val="nil"/>
              <w:right w:val="nil"/>
            </w:tcBorders>
            <w:shd w:val="clear" w:color="auto" w:fill="auto"/>
            <w:noWrap/>
            <w:vAlign w:val="center"/>
          </w:tcPr>
          <w:p w14:paraId="25296CB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80" w:type="dxa"/>
            <w:tcBorders>
              <w:top w:val="nil"/>
              <w:left w:val="nil"/>
              <w:bottom w:val="nil"/>
              <w:right w:val="nil"/>
            </w:tcBorders>
            <w:shd w:val="clear" w:color="auto" w:fill="auto"/>
            <w:noWrap/>
            <w:vAlign w:val="center"/>
          </w:tcPr>
          <w:p w14:paraId="413CB54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10,657</w:t>
            </w:r>
          </w:p>
        </w:tc>
      </w:tr>
      <w:tr w:rsidR="005C5CED" w:rsidRPr="005C5CED" w14:paraId="52DF244C" w14:textId="77777777" w:rsidTr="008214F9">
        <w:trPr>
          <w:trHeight w:val="418"/>
        </w:trPr>
        <w:tc>
          <w:tcPr>
            <w:tcW w:w="3104" w:type="dxa"/>
            <w:tcBorders>
              <w:top w:val="nil"/>
              <w:left w:val="nil"/>
              <w:bottom w:val="nil"/>
              <w:right w:val="nil"/>
            </w:tcBorders>
            <w:shd w:val="clear" w:color="auto" w:fill="auto"/>
            <w:noWrap/>
            <w:vAlign w:val="center"/>
            <w:hideMark/>
          </w:tcPr>
          <w:p w14:paraId="7AC4AEE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759" w:type="dxa"/>
            <w:tcBorders>
              <w:top w:val="nil"/>
              <w:left w:val="nil"/>
              <w:bottom w:val="nil"/>
              <w:right w:val="nil"/>
            </w:tcBorders>
            <w:shd w:val="clear" w:color="auto" w:fill="auto"/>
            <w:noWrap/>
            <w:vAlign w:val="center"/>
            <w:hideMark/>
          </w:tcPr>
          <w:p w14:paraId="6676E11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59" w:type="dxa"/>
            <w:tcBorders>
              <w:top w:val="nil"/>
              <w:left w:val="nil"/>
              <w:bottom w:val="nil"/>
              <w:right w:val="nil"/>
            </w:tcBorders>
            <w:shd w:val="clear" w:color="auto" w:fill="auto"/>
            <w:noWrap/>
            <w:vAlign w:val="center"/>
          </w:tcPr>
          <w:p w14:paraId="79A5C48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auto" w:fill="auto"/>
            <w:noWrap/>
            <w:vAlign w:val="center"/>
          </w:tcPr>
          <w:p w14:paraId="67728B4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c>
          <w:tcPr>
            <w:tcW w:w="1545" w:type="dxa"/>
            <w:tcBorders>
              <w:top w:val="nil"/>
              <w:left w:val="nil"/>
              <w:bottom w:val="nil"/>
              <w:right w:val="nil"/>
            </w:tcBorders>
            <w:shd w:val="clear" w:color="auto" w:fill="auto"/>
            <w:noWrap/>
            <w:vAlign w:val="center"/>
          </w:tcPr>
          <w:p w14:paraId="3056CB6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80" w:type="dxa"/>
            <w:tcBorders>
              <w:top w:val="nil"/>
              <w:left w:val="nil"/>
              <w:bottom w:val="nil"/>
              <w:right w:val="nil"/>
            </w:tcBorders>
            <w:shd w:val="clear" w:color="auto" w:fill="auto"/>
            <w:noWrap/>
            <w:vAlign w:val="center"/>
          </w:tcPr>
          <w:p w14:paraId="0CC73F9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r>
      <w:tr w:rsidR="005C5CED" w:rsidRPr="005C5CED" w14:paraId="56455FE9" w14:textId="77777777" w:rsidTr="008214F9">
        <w:trPr>
          <w:trHeight w:val="418"/>
        </w:trPr>
        <w:tc>
          <w:tcPr>
            <w:tcW w:w="3104" w:type="dxa"/>
            <w:tcBorders>
              <w:top w:val="single" w:sz="4" w:space="0" w:color="auto"/>
              <w:left w:val="nil"/>
              <w:bottom w:val="single" w:sz="4" w:space="0" w:color="auto"/>
              <w:right w:val="nil"/>
            </w:tcBorders>
            <w:shd w:val="clear" w:color="auto" w:fill="auto"/>
            <w:noWrap/>
            <w:vAlign w:val="center"/>
            <w:hideMark/>
          </w:tcPr>
          <w:p w14:paraId="55806A6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 financial assets</w:t>
            </w:r>
          </w:p>
        </w:tc>
        <w:tc>
          <w:tcPr>
            <w:tcW w:w="759" w:type="dxa"/>
            <w:tcBorders>
              <w:top w:val="single" w:sz="4" w:space="0" w:color="auto"/>
              <w:left w:val="nil"/>
              <w:bottom w:val="single" w:sz="4" w:space="0" w:color="auto"/>
              <w:right w:val="nil"/>
            </w:tcBorders>
            <w:shd w:val="clear" w:color="auto" w:fill="auto"/>
            <w:noWrap/>
            <w:vAlign w:val="center"/>
            <w:hideMark/>
          </w:tcPr>
          <w:p w14:paraId="3A7EAF62"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159" w:type="dxa"/>
            <w:tcBorders>
              <w:top w:val="single" w:sz="4" w:space="0" w:color="auto"/>
              <w:left w:val="nil"/>
              <w:bottom w:val="single" w:sz="4" w:space="0" w:color="auto"/>
              <w:right w:val="nil"/>
            </w:tcBorders>
            <w:shd w:val="clear" w:color="auto" w:fill="auto"/>
            <w:noWrap/>
            <w:vAlign w:val="center"/>
          </w:tcPr>
          <w:p w14:paraId="291B24C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79,141</w:t>
            </w:r>
          </w:p>
        </w:tc>
        <w:tc>
          <w:tcPr>
            <w:tcW w:w="1545" w:type="dxa"/>
            <w:tcBorders>
              <w:top w:val="single" w:sz="4" w:space="0" w:color="auto"/>
              <w:left w:val="nil"/>
              <w:bottom w:val="single" w:sz="4" w:space="0" w:color="auto"/>
              <w:right w:val="nil"/>
            </w:tcBorders>
            <w:shd w:val="clear" w:color="auto" w:fill="auto"/>
            <w:noWrap/>
            <w:vAlign w:val="center"/>
          </w:tcPr>
          <w:p w14:paraId="115DFE5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11,057</w:t>
            </w:r>
          </w:p>
        </w:tc>
        <w:tc>
          <w:tcPr>
            <w:tcW w:w="1545" w:type="dxa"/>
            <w:tcBorders>
              <w:top w:val="single" w:sz="4" w:space="0" w:color="auto"/>
              <w:left w:val="nil"/>
              <w:bottom w:val="single" w:sz="4" w:space="0" w:color="auto"/>
              <w:right w:val="nil"/>
            </w:tcBorders>
            <w:shd w:val="clear" w:color="auto" w:fill="auto"/>
            <w:noWrap/>
            <w:vAlign w:val="center"/>
          </w:tcPr>
          <w:p w14:paraId="5DF4387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080" w:type="dxa"/>
            <w:tcBorders>
              <w:top w:val="single" w:sz="4" w:space="0" w:color="auto"/>
              <w:left w:val="nil"/>
              <w:bottom w:val="single" w:sz="4" w:space="0" w:color="auto"/>
              <w:right w:val="nil"/>
            </w:tcBorders>
            <w:shd w:val="clear" w:color="auto" w:fill="auto"/>
            <w:noWrap/>
            <w:vAlign w:val="center"/>
          </w:tcPr>
          <w:p w14:paraId="7D26D85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90,198</w:t>
            </w:r>
          </w:p>
        </w:tc>
      </w:tr>
      <w:tr w:rsidR="005C5CED" w:rsidRPr="005C5CED" w14:paraId="4888C535" w14:textId="77777777" w:rsidTr="008214F9">
        <w:trPr>
          <w:trHeight w:val="418"/>
        </w:trPr>
        <w:tc>
          <w:tcPr>
            <w:tcW w:w="3104" w:type="dxa"/>
            <w:tcBorders>
              <w:top w:val="nil"/>
              <w:left w:val="nil"/>
              <w:bottom w:val="nil"/>
              <w:right w:val="nil"/>
            </w:tcBorders>
            <w:shd w:val="clear" w:color="auto" w:fill="auto"/>
            <w:noWrap/>
            <w:vAlign w:val="center"/>
            <w:hideMark/>
          </w:tcPr>
          <w:p w14:paraId="3E7D4862"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Contractual financial liabilities</w:t>
            </w:r>
          </w:p>
        </w:tc>
        <w:tc>
          <w:tcPr>
            <w:tcW w:w="759" w:type="dxa"/>
            <w:tcBorders>
              <w:top w:val="nil"/>
              <w:left w:val="nil"/>
              <w:bottom w:val="nil"/>
              <w:right w:val="nil"/>
            </w:tcBorders>
            <w:shd w:val="clear" w:color="auto" w:fill="auto"/>
            <w:noWrap/>
            <w:vAlign w:val="center"/>
            <w:hideMark/>
          </w:tcPr>
          <w:p w14:paraId="674EB02A"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59" w:type="dxa"/>
            <w:tcBorders>
              <w:top w:val="nil"/>
              <w:left w:val="nil"/>
              <w:bottom w:val="nil"/>
              <w:right w:val="nil"/>
            </w:tcBorders>
            <w:shd w:val="clear" w:color="auto" w:fill="auto"/>
            <w:noWrap/>
            <w:vAlign w:val="center"/>
          </w:tcPr>
          <w:p w14:paraId="50C92FEC" w14:textId="77777777" w:rsidR="005C5CED" w:rsidRPr="005C5CED" w:rsidRDefault="005C5CED" w:rsidP="005C5CED">
            <w:pPr>
              <w:spacing w:after="0" w:line="240" w:lineRule="auto"/>
              <w:jc w:val="center"/>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tcPr>
          <w:p w14:paraId="51404374" w14:textId="77777777" w:rsidR="005C5CED" w:rsidRPr="005C5CED" w:rsidRDefault="005C5CED" w:rsidP="005C5CED">
            <w:pPr>
              <w:spacing w:after="0" w:line="240" w:lineRule="auto"/>
              <w:jc w:val="right"/>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tcPr>
          <w:p w14:paraId="2968A75D" w14:textId="77777777" w:rsidR="005C5CED" w:rsidRPr="005C5CED" w:rsidRDefault="005C5CED" w:rsidP="005C5CED">
            <w:pPr>
              <w:spacing w:after="0" w:line="240" w:lineRule="auto"/>
              <w:jc w:val="right"/>
              <w:rPr>
                <w:rFonts w:eastAsia="Times New Roman" w:cs="Arial"/>
                <w:color w:val="auto"/>
                <w:szCs w:val="20"/>
                <w:lang w:eastAsia="en-AU"/>
              </w:rPr>
            </w:pPr>
          </w:p>
        </w:tc>
        <w:tc>
          <w:tcPr>
            <w:tcW w:w="1080" w:type="dxa"/>
            <w:tcBorders>
              <w:top w:val="nil"/>
              <w:left w:val="nil"/>
              <w:bottom w:val="nil"/>
              <w:right w:val="nil"/>
            </w:tcBorders>
            <w:shd w:val="clear" w:color="auto" w:fill="auto"/>
            <w:noWrap/>
            <w:vAlign w:val="center"/>
          </w:tcPr>
          <w:p w14:paraId="2EE955AE"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0D9E0308" w14:textId="77777777" w:rsidTr="008214F9">
        <w:trPr>
          <w:trHeight w:val="418"/>
        </w:trPr>
        <w:tc>
          <w:tcPr>
            <w:tcW w:w="3104" w:type="dxa"/>
            <w:tcBorders>
              <w:top w:val="nil"/>
              <w:left w:val="nil"/>
              <w:bottom w:val="nil"/>
              <w:right w:val="nil"/>
            </w:tcBorders>
            <w:shd w:val="clear" w:color="auto" w:fill="auto"/>
            <w:noWrap/>
            <w:vAlign w:val="center"/>
            <w:hideMark/>
          </w:tcPr>
          <w:p w14:paraId="420269A8"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Payables</w:t>
            </w:r>
          </w:p>
        </w:tc>
        <w:tc>
          <w:tcPr>
            <w:tcW w:w="759" w:type="dxa"/>
            <w:tcBorders>
              <w:top w:val="nil"/>
              <w:left w:val="nil"/>
              <w:bottom w:val="nil"/>
              <w:right w:val="nil"/>
            </w:tcBorders>
            <w:shd w:val="clear" w:color="auto" w:fill="auto"/>
            <w:noWrap/>
            <w:vAlign w:val="center"/>
            <w:hideMark/>
          </w:tcPr>
          <w:p w14:paraId="719C1EFB"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1159" w:type="dxa"/>
            <w:tcBorders>
              <w:top w:val="nil"/>
              <w:left w:val="nil"/>
              <w:bottom w:val="nil"/>
              <w:right w:val="nil"/>
            </w:tcBorders>
            <w:shd w:val="clear" w:color="auto" w:fill="auto"/>
            <w:noWrap/>
            <w:vAlign w:val="center"/>
          </w:tcPr>
          <w:p w14:paraId="0D5D71E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auto" w:fill="auto"/>
            <w:noWrap/>
            <w:vAlign w:val="center"/>
          </w:tcPr>
          <w:p w14:paraId="54E87CE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auto" w:fill="auto"/>
            <w:noWrap/>
            <w:vAlign w:val="center"/>
          </w:tcPr>
          <w:p w14:paraId="760D2BD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5,819</w:t>
            </w:r>
          </w:p>
        </w:tc>
        <w:tc>
          <w:tcPr>
            <w:tcW w:w="1080" w:type="dxa"/>
            <w:tcBorders>
              <w:top w:val="nil"/>
              <w:left w:val="nil"/>
              <w:bottom w:val="nil"/>
              <w:right w:val="nil"/>
            </w:tcBorders>
            <w:shd w:val="clear" w:color="auto" w:fill="auto"/>
            <w:noWrap/>
            <w:vAlign w:val="center"/>
          </w:tcPr>
          <w:p w14:paraId="7256F91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5,819</w:t>
            </w:r>
          </w:p>
        </w:tc>
      </w:tr>
      <w:tr w:rsidR="005C5CED" w:rsidRPr="005C5CED" w14:paraId="450B6DF7" w14:textId="77777777" w:rsidTr="008214F9">
        <w:trPr>
          <w:trHeight w:val="418"/>
        </w:trPr>
        <w:tc>
          <w:tcPr>
            <w:tcW w:w="3104" w:type="dxa"/>
            <w:tcBorders>
              <w:top w:val="nil"/>
              <w:left w:val="nil"/>
              <w:bottom w:val="nil"/>
              <w:right w:val="nil"/>
            </w:tcBorders>
            <w:shd w:val="clear" w:color="auto" w:fill="auto"/>
            <w:noWrap/>
            <w:vAlign w:val="center"/>
            <w:hideMark/>
          </w:tcPr>
          <w:p w14:paraId="01E6F52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 liabilities</w:t>
            </w:r>
          </w:p>
        </w:tc>
        <w:tc>
          <w:tcPr>
            <w:tcW w:w="759" w:type="dxa"/>
            <w:tcBorders>
              <w:top w:val="nil"/>
              <w:left w:val="nil"/>
              <w:bottom w:val="nil"/>
              <w:right w:val="nil"/>
            </w:tcBorders>
            <w:shd w:val="clear" w:color="auto" w:fill="auto"/>
            <w:noWrap/>
            <w:vAlign w:val="center"/>
            <w:hideMark/>
          </w:tcPr>
          <w:p w14:paraId="14573881"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59" w:type="dxa"/>
            <w:tcBorders>
              <w:top w:val="nil"/>
              <w:left w:val="nil"/>
              <w:bottom w:val="nil"/>
              <w:right w:val="nil"/>
            </w:tcBorders>
            <w:shd w:val="clear" w:color="auto" w:fill="auto"/>
            <w:noWrap/>
            <w:vAlign w:val="center"/>
          </w:tcPr>
          <w:p w14:paraId="711F58D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auto" w:fill="auto"/>
            <w:noWrap/>
            <w:vAlign w:val="center"/>
          </w:tcPr>
          <w:p w14:paraId="5AA05F3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auto" w:fill="auto"/>
            <w:noWrap/>
            <w:vAlign w:val="center"/>
          </w:tcPr>
          <w:p w14:paraId="5571877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7,613</w:t>
            </w:r>
          </w:p>
        </w:tc>
        <w:tc>
          <w:tcPr>
            <w:tcW w:w="1080" w:type="dxa"/>
            <w:tcBorders>
              <w:top w:val="nil"/>
              <w:left w:val="nil"/>
              <w:bottom w:val="nil"/>
              <w:right w:val="nil"/>
            </w:tcBorders>
            <w:shd w:val="clear" w:color="auto" w:fill="auto"/>
            <w:noWrap/>
            <w:vAlign w:val="center"/>
          </w:tcPr>
          <w:p w14:paraId="7F679D5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7,613</w:t>
            </w:r>
          </w:p>
        </w:tc>
      </w:tr>
      <w:tr w:rsidR="005C5CED" w:rsidRPr="005C5CED" w14:paraId="389A4AB7" w14:textId="77777777" w:rsidTr="008214F9">
        <w:trPr>
          <w:trHeight w:val="418"/>
        </w:trPr>
        <w:tc>
          <w:tcPr>
            <w:tcW w:w="3104" w:type="dxa"/>
            <w:tcBorders>
              <w:top w:val="single" w:sz="4" w:space="0" w:color="auto"/>
              <w:left w:val="nil"/>
              <w:bottom w:val="single" w:sz="4" w:space="0" w:color="auto"/>
              <w:right w:val="nil"/>
            </w:tcBorders>
            <w:shd w:val="clear" w:color="auto" w:fill="auto"/>
            <w:noWrap/>
            <w:vAlign w:val="center"/>
            <w:hideMark/>
          </w:tcPr>
          <w:p w14:paraId="62867D7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 financial liabilities</w:t>
            </w:r>
          </w:p>
        </w:tc>
        <w:tc>
          <w:tcPr>
            <w:tcW w:w="759" w:type="dxa"/>
            <w:tcBorders>
              <w:top w:val="single" w:sz="4" w:space="0" w:color="auto"/>
              <w:left w:val="nil"/>
              <w:bottom w:val="single" w:sz="4" w:space="0" w:color="auto"/>
              <w:right w:val="nil"/>
            </w:tcBorders>
            <w:shd w:val="clear" w:color="auto" w:fill="auto"/>
            <w:noWrap/>
            <w:vAlign w:val="center"/>
            <w:hideMark/>
          </w:tcPr>
          <w:p w14:paraId="5C8804D0"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159" w:type="dxa"/>
            <w:tcBorders>
              <w:top w:val="single" w:sz="4" w:space="0" w:color="auto"/>
              <w:left w:val="nil"/>
              <w:bottom w:val="single" w:sz="4" w:space="0" w:color="auto"/>
              <w:right w:val="nil"/>
            </w:tcBorders>
            <w:shd w:val="clear" w:color="auto" w:fill="auto"/>
            <w:noWrap/>
            <w:vAlign w:val="center"/>
          </w:tcPr>
          <w:p w14:paraId="692D7D7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545" w:type="dxa"/>
            <w:tcBorders>
              <w:top w:val="single" w:sz="4" w:space="0" w:color="auto"/>
              <w:left w:val="nil"/>
              <w:bottom w:val="single" w:sz="4" w:space="0" w:color="auto"/>
              <w:right w:val="nil"/>
            </w:tcBorders>
            <w:shd w:val="clear" w:color="auto" w:fill="auto"/>
            <w:noWrap/>
            <w:vAlign w:val="center"/>
          </w:tcPr>
          <w:p w14:paraId="11326F1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545" w:type="dxa"/>
            <w:tcBorders>
              <w:top w:val="single" w:sz="4" w:space="0" w:color="auto"/>
              <w:left w:val="nil"/>
              <w:bottom w:val="single" w:sz="4" w:space="0" w:color="auto"/>
              <w:right w:val="nil"/>
            </w:tcBorders>
            <w:shd w:val="clear" w:color="auto" w:fill="auto"/>
            <w:noWrap/>
            <w:vAlign w:val="center"/>
          </w:tcPr>
          <w:p w14:paraId="56DD3FD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13,432</w:t>
            </w:r>
          </w:p>
        </w:tc>
        <w:tc>
          <w:tcPr>
            <w:tcW w:w="1080" w:type="dxa"/>
            <w:tcBorders>
              <w:top w:val="single" w:sz="4" w:space="0" w:color="auto"/>
              <w:left w:val="nil"/>
              <w:bottom w:val="single" w:sz="4" w:space="0" w:color="auto"/>
              <w:right w:val="nil"/>
            </w:tcBorders>
            <w:shd w:val="clear" w:color="auto" w:fill="auto"/>
            <w:noWrap/>
            <w:vAlign w:val="center"/>
          </w:tcPr>
          <w:p w14:paraId="00E6FD9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13,432</w:t>
            </w:r>
          </w:p>
        </w:tc>
      </w:tr>
      <w:tr w:rsidR="005C5CED" w:rsidRPr="005C5CED" w14:paraId="2A2AB63C" w14:textId="77777777" w:rsidTr="008214F9">
        <w:trPr>
          <w:trHeight w:val="275"/>
        </w:trPr>
        <w:tc>
          <w:tcPr>
            <w:tcW w:w="3104" w:type="dxa"/>
            <w:tcBorders>
              <w:top w:val="nil"/>
              <w:left w:val="nil"/>
              <w:bottom w:val="nil"/>
              <w:right w:val="nil"/>
            </w:tcBorders>
            <w:shd w:val="clear" w:color="auto" w:fill="auto"/>
            <w:noWrap/>
            <w:vAlign w:val="center"/>
            <w:hideMark/>
          </w:tcPr>
          <w:p w14:paraId="12311A50"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759" w:type="dxa"/>
            <w:tcBorders>
              <w:top w:val="nil"/>
              <w:left w:val="nil"/>
              <w:bottom w:val="nil"/>
              <w:right w:val="nil"/>
            </w:tcBorders>
            <w:shd w:val="clear" w:color="auto" w:fill="auto"/>
            <w:noWrap/>
            <w:vAlign w:val="center"/>
            <w:hideMark/>
          </w:tcPr>
          <w:p w14:paraId="00CB271D" w14:textId="77777777" w:rsidR="005C5CED" w:rsidRPr="005C5CED" w:rsidRDefault="005C5CED" w:rsidP="005C5CED">
            <w:pPr>
              <w:spacing w:after="0" w:line="240" w:lineRule="auto"/>
              <w:rPr>
                <w:rFonts w:eastAsia="Times New Roman" w:cs="Arial"/>
                <w:color w:val="auto"/>
                <w:szCs w:val="20"/>
                <w:lang w:eastAsia="en-AU"/>
              </w:rPr>
            </w:pPr>
          </w:p>
        </w:tc>
        <w:tc>
          <w:tcPr>
            <w:tcW w:w="1159" w:type="dxa"/>
            <w:tcBorders>
              <w:top w:val="nil"/>
              <w:left w:val="nil"/>
              <w:bottom w:val="nil"/>
              <w:right w:val="nil"/>
            </w:tcBorders>
            <w:shd w:val="clear" w:color="auto" w:fill="auto"/>
            <w:noWrap/>
            <w:vAlign w:val="center"/>
            <w:hideMark/>
          </w:tcPr>
          <w:p w14:paraId="0CA831EB" w14:textId="77777777" w:rsidR="005C5CED" w:rsidRPr="005C5CED" w:rsidRDefault="005C5CED" w:rsidP="005C5CED">
            <w:pPr>
              <w:spacing w:after="0" w:line="240" w:lineRule="auto"/>
              <w:jc w:val="center"/>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2B8FC88F" w14:textId="77777777" w:rsidR="005C5CED" w:rsidRPr="005C5CED" w:rsidRDefault="005C5CED" w:rsidP="005C5CED">
            <w:pPr>
              <w:spacing w:after="0" w:line="240" w:lineRule="auto"/>
              <w:jc w:val="right"/>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460DE02A" w14:textId="77777777" w:rsidR="005C5CED" w:rsidRPr="005C5CED" w:rsidRDefault="005C5CED" w:rsidP="005C5CED">
            <w:pPr>
              <w:spacing w:after="0" w:line="240" w:lineRule="auto"/>
              <w:jc w:val="right"/>
              <w:rPr>
                <w:rFonts w:eastAsia="Times New Roman" w:cs="Arial"/>
                <w:color w:val="auto"/>
                <w:szCs w:val="20"/>
                <w:lang w:eastAsia="en-AU"/>
              </w:rPr>
            </w:pPr>
          </w:p>
        </w:tc>
        <w:tc>
          <w:tcPr>
            <w:tcW w:w="1080" w:type="dxa"/>
            <w:tcBorders>
              <w:top w:val="nil"/>
              <w:left w:val="nil"/>
              <w:bottom w:val="nil"/>
              <w:right w:val="nil"/>
            </w:tcBorders>
            <w:shd w:val="clear" w:color="auto" w:fill="auto"/>
            <w:noWrap/>
            <w:vAlign w:val="center"/>
            <w:hideMark/>
          </w:tcPr>
          <w:p w14:paraId="1D5D9506"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7027B6DF" w14:textId="77777777" w:rsidTr="008214F9">
        <w:trPr>
          <w:trHeight w:val="418"/>
        </w:trPr>
        <w:tc>
          <w:tcPr>
            <w:tcW w:w="3104" w:type="dxa"/>
            <w:tcBorders>
              <w:top w:val="nil"/>
              <w:left w:val="nil"/>
              <w:bottom w:val="nil"/>
              <w:right w:val="nil"/>
            </w:tcBorders>
            <w:shd w:val="clear" w:color="auto" w:fill="auto"/>
            <w:noWrap/>
            <w:vAlign w:val="center"/>
            <w:hideMark/>
          </w:tcPr>
          <w:p w14:paraId="439DF85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759" w:type="dxa"/>
            <w:tcBorders>
              <w:top w:val="nil"/>
              <w:left w:val="nil"/>
              <w:bottom w:val="nil"/>
              <w:right w:val="nil"/>
            </w:tcBorders>
            <w:shd w:val="clear" w:color="auto" w:fill="auto"/>
            <w:noWrap/>
            <w:vAlign w:val="center"/>
            <w:hideMark/>
          </w:tcPr>
          <w:p w14:paraId="1E4CBB3C"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59" w:type="dxa"/>
            <w:tcBorders>
              <w:top w:val="nil"/>
              <w:left w:val="nil"/>
              <w:bottom w:val="nil"/>
              <w:right w:val="nil"/>
            </w:tcBorders>
            <w:shd w:val="clear" w:color="auto" w:fill="auto"/>
            <w:noWrap/>
            <w:vAlign w:val="center"/>
            <w:hideMark/>
          </w:tcPr>
          <w:p w14:paraId="00B7A4EC" w14:textId="77777777" w:rsidR="005C5CED" w:rsidRPr="005C5CED" w:rsidRDefault="005C5CED" w:rsidP="005C5CED">
            <w:pPr>
              <w:spacing w:after="0" w:line="240" w:lineRule="auto"/>
              <w:jc w:val="center"/>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203EA716" w14:textId="77777777" w:rsidR="005C5CED" w:rsidRPr="005C5CED" w:rsidRDefault="005C5CED" w:rsidP="005C5CED">
            <w:pPr>
              <w:spacing w:after="0" w:line="240" w:lineRule="auto"/>
              <w:jc w:val="right"/>
              <w:rPr>
                <w:rFonts w:eastAsia="Times New Roman" w:cs="Arial"/>
                <w:color w:val="auto"/>
                <w:szCs w:val="20"/>
                <w:lang w:eastAsia="en-AU"/>
              </w:rPr>
            </w:pPr>
          </w:p>
        </w:tc>
        <w:tc>
          <w:tcPr>
            <w:tcW w:w="1545" w:type="dxa"/>
            <w:tcBorders>
              <w:top w:val="nil"/>
              <w:left w:val="nil"/>
              <w:bottom w:val="nil"/>
              <w:right w:val="nil"/>
            </w:tcBorders>
            <w:shd w:val="clear" w:color="auto" w:fill="auto"/>
            <w:noWrap/>
            <w:vAlign w:val="center"/>
            <w:hideMark/>
          </w:tcPr>
          <w:p w14:paraId="1E9CB70F" w14:textId="77777777" w:rsidR="005C5CED" w:rsidRPr="005C5CED" w:rsidRDefault="005C5CED" w:rsidP="005C5CED">
            <w:pPr>
              <w:spacing w:after="0" w:line="240" w:lineRule="auto"/>
              <w:jc w:val="right"/>
              <w:rPr>
                <w:rFonts w:eastAsia="Times New Roman" w:cs="Arial"/>
                <w:color w:val="auto"/>
                <w:szCs w:val="20"/>
                <w:lang w:eastAsia="en-AU"/>
              </w:rPr>
            </w:pPr>
          </w:p>
        </w:tc>
        <w:tc>
          <w:tcPr>
            <w:tcW w:w="1080" w:type="dxa"/>
            <w:tcBorders>
              <w:top w:val="nil"/>
              <w:left w:val="nil"/>
              <w:bottom w:val="nil"/>
              <w:right w:val="nil"/>
            </w:tcBorders>
            <w:shd w:val="clear" w:color="auto" w:fill="auto"/>
            <w:noWrap/>
            <w:vAlign w:val="center"/>
            <w:hideMark/>
          </w:tcPr>
          <w:p w14:paraId="7D278509"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2FF42E3F" w14:textId="77777777" w:rsidTr="008214F9">
        <w:trPr>
          <w:trHeight w:val="418"/>
        </w:trPr>
        <w:tc>
          <w:tcPr>
            <w:tcW w:w="3104" w:type="dxa"/>
            <w:tcBorders>
              <w:top w:val="nil"/>
              <w:left w:val="nil"/>
              <w:bottom w:val="nil"/>
              <w:right w:val="nil"/>
            </w:tcBorders>
            <w:shd w:val="clear" w:color="auto" w:fill="auto"/>
            <w:noWrap/>
            <w:vAlign w:val="center"/>
            <w:hideMark/>
          </w:tcPr>
          <w:p w14:paraId="3E9F705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Contractual financial assets</w:t>
            </w:r>
          </w:p>
        </w:tc>
        <w:tc>
          <w:tcPr>
            <w:tcW w:w="759" w:type="dxa"/>
            <w:tcBorders>
              <w:top w:val="nil"/>
              <w:left w:val="nil"/>
              <w:bottom w:val="nil"/>
              <w:right w:val="nil"/>
            </w:tcBorders>
            <w:shd w:val="clear" w:color="auto" w:fill="auto"/>
            <w:noWrap/>
            <w:vAlign w:val="center"/>
            <w:hideMark/>
          </w:tcPr>
          <w:p w14:paraId="05A57FAB"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59" w:type="dxa"/>
            <w:tcBorders>
              <w:top w:val="nil"/>
              <w:left w:val="nil"/>
              <w:bottom w:val="nil"/>
              <w:right w:val="nil"/>
            </w:tcBorders>
            <w:shd w:val="clear" w:color="000000" w:fill="E7E6E6"/>
            <w:noWrap/>
            <w:vAlign w:val="center"/>
            <w:hideMark/>
          </w:tcPr>
          <w:p w14:paraId="391F703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545" w:type="dxa"/>
            <w:tcBorders>
              <w:top w:val="nil"/>
              <w:left w:val="nil"/>
              <w:bottom w:val="nil"/>
              <w:right w:val="nil"/>
            </w:tcBorders>
            <w:shd w:val="clear" w:color="000000" w:fill="E7E6E6"/>
            <w:noWrap/>
            <w:vAlign w:val="center"/>
            <w:hideMark/>
          </w:tcPr>
          <w:p w14:paraId="0621484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545" w:type="dxa"/>
            <w:tcBorders>
              <w:top w:val="nil"/>
              <w:left w:val="nil"/>
              <w:bottom w:val="nil"/>
              <w:right w:val="nil"/>
            </w:tcBorders>
            <w:shd w:val="clear" w:color="000000" w:fill="E7E6E6"/>
            <w:noWrap/>
            <w:vAlign w:val="center"/>
            <w:hideMark/>
          </w:tcPr>
          <w:p w14:paraId="45DD774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080" w:type="dxa"/>
            <w:tcBorders>
              <w:top w:val="nil"/>
              <w:left w:val="nil"/>
              <w:bottom w:val="nil"/>
              <w:right w:val="nil"/>
            </w:tcBorders>
            <w:shd w:val="clear" w:color="000000" w:fill="E7E6E6"/>
            <w:noWrap/>
            <w:vAlign w:val="center"/>
            <w:hideMark/>
          </w:tcPr>
          <w:p w14:paraId="5C36735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3987D2C6" w14:textId="77777777" w:rsidTr="008214F9">
        <w:trPr>
          <w:trHeight w:val="418"/>
        </w:trPr>
        <w:tc>
          <w:tcPr>
            <w:tcW w:w="3104" w:type="dxa"/>
            <w:tcBorders>
              <w:top w:val="nil"/>
              <w:left w:val="nil"/>
              <w:bottom w:val="nil"/>
              <w:right w:val="nil"/>
            </w:tcBorders>
            <w:shd w:val="clear" w:color="auto" w:fill="auto"/>
            <w:noWrap/>
            <w:vAlign w:val="center"/>
            <w:hideMark/>
          </w:tcPr>
          <w:p w14:paraId="459EE59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759" w:type="dxa"/>
            <w:tcBorders>
              <w:top w:val="nil"/>
              <w:left w:val="nil"/>
              <w:bottom w:val="nil"/>
              <w:right w:val="nil"/>
            </w:tcBorders>
            <w:shd w:val="clear" w:color="auto" w:fill="auto"/>
            <w:noWrap/>
            <w:vAlign w:val="center"/>
            <w:hideMark/>
          </w:tcPr>
          <w:p w14:paraId="7BDB200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59" w:type="dxa"/>
            <w:tcBorders>
              <w:top w:val="nil"/>
              <w:left w:val="nil"/>
              <w:bottom w:val="nil"/>
              <w:right w:val="nil"/>
            </w:tcBorders>
            <w:shd w:val="clear" w:color="000000" w:fill="E7E6E6"/>
            <w:noWrap/>
            <w:vAlign w:val="center"/>
            <w:hideMark/>
          </w:tcPr>
          <w:p w14:paraId="2069B47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c>
          <w:tcPr>
            <w:tcW w:w="1545" w:type="dxa"/>
            <w:tcBorders>
              <w:top w:val="nil"/>
              <w:left w:val="nil"/>
              <w:bottom w:val="nil"/>
              <w:right w:val="nil"/>
            </w:tcBorders>
            <w:shd w:val="clear" w:color="000000" w:fill="E7E6E6"/>
            <w:noWrap/>
            <w:vAlign w:val="center"/>
            <w:hideMark/>
          </w:tcPr>
          <w:p w14:paraId="123E25E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000000" w:fill="E7E6E6"/>
            <w:noWrap/>
            <w:vAlign w:val="center"/>
            <w:hideMark/>
          </w:tcPr>
          <w:p w14:paraId="754110D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80" w:type="dxa"/>
            <w:tcBorders>
              <w:top w:val="nil"/>
              <w:left w:val="nil"/>
              <w:bottom w:val="nil"/>
              <w:right w:val="nil"/>
            </w:tcBorders>
            <w:shd w:val="clear" w:color="000000" w:fill="E7E6E6"/>
            <w:noWrap/>
            <w:vAlign w:val="center"/>
            <w:hideMark/>
          </w:tcPr>
          <w:p w14:paraId="5C3006F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r>
      <w:tr w:rsidR="005C5CED" w:rsidRPr="005C5CED" w14:paraId="78412AAB" w14:textId="77777777" w:rsidTr="008214F9">
        <w:trPr>
          <w:trHeight w:val="418"/>
        </w:trPr>
        <w:tc>
          <w:tcPr>
            <w:tcW w:w="3104" w:type="dxa"/>
            <w:tcBorders>
              <w:top w:val="nil"/>
              <w:left w:val="nil"/>
              <w:bottom w:val="nil"/>
              <w:right w:val="nil"/>
            </w:tcBorders>
            <w:shd w:val="clear" w:color="auto" w:fill="auto"/>
            <w:noWrap/>
            <w:vAlign w:val="center"/>
            <w:hideMark/>
          </w:tcPr>
          <w:p w14:paraId="2AADD3B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Receivables</w:t>
            </w:r>
          </w:p>
        </w:tc>
        <w:tc>
          <w:tcPr>
            <w:tcW w:w="759" w:type="dxa"/>
            <w:tcBorders>
              <w:top w:val="nil"/>
              <w:left w:val="nil"/>
              <w:bottom w:val="nil"/>
              <w:right w:val="nil"/>
            </w:tcBorders>
            <w:shd w:val="clear" w:color="auto" w:fill="auto"/>
            <w:noWrap/>
            <w:vAlign w:val="center"/>
            <w:hideMark/>
          </w:tcPr>
          <w:p w14:paraId="69A0E362" w14:textId="77777777" w:rsidR="005C5CED" w:rsidRPr="005C5CED" w:rsidRDefault="005C5CED" w:rsidP="005C5CED">
            <w:pPr>
              <w:spacing w:after="0" w:line="240" w:lineRule="auto"/>
              <w:ind w:firstLineChars="11" w:firstLine="18"/>
              <w:jc w:val="center"/>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1159" w:type="dxa"/>
            <w:tcBorders>
              <w:top w:val="nil"/>
              <w:left w:val="nil"/>
              <w:bottom w:val="nil"/>
              <w:right w:val="nil"/>
            </w:tcBorders>
            <w:shd w:val="clear" w:color="000000" w:fill="E7E6E6"/>
            <w:noWrap/>
            <w:vAlign w:val="center"/>
            <w:hideMark/>
          </w:tcPr>
          <w:p w14:paraId="5C400BC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000000" w:fill="E7E6E6"/>
            <w:noWrap/>
            <w:vAlign w:val="center"/>
            <w:hideMark/>
          </w:tcPr>
          <w:p w14:paraId="200FCD3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12,590</w:t>
            </w:r>
          </w:p>
        </w:tc>
        <w:tc>
          <w:tcPr>
            <w:tcW w:w="1545" w:type="dxa"/>
            <w:tcBorders>
              <w:top w:val="nil"/>
              <w:left w:val="nil"/>
              <w:bottom w:val="nil"/>
              <w:right w:val="nil"/>
            </w:tcBorders>
            <w:shd w:val="clear" w:color="000000" w:fill="E7E6E6"/>
            <w:noWrap/>
            <w:vAlign w:val="center"/>
            <w:hideMark/>
          </w:tcPr>
          <w:p w14:paraId="193FC81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80" w:type="dxa"/>
            <w:tcBorders>
              <w:top w:val="nil"/>
              <w:left w:val="nil"/>
              <w:bottom w:val="nil"/>
              <w:right w:val="nil"/>
            </w:tcBorders>
            <w:shd w:val="clear" w:color="000000" w:fill="E7E6E6"/>
            <w:noWrap/>
            <w:vAlign w:val="center"/>
            <w:hideMark/>
          </w:tcPr>
          <w:p w14:paraId="3EEBD46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12,590</w:t>
            </w:r>
          </w:p>
        </w:tc>
      </w:tr>
      <w:tr w:rsidR="005C5CED" w:rsidRPr="005C5CED" w14:paraId="7F0607DD" w14:textId="77777777" w:rsidTr="008214F9">
        <w:trPr>
          <w:trHeight w:val="418"/>
        </w:trPr>
        <w:tc>
          <w:tcPr>
            <w:tcW w:w="3104" w:type="dxa"/>
            <w:tcBorders>
              <w:top w:val="nil"/>
              <w:left w:val="nil"/>
              <w:bottom w:val="nil"/>
              <w:right w:val="nil"/>
            </w:tcBorders>
            <w:shd w:val="clear" w:color="auto" w:fill="auto"/>
            <w:noWrap/>
            <w:vAlign w:val="center"/>
            <w:hideMark/>
          </w:tcPr>
          <w:p w14:paraId="770ED07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759" w:type="dxa"/>
            <w:tcBorders>
              <w:top w:val="nil"/>
              <w:left w:val="nil"/>
              <w:bottom w:val="nil"/>
              <w:right w:val="nil"/>
            </w:tcBorders>
            <w:shd w:val="clear" w:color="auto" w:fill="auto"/>
            <w:noWrap/>
            <w:vAlign w:val="center"/>
            <w:hideMark/>
          </w:tcPr>
          <w:p w14:paraId="0E613AA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59" w:type="dxa"/>
            <w:tcBorders>
              <w:top w:val="nil"/>
              <w:left w:val="nil"/>
              <w:bottom w:val="nil"/>
              <w:right w:val="nil"/>
            </w:tcBorders>
            <w:shd w:val="clear" w:color="000000" w:fill="E7E6E6"/>
            <w:noWrap/>
            <w:vAlign w:val="center"/>
            <w:hideMark/>
          </w:tcPr>
          <w:p w14:paraId="4314F50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000000" w:fill="E7E6E6"/>
            <w:noWrap/>
            <w:vAlign w:val="center"/>
            <w:hideMark/>
          </w:tcPr>
          <w:p w14:paraId="160838B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c>
          <w:tcPr>
            <w:tcW w:w="1545" w:type="dxa"/>
            <w:tcBorders>
              <w:top w:val="nil"/>
              <w:left w:val="nil"/>
              <w:bottom w:val="nil"/>
              <w:right w:val="nil"/>
            </w:tcBorders>
            <w:shd w:val="clear" w:color="000000" w:fill="E7E6E6"/>
            <w:noWrap/>
            <w:vAlign w:val="center"/>
            <w:hideMark/>
          </w:tcPr>
          <w:p w14:paraId="5474F9B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80" w:type="dxa"/>
            <w:tcBorders>
              <w:top w:val="nil"/>
              <w:left w:val="nil"/>
              <w:bottom w:val="nil"/>
              <w:right w:val="nil"/>
            </w:tcBorders>
            <w:shd w:val="clear" w:color="000000" w:fill="E7E6E6"/>
            <w:noWrap/>
            <w:vAlign w:val="center"/>
            <w:hideMark/>
          </w:tcPr>
          <w:p w14:paraId="269D63A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r>
      <w:tr w:rsidR="005C5CED" w:rsidRPr="005C5CED" w14:paraId="5990C6B7" w14:textId="77777777" w:rsidTr="008214F9">
        <w:trPr>
          <w:trHeight w:val="418"/>
        </w:trPr>
        <w:tc>
          <w:tcPr>
            <w:tcW w:w="3104" w:type="dxa"/>
            <w:tcBorders>
              <w:top w:val="single" w:sz="4" w:space="0" w:color="auto"/>
              <w:left w:val="nil"/>
              <w:bottom w:val="single" w:sz="4" w:space="0" w:color="auto"/>
              <w:right w:val="nil"/>
            </w:tcBorders>
            <w:shd w:val="clear" w:color="auto" w:fill="auto"/>
            <w:noWrap/>
            <w:vAlign w:val="center"/>
            <w:hideMark/>
          </w:tcPr>
          <w:p w14:paraId="25689A9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 financial assets</w:t>
            </w:r>
          </w:p>
        </w:tc>
        <w:tc>
          <w:tcPr>
            <w:tcW w:w="759" w:type="dxa"/>
            <w:tcBorders>
              <w:top w:val="single" w:sz="4" w:space="0" w:color="auto"/>
              <w:left w:val="nil"/>
              <w:bottom w:val="single" w:sz="4" w:space="0" w:color="auto"/>
              <w:right w:val="nil"/>
            </w:tcBorders>
            <w:shd w:val="clear" w:color="auto" w:fill="auto"/>
            <w:noWrap/>
            <w:vAlign w:val="center"/>
            <w:hideMark/>
          </w:tcPr>
          <w:p w14:paraId="38FEEBD2"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159" w:type="dxa"/>
            <w:tcBorders>
              <w:top w:val="single" w:sz="4" w:space="0" w:color="auto"/>
              <w:left w:val="nil"/>
              <w:bottom w:val="single" w:sz="4" w:space="0" w:color="auto"/>
              <w:right w:val="nil"/>
            </w:tcBorders>
            <w:shd w:val="clear" w:color="000000" w:fill="E7E6E6"/>
            <w:noWrap/>
            <w:vAlign w:val="center"/>
            <w:hideMark/>
          </w:tcPr>
          <w:p w14:paraId="26A998C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71,033</w:t>
            </w:r>
          </w:p>
        </w:tc>
        <w:tc>
          <w:tcPr>
            <w:tcW w:w="1545" w:type="dxa"/>
            <w:tcBorders>
              <w:top w:val="single" w:sz="4" w:space="0" w:color="auto"/>
              <w:left w:val="nil"/>
              <w:bottom w:val="single" w:sz="4" w:space="0" w:color="auto"/>
              <w:right w:val="nil"/>
            </w:tcBorders>
            <w:shd w:val="clear" w:color="000000" w:fill="E7E6E6"/>
            <w:noWrap/>
            <w:vAlign w:val="center"/>
            <w:hideMark/>
          </w:tcPr>
          <w:p w14:paraId="5356DAB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12,989</w:t>
            </w:r>
          </w:p>
        </w:tc>
        <w:tc>
          <w:tcPr>
            <w:tcW w:w="1545" w:type="dxa"/>
            <w:tcBorders>
              <w:top w:val="single" w:sz="4" w:space="0" w:color="auto"/>
              <w:left w:val="nil"/>
              <w:bottom w:val="single" w:sz="4" w:space="0" w:color="auto"/>
              <w:right w:val="nil"/>
            </w:tcBorders>
            <w:shd w:val="clear" w:color="000000" w:fill="E7E6E6"/>
            <w:noWrap/>
            <w:vAlign w:val="center"/>
            <w:hideMark/>
          </w:tcPr>
          <w:p w14:paraId="46108E5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080" w:type="dxa"/>
            <w:tcBorders>
              <w:top w:val="single" w:sz="4" w:space="0" w:color="auto"/>
              <w:left w:val="nil"/>
              <w:bottom w:val="single" w:sz="4" w:space="0" w:color="auto"/>
              <w:right w:val="nil"/>
            </w:tcBorders>
            <w:shd w:val="clear" w:color="000000" w:fill="E7E6E6"/>
            <w:noWrap/>
            <w:vAlign w:val="center"/>
            <w:hideMark/>
          </w:tcPr>
          <w:p w14:paraId="0430A75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84,022</w:t>
            </w:r>
          </w:p>
        </w:tc>
      </w:tr>
      <w:tr w:rsidR="005C5CED" w:rsidRPr="005C5CED" w14:paraId="594A27CA" w14:textId="77777777" w:rsidTr="008214F9">
        <w:trPr>
          <w:trHeight w:val="418"/>
        </w:trPr>
        <w:tc>
          <w:tcPr>
            <w:tcW w:w="3104" w:type="dxa"/>
            <w:tcBorders>
              <w:top w:val="nil"/>
              <w:left w:val="nil"/>
              <w:bottom w:val="nil"/>
              <w:right w:val="nil"/>
            </w:tcBorders>
            <w:shd w:val="clear" w:color="auto" w:fill="auto"/>
            <w:noWrap/>
            <w:vAlign w:val="center"/>
            <w:hideMark/>
          </w:tcPr>
          <w:p w14:paraId="22243BF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Contractual financial liabilities</w:t>
            </w:r>
          </w:p>
        </w:tc>
        <w:tc>
          <w:tcPr>
            <w:tcW w:w="759" w:type="dxa"/>
            <w:tcBorders>
              <w:top w:val="nil"/>
              <w:left w:val="nil"/>
              <w:bottom w:val="nil"/>
              <w:right w:val="nil"/>
            </w:tcBorders>
            <w:shd w:val="clear" w:color="auto" w:fill="auto"/>
            <w:noWrap/>
            <w:vAlign w:val="center"/>
            <w:hideMark/>
          </w:tcPr>
          <w:p w14:paraId="631D3245"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59" w:type="dxa"/>
            <w:tcBorders>
              <w:top w:val="nil"/>
              <w:left w:val="nil"/>
              <w:bottom w:val="nil"/>
              <w:right w:val="nil"/>
            </w:tcBorders>
            <w:shd w:val="clear" w:color="000000" w:fill="E7E6E6"/>
            <w:noWrap/>
            <w:vAlign w:val="center"/>
            <w:hideMark/>
          </w:tcPr>
          <w:p w14:paraId="721E5C1A"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545" w:type="dxa"/>
            <w:tcBorders>
              <w:top w:val="nil"/>
              <w:left w:val="nil"/>
              <w:bottom w:val="nil"/>
              <w:right w:val="nil"/>
            </w:tcBorders>
            <w:shd w:val="clear" w:color="000000" w:fill="E7E6E6"/>
            <w:noWrap/>
            <w:vAlign w:val="center"/>
            <w:hideMark/>
          </w:tcPr>
          <w:p w14:paraId="11C045E3"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545" w:type="dxa"/>
            <w:tcBorders>
              <w:top w:val="nil"/>
              <w:left w:val="nil"/>
              <w:bottom w:val="nil"/>
              <w:right w:val="nil"/>
            </w:tcBorders>
            <w:shd w:val="clear" w:color="000000" w:fill="E7E6E6"/>
            <w:noWrap/>
            <w:vAlign w:val="center"/>
            <w:hideMark/>
          </w:tcPr>
          <w:p w14:paraId="1845D36F"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1080" w:type="dxa"/>
            <w:tcBorders>
              <w:top w:val="nil"/>
              <w:left w:val="nil"/>
              <w:bottom w:val="nil"/>
              <w:right w:val="nil"/>
            </w:tcBorders>
            <w:shd w:val="clear" w:color="000000" w:fill="E7E6E6"/>
            <w:noWrap/>
            <w:vAlign w:val="center"/>
            <w:hideMark/>
          </w:tcPr>
          <w:p w14:paraId="49CD051E" w14:textId="77777777" w:rsidR="005C5CED" w:rsidRPr="005C5CED" w:rsidRDefault="005C5CED" w:rsidP="005C5CED">
            <w:pPr>
              <w:spacing w:after="0" w:line="240" w:lineRule="auto"/>
              <w:jc w:val="right"/>
              <w:rPr>
                <w:rFonts w:eastAsia="Times New Roman" w:cs="Arial"/>
                <w:color w:val="auto"/>
                <w:sz w:val="16"/>
                <w:szCs w:val="16"/>
                <w:lang w:eastAsia="en-AU"/>
              </w:rPr>
            </w:pPr>
          </w:p>
        </w:tc>
      </w:tr>
      <w:tr w:rsidR="005C5CED" w:rsidRPr="005C5CED" w14:paraId="0218A6C0" w14:textId="77777777" w:rsidTr="008214F9">
        <w:trPr>
          <w:trHeight w:val="418"/>
        </w:trPr>
        <w:tc>
          <w:tcPr>
            <w:tcW w:w="3104" w:type="dxa"/>
            <w:tcBorders>
              <w:top w:val="nil"/>
              <w:left w:val="nil"/>
              <w:bottom w:val="nil"/>
              <w:right w:val="nil"/>
            </w:tcBorders>
            <w:shd w:val="clear" w:color="auto" w:fill="auto"/>
            <w:noWrap/>
            <w:vAlign w:val="center"/>
            <w:hideMark/>
          </w:tcPr>
          <w:p w14:paraId="0CE54CB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Payables</w:t>
            </w:r>
          </w:p>
        </w:tc>
        <w:tc>
          <w:tcPr>
            <w:tcW w:w="759" w:type="dxa"/>
            <w:tcBorders>
              <w:top w:val="nil"/>
              <w:left w:val="nil"/>
              <w:bottom w:val="nil"/>
              <w:right w:val="nil"/>
            </w:tcBorders>
            <w:shd w:val="clear" w:color="auto" w:fill="auto"/>
            <w:noWrap/>
            <w:vAlign w:val="center"/>
            <w:hideMark/>
          </w:tcPr>
          <w:p w14:paraId="53BC1A1C"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1159" w:type="dxa"/>
            <w:tcBorders>
              <w:top w:val="nil"/>
              <w:left w:val="nil"/>
              <w:bottom w:val="nil"/>
              <w:right w:val="nil"/>
            </w:tcBorders>
            <w:shd w:val="clear" w:color="000000" w:fill="E7E6E6"/>
            <w:noWrap/>
            <w:vAlign w:val="center"/>
            <w:hideMark/>
          </w:tcPr>
          <w:p w14:paraId="72428F0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000000" w:fill="E7E6E6"/>
            <w:noWrap/>
            <w:vAlign w:val="center"/>
            <w:hideMark/>
          </w:tcPr>
          <w:p w14:paraId="7E758D6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000000" w:fill="E7E6E6"/>
            <w:noWrap/>
            <w:vAlign w:val="center"/>
            <w:hideMark/>
          </w:tcPr>
          <w:p w14:paraId="7EBE997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4,550</w:t>
            </w:r>
          </w:p>
        </w:tc>
        <w:tc>
          <w:tcPr>
            <w:tcW w:w="1080" w:type="dxa"/>
            <w:tcBorders>
              <w:top w:val="nil"/>
              <w:left w:val="nil"/>
              <w:bottom w:val="nil"/>
              <w:right w:val="nil"/>
            </w:tcBorders>
            <w:shd w:val="clear" w:color="000000" w:fill="E7E6E6"/>
            <w:noWrap/>
            <w:vAlign w:val="center"/>
            <w:hideMark/>
          </w:tcPr>
          <w:p w14:paraId="711307A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4,550</w:t>
            </w:r>
          </w:p>
        </w:tc>
      </w:tr>
      <w:tr w:rsidR="005C5CED" w:rsidRPr="005C5CED" w14:paraId="164D9A71" w14:textId="77777777" w:rsidTr="008214F9">
        <w:trPr>
          <w:trHeight w:val="418"/>
        </w:trPr>
        <w:tc>
          <w:tcPr>
            <w:tcW w:w="3104" w:type="dxa"/>
            <w:tcBorders>
              <w:top w:val="nil"/>
              <w:left w:val="nil"/>
              <w:bottom w:val="nil"/>
              <w:right w:val="nil"/>
            </w:tcBorders>
            <w:shd w:val="clear" w:color="auto" w:fill="auto"/>
            <w:noWrap/>
            <w:vAlign w:val="center"/>
            <w:hideMark/>
          </w:tcPr>
          <w:p w14:paraId="06C1BF9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Lease liabilities</w:t>
            </w:r>
          </w:p>
        </w:tc>
        <w:tc>
          <w:tcPr>
            <w:tcW w:w="759" w:type="dxa"/>
            <w:tcBorders>
              <w:top w:val="nil"/>
              <w:left w:val="nil"/>
              <w:bottom w:val="nil"/>
              <w:right w:val="nil"/>
            </w:tcBorders>
            <w:shd w:val="clear" w:color="auto" w:fill="auto"/>
            <w:noWrap/>
            <w:vAlign w:val="center"/>
            <w:hideMark/>
          </w:tcPr>
          <w:p w14:paraId="51DF9AE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159" w:type="dxa"/>
            <w:tcBorders>
              <w:top w:val="nil"/>
              <w:left w:val="nil"/>
              <w:bottom w:val="nil"/>
              <w:right w:val="nil"/>
            </w:tcBorders>
            <w:shd w:val="clear" w:color="000000" w:fill="E7E6E6"/>
            <w:noWrap/>
            <w:vAlign w:val="center"/>
            <w:hideMark/>
          </w:tcPr>
          <w:p w14:paraId="0A47B19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000000" w:fill="E7E6E6"/>
            <w:noWrap/>
            <w:vAlign w:val="center"/>
            <w:hideMark/>
          </w:tcPr>
          <w:p w14:paraId="7B73975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545" w:type="dxa"/>
            <w:tcBorders>
              <w:top w:val="nil"/>
              <w:left w:val="nil"/>
              <w:bottom w:val="nil"/>
              <w:right w:val="nil"/>
            </w:tcBorders>
            <w:shd w:val="clear" w:color="000000" w:fill="E7E6E6"/>
            <w:noWrap/>
            <w:vAlign w:val="center"/>
            <w:hideMark/>
          </w:tcPr>
          <w:p w14:paraId="1C8196A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18,785</w:t>
            </w:r>
          </w:p>
        </w:tc>
        <w:tc>
          <w:tcPr>
            <w:tcW w:w="1080" w:type="dxa"/>
            <w:tcBorders>
              <w:top w:val="nil"/>
              <w:left w:val="nil"/>
              <w:bottom w:val="nil"/>
              <w:right w:val="nil"/>
            </w:tcBorders>
            <w:shd w:val="clear" w:color="000000" w:fill="E7E6E6"/>
            <w:noWrap/>
            <w:vAlign w:val="center"/>
            <w:hideMark/>
          </w:tcPr>
          <w:p w14:paraId="327D91C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18,785</w:t>
            </w:r>
          </w:p>
        </w:tc>
      </w:tr>
      <w:tr w:rsidR="005C5CED" w:rsidRPr="005C5CED" w14:paraId="2808E1E6" w14:textId="77777777" w:rsidTr="008214F9">
        <w:trPr>
          <w:trHeight w:val="418"/>
        </w:trPr>
        <w:tc>
          <w:tcPr>
            <w:tcW w:w="3104" w:type="dxa"/>
            <w:tcBorders>
              <w:top w:val="single" w:sz="4" w:space="0" w:color="auto"/>
              <w:left w:val="nil"/>
              <w:bottom w:val="single" w:sz="4" w:space="0" w:color="auto"/>
              <w:right w:val="nil"/>
            </w:tcBorders>
            <w:shd w:val="clear" w:color="auto" w:fill="auto"/>
            <w:noWrap/>
            <w:vAlign w:val="center"/>
            <w:hideMark/>
          </w:tcPr>
          <w:p w14:paraId="3A2AA829"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 financial liabilities</w:t>
            </w:r>
          </w:p>
        </w:tc>
        <w:tc>
          <w:tcPr>
            <w:tcW w:w="759" w:type="dxa"/>
            <w:tcBorders>
              <w:top w:val="single" w:sz="4" w:space="0" w:color="auto"/>
              <w:left w:val="nil"/>
              <w:bottom w:val="single" w:sz="4" w:space="0" w:color="auto"/>
              <w:right w:val="nil"/>
            </w:tcBorders>
            <w:shd w:val="clear" w:color="auto" w:fill="auto"/>
            <w:noWrap/>
            <w:vAlign w:val="center"/>
            <w:hideMark/>
          </w:tcPr>
          <w:p w14:paraId="1181EED6" w14:textId="77777777" w:rsidR="005C5CED" w:rsidRPr="005C5CED" w:rsidRDefault="005C5CED" w:rsidP="005C5CED">
            <w:pPr>
              <w:spacing w:after="0" w:line="240" w:lineRule="auto"/>
              <w:jc w:val="center"/>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159" w:type="dxa"/>
            <w:tcBorders>
              <w:top w:val="single" w:sz="4" w:space="0" w:color="auto"/>
              <w:left w:val="nil"/>
              <w:bottom w:val="single" w:sz="4" w:space="0" w:color="auto"/>
              <w:right w:val="nil"/>
            </w:tcBorders>
            <w:shd w:val="clear" w:color="000000" w:fill="E7E6E6"/>
            <w:noWrap/>
            <w:vAlign w:val="center"/>
            <w:hideMark/>
          </w:tcPr>
          <w:p w14:paraId="40B4353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545" w:type="dxa"/>
            <w:tcBorders>
              <w:top w:val="single" w:sz="4" w:space="0" w:color="auto"/>
              <w:left w:val="nil"/>
              <w:bottom w:val="single" w:sz="4" w:space="0" w:color="auto"/>
              <w:right w:val="nil"/>
            </w:tcBorders>
            <w:shd w:val="clear" w:color="000000" w:fill="E7E6E6"/>
            <w:noWrap/>
            <w:vAlign w:val="center"/>
            <w:hideMark/>
          </w:tcPr>
          <w:p w14:paraId="5C6AAF5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545" w:type="dxa"/>
            <w:tcBorders>
              <w:top w:val="single" w:sz="4" w:space="0" w:color="auto"/>
              <w:left w:val="nil"/>
              <w:bottom w:val="single" w:sz="4" w:space="0" w:color="auto"/>
              <w:right w:val="nil"/>
            </w:tcBorders>
            <w:shd w:val="clear" w:color="000000" w:fill="E7E6E6"/>
            <w:noWrap/>
            <w:vAlign w:val="center"/>
            <w:hideMark/>
          </w:tcPr>
          <w:p w14:paraId="03D64C9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23,335</w:t>
            </w:r>
          </w:p>
        </w:tc>
        <w:tc>
          <w:tcPr>
            <w:tcW w:w="1080" w:type="dxa"/>
            <w:tcBorders>
              <w:top w:val="single" w:sz="4" w:space="0" w:color="auto"/>
              <w:left w:val="nil"/>
              <w:bottom w:val="single" w:sz="4" w:space="0" w:color="auto"/>
              <w:right w:val="nil"/>
            </w:tcBorders>
            <w:shd w:val="clear" w:color="000000" w:fill="E7E6E6"/>
            <w:noWrap/>
            <w:vAlign w:val="center"/>
            <w:hideMark/>
          </w:tcPr>
          <w:p w14:paraId="4F45137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23,335</w:t>
            </w:r>
          </w:p>
        </w:tc>
      </w:tr>
    </w:tbl>
    <w:p w14:paraId="77CEFF54" w14:textId="77777777" w:rsidR="005C5CED" w:rsidRPr="005C5CED" w:rsidRDefault="005C5CED" w:rsidP="005C5CED">
      <w:pPr>
        <w:spacing w:after="60" w:line="259" w:lineRule="auto"/>
        <w:rPr>
          <w:rFonts w:eastAsia="Calibri" w:cs="Arial"/>
          <w:color w:val="auto"/>
          <w:sz w:val="14"/>
          <w:szCs w:val="14"/>
        </w:rPr>
      </w:pPr>
    </w:p>
    <w:p w14:paraId="5B26445B"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Notes:</w:t>
      </w:r>
    </w:p>
    <w:p w14:paraId="66194739" w14:textId="77777777" w:rsidR="005C5CED" w:rsidRPr="005C5CED" w:rsidRDefault="005C5CED" w:rsidP="005C5CED">
      <w:pPr>
        <w:spacing w:line="259" w:lineRule="auto"/>
        <w:rPr>
          <w:rFonts w:eastAsia="Calibri" w:cs="Arial"/>
          <w:b/>
          <w:bCs/>
          <w:color w:val="auto"/>
          <w:sz w:val="16"/>
          <w:szCs w:val="20"/>
        </w:rPr>
      </w:pPr>
      <w:r w:rsidRPr="005C5CED">
        <w:rPr>
          <w:rFonts w:eastAsia="Calibri" w:cs="Arial"/>
          <w:color w:val="auto"/>
          <w:sz w:val="16"/>
          <w:szCs w:val="20"/>
        </w:rPr>
        <w:t>(a) The total amounts disclosed here excludes statutory amounts (e.g., amounts owing from Victorian Government and GST input tax credit recoverable).</w:t>
      </w:r>
    </w:p>
    <w:p w14:paraId="72CE52AF"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Note 7.1.2 Financial risk management objectives and policies</w:t>
      </w:r>
    </w:p>
    <w:p w14:paraId="704702E0" w14:textId="77777777" w:rsidR="005C5CED" w:rsidRPr="005C5CED" w:rsidRDefault="005C5CED" w:rsidP="005C5CED">
      <w:pPr>
        <w:spacing w:line="259" w:lineRule="auto"/>
        <w:rPr>
          <w:rFonts w:eastAsia="Calibri" w:cs="Arial"/>
          <w:color w:val="auto"/>
        </w:rPr>
      </w:pPr>
      <w:proofErr w:type="gramStart"/>
      <w:r w:rsidRPr="005C5CED">
        <w:rPr>
          <w:rFonts w:eastAsia="Calibri" w:cs="Arial"/>
          <w:color w:val="auto"/>
        </w:rPr>
        <w:t>As a whole, Sustainability</w:t>
      </w:r>
      <w:proofErr w:type="gramEnd"/>
      <w:r w:rsidRPr="005C5CED">
        <w:rPr>
          <w:rFonts w:eastAsia="Calibri" w:cs="Arial"/>
          <w:color w:val="auto"/>
        </w:rPr>
        <w:t xml:space="preserve"> Victoria’s financial risk management program seeks to manage these risks and the associated volatility of its financial performance.</w:t>
      </w:r>
    </w:p>
    <w:p w14:paraId="6F463C97" w14:textId="77777777" w:rsidR="005C5CED" w:rsidRPr="005C5CED" w:rsidRDefault="005C5CED" w:rsidP="005C5CED">
      <w:pPr>
        <w:spacing w:line="259" w:lineRule="auto"/>
        <w:rPr>
          <w:rFonts w:eastAsia="Calibri" w:cs="Arial"/>
          <w:color w:val="auto"/>
        </w:rPr>
      </w:pPr>
      <w:r w:rsidRPr="005C5CED">
        <w:rPr>
          <w:rFonts w:eastAsia="Calibri" w:cs="Arial"/>
          <w:color w:val="auto"/>
        </w:rPr>
        <w:t>Details of the significant accounting policies and methods adopted, including the criteria for the recognition, the basis of measurement, and the basis on which income and expenses are recognised, with respect to each class of financial asset, financial liability, and equity instrument above are disclosed in Note 7.3 to the financial statements.</w:t>
      </w:r>
    </w:p>
    <w:p w14:paraId="748F5860" w14:textId="77777777" w:rsidR="005C5CED" w:rsidRPr="005C5CED" w:rsidRDefault="005C5CED" w:rsidP="005C5CED">
      <w:pPr>
        <w:spacing w:line="259" w:lineRule="auto"/>
        <w:rPr>
          <w:rFonts w:eastAsia="Calibri" w:cs="Arial"/>
          <w:color w:val="auto"/>
        </w:rPr>
      </w:pPr>
      <w:r w:rsidRPr="005C5CED">
        <w:rPr>
          <w:rFonts w:eastAsia="Calibri" w:cs="Arial"/>
          <w:color w:val="auto"/>
        </w:rPr>
        <w:t>The main purpose in holding financial instruments is to prudentially manage Sustainability Victoria's financial risks within government policy parameters.</w:t>
      </w:r>
    </w:p>
    <w:p w14:paraId="3A3E4DE4" w14:textId="77777777" w:rsidR="005C5CED" w:rsidRPr="005C5CED" w:rsidRDefault="005C5CED" w:rsidP="005C5CED">
      <w:pPr>
        <w:spacing w:line="259" w:lineRule="auto"/>
        <w:rPr>
          <w:rFonts w:eastAsia="Calibri" w:cs="Arial"/>
          <w:color w:val="auto"/>
        </w:rPr>
      </w:pPr>
      <w:r w:rsidRPr="005C5CED">
        <w:rPr>
          <w:rFonts w:eastAsia="Calibri" w:cs="Arial"/>
          <w:color w:val="auto"/>
        </w:rPr>
        <w:lastRenderedPageBreak/>
        <w:t>Sustainability Victoria's main financial risks include credit risk, liquidity risk and interest rate risk. Sustainability Victoria manages these financial risks in accordance with its financial risk management policy.</w:t>
      </w:r>
    </w:p>
    <w:p w14:paraId="033EF6C7"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rPr>
        <w:t>Sustainability Victoria uses different methods to measure and manage the different risks to which it is exposed. Primary responsibility for the identification and management of financial risks rests with the Sustainability Victoria Board.</w:t>
      </w:r>
    </w:p>
    <w:p w14:paraId="218DE6B1"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t>Financial Instruments: credit risk</w:t>
      </w:r>
    </w:p>
    <w:p w14:paraId="5BD7E932" w14:textId="77777777" w:rsidR="005C5CED" w:rsidRPr="005C5CED" w:rsidRDefault="005C5CED" w:rsidP="005C5CED">
      <w:pPr>
        <w:spacing w:line="259" w:lineRule="auto"/>
        <w:rPr>
          <w:rFonts w:eastAsia="Times New Roman" w:cs="Arial"/>
          <w:b/>
          <w:bCs/>
          <w:color w:val="auto"/>
          <w:lang w:eastAsia="en-AU"/>
        </w:rPr>
      </w:pPr>
      <w:r w:rsidRPr="005C5CED">
        <w:rPr>
          <w:rFonts w:eastAsia="Calibri" w:cs="Arial"/>
          <w:color w:val="auto"/>
        </w:rPr>
        <w:t>Credit risk refers to the possibility that a borrower will default on its financial obligations as and when they fall due. Sustainability Victoria’s exposure to credit risk arises from the potential default of a counter party on their contractual obligations resulting in financial loss to Sustainability Victoria. Credit risk is measured at fair value and is monitored on a regular basis.</w:t>
      </w:r>
    </w:p>
    <w:p w14:paraId="051A0C4B" w14:textId="77777777" w:rsidR="005C5CED" w:rsidRPr="005C5CED" w:rsidRDefault="005C5CED" w:rsidP="005C5CED">
      <w:pPr>
        <w:spacing w:line="259" w:lineRule="auto"/>
        <w:rPr>
          <w:rFonts w:eastAsia="Calibri" w:cs="Arial"/>
          <w:color w:val="auto"/>
        </w:rPr>
      </w:pPr>
      <w:r w:rsidRPr="005C5CED">
        <w:rPr>
          <w:rFonts w:eastAsia="Calibri" w:cs="Arial"/>
          <w:color w:val="auto"/>
        </w:rPr>
        <w:t>Credit risk associated with Sustainability Victoria’s contractual financial assets is minimal because the main debtor is the Victorian Government. For debtors other than the Government, it is Sustainability Victoria’s policy to only deal with entities with high credit ratings of a minimum triple B rating.</w:t>
      </w:r>
    </w:p>
    <w:p w14:paraId="535646A7" w14:textId="77777777" w:rsidR="005C5CED" w:rsidRPr="005C5CED" w:rsidRDefault="005C5CED" w:rsidP="005C5CED">
      <w:pPr>
        <w:spacing w:line="259" w:lineRule="auto"/>
        <w:rPr>
          <w:rFonts w:eastAsia="Calibri" w:cs="Arial"/>
          <w:color w:val="auto"/>
        </w:rPr>
      </w:pPr>
      <w:r w:rsidRPr="005C5CED">
        <w:rPr>
          <w:rFonts w:eastAsia="Calibri" w:cs="Arial"/>
          <w:color w:val="auto"/>
        </w:rPr>
        <w:t>In addition, Sustainability Victoria does not engage in hedging for its contractual financial assets and mainly obtains contractual financial assets that are on fixed interest, except for cash and deposits, which are mainly cash at bank. As with the policy for debtors, Sustainability Victoria’s policy is to only deal with banks with high credit ratings.</w:t>
      </w:r>
    </w:p>
    <w:p w14:paraId="2FE1515B" w14:textId="77777777" w:rsidR="005C5CED" w:rsidRPr="005C5CED" w:rsidRDefault="005C5CED" w:rsidP="005C5CED">
      <w:pPr>
        <w:spacing w:line="259" w:lineRule="auto"/>
        <w:rPr>
          <w:rFonts w:eastAsia="Calibri" w:cs="Arial"/>
          <w:color w:val="auto"/>
        </w:rPr>
      </w:pPr>
      <w:r w:rsidRPr="005C5CED">
        <w:rPr>
          <w:rFonts w:eastAsia="Calibri" w:cs="Arial"/>
          <w:color w:val="auto"/>
        </w:rPr>
        <w:t>Provision of impairment for contractual financial assets is recognised when there is objective evidence that Sustainability Victoria will not be able to collect a receivable. Objective evidence includes financial difficulties of the debtor, default payments, debts that are more than 60 days overdue, and changes in debtor credit ratings.</w:t>
      </w:r>
    </w:p>
    <w:p w14:paraId="71FADDFB"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 </w:t>
      </w:r>
    </w:p>
    <w:p w14:paraId="4022E2CA" w14:textId="77777777" w:rsidR="005C5CED" w:rsidRPr="005C5CED" w:rsidRDefault="005C5CED" w:rsidP="005C5CED">
      <w:pPr>
        <w:spacing w:line="259" w:lineRule="auto"/>
        <w:rPr>
          <w:rFonts w:eastAsia="Calibri" w:cs="Arial"/>
          <w:color w:val="auto"/>
        </w:rPr>
      </w:pPr>
      <w:r w:rsidRPr="005C5CED">
        <w:rPr>
          <w:rFonts w:eastAsia="Calibri" w:cs="Arial"/>
          <w:color w:val="auto"/>
        </w:rPr>
        <w:t>Except as otherwise detailed in the following table, the carrying amount of contractual financial assets recorded in the financial statements, net of any allowances for losses, represents Sustainability Victoria’s maximum exposure to credit risk without taking account of the value of any collateral obtained.</w:t>
      </w:r>
    </w:p>
    <w:p w14:paraId="15633BEC" w14:textId="77777777" w:rsidR="005C5CED" w:rsidRPr="005C5CED" w:rsidRDefault="005C5CED" w:rsidP="005C5CED">
      <w:pPr>
        <w:spacing w:line="259" w:lineRule="auto"/>
        <w:rPr>
          <w:rFonts w:eastAsia="Times New Roman" w:cs="Arial"/>
          <w:color w:val="auto"/>
          <w:lang w:eastAsia="en-AU"/>
        </w:rPr>
      </w:pPr>
      <w:r w:rsidRPr="005C5CED">
        <w:rPr>
          <w:rFonts w:eastAsia="Times New Roman" w:cs="Arial"/>
          <w:color w:val="auto"/>
          <w:lang w:eastAsia="en-AU"/>
        </w:rPr>
        <w:t>There has been no material change to Sustainability Victoria’s credit risk profile in 2023-24.</w:t>
      </w:r>
    </w:p>
    <w:p w14:paraId="1A4A931E" w14:textId="77777777" w:rsidR="008214F9" w:rsidRDefault="008214F9">
      <w:pPr>
        <w:spacing w:line="259" w:lineRule="auto"/>
        <w:rPr>
          <w:rFonts w:eastAsia="Yu Gothic Light" w:cs="Times New Roman"/>
          <w:b/>
          <w:bCs/>
          <w:i/>
          <w:iCs/>
          <w:color w:val="174F37"/>
          <w:szCs w:val="20"/>
        </w:rPr>
      </w:pPr>
      <w:r>
        <w:rPr>
          <w:rFonts w:eastAsia="Yu Gothic Light" w:cs="Times New Roman"/>
          <w:b/>
          <w:bCs/>
          <w:i/>
          <w:iCs/>
          <w:color w:val="174F37"/>
          <w:szCs w:val="20"/>
        </w:rPr>
        <w:br w:type="page"/>
      </w:r>
    </w:p>
    <w:p w14:paraId="1AFE8CBA" w14:textId="77777777" w:rsidR="005C5CED" w:rsidRPr="005C5CED" w:rsidRDefault="005C5CED" w:rsidP="005C5CED">
      <w:pPr>
        <w:keepNext/>
        <w:keepLines/>
        <w:spacing w:after="0" w:line="259" w:lineRule="auto"/>
        <w:outlineLvl w:val="5"/>
        <w:rPr>
          <w:rFonts w:eastAsia="Yu Gothic Light" w:cs="Times New Roman"/>
          <w:i/>
          <w:iCs/>
          <w:color w:val="174F37"/>
          <w:szCs w:val="20"/>
        </w:rPr>
      </w:pPr>
      <w:r w:rsidRPr="005C5CED">
        <w:rPr>
          <w:rFonts w:eastAsia="Yu Gothic Light" w:cs="Times New Roman"/>
          <w:b/>
          <w:bCs/>
          <w:i/>
          <w:iCs/>
          <w:color w:val="174F37"/>
          <w:szCs w:val="20"/>
        </w:rPr>
        <w:lastRenderedPageBreak/>
        <w:t xml:space="preserve">Credit quality of contractual financial assets that are neither past due </w:t>
      </w:r>
      <w:proofErr w:type="gramStart"/>
      <w:r w:rsidRPr="005C5CED">
        <w:rPr>
          <w:rFonts w:eastAsia="Yu Gothic Light" w:cs="Times New Roman"/>
          <w:b/>
          <w:bCs/>
          <w:i/>
          <w:iCs/>
          <w:color w:val="174F37"/>
          <w:szCs w:val="20"/>
        </w:rPr>
        <w:t>or</w:t>
      </w:r>
      <w:proofErr w:type="gramEnd"/>
      <w:r w:rsidRPr="005C5CED">
        <w:rPr>
          <w:rFonts w:eastAsia="Yu Gothic Light" w:cs="Times New Roman"/>
          <w:b/>
          <w:bCs/>
          <w:i/>
          <w:iCs/>
          <w:color w:val="174F37"/>
          <w:szCs w:val="20"/>
        </w:rPr>
        <w:t xml:space="preserve"> impaired</w:t>
      </w:r>
    </w:p>
    <w:tbl>
      <w:tblPr>
        <w:tblW w:w="9041" w:type="dxa"/>
        <w:tblLook w:val="04A0" w:firstRow="1" w:lastRow="0" w:firstColumn="1" w:lastColumn="0" w:noHBand="0" w:noVBand="1"/>
      </w:tblPr>
      <w:tblGrid>
        <w:gridCol w:w="3416"/>
        <w:gridCol w:w="1184"/>
        <w:gridCol w:w="1320"/>
        <w:gridCol w:w="1705"/>
        <w:gridCol w:w="1416"/>
      </w:tblGrid>
      <w:tr w:rsidR="005C5CED" w:rsidRPr="005C5CED" w14:paraId="0570C751" w14:textId="77777777" w:rsidTr="005C5CED">
        <w:trPr>
          <w:trHeight w:val="225"/>
        </w:trPr>
        <w:tc>
          <w:tcPr>
            <w:tcW w:w="3416" w:type="dxa"/>
            <w:tcBorders>
              <w:top w:val="nil"/>
              <w:left w:val="nil"/>
              <w:bottom w:val="nil"/>
              <w:right w:val="nil"/>
            </w:tcBorders>
            <w:shd w:val="clear" w:color="auto" w:fill="000000"/>
            <w:noWrap/>
            <w:vAlign w:val="bottom"/>
            <w:hideMark/>
          </w:tcPr>
          <w:p w14:paraId="326973B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84" w:type="dxa"/>
            <w:tcBorders>
              <w:top w:val="nil"/>
              <w:left w:val="nil"/>
              <w:bottom w:val="nil"/>
              <w:right w:val="nil"/>
            </w:tcBorders>
            <w:shd w:val="clear" w:color="auto" w:fill="000000"/>
            <w:vAlign w:val="bottom"/>
            <w:hideMark/>
          </w:tcPr>
          <w:p w14:paraId="1288290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Financial institutions</w:t>
            </w:r>
            <w:r w:rsidRPr="005C5CED">
              <w:rPr>
                <w:rFonts w:eastAsia="Times New Roman" w:cs="Arial"/>
                <w:b/>
                <w:bCs/>
                <w:color w:val="FFFFFF"/>
                <w:sz w:val="16"/>
                <w:szCs w:val="16"/>
                <w:lang w:eastAsia="en-AU"/>
              </w:rPr>
              <w:br/>
            </w:r>
            <w:r w:rsidRPr="005C5CED">
              <w:rPr>
                <w:rFonts w:eastAsia="Times New Roman" w:cs="Arial"/>
                <w:b/>
                <w:bCs/>
                <w:color w:val="FFFFFF"/>
                <w:sz w:val="16"/>
                <w:szCs w:val="16"/>
                <w:highlight w:val="black"/>
                <w:lang w:eastAsia="en-AU"/>
              </w:rPr>
              <w:t>(AA rating)</w:t>
            </w:r>
          </w:p>
        </w:tc>
        <w:tc>
          <w:tcPr>
            <w:tcW w:w="1320" w:type="dxa"/>
            <w:tcBorders>
              <w:top w:val="nil"/>
              <w:left w:val="nil"/>
              <w:bottom w:val="nil"/>
              <w:right w:val="nil"/>
            </w:tcBorders>
            <w:shd w:val="clear" w:color="auto" w:fill="000000"/>
            <w:vAlign w:val="bottom"/>
            <w:hideMark/>
          </w:tcPr>
          <w:p w14:paraId="0C9A3E8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Government agencies</w:t>
            </w:r>
            <w:r w:rsidRPr="005C5CED">
              <w:rPr>
                <w:rFonts w:eastAsia="Times New Roman" w:cs="Arial"/>
                <w:b/>
                <w:bCs/>
                <w:color w:val="FFFFFF"/>
                <w:sz w:val="16"/>
                <w:szCs w:val="16"/>
                <w:lang w:eastAsia="en-AU"/>
              </w:rPr>
              <w:br/>
              <w:t>(AA rating)</w:t>
            </w:r>
          </w:p>
        </w:tc>
        <w:tc>
          <w:tcPr>
            <w:tcW w:w="1705" w:type="dxa"/>
            <w:tcBorders>
              <w:top w:val="nil"/>
              <w:left w:val="nil"/>
              <w:bottom w:val="nil"/>
              <w:right w:val="nil"/>
            </w:tcBorders>
            <w:shd w:val="clear" w:color="auto" w:fill="000000"/>
            <w:vAlign w:val="bottom"/>
            <w:hideMark/>
          </w:tcPr>
          <w:p w14:paraId="145D336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Other</w:t>
            </w:r>
            <w:r w:rsidRPr="005C5CED">
              <w:rPr>
                <w:rFonts w:eastAsia="Times New Roman" w:cs="Arial"/>
                <w:b/>
                <w:bCs/>
                <w:color w:val="FFFFFF"/>
                <w:sz w:val="16"/>
                <w:szCs w:val="16"/>
                <w:lang w:eastAsia="en-AU"/>
              </w:rPr>
              <w:br/>
              <w:t>(min BBB rating)</w:t>
            </w:r>
          </w:p>
        </w:tc>
        <w:tc>
          <w:tcPr>
            <w:tcW w:w="1416" w:type="dxa"/>
            <w:tcBorders>
              <w:top w:val="nil"/>
              <w:left w:val="nil"/>
              <w:bottom w:val="nil"/>
              <w:right w:val="nil"/>
            </w:tcBorders>
            <w:shd w:val="clear" w:color="auto" w:fill="000000"/>
            <w:vAlign w:val="bottom"/>
            <w:hideMark/>
          </w:tcPr>
          <w:p w14:paraId="5689F45F"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Total</w:t>
            </w:r>
          </w:p>
        </w:tc>
      </w:tr>
      <w:tr w:rsidR="005C5CED" w:rsidRPr="005C5CED" w14:paraId="010635C3" w14:textId="77777777" w:rsidTr="005C5CED">
        <w:trPr>
          <w:trHeight w:val="225"/>
        </w:trPr>
        <w:tc>
          <w:tcPr>
            <w:tcW w:w="3416" w:type="dxa"/>
            <w:tcBorders>
              <w:top w:val="nil"/>
              <w:left w:val="nil"/>
              <w:bottom w:val="nil"/>
              <w:right w:val="nil"/>
            </w:tcBorders>
            <w:shd w:val="clear" w:color="auto" w:fill="000000"/>
            <w:noWrap/>
            <w:vAlign w:val="bottom"/>
            <w:hideMark/>
          </w:tcPr>
          <w:p w14:paraId="529B29F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184" w:type="dxa"/>
            <w:tcBorders>
              <w:top w:val="nil"/>
              <w:left w:val="nil"/>
              <w:bottom w:val="nil"/>
              <w:right w:val="nil"/>
            </w:tcBorders>
            <w:shd w:val="clear" w:color="auto" w:fill="000000"/>
            <w:noWrap/>
            <w:vAlign w:val="bottom"/>
            <w:hideMark/>
          </w:tcPr>
          <w:p w14:paraId="25A6DEA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320" w:type="dxa"/>
            <w:tcBorders>
              <w:top w:val="nil"/>
              <w:left w:val="nil"/>
              <w:bottom w:val="nil"/>
              <w:right w:val="nil"/>
            </w:tcBorders>
            <w:shd w:val="clear" w:color="auto" w:fill="000000"/>
            <w:noWrap/>
            <w:vAlign w:val="bottom"/>
            <w:hideMark/>
          </w:tcPr>
          <w:p w14:paraId="0DB7627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705" w:type="dxa"/>
            <w:tcBorders>
              <w:top w:val="nil"/>
              <w:left w:val="nil"/>
              <w:bottom w:val="nil"/>
              <w:right w:val="nil"/>
            </w:tcBorders>
            <w:shd w:val="clear" w:color="auto" w:fill="000000"/>
            <w:noWrap/>
            <w:vAlign w:val="bottom"/>
            <w:hideMark/>
          </w:tcPr>
          <w:p w14:paraId="4F483303"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416" w:type="dxa"/>
            <w:tcBorders>
              <w:top w:val="nil"/>
              <w:left w:val="nil"/>
              <w:bottom w:val="nil"/>
              <w:right w:val="nil"/>
            </w:tcBorders>
            <w:shd w:val="clear" w:color="auto" w:fill="000000"/>
            <w:noWrap/>
            <w:vAlign w:val="bottom"/>
            <w:hideMark/>
          </w:tcPr>
          <w:p w14:paraId="1FD9C92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03FFAC08" w14:textId="77777777" w:rsidTr="0062462F">
        <w:trPr>
          <w:trHeight w:val="342"/>
        </w:trPr>
        <w:tc>
          <w:tcPr>
            <w:tcW w:w="3416" w:type="dxa"/>
            <w:tcBorders>
              <w:top w:val="nil"/>
              <w:left w:val="nil"/>
              <w:bottom w:val="nil"/>
              <w:right w:val="nil"/>
            </w:tcBorders>
            <w:shd w:val="clear" w:color="auto" w:fill="auto"/>
            <w:noWrap/>
            <w:vAlign w:val="center"/>
            <w:hideMark/>
          </w:tcPr>
          <w:p w14:paraId="6649187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184" w:type="dxa"/>
            <w:tcBorders>
              <w:top w:val="nil"/>
              <w:left w:val="nil"/>
              <w:bottom w:val="nil"/>
              <w:right w:val="nil"/>
            </w:tcBorders>
            <w:shd w:val="clear" w:color="auto" w:fill="auto"/>
            <w:noWrap/>
            <w:vAlign w:val="center"/>
            <w:hideMark/>
          </w:tcPr>
          <w:p w14:paraId="1D3D320E"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320" w:type="dxa"/>
            <w:tcBorders>
              <w:top w:val="nil"/>
              <w:left w:val="nil"/>
              <w:bottom w:val="nil"/>
              <w:right w:val="nil"/>
            </w:tcBorders>
            <w:shd w:val="clear" w:color="auto" w:fill="auto"/>
            <w:noWrap/>
            <w:vAlign w:val="center"/>
            <w:hideMark/>
          </w:tcPr>
          <w:p w14:paraId="4FB5FC55" w14:textId="77777777" w:rsidR="005C5CED" w:rsidRPr="005C5CED" w:rsidRDefault="005C5CED" w:rsidP="005C5CED">
            <w:pPr>
              <w:spacing w:after="0" w:line="240" w:lineRule="auto"/>
              <w:jc w:val="right"/>
              <w:rPr>
                <w:rFonts w:eastAsia="Times New Roman" w:cs="Arial"/>
                <w:color w:val="auto"/>
                <w:szCs w:val="20"/>
                <w:lang w:eastAsia="en-AU"/>
              </w:rPr>
            </w:pPr>
          </w:p>
        </w:tc>
        <w:tc>
          <w:tcPr>
            <w:tcW w:w="1705" w:type="dxa"/>
            <w:tcBorders>
              <w:top w:val="nil"/>
              <w:left w:val="nil"/>
              <w:bottom w:val="nil"/>
              <w:right w:val="nil"/>
            </w:tcBorders>
            <w:shd w:val="clear" w:color="auto" w:fill="auto"/>
            <w:noWrap/>
            <w:vAlign w:val="center"/>
            <w:hideMark/>
          </w:tcPr>
          <w:p w14:paraId="139E1A07" w14:textId="77777777" w:rsidR="005C5CED" w:rsidRPr="005C5CED" w:rsidRDefault="005C5CED" w:rsidP="005C5CED">
            <w:pPr>
              <w:spacing w:after="0" w:line="240" w:lineRule="auto"/>
              <w:jc w:val="right"/>
              <w:rPr>
                <w:rFonts w:eastAsia="Times New Roman" w:cs="Arial"/>
                <w:color w:val="auto"/>
                <w:szCs w:val="20"/>
                <w:lang w:eastAsia="en-AU"/>
              </w:rPr>
            </w:pPr>
          </w:p>
        </w:tc>
        <w:tc>
          <w:tcPr>
            <w:tcW w:w="1416" w:type="dxa"/>
            <w:tcBorders>
              <w:top w:val="nil"/>
              <w:left w:val="nil"/>
              <w:bottom w:val="nil"/>
              <w:right w:val="nil"/>
            </w:tcBorders>
            <w:shd w:val="clear" w:color="auto" w:fill="auto"/>
            <w:noWrap/>
            <w:vAlign w:val="center"/>
            <w:hideMark/>
          </w:tcPr>
          <w:p w14:paraId="33594D85"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401AB61B" w14:textId="77777777" w:rsidTr="0062462F">
        <w:trPr>
          <w:trHeight w:val="342"/>
        </w:trPr>
        <w:tc>
          <w:tcPr>
            <w:tcW w:w="3416" w:type="dxa"/>
            <w:tcBorders>
              <w:top w:val="nil"/>
              <w:left w:val="nil"/>
              <w:bottom w:val="nil"/>
              <w:right w:val="nil"/>
            </w:tcBorders>
            <w:shd w:val="clear" w:color="auto" w:fill="auto"/>
            <w:noWrap/>
            <w:vAlign w:val="center"/>
            <w:hideMark/>
          </w:tcPr>
          <w:p w14:paraId="027751A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184" w:type="dxa"/>
            <w:tcBorders>
              <w:top w:val="nil"/>
              <w:left w:val="nil"/>
              <w:bottom w:val="nil"/>
              <w:right w:val="nil"/>
            </w:tcBorders>
            <w:shd w:val="clear" w:color="auto" w:fill="auto"/>
            <w:noWrap/>
            <w:vAlign w:val="center"/>
          </w:tcPr>
          <w:p w14:paraId="3685181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c>
          <w:tcPr>
            <w:tcW w:w="1320" w:type="dxa"/>
            <w:tcBorders>
              <w:top w:val="nil"/>
              <w:left w:val="nil"/>
              <w:bottom w:val="nil"/>
              <w:right w:val="nil"/>
            </w:tcBorders>
            <w:shd w:val="clear" w:color="auto" w:fill="auto"/>
            <w:noWrap/>
            <w:vAlign w:val="center"/>
          </w:tcPr>
          <w:p w14:paraId="2AFAE83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705" w:type="dxa"/>
            <w:tcBorders>
              <w:top w:val="nil"/>
              <w:left w:val="nil"/>
              <w:bottom w:val="nil"/>
              <w:right w:val="nil"/>
            </w:tcBorders>
            <w:shd w:val="clear" w:color="auto" w:fill="auto"/>
            <w:noWrap/>
            <w:vAlign w:val="center"/>
          </w:tcPr>
          <w:p w14:paraId="76AAF14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16" w:type="dxa"/>
            <w:tcBorders>
              <w:top w:val="nil"/>
              <w:left w:val="nil"/>
              <w:bottom w:val="nil"/>
              <w:right w:val="nil"/>
            </w:tcBorders>
            <w:shd w:val="clear" w:color="auto" w:fill="auto"/>
            <w:noWrap/>
            <w:vAlign w:val="center"/>
          </w:tcPr>
          <w:p w14:paraId="16F7EBB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r>
      <w:tr w:rsidR="005C5CED" w:rsidRPr="005C5CED" w14:paraId="0281F001" w14:textId="77777777" w:rsidTr="0062462F">
        <w:trPr>
          <w:trHeight w:val="342"/>
        </w:trPr>
        <w:tc>
          <w:tcPr>
            <w:tcW w:w="3416" w:type="dxa"/>
            <w:tcBorders>
              <w:top w:val="nil"/>
              <w:left w:val="nil"/>
              <w:bottom w:val="nil"/>
              <w:right w:val="nil"/>
            </w:tcBorders>
            <w:shd w:val="clear" w:color="auto" w:fill="auto"/>
            <w:noWrap/>
            <w:vAlign w:val="center"/>
            <w:hideMark/>
          </w:tcPr>
          <w:p w14:paraId="5BC8EF7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Receivables  </w:t>
            </w:r>
            <w:proofErr w:type="gramStart"/>
            <w:r w:rsidRPr="005C5CED">
              <w:rPr>
                <w:rFonts w:eastAsia="Times New Roman" w:cs="Arial"/>
                <w:color w:val="auto"/>
                <w:sz w:val="16"/>
                <w:szCs w:val="16"/>
                <w:lang w:eastAsia="en-AU"/>
              </w:rPr>
              <w:t xml:space="preserve">   (</w:t>
            </w:r>
            <w:proofErr w:type="gramEnd"/>
            <w:r w:rsidRPr="005C5CED">
              <w:rPr>
                <w:rFonts w:eastAsia="Times New Roman" w:cs="Arial"/>
                <w:color w:val="auto"/>
                <w:sz w:val="16"/>
                <w:szCs w:val="16"/>
                <w:lang w:eastAsia="en-AU"/>
              </w:rPr>
              <w:t>a)</w:t>
            </w:r>
          </w:p>
        </w:tc>
        <w:tc>
          <w:tcPr>
            <w:tcW w:w="1184" w:type="dxa"/>
            <w:tcBorders>
              <w:top w:val="nil"/>
              <w:left w:val="nil"/>
              <w:bottom w:val="nil"/>
              <w:right w:val="nil"/>
            </w:tcBorders>
            <w:shd w:val="clear" w:color="auto" w:fill="auto"/>
            <w:noWrap/>
            <w:vAlign w:val="center"/>
          </w:tcPr>
          <w:p w14:paraId="46988BC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320" w:type="dxa"/>
            <w:tcBorders>
              <w:top w:val="nil"/>
              <w:left w:val="nil"/>
              <w:bottom w:val="nil"/>
              <w:right w:val="nil"/>
            </w:tcBorders>
            <w:shd w:val="clear" w:color="auto" w:fill="auto"/>
            <w:noWrap/>
            <w:vAlign w:val="center"/>
          </w:tcPr>
          <w:p w14:paraId="6536B39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10,497</w:t>
            </w:r>
          </w:p>
        </w:tc>
        <w:tc>
          <w:tcPr>
            <w:tcW w:w="1705" w:type="dxa"/>
            <w:tcBorders>
              <w:top w:val="nil"/>
              <w:left w:val="nil"/>
              <w:bottom w:val="nil"/>
              <w:right w:val="nil"/>
            </w:tcBorders>
            <w:shd w:val="clear" w:color="auto" w:fill="auto"/>
            <w:noWrap/>
            <w:vAlign w:val="center"/>
          </w:tcPr>
          <w:p w14:paraId="7E95B74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160</w:t>
            </w:r>
          </w:p>
        </w:tc>
        <w:tc>
          <w:tcPr>
            <w:tcW w:w="1416" w:type="dxa"/>
            <w:tcBorders>
              <w:top w:val="nil"/>
              <w:left w:val="nil"/>
              <w:bottom w:val="nil"/>
              <w:right w:val="nil"/>
            </w:tcBorders>
            <w:shd w:val="clear" w:color="auto" w:fill="auto"/>
            <w:noWrap/>
            <w:vAlign w:val="center"/>
          </w:tcPr>
          <w:p w14:paraId="50A5C4F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10,657</w:t>
            </w:r>
          </w:p>
        </w:tc>
      </w:tr>
      <w:tr w:rsidR="005C5CED" w:rsidRPr="005C5CED" w14:paraId="21DB488F" w14:textId="77777777" w:rsidTr="0062462F">
        <w:trPr>
          <w:trHeight w:val="300"/>
        </w:trPr>
        <w:tc>
          <w:tcPr>
            <w:tcW w:w="3416" w:type="dxa"/>
            <w:tcBorders>
              <w:top w:val="nil"/>
              <w:left w:val="nil"/>
              <w:bottom w:val="nil"/>
              <w:right w:val="nil"/>
            </w:tcBorders>
            <w:shd w:val="clear" w:color="auto" w:fill="auto"/>
            <w:noWrap/>
            <w:vAlign w:val="center"/>
            <w:hideMark/>
          </w:tcPr>
          <w:p w14:paraId="4DE119A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1184" w:type="dxa"/>
            <w:tcBorders>
              <w:top w:val="nil"/>
              <w:left w:val="nil"/>
              <w:bottom w:val="nil"/>
              <w:right w:val="nil"/>
            </w:tcBorders>
            <w:shd w:val="clear" w:color="auto" w:fill="auto"/>
            <w:noWrap/>
            <w:vAlign w:val="center"/>
          </w:tcPr>
          <w:p w14:paraId="4FA1D37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c>
          <w:tcPr>
            <w:tcW w:w="1320" w:type="dxa"/>
            <w:tcBorders>
              <w:top w:val="nil"/>
              <w:left w:val="nil"/>
              <w:bottom w:val="nil"/>
              <w:right w:val="nil"/>
            </w:tcBorders>
            <w:shd w:val="clear" w:color="auto" w:fill="auto"/>
            <w:noWrap/>
            <w:vAlign w:val="center"/>
          </w:tcPr>
          <w:p w14:paraId="0E3B5F9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705" w:type="dxa"/>
            <w:tcBorders>
              <w:top w:val="nil"/>
              <w:left w:val="nil"/>
              <w:bottom w:val="nil"/>
              <w:right w:val="nil"/>
            </w:tcBorders>
            <w:shd w:val="clear" w:color="auto" w:fill="auto"/>
            <w:noWrap/>
            <w:vAlign w:val="center"/>
          </w:tcPr>
          <w:p w14:paraId="16CFF7E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16" w:type="dxa"/>
            <w:tcBorders>
              <w:top w:val="nil"/>
              <w:left w:val="nil"/>
              <w:bottom w:val="nil"/>
              <w:right w:val="nil"/>
            </w:tcBorders>
            <w:shd w:val="clear" w:color="auto" w:fill="auto"/>
            <w:noWrap/>
            <w:vAlign w:val="center"/>
          </w:tcPr>
          <w:p w14:paraId="4365578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r>
      <w:tr w:rsidR="005C5CED" w:rsidRPr="005C5CED" w14:paraId="77702077" w14:textId="77777777" w:rsidTr="0062462F">
        <w:trPr>
          <w:trHeight w:val="342"/>
        </w:trPr>
        <w:tc>
          <w:tcPr>
            <w:tcW w:w="3416" w:type="dxa"/>
            <w:tcBorders>
              <w:top w:val="single" w:sz="4" w:space="0" w:color="auto"/>
              <w:left w:val="nil"/>
              <w:bottom w:val="single" w:sz="8" w:space="0" w:color="auto"/>
              <w:right w:val="nil"/>
            </w:tcBorders>
            <w:shd w:val="clear" w:color="auto" w:fill="auto"/>
            <w:noWrap/>
            <w:vAlign w:val="center"/>
            <w:hideMark/>
          </w:tcPr>
          <w:p w14:paraId="747B551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 financial assets</w:t>
            </w:r>
          </w:p>
        </w:tc>
        <w:tc>
          <w:tcPr>
            <w:tcW w:w="1184" w:type="dxa"/>
            <w:tcBorders>
              <w:top w:val="single" w:sz="4" w:space="0" w:color="auto"/>
              <w:left w:val="nil"/>
              <w:bottom w:val="single" w:sz="8" w:space="0" w:color="auto"/>
              <w:right w:val="nil"/>
            </w:tcBorders>
            <w:shd w:val="clear" w:color="auto" w:fill="auto"/>
            <w:noWrap/>
            <w:vAlign w:val="center"/>
          </w:tcPr>
          <w:p w14:paraId="3A7D181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79,541</w:t>
            </w:r>
          </w:p>
        </w:tc>
        <w:tc>
          <w:tcPr>
            <w:tcW w:w="1320" w:type="dxa"/>
            <w:tcBorders>
              <w:top w:val="single" w:sz="4" w:space="0" w:color="auto"/>
              <w:left w:val="nil"/>
              <w:bottom w:val="single" w:sz="8" w:space="0" w:color="auto"/>
              <w:right w:val="nil"/>
            </w:tcBorders>
            <w:shd w:val="clear" w:color="auto" w:fill="auto"/>
            <w:noWrap/>
            <w:vAlign w:val="center"/>
          </w:tcPr>
          <w:p w14:paraId="6C12338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10,497</w:t>
            </w:r>
          </w:p>
        </w:tc>
        <w:tc>
          <w:tcPr>
            <w:tcW w:w="1705" w:type="dxa"/>
            <w:tcBorders>
              <w:top w:val="single" w:sz="4" w:space="0" w:color="auto"/>
              <w:left w:val="nil"/>
              <w:bottom w:val="single" w:sz="8" w:space="0" w:color="auto"/>
              <w:right w:val="nil"/>
            </w:tcBorders>
            <w:shd w:val="clear" w:color="auto" w:fill="auto"/>
            <w:noWrap/>
            <w:vAlign w:val="center"/>
          </w:tcPr>
          <w:p w14:paraId="1150721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160</w:t>
            </w:r>
          </w:p>
        </w:tc>
        <w:tc>
          <w:tcPr>
            <w:tcW w:w="1416" w:type="dxa"/>
            <w:tcBorders>
              <w:top w:val="single" w:sz="4" w:space="0" w:color="auto"/>
              <w:left w:val="nil"/>
              <w:bottom w:val="single" w:sz="8" w:space="0" w:color="auto"/>
              <w:right w:val="nil"/>
            </w:tcBorders>
            <w:shd w:val="clear" w:color="auto" w:fill="auto"/>
            <w:noWrap/>
            <w:vAlign w:val="center"/>
          </w:tcPr>
          <w:p w14:paraId="56362D2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90,198</w:t>
            </w:r>
          </w:p>
        </w:tc>
      </w:tr>
      <w:tr w:rsidR="005C5CED" w:rsidRPr="005C5CED" w14:paraId="3E6F0EC4" w14:textId="77777777" w:rsidTr="0062462F">
        <w:trPr>
          <w:trHeight w:val="225"/>
        </w:trPr>
        <w:tc>
          <w:tcPr>
            <w:tcW w:w="3416" w:type="dxa"/>
            <w:tcBorders>
              <w:top w:val="nil"/>
              <w:left w:val="nil"/>
              <w:bottom w:val="nil"/>
              <w:right w:val="nil"/>
            </w:tcBorders>
            <w:shd w:val="clear" w:color="auto" w:fill="auto"/>
            <w:noWrap/>
            <w:vAlign w:val="bottom"/>
            <w:hideMark/>
          </w:tcPr>
          <w:p w14:paraId="239A5E82"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184" w:type="dxa"/>
            <w:tcBorders>
              <w:top w:val="nil"/>
              <w:left w:val="nil"/>
              <w:bottom w:val="nil"/>
              <w:right w:val="nil"/>
            </w:tcBorders>
            <w:shd w:val="clear" w:color="auto" w:fill="auto"/>
            <w:noWrap/>
            <w:vAlign w:val="bottom"/>
            <w:hideMark/>
          </w:tcPr>
          <w:p w14:paraId="74285CA4" w14:textId="77777777" w:rsidR="005C5CED" w:rsidRPr="005C5CED" w:rsidRDefault="005C5CED" w:rsidP="005C5CED">
            <w:pPr>
              <w:spacing w:after="0" w:line="240" w:lineRule="auto"/>
              <w:jc w:val="right"/>
              <w:rPr>
                <w:rFonts w:eastAsia="Times New Roman" w:cs="Arial"/>
                <w:color w:val="auto"/>
                <w:szCs w:val="20"/>
                <w:lang w:eastAsia="en-AU"/>
              </w:rPr>
            </w:pPr>
          </w:p>
        </w:tc>
        <w:tc>
          <w:tcPr>
            <w:tcW w:w="1320" w:type="dxa"/>
            <w:tcBorders>
              <w:top w:val="nil"/>
              <w:left w:val="nil"/>
              <w:bottom w:val="nil"/>
              <w:right w:val="nil"/>
            </w:tcBorders>
            <w:shd w:val="clear" w:color="auto" w:fill="auto"/>
            <w:noWrap/>
            <w:vAlign w:val="bottom"/>
            <w:hideMark/>
          </w:tcPr>
          <w:p w14:paraId="4B77015B" w14:textId="77777777" w:rsidR="005C5CED" w:rsidRPr="005C5CED" w:rsidRDefault="005C5CED" w:rsidP="005C5CED">
            <w:pPr>
              <w:spacing w:after="0" w:line="240" w:lineRule="auto"/>
              <w:jc w:val="right"/>
              <w:rPr>
                <w:rFonts w:eastAsia="Times New Roman" w:cs="Arial"/>
                <w:color w:val="auto"/>
                <w:szCs w:val="20"/>
                <w:lang w:eastAsia="en-AU"/>
              </w:rPr>
            </w:pPr>
          </w:p>
        </w:tc>
        <w:tc>
          <w:tcPr>
            <w:tcW w:w="1705" w:type="dxa"/>
            <w:tcBorders>
              <w:top w:val="nil"/>
              <w:left w:val="nil"/>
              <w:bottom w:val="nil"/>
              <w:right w:val="nil"/>
            </w:tcBorders>
            <w:shd w:val="clear" w:color="auto" w:fill="auto"/>
            <w:noWrap/>
            <w:vAlign w:val="bottom"/>
            <w:hideMark/>
          </w:tcPr>
          <w:p w14:paraId="2F7BCA9D" w14:textId="77777777" w:rsidR="005C5CED" w:rsidRPr="005C5CED" w:rsidRDefault="005C5CED" w:rsidP="005C5CED">
            <w:pPr>
              <w:spacing w:after="0" w:line="240" w:lineRule="auto"/>
              <w:jc w:val="right"/>
              <w:rPr>
                <w:rFonts w:eastAsia="Times New Roman" w:cs="Arial"/>
                <w:color w:val="auto"/>
                <w:szCs w:val="20"/>
                <w:lang w:eastAsia="en-AU"/>
              </w:rPr>
            </w:pPr>
          </w:p>
        </w:tc>
        <w:tc>
          <w:tcPr>
            <w:tcW w:w="1416" w:type="dxa"/>
            <w:tcBorders>
              <w:top w:val="nil"/>
              <w:left w:val="nil"/>
              <w:bottom w:val="nil"/>
              <w:right w:val="nil"/>
            </w:tcBorders>
            <w:shd w:val="clear" w:color="auto" w:fill="auto"/>
            <w:noWrap/>
            <w:vAlign w:val="bottom"/>
            <w:hideMark/>
          </w:tcPr>
          <w:p w14:paraId="3B18B89C"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7BB7BF50" w14:textId="77777777" w:rsidTr="0062462F">
        <w:trPr>
          <w:trHeight w:val="342"/>
        </w:trPr>
        <w:tc>
          <w:tcPr>
            <w:tcW w:w="3416" w:type="dxa"/>
            <w:tcBorders>
              <w:top w:val="nil"/>
              <w:left w:val="nil"/>
              <w:bottom w:val="nil"/>
              <w:right w:val="nil"/>
            </w:tcBorders>
            <w:shd w:val="clear" w:color="auto" w:fill="auto"/>
            <w:noWrap/>
            <w:vAlign w:val="center"/>
            <w:hideMark/>
          </w:tcPr>
          <w:p w14:paraId="459643B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184" w:type="dxa"/>
            <w:tcBorders>
              <w:top w:val="nil"/>
              <w:left w:val="nil"/>
              <w:bottom w:val="nil"/>
              <w:right w:val="nil"/>
            </w:tcBorders>
            <w:shd w:val="clear" w:color="auto" w:fill="auto"/>
            <w:noWrap/>
            <w:vAlign w:val="center"/>
            <w:hideMark/>
          </w:tcPr>
          <w:p w14:paraId="30B11E33"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320" w:type="dxa"/>
            <w:tcBorders>
              <w:top w:val="nil"/>
              <w:left w:val="nil"/>
              <w:bottom w:val="nil"/>
              <w:right w:val="nil"/>
            </w:tcBorders>
            <w:shd w:val="clear" w:color="auto" w:fill="auto"/>
            <w:noWrap/>
            <w:vAlign w:val="center"/>
            <w:hideMark/>
          </w:tcPr>
          <w:p w14:paraId="15E04606" w14:textId="77777777" w:rsidR="005C5CED" w:rsidRPr="005C5CED" w:rsidRDefault="005C5CED" w:rsidP="005C5CED">
            <w:pPr>
              <w:spacing w:after="0" w:line="240" w:lineRule="auto"/>
              <w:jc w:val="right"/>
              <w:rPr>
                <w:rFonts w:eastAsia="Times New Roman" w:cs="Arial"/>
                <w:color w:val="auto"/>
                <w:szCs w:val="20"/>
                <w:lang w:eastAsia="en-AU"/>
              </w:rPr>
            </w:pPr>
          </w:p>
        </w:tc>
        <w:tc>
          <w:tcPr>
            <w:tcW w:w="1705" w:type="dxa"/>
            <w:tcBorders>
              <w:top w:val="nil"/>
              <w:left w:val="nil"/>
              <w:bottom w:val="nil"/>
              <w:right w:val="nil"/>
            </w:tcBorders>
            <w:shd w:val="clear" w:color="auto" w:fill="auto"/>
            <w:noWrap/>
            <w:vAlign w:val="center"/>
            <w:hideMark/>
          </w:tcPr>
          <w:p w14:paraId="57EB1032" w14:textId="77777777" w:rsidR="005C5CED" w:rsidRPr="005C5CED" w:rsidRDefault="005C5CED" w:rsidP="005C5CED">
            <w:pPr>
              <w:spacing w:after="0" w:line="240" w:lineRule="auto"/>
              <w:jc w:val="right"/>
              <w:rPr>
                <w:rFonts w:eastAsia="Times New Roman" w:cs="Arial"/>
                <w:color w:val="auto"/>
                <w:szCs w:val="20"/>
                <w:lang w:eastAsia="en-AU"/>
              </w:rPr>
            </w:pPr>
          </w:p>
        </w:tc>
        <w:tc>
          <w:tcPr>
            <w:tcW w:w="1416" w:type="dxa"/>
            <w:tcBorders>
              <w:top w:val="nil"/>
              <w:left w:val="nil"/>
              <w:bottom w:val="nil"/>
              <w:right w:val="nil"/>
            </w:tcBorders>
            <w:shd w:val="clear" w:color="auto" w:fill="auto"/>
            <w:noWrap/>
            <w:vAlign w:val="center"/>
            <w:hideMark/>
          </w:tcPr>
          <w:p w14:paraId="6FD93AF5"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0DAA9818" w14:textId="77777777" w:rsidTr="005C5CED">
        <w:trPr>
          <w:trHeight w:val="342"/>
        </w:trPr>
        <w:tc>
          <w:tcPr>
            <w:tcW w:w="3416" w:type="dxa"/>
            <w:tcBorders>
              <w:top w:val="nil"/>
              <w:left w:val="nil"/>
              <w:bottom w:val="nil"/>
              <w:right w:val="nil"/>
            </w:tcBorders>
            <w:shd w:val="clear" w:color="auto" w:fill="auto"/>
            <w:noWrap/>
            <w:vAlign w:val="center"/>
            <w:hideMark/>
          </w:tcPr>
          <w:p w14:paraId="5333591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184" w:type="dxa"/>
            <w:tcBorders>
              <w:top w:val="nil"/>
              <w:left w:val="nil"/>
              <w:bottom w:val="nil"/>
              <w:right w:val="nil"/>
            </w:tcBorders>
            <w:shd w:val="clear" w:color="auto" w:fill="E7E6E6"/>
            <w:noWrap/>
            <w:vAlign w:val="center"/>
            <w:hideMark/>
          </w:tcPr>
          <w:p w14:paraId="73ECEED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c>
          <w:tcPr>
            <w:tcW w:w="1320" w:type="dxa"/>
            <w:tcBorders>
              <w:top w:val="nil"/>
              <w:left w:val="nil"/>
              <w:bottom w:val="nil"/>
              <w:right w:val="nil"/>
            </w:tcBorders>
            <w:shd w:val="clear" w:color="auto" w:fill="E7E6E6"/>
            <w:noWrap/>
            <w:vAlign w:val="center"/>
            <w:hideMark/>
          </w:tcPr>
          <w:p w14:paraId="639480A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705" w:type="dxa"/>
            <w:tcBorders>
              <w:top w:val="nil"/>
              <w:left w:val="nil"/>
              <w:bottom w:val="nil"/>
              <w:right w:val="nil"/>
            </w:tcBorders>
            <w:shd w:val="clear" w:color="auto" w:fill="E7E6E6"/>
            <w:noWrap/>
            <w:vAlign w:val="center"/>
            <w:hideMark/>
          </w:tcPr>
          <w:p w14:paraId="5317938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16" w:type="dxa"/>
            <w:tcBorders>
              <w:top w:val="nil"/>
              <w:left w:val="nil"/>
              <w:bottom w:val="nil"/>
              <w:right w:val="nil"/>
            </w:tcBorders>
            <w:shd w:val="clear" w:color="auto" w:fill="E7E6E6"/>
            <w:noWrap/>
            <w:vAlign w:val="center"/>
            <w:hideMark/>
          </w:tcPr>
          <w:p w14:paraId="4A828EB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r>
      <w:tr w:rsidR="005C5CED" w:rsidRPr="005C5CED" w14:paraId="08B4031C" w14:textId="77777777" w:rsidTr="005C5CED">
        <w:trPr>
          <w:trHeight w:val="342"/>
        </w:trPr>
        <w:tc>
          <w:tcPr>
            <w:tcW w:w="3416" w:type="dxa"/>
            <w:tcBorders>
              <w:top w:val="nil"/>
              <w:left w:val="nil"/>
              <w:bottom w:val="nil"/>
              <w:right w:val="nil"/>
            </w:tcBorders>
            <w:shd w:val="clear" w:color="auto" w:fill="auto"/>
            <w:noWrap/>
            <w:vAlign w:val="center"/>
            <w:hideMark/>
          </w:tcPr>
          <w:p w14:paraId="6499835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 xml:space="preserve">Receivables  </w:t>
            </w:r>
            <w:proofErr w:type="gramStart"/>
            <w:r w:rsidRPr="005C5CED">
              <w:rPr>
                <w:rFonts w:eastAsia="Times New Roman" w:cs="Arial"/>
                <w:color w:val="auto"/>
                <w:sz w:val="16"/>
                <w:szCs w:val="16"/>
                <w:lang w:eastAsia="en-AU"/>
              </w:rPr>
              <w:t xml:space="preserve">   (</w:t>
            </w:r>
            <w:proofErr w:type="gramEnd"/>
            <w:r w:rsidRPr="005C5CED">
              <w:rPr>
                <w:rFonts w:eastAsia="Times New Roman" w:cs="Arial"/>
                <w:color w:val="auto"/>
                <w:sz w:val="16"/>
                <w:szCs w:val="16"/>
                <w:lang w:eastAsia="en-AU"/>
              </w:rPr>
              <w:t>a)</w:t>
            </w:r>
          </w:p>
        </w:tc>
        <w:tc>
          <w:tcPr>
            <w:tcW w:w="1184" w:type="dxa"/>
            <w:tcBorders>
              <w:top w:val="nil"/>
              <w:left w:val="nil"/>
              <w:bottom w:val="nil"/>
              <w:right w:val="nil"/>
            </w:tcBorders>
            <w:shd w:val="clear" w:color="auto" w:fill="E7E6E6"/>
            <w:noWrap/>
            <w:vAlign w:val="center"/>
            <w:hideMark/>
          </w:tcPr>
          <w:p w14:paraId="7051A54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320" w:type="dxa"/>
            <w:tcBorders>
              <w:top w:val="nil"/>
              <w:left w:val="nil"/>
              <w:bottom w:val="nil"/>
              <w:right w:val="nil"/>
            </w:tcBorders>
            <w:shd w:val="clear" w:color="auto" w:fill="E7E6E6"/>
            <w:noWrap/>
            <w:vAlign w:val="center"/>
            <w:hideMark/>
          </w:tcPr>
          <w:p w14:paraId="073DB55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12,416</w:t>
            </w:r>
          </w:p>
        </w:tc>
        <w:tc>
          <w:tcPr>
            <w:tcW w:w="1705" w:type="dxa"/>
            <w:tcBorders>
              <w:top w:val="nil"/>
              <w:left w:val="nil"/>
              <w:bottom w:val="nil"/>
              <w:right w:val="nil"/>
            </w:tcBorders>
            <w:shd w:val="clear" w:color="auto" w:fill="E7E6E6"/>
            <w:noWrap/>
            <w:vAlign w:val="center"/>
            <w:hideMark/>
          </w:tcPr>
          <w:p w14:paraId="65626E7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174</w:t>
            </w:r>
          </w:p>
        </w:tc>
        <w:tc>
          <w:tcPr>
            <w:tcW w:w="1416" w:type="dxa"/>
            <w:tcBorders>
              <w:top w:val="nil"/>
              <w:left w:val="nil"/>
              <w:bottom w:val="nil"/>
              <w:right w:val="nil"/>
            </w:tcBorders>
            <w:shd w:val="clear" w:color="auto" w:fill="E7E6E6"/>
            <w:noWrap/>
            <w:vAlign w:val="center"/>
            <w:hideMark/>
          </w:tcPr>
          <w:p w14:paraId="0C35D83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12,590</w:t>
            </w:r>
          </w:p>
        </w:tc>
      </w:tr>
      <w:tr w:rsidR="005C5CED" w:rsidRPr="005C5CED" w14:paraId="637C61E2" w14:textId="77777777" w:rsidTr="005C5CED">
        <w:trPr>
          <w:trHeight w:val="342"/>
        </w:trPr>
        <w:tc>
          <w:tcPr>
            <w:tcW w:w="3416" w:type="dxa"/>
            <w:tcBorders>
              <w:top w:val="nil"/>
              <w:left w:val="nil"/>
              <w:bottom w:val="nil"/>
              <w:right w:val="nil"/>
            </w:tcBorders>
            <w:shd w:val="clear" w:color="auto" w:fill="auto"/>
            <w:noWrap/>
            <w:vAlign w:val="center"/>
            <w:hideMark/>
          </w:tcPr>
          <w:p w14:paraId="7CE7EFD5"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1184" w:type="dxa"/>
            <w:tcBorders>
              <w:top w:val="nil"/>
              <w:left w:val="nil"/>
              <w:bottom w:val="nil"/>
              <w:right w:val="nil"/>
            </w:tcBorders>
            <w:shd w:val="clear" w:color="auto" w:fill="E7E6E6"/>
            <w:noWrap/>
            <w:vAlign w:val="center"/>
            <w:hideMark/>
          </w:tcPr>
          <w:p w14:paraId="68E8B41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c>
          <w:tcPr>
            <w:tcW w:w="1320" w:type="dxa"/>
            <w:tcBorders>
              <w:top w:val="nil"/>
              <w:left w:val="nil"/>
              <w:bottom w:val="nil"/>
              <w:right w:val="nil"/>
            </w:tcBorders>
            <w:shd w:val="clear" w:color="auto" w:fill="E7E6E6"/>
            <w:noWrap/>
            <w:vAlign w:val="center"/>
            <w:hideMark/>
          </w:tcPr>
          <w:p w14:paraId="4251BDF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705" w:type="dxa"/>
            <w:tcBorders>
              <w:top w:val="nil"/>
              <w:left w:val="nil"/>
              <w:bottom w:val="nil"/>
              <w:right w:val="nil"/>
            </w:tcBorders>
            <w:shd w:val="clear" w:color="auto" w:fill="E7E6E6"/>
            <w:noWrap/>
            <w:vAlign w:val="center"/>
            <w:hideMark/>
          </w:tcPr>
          <w:p w14:paraId="54F2280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16" w:type="dxa"/>
            <w:tcBorders>
              <w:top w:val="nil"/>
              <w:left w:val="nil"/>
              <w:bottom w:val="nil"/>
              <w:right w:val="nil"/>
            </w:tcBorders>
            <w:shd w:val="clear" w:color="auto" w:fill="E7E6E6"/>
            <w:noWrap/>
            <w:vAlign w:val="center"/>
            <w:hideMark/>
          </w:tcPr>
          <w:p w14:paraId="68F6EA0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r>
      <w:tr w:rsidR="005C5CED" w:rsidRPr="005C5CED" w14:paraId="30400491" w14:textId="77777777" w:rsidTr="005C5CED">
        <w:trPr>
          <w:trHeight w:val="342"/>
        </w:trPr>
        <w:tc>
          <w:tcPr>
            <w:tcW w:w="3416" w:type="dxa"/>
            <w:tcBorders>
              <w:top w:val="single" w:sz="4" w:space="0" w:color="auto"/>
              <w:left w:val="nil"/>
              <w:bottom w:val="single" w:sz="8" w:space="0" w:color="auto"/>
              <w:right w:val="nil"/>
            </w:tcBorders>
            <w:shd w:val="clear" w:color="auto" w:fill="auto"/>
            <w:noWrap/>
            <w:vAlign w:val="center"/>
            <w:hideMark/>
          </w:tcPr>
          <w:p w14:paraId="35C4116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contractual financial assets</w:t>
            </w:r>
          </w:p>
        </w:tc>
        <w:tc>
          <w:tcPr>
            <w:tcW w:w="1184" w:type="dxa"/>
            <w:tcBorders>
              <w:top w:val="single" w:sz="4" w:space="0" w:color="auto"/>
              <w:left w:val="nil"/>
              <w:bottom w:val="single" w:sz="8" w:space="0" w:color="auto"/>
              <w:right w:val="nil"/>
            </w:tcBorders>
            <w:shd w:val="clear" w:color="auto" w:fill="E7E6E6"/>
            <w:noWrap/>
            <w:vAlign w:val="center"/>
            <w:hideMark/>
          </w:tcPr>
          <w:p w14:paraId="3DDCE21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71,432</w:t>
            </w:r>
          </w:p>
        </w:tc>
        <w:tc>
          <w:tcPr>
            <w:tcW w:w="1320" w:type="dxa"/>
            <w:tcBorders>
              <w:top w:val="single" w:sz="4" w:space="0" w:color="auto"/>
              <w:left w:val="nil"/>
              <w:bottom w:val="single" w:sz="8" w:space="0" w:color="auto"/>
              <w:right w:val="nil"/>
            </w:tcBorders>
            <w:shd w:val="clear" w:color="auto" w:fill="E7E6E6"/>
            <w:noWrap/>
            <w:vAlign w:val="center"/>
            <w:hideMark/>
          </w:tcPr>
          <w:p w14:paraId="5DD9F98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12,416</w:t>
            </w:r>
          </w:p>
        </w:tc>
        <w:tc>
          <w:tcPr>
            <w:tcW w:w="1705" w:type="dxa"/>
            <w:tcBorders>
              <w:top w:val="single" w:sz="4" w:space="0" w:color="auto"/>
              <w:left w:val="nil"/>
              <w:bottom w:val="single" w:sz="8" w:space="0" w:color="auto"/>
              <w:right w:val="nil"/>
            </w:tcBorders>
            <w:shd w:val="clear" w:color="auto" w:fill="E7E6E6"/>
            <w:noWrap/>
            <w:vAlign w:val="center"/>
            <w:hideMark/>
          </w:tcPr>
          <w:p w14:paraId="0E47595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174</w:t>
            </w:r>
          </w:p>
        </w:tc>
        <w:tc>
          <w:tcPr>
            <w:tcW w:w="1416" w:type="dxa"/>
            <w:tcBorders>
              <w:top w:val="single" w:sz="4" w:space="0" w:color="auto"/>
              <w:left w:val="nil"/>
              <w:bottom w:val="single" w:sz="8" w:space="0" w:color="auto"/>
              <w:right w:val="nil"/>
            </w:tcBorders>
            <w:shd w:val="clear" w:color="auto" w:fill="E7E6E6"/>
            <w:noWrap/>
            <w:vAlign w:val="center"/>
            <w:hideMark/>
          </w:tcPr>
          <w:p w14:paraId="623BEEA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84,022</w:t>
            </w:r>
          </w:p>
        </w:tc>
      </w:tr>
    </w:tbl>
    <w:p w14:paraId="22FBFE7A" w14:textId="77777777" w:rsidR="005C5CED" w:rsidRPr="005C5CED" w:rsidRDefault="005C5CED" w:rsidP="005C5CED">
      <w:pPr>
        <w:spacing w:after="60" w:line="259" w:lineRule="auto"/>
        <w:rPr>
          <w:rFonts w:eastAsia="Calibri" w:cs="Arial"/>
          <w:b/>
          <w:bCs/>
          <w:color w:val="auto"/>
          <w:sz w:val="16"/>
          <w:szCs w:val="16"/>
        </w:rPr>
      </w:pPr>
    </w:p>
    <w:p w14:paraId="385E52F5"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 xml:space="preserve">Note: </w:t>
      </w:r>
    </w:p>
    <w:p w14:paraId="15A1432B"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sz w:val="16"/>
          <w:szCs w:val="20"/>
        </w:rPr>
        <w:t>(a) The total receivables disclosed here exclude statutory amounts (e.g., amounts owing from Victorian Government and GST input tax credit recoverable).</w:t>
      </w:r>
    </w:p>
    <w:p w14:paraId="669A8B01" w14:textId="77777777" w:rsidR="005C5CED" w:rsidRPr="005C5CED" w:rsidRDefault="005C5CED" w:rsidP="005C5CED">
      <w:pPr>
        <w:keepNext/>
        <w:keepLines/>
        <w:spacing w:after="0" w:line="259" w:lineRule="auto"/>
        <w:outlineLvl w:val="5"/>
        <w:rPr>
          <w:rFonts w:eastAsia="Yu Gothic Light" w:cs="Times New Roman"/>
          <w:i/>
          <w:iCs/>
          <w:color w:val="174F37"/>
          <w:szCs w:val="20"/>
        </w:rPr>
      </w:pPr>
      <w:r w:rsidRPr="005C5CED">
        <w:rPr>
          <w:rFonts w:eastAsia="Yu Gothic Light" w:cs="Times New Roman"/>
          <w:b/>
          <w:bCs/>
          <w:i/>
          <w:iCs/>
          <w:color w:val="174F37"/>
          <w:szCs w:val="20"/>
        </w:rPr>
        <w:t>Impairment of financial assets under AASB 9</w:t>
      </w:r>
    </w:p>
    <w:p w14:paraId="51D3A304" w14:textId="77777777" w:rsidR="005C5CED" w:rsidRPr="005C5CED" w:rsidRDefault="005C5CED" w:rsidP="005C5CED">
      <w:pPr>
        <w:spacing w:after="60" w:line="259" w:lineRule="auto"/>
        <w:rPr>
          <w:rFonts w:eastAsia="Calibri" w:cs="Arial"/>
          <w:b/>
          <w:bCs/>
          <w:color w:val="auto"/>
          <w:sz w:val="16"/>
          <w:szCs w:val="16"/>
        </w:rPr>
      </w:pPr>
    </w:p>
    <w:p w14:paraId="3F21C1BF"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Sustainability Victoria records the allowance for expected credit loss for the relevant financial instruments applying AASB 9’s Expected Credit Loss approach. Items subject to AASB 9’s impairment assessment include Sustainability Victoria’s contractual receivables, statutory receivables and its investments.</w:t>
      </w:r>
    </w:p>
    <w:p w14:paraId="0D128871"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1B09188A"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Although not a financial asset, contract liabilities recognised applying AASB </w:t>
      </w:r>
      <w:r w:rsidRPr="005C5CED">
        <w:rPr>
          <w:rFonts w:eastAsia="Calibri" w:cs="Arial"/>
          <w:color w:val="000000"/>
        </w:rPr>
        <w:t xml:space="preserve">15 </w:t>
      </w:r>
      <w:r w:rsidRPr="005C5CED">
        <w:rPr>
          <w:rFonts w:eastAsia="Calibri" w:cs="Arial"/>
          <w:color w:val="auto"/>
        </w:rPr>
        <w:t xml:space="preserve">(refer to Note 5.2) </w:t>
      </w:r>
      <w:r w:rsidRPr="005C5CED">
        <w:rPr>
          <w:rFonts w:eastAsia="Calibri" w:cs="Arial"/>
          <w:color w:val="000000"/>
        </w:rPr>
        <w:t xml:space="preserve">are </w:t>
      </w:r>
      <w:r w:rsidRPr="005C5CED">
        <w:rPr>
          <w:rFonts w:eastAsia="Calibri" w:cs="Arial"/>
          <w:color w:val="auto"/>
        </w:rPr>
        <w:t>also subject to impairment however it is immaterial.</w:t>
      </w:r>
      <w:r w:rsidRPr="005C5CED">
        <w:rPr>
          <w:rFonts w:eastAsia="Calibri" w:cs="Arial"/>
          <w:color w:val="auto"/>
        </w:rPr>
        <w:br w:type="page"/>
      </w:r>
    </w:p>
    <w:p w14:paraId="46FF3688" w14:textId="77777777" w:rsidR="005C5CED" w:rsidRPr="005C5CED" w:rsidRDefault="005C5CED" w:rsidP="005C5CED">
      <w:pPr>
        <w:spacing w:after="60" w:line="259" w:lineRule="auto"/>
        <w:rPr>
          <w:rFonts w:eastAsia="Calibri" w:cs="Arial"/>
          <w:i/>
          <w:iCs/>
          <w:color w:val="174F37"/>
          <w:sz w:val="22"/>
        </w:rPr>
      </w:pPr>
      <w:r w:rsidRPr="005C5CED">
        <w:rPr>
          <w:rFonts w:eastAsia="Calibri" w:cs="Arial"/>
          <w:b/>
          <w:bCs/>
          <w:i/>
          <w:iCs/>
          <w:color w:val="174F37"/>
          <w:szCs w:val="20"/>
        </w:rPr>
        <w:lastRenderedPageBreak/>
        <w:t>Contractual receivables at amortised cost</w:t>
      </w:r>
    </w:p>
    <w:p w14:paraId="47DBD56C"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applies AASB 9 simplified approach for all contractual receivables to measure expected credit losses using a lifetime expected loss allowance based on the assumptions about risk of default and expected loss rates. Sustainability Victoria’s historical credit losses are 0%.</w:t>
      </w:r>
    </w:p>
    <w:p w14:paraId="57977E27" w14:textId="77777777" w:rsidR="005C5CED" w:rsidRPr="005C5CED" w:rsidRDefault="005C5CED" w:rsidP="005C5CED">
      <w:pPr>
        <w:spacing w:after="60" w:line="259" w:lineRule="auto"/>
        <w:rPr>
          <w:rFonts w:eastAsia="Calibri" w:cs="Arial"/>
          <w:i/>
          <w:iCs/>
          <w:color w:val="174F37"/>
          <w:sz w:val="22"/>
        </w:rPr>
      </w:pPr>
      <w:r w:rsidRPr="005C5CED">
        <w:rPr>
          <w:rFonts w:eastAsia="Calibri" w:cs="Arial"/>
          <w:b/>
          <w:bCs/>
          <w:i/>
          <w:iCs/>
          <w:color w:val="174F37"/>
          <w:szCs w:val="20"/>
        </w:rPr>
        <w:t>Financial instruments: liquidity risk</w:t>
      </w:r>
    </w:p>
    <w:p w14:paraId="69CF89EA" w14:textId="77777777" w:rsidR="005C5CED" w:rsidRPr="005C5CED" w:rsidRDefault="005C5CED" w:rsidP="005C5CED">
      <w:pPr>
        <w:spacing w:line="259" w:lineRule="auto"/>
        <w:rPr>
          <w:rFonts w:eastAsia="Calibri" w:cs="Arial"/>
          <w:color w:val="auto"/>
        </w:rPr>
      </w:pPr>
      <w:r w:rsidRPr="005C5CED">
        <w:rPr>
          <w:rFonts w:eastAsia="Calibri" w:cs="Arial"/>
          <w:color w:val="auto"/>
        </w:rPr>
        <w:t>Liquidity risk arises when Sustainability Victoria is unable to meet its financial obligations as they fall due. Sustainability Victoria operates under the government fair payments policy of settling financial obligations within 30 days and in the event of a dispute, making payments within 30 days from the date of resolution.</w:t>
      </w:r>
    </w:p>
    <w:p w14:paraId="59EAB77D"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is exposed to liquidity risk mainly through the financial liabilities as disclosed on the face of the balance sheet. Sustainability Victoria manages its liquidity risk by:</w:t>
      </w:r>
    </w:p>
    <w:p w14:paraId="1C8E1C51" w14:textId="77777777" w:rsidR="005C5CED" w:rsidRPr="005C5CED" w:rsidRDefault="005C5CED" w:rsidP="00196A67">
      <w:pPr>
        <w:numPr>
          <w:ilvl w:val="0"/>
          <w:numId w:val="44"/>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maintaining an adequate level of uncommitted funds that can be drawn at short notice to meet its short-term obligations</w:t>
      </w:r>
    </w:p>
    <w:p w14:paraId="12E1041A" w14:textId="77777777" w:rsidR="005C5CED" w:rsidRPr="005C5CED" w:rsidRDefault="005C5CED" w:rsidP="00196A67">
      <w:pPr>
        <w:numPr>
          <w:ilvl w:val="0"/>
          <w:numId w:val="44"/>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careful maturity planning of its financial obligations based on forecasts of future cash flows</w:t>
      </w:r>
    </w:p>
    <w:p w14:paraId="5D672785" w14:textId="77777777" w:rsidR="005C5CED" w:rsidRPr="005C5CED" w:rsidRDefault="005C5CED" w:rsidP="005C5CED">
      <w:pPr>
        <w:spacing w:line="259" w:lineRule="auto"/>
        <w:rPr>
          <w:rFonts w:eastAsia="Calibri" w:cs="Arial"/>
          <w:color w:val="auto"/>
        </w:rPr>
      </w:pPr>
      <w:r w:rsidRPr="005C5CED">
        <w:rPr>
          <w:rFonts w:eastAsia="Calibri" w:cs="Arial"/>
          <w:color w:val="auto"/>
        </w:rPr>
        <w:br/>
        <w:t>Sustainability Victoria’s exposure to liquidity risk is estimated to be insignificant, based on prior period's data and current assessment of risk. Cash for unexpected events is generally sourced from liquidation of available cash deposits at call.</w:t>
      </w:r>
    </w:p>
    <w:p w14:paraId="5963FD7F"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t>Financial instruments: market risk</w:t>
      </w:r>
    </w:p>
    <w:p w14:paraId="6C00C55B"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Victoria's exposure to market risk is primarily through interest rate risk. Objectives, policies, and processes used to manage this are disclosed below.</w:t>
      </w:r>
    </w:p>
    <w:p w14:paraId="74A01430" w14:textId="77777777" w:rsidR="005C5CED" w:rsidRPr="005C5CED" w:rsidRDefault="005C5CED" w:rsidP="005C5CED">
      <w:pPr>
        <w:spacing w:line="259" w:lineRule="auto"/>
        <w:rPr>
          <w:rFonts w:eastAsia="Calibri" w:cs="Arial"/>
          <w:i/>
          <w:iCs/>
          <w:color w:val="174F37"/>
        </w:rPr>
      </w:pPr>
      <w:r w:rsidRPr="005C5CED">
        <w:rPr>
          <w:rFonts w:eastAsia="Calibri" w:cs="Arial"/>
          <w:b/>
          <w:bCs/>
          <w:i/>
          <w:iCs/>
          <w:color w:val="174F37"/>
        </w:rPr>
        <w:t>Sensitivity disclosure analysis and assumptions</w:t>
      </w:r>
    </w:p>
    <w:p w14:paraId="3C337770"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Victoria's sensitivity to market risk is determined based on past performance and economic forecasts of the financial markets. Sustainability Victoria believes that the following movements are "reasonably possible" over the next 12 months:</w:t>
      </w:r>
    </w:p>
    <w:p w14:paraId="1D79E339" w14:textId="77777777" w:rsidR="005C5CED" w:rsidRPr="005C5CED" w:rsidRDefault="005C5CED" w:rsidP="00196A67">
      <w:pPr>
        <w:numPr>
          <w:ilvl w:val="0"/>
          <w:numId w:val="45"/>
        </w:numPr>
        <w:spacing w:line="259" w:lineRule="auto"/>
        <w:rPr>
          <w:rFonts w:eastAsia="Calibri" w:cs="Arial"/>
          <w:color w:val="auto"/>
        </w:rPr>
      </w:pPr>
      <w:r w:rsidRPr="005C5CED">
        <w:rPr>
          <w:rFonts w:eastAsia="Calibri" w:cs="Arial"/>
          <w:color w:val="auto"/>
        </w:rPr>
        <w:t>a movement of 25 basis points up and down (2023: 200 basis points up and down) in market interest rates (AUD) from year-end rates of 4.5 per cent (2023: 4.25 percent)</w:t>
      </w:r>
    </w:p>
    <w:p w14:paraId="680ECBE2" w14:textId="77777777" w:rsidR="005C5CED" w:rsidRPr="005C5CED" w:rsidRDefault="005C5CED" w:rsidP="005C5CED">
      <w:pPr>
        <w:spacing w:line="259" w:lineRule="auto"/>
        <w:rPr>
          <w:rFonts w:eastAsia="Calibri" w:cs="Arial"/>
          <w:color w:val="auto"/>
        </w:rPr>
      </w:pPr>
      <w:r w:rsidRPr="005C5CED">
        <w:rPr>
          <w:rFonts w:eastAsia="Calibri" w:cs="Arial"/>
          <w:color w:val="auto"/>
        </w:rPr>
        <w:t>The tables that follow show the impact on Sustainability Victoria’s net result and equity for each category of financial instrument held by Sustainability Victoria at the end of the reporting period, if the above movements were to occur.</w:t>
      </w:r>
    </w:p>
    <w:p w14:paraId="1AB09690"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t>Interest rate risk</w:t>
      </w:r>
    </w:p>
    <w:p w14:paraId="038CD6A7" w14:textId="77777777" w:rsidR="005C5CED" w:rsidRPr="005C5CED" w:rsidRDefault="005C5CED" w:rsidP="005C5CED">
      <w:pPr>
        <w:spacing w:line="259" w:lineRule="auto"/>
        <w:rPr>
          <w:rFonts w:eastAsia="Calibri" w:cs="Arial"/>
          <w:color w:val="auto"/>
        </w:rPr>
      </w:pPr>
      <w:r w:rsidRPr="005C5CED">
        <w:rPr>
          <w:rFonts w:eastAsia="Calibri" w:cs="Arial"/>
          <w:color w:val="auto"/>
        </w:rPr>
        <w:t>Fair value interest rate risk is the risk that the fair value of a financial instrument will fluctuate because of change in market interest rates. Exposure to fair value interest rate risk is insignificant and might arise primarily through Sustainability Victoria's variable cash deposits.</w:t>
      </w:r>
    </w:p>
    <w:p w14:paraId="4D136AF5" w14:textId="77777777" w:rsidR="005C5CED" w:rsidRPr="005C5CED" w:rsidRDefault="005C5CED" w:rsidP="005C5CED">
      <w:pPr>
        <w:spacing w:line="259" w:lineRule="auto"/>
        <w:rPr>
          <w:rFonts w:eastAsia="Calibri" w:cs="Arial"/>
          <w:color w:val="auto"/>
        </w:rPr>
      </w:pPr>
      <w:r w:rsidRPr="005C5CED">
        <w:rPr>
          <w:rFonts w:eastAsia="Calibri" w:cs="Arial"/>
          <w:color w:val="auto"/>
        </w:rPr>
        <w:t>Cash flow interest rate risk is the risk that the future cash flows of a financial instrument will fluctuate because of changes in market interest rates. Sustainability Victoria has minimal exposure to cash flow interest rate risks through cash and deposits and investments that are at a floating rate.</w:t>
      </w:r>
    </w:p>
    <w:p w14:paraId="7CFB0BDF" w14:textId="77777777" w:rsidR="005C5CED" w:rsidRPr="005C5CED" w:rsidRDefault="005C5CED" w:rsidP="005C5CED">
      <w:pPr>
        <w:spacing w:line="259" w:lineRule="auto"/>
        <w:rPr>
          <w:rFonts w:eastAsia="Calibri" w:cs="Arial"/>
          <w:color w:val="auto"/>
        </w:rPr>
      </w:pPr>
      <w:r w:rsidRPr="005C5CED">
        <w:rPr>
          <w:rFonts w:eastAsia="Calibri" w:cs="Arial"/>
          <w:color w:val="auto"/>
        </w:rPr>
        <w:t>The carrying amounts of financial assets and financial liabilities that are exposed to interest rates and Sustainability Victoria’s sensitivity to interest rate risk are set out in the table that follows.</w:t>
      </w:r>
    </w:p>
    <w:p w14:paraId="4603662B" w14:textId="77777777" w:rsidR="005C5CED" w:rsidRPr="005C5CED" w:rsidRDefault="005C5CED" w:rsidP="005C5CED">
      <w:pPr>
        <w:spacing w:after="60" w:line="259" w:lineRule="auto"/>
        <w:rPr>
          <w:rFonts w:eastAsia="Calibri" w:cs="Arial"/>
          <w:i/>
          <w:iCs/>
          <w:color w:val="174F37"/>
          <w:szCs w:val="20"/>
        </w:rPr>
      </w:pPr>
    </w:p>
    <w:p w14:paraId="0B7358B7" w14:textId="77777777" w:rsidR="005C5CED" w:rsidRPr="005C5CED" w:rsidRDefault="005C5CED" w:rsidP="005C5CED">
      <w:pPr>
        <w:spacing w:after="60" w:line="259" w:lineRule="auto"/>
        <w:rPr>
          <w:rFonts w:eastAsia="Calibri" w:cs="Arial"/>
          <w:b/>
          <w:bCs/>
          <w:i/>
          <w:iCs/>
          <w:color w:val="174F37"/>
          <w:szCs w:val="20"/>
        </w:rPr>
      </w:pPr>
    </w:p>
    <w:p w14:paraId="631F16D5" w14:textId="77777777" w:rsidR="005C5CED" w:rsidRPr="005C5CED" w:rsidRDefault="005C5CED" w:rsidP="005C5CED">
      <w:pPr>
        <w:spacing w:after="60" w:line="259" w:lineRule="auto"/>
        <w:rPr>
          <w:rFonts w:eastAsia="Calibri" w:cs="Arial"/>
          <w:b/>
          <w:bCs/>
          <w:i/>
          <w:iCs/>
          <w:color w:val="174F37"/>
          <w:szCs w:val="20"/>
        </w:rPr>
      </w:pPr>
    </w:p>
    <w:p w14:paraId="3ABBC59E" w14:textId="77777777" w:rsidR="005C5CED" w:rsidRPr="005C5CED" w:rsidRDefault="005C5CED" w:rsidP="005C5CED">
      <w:pPr>
        <w:spacing w:after="60" w:line="259" w:lineRule="auto"/>
        <w:rPr>
          <w:rFonts w:eastAsia="Calibri" w:cs="Arial"/>
          <w:b/>
          <w:bCs/>
          <w:i/>
          <w:iCs/>
          <w:color w:val="174F37"/>
          <w:szCs w:val="20"/>
        </w:rPr>
      </w:pPr>
    </w:p>
    <w:p w14:paraId="509908E0" w14:textId="77777777" w:rsidR="005C5CED" w:rsidRPr="005C5CED" w:rsidRDefault="005C5CED" w:rsidP="005C5CED">
      <w:pPr>
        <w:spacing w:after="60" w:line="259" w:lineRule="auto"/>
        <w:rPr>
          <w:rFonts w:eastAsia="Calibri" w:cs="Arial"/>
          <w:b/>
          <w:bCs/>
          <w:i/>
          <w:iCs/>
          <w:color w:val="174F37"/>
          <w:szCs w:val="20"/>
        </w:rPr>
      </w:pPr>
    </w:p>
    <w:p w14:paraId="19F66859" w14:textId="77777777" w:rsidR="005C5CED" w:rsidRPr="005C5CED" w:rsidRDefault="005C5CED" w:rsidP="005C5CED">
      <w:pPr>
        <w:spacing w:after="60" w:line="259" w:lineRule="auto"/>
        <w:rPr>
          <w:rFonts w:eastAsia="Calibri" w:cs="Arial"/>
          <w:b/>
          <w:bCs/>
          <w:i/>
          <w:iCs/>
          <w:color w:val="174F37"/>
          <w:szCs w:val="20"/>
        </w:rPr>
      </w:pPr>
    </w:p>
    <w:p w14:paraId="1897763C"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lastRenderedPageBreak/>
        <w:t>Interest rate exposure of financial instruments</w:t>
      </w:r>
    </w:p>
    <w:tbl>
      <w:tblPr>
        <w:tblW w:w="8563" w:type="dxa"/>
        <w:tblLook w:val="04A0" w:firstRow="1" w:lastRow="0" w:firstColumn="1" w:lastColumn="0" w:noHBand="0" w:noVBand="1"/>
      </w:tblPr>
      <w:tblGrid>
        <w:gridCol w:w="2858"/>
        <w:gridCol w:w="1050"/>
        <w:gridCol w:w="1035"/>
        <w:gridCol w:w="1480"/>
        <w:gridCol w:w="1231"/>
        <w:gridCol w:w="1063"/>
      </w:tblGrid>
      <w:tr w:rsidR="005C5CED" w:rsidRPr="005C5CED" w14:paraId="77DA132E" w14:textId="77777777" w:rsidTr="008214F9">
        <w:trPr>
          <w:trHeight w:val="801"/>
        </w:trPr>
        <w:tc>
          <w:tcPr>
            <w:tcW w:w="2858" w:type="dxa"/>
            <w:tcBorders>
              <w:top w:val="nil"/>
              <w:left w:val="nil"/>
              <w:bottom w:val="nil"/>
              <w:right w:val="nil"/>
            </w:tcBorders>
            <w:shd w:val="clear" w:color="000000" w:fill="000000"/>
            <w:noWrap/>
            <w:vAlign w:val="bottom"/>
            <w:hideMark/>
          </w:tcPr>
          <w:p w14:paraId="059FA528" w14:textId="77777777" w:rsidR="005C5CED" w:rsidRPr="005C5CED" w:rsidRDefault="005C5CED" w:rsidP="005C5CED">
            <w:pPr>
              <w:spacing w:after="0" w:line="240" w:lineRule="auto"/>
              <w:jc w:val="right"/>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050" w:type="dxa"/>
            <w:tcBorders>
              <w:top w:val="nil"/>
              <w:left w:val="nil"/>
              <w:bottom w:val="nil"/>
              <w:right w:val="nil"/>
            </w:tcBorders>
            <w:shd w:val="clear" w:color="000000" w:fill="000000"/>
            <w:noWrap/>
            <w:vAlign w:val="center"/>
            <w:hideMark/>
          </w:tcPr>
          <w:p w14:paraId="588F9C56"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xml:space="preserve">Weighted average interest rate </w:t>
            </w:r>
          </w:p>
        </w:tc>
        <w:tc>
          <w:tcPr>
            <w:tcW w:w="881" w:type="dxa"/>
            <w:tcBorders>
              <w:top w:val="nil"/>
              <w:left w:val="nil"/>
              <w:bottom w:val="nil"/>
              <w:right w:val="nil"/>
            </w:tcBorders>
            <w:shd w:val="clear" w:color="000000" w:fill="000000"/>
            <w:vAlign w:val="bottom"/>
            <w:hideMark/>
          </w:tcPr>
          <w:p w14:paraId="186D80E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Carrying amount</w:t>
            </w:r>
          </w:p>
        </w:tc>
        <w:tc>
          <w:tcPr>
            <w:tcW w:w="1480" w:type="dxa"/>
            <w:tcBorders>
              <w:top w:val="nil"/>
              <w:left w:val="nil"/>
              <w:bottom w:val="nil"/>
              <w:right w:val="nil"/>
            </w:tcBorders>
            <w:shd w:val="clear" w:color="000000" w:fill="000000"/>
            <w:vAlign w:val="bottom"/>
            <w:hideMark/>
          </w:tcPr>
          <w:p w14:paraId="3BF7332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Fixed rate</w:t>
            </w:r>
          </w:p>
        </w:tc>
        <w:tc>
          <w:tcPr>
            <w:tcW w:w="1231" w:type="dxa"/>
            <w:tcBorders>
              <w:top w:val="nil"/>
              <w:left w:val="nil"/>
              <w:bottom w:val="nil"/>
              <w:right w:val="nil"/>
            </w:tcBorders>
            <w:shd w:val="clear" w:color="000000" w:fill="000000"/>
            <w:vAlign w:val="bottom"/>
            <w:hideMark/>
          </w:tcPr>
          <w:p w14:paraId="15731899" w14:textId="77777777" w:rsidR="005C5CED" w:rsidRPr="005C5CED" w:rsidRDefault="005C5CED" w:rsidP="005C5CED">
            <w:pPr>
              <w:spacing w:after="0" w:line="240" w:lineRule="auto"/>
              <w:ind w:firstLineChars="100" w:firstLine="161"/>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Variable rate</w:t>
            </w:r>
          </w:p>
        </w:tc>
        <w:tc>
          <w:tcPr>
            <w:tcW w:w="1063" w:type="dxa"/>
            <w:tcBorders>
              <w:top w:val="nil"/>
              <w:left w:val="nil"/>
              <w:bottom w:val="nil"/>
              <w:right w:val="nil"/>
            </w:tcBorders>
            <w:shd w:val="clear" w:color="000000" w:fill="000000"/>
            <w:vAlign w:val="bottom"/>
            <w:hideMark/>
          </w:tcPr>
          <w:p w14:paraId="7B83517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Non-interest bearing</w:t>
            </w:r>
          </w:p>
        </w:tc>
      </w:tr>
      <w:tr w:rsidR="005C5CED" w:rsidRPr="005C5CED" w14:paraId="5CD5C856" w14:textId="77777777" w:rsidTr="008214F9">
        <w:trPr>
          <w:trHeight w:val="337"/>
        </w:trPr>
        <w:tc>
          <w:tcPr>
            <w:tcW w:w="2858" w:type="dxa"/>
            <w:tcBorders>
              <w:top w:val="nil"/>
              <w:left w:val="nil"/>
              <w:bottom w:val="nil"/>
              <w:right w:val="nil"/>
            </w:tcBorders>
            <w:shd w:val="clear" w:color="000000" w:fill="000000"/>
            <w:noWrap/>
            <w:vAlign w:val="bottom"/>
            <w:hideMark/>
          </w:tcPr>
          <w:p w14:paraId="041EC5C6"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050" w:type="dxa"/>
            <w:tcBorders>
              <w:top w:val="nil"/>
              <w:left w:val="nil"/>
              <w:bottom w:val="nil"/>
              <w:right w:val="nil"/>
            </w:tcBorders>
            <w:shd w:val="clear" w:color="000000" w:fill="000000"/>
            <w:noWrap/>
            <w:vAlign w:val="center"/>
            <w:hideMark/>
          </w:tcPr>
          <w:p w14:paraId="2B95EC5C" w14:textId="77777777" w:rsidR="005C5CED" w:rsidRPr="005C5CED" w:rsidRDefault="005C5CED" w:rsidP="005C5CED">
            <w:pPr>
              <w:spacing w:after="0" w:line="240" w:lineRule="auto"/>
              <w:jc w:val="right"/>
              <w:rPr>
                <w:rFonts w:eastAsia="Times New Roman" w:cs="Arial"/>
                <w:color w:val="FFFFFF"/>
                <w:sz w:val="16"/>
                <w:szCs w:val="16"/>
                <w:lang w:eastAsia="en-AU"/>
              </w:rPr>
            </w:pPr>
            <w:r w:rsidRPr="005C5CED">
              <w:rPr>
                <w:rFonts w:eastAsia="Times New Roman" w:cs="Arial"/>
                <w:color w:val="FFFFFF"/>
                <w:sz w:val="16"/>
                <w:szCs w:val="16"/>
                <w:lang w:eastAsia="en-AU"/>
              </w:rPr>
              <w:t> </w:t>
            </w:r>
            <w:r w:rsidRPr="005C5CED">
              <w:rPr>
                <w:rFonts w:eastAsia="Times New Roman" w:cs="Arial"/>
                <w:b/>
                <w:bCs/>
                <w:color w:val="FFFFFF"/>
                <w:sz w:val="16"/>
                <w:szCs w:val="16"/>
                <w:lang w:eastAsia="en-AU"/>
              </w:rPr>
              <w:t>%</w:t>
            </w:r>
          </w:p>
        </w:tc>
        <w:tc>
          <w:tcPr>
            <w:tcW w:w="881" w:type="dxa"/>
            <w:tcBorders>
              <w:top w:val="nil"/>
              <w:left w:val="nil"/>
              <w:bottom w:val="nil"/>
              <w:right w:val="nil"/>
            </w:tcBorders>
            <w:shd w:val="clear" w:color="000000" w:fill="000000"/>
            <w:noWrap/>
            <w:vAlign w:val="bottom"/>
            <w:hideMark/>
          </w:tcPr>
          <w:p w14:paraId="31995E7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480" w:type="dxa"/>
            <w:tcBorders>
              <w:top w:val="nil"/>
              <w:left w:val="nil"/>
              <w:bottom w:val="nil"/>
              <w:right w:val="nil"/>
            </w:tcBorders>
            <w:shd w:val="clear" w:color="000000" w:fill="000000"/>
            <w:noWrap/>
            <w:vAlign w:val="bottom"/>
            <w:hideMark/>
          </w:tcPr>
          <w:p w14:paraId="63C8C06F"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31" w:type="dxa"/>
            <w:tcBorders>
              <w:top w:val="nil"/>
              <w:left w:val="nil"/>
              <w:bottom w:val="nil"/>
              <w:right w:val="nil"/>
            </w:tcBorders>
            <w:shd w:val="clear" w:color="000000" w:fill="000000"/>
            <w:noWrap/>
            <w:vAlign w:val="bottom"/>
            <w:hideMark/>
          </w:tcPr>
          <w:p w14:paraId="278B42AF"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63" w:type="dxa"/>
            <w:tcBorders>
              <w:top w:val="nil"/>
              <w:left w:val="nil"/>
              <w:bottom w:val="nil"/>
              <w:right w:val="nil"/>
            </w:tcBorders>
            <w:shd w:val="clear" w:color="000000" w:fill="000000"/>
            <w:noWrap/>
            <w:vAlign w:val="bottom"/>
            <w:hideMark/>
          </w:tcPr>
          <w:p w14:paraId="2489FDA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67D4228B" w14:textId="77777777" w:rsidTr="008214F9">
        <w:trPr>
          <w:trHeight w:val="372"/>
        </w:trPr>
        <w:tc>
          <w:tcPr>
            <w:tcW w:w="2858" w:type="dxa"/>
            <w:tcBorders>
              <w:top w:val="nil"/>
              <w:left w:val="nil"/>
              <w:bottom w:val="nil"/>
              <w:right w:val="nil"/>
            </w:tcBorders>
            <w:shd w:val="clear" w:color="auto" w:fill="auto"/>
            <w:noWrap/>
            <w:vAlign w:val="center"/>
            <w:hideMark/>
          </w:tcPr>
          <w:p w14:paraId="10737A1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050" w:type="dxa"/>
            <w:tcBorders>
              <w:top w:val="nil"/>
              <w:left w:val="nil"/>
              <w:bottom w:val="nil"/>
              <w:right w:val="nil"/>
            </w:tcBorders>
            <w:shd w:val="clear" w:color="auto" w:fill="auto"/>
            <w:noWrap/>
            <w:vAlign w:val="center"/>
            <w:hideMark/>
          </w:tcPr>
          <w:p w14:paraId="391E8417"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881" w:type="dxa"/>
            <w:tcBorders>
              <w:top w:val="nil"/>
              <w:left w:val="nil"/>
              <w:bottom w:val="nil"/>
              <w:right w:val="nil"/>
            </w:tcBorders>
            <w:shd w:val="clear" w:color="auto" w:fill="auto"/>
            <w:noWrap/>
            <w:vAlign w:val="center"/>
            <w:hideMark/>
          </w:tcPr>
          <w:p w14:paraId="62BE3CBF" w14:textId="77777777" w:rsidR="005C5CED" w:rsidRPr="005C5CED" w:rsidRDefault="005C5CED" w:rsidP="005C5CED">
            <w:pPr>
              <w:spacing w:after="0" w:line="240" w:lineRule="auto"/>
              <w:rPr>
                <w:rFonts w:eastAsia="Times New Roman" w:cs="Arial"/>
                <w:color w:val="auto"/>
                <w:szCs w:val="20"/>
                <w:lang w:eastAsia="en-AU"/>
              </w:rPr>
            </w:pPr>
          </w:p>
        </w:tc>
        <w:tc>
          <w:tcPr>
            <w:tcW w:w="1480" w:type="dxa"/>
            <w:tcBorders>
              <w:top w:val="nil"/>
              <w:left w:val="nil"/>
              <w:bottom w:val="nil"/>
              <w:right w:val="nil"/>
            </w:tcBorders>
            <w:shd w:val="clear" w:color="auto" w:fill="auto"/>
            <w:noWrap/>
            <w:vAlign w:val="center"/>
            <w:hideMark/>
          </w:tcPr>
          <w:p w14:paraId="372D55C9" w14:textId="77777777" w:rsidR="005C5CED" w:rsidRPr="005C5CED" w:rsidRDefault="005C5CED" w:rsidP="005C5CED">
            <w:pPr>
              <w:spacing w:after="0" w:line="240" w:lineRule="auto"/>
              <w:rPr>
                <w:rFonts w:eastAsia="Times New Roman" w:cs="Arial"/>
                <w:color w:val="auto"/>
                <w:szCs w:val="20"/>
                <w:lang w:eastAsia="en-AU"/>
              </w:rPr>
            </w:pPr>
          </w:p>
        </w:tc>
        <w:tc>
          <w:tcPr>
            <w:tcW w:w="1231" w:type="dxa"/>
            <w:tcBorders>
              <w:top w:val="nil"/>
              <w:left w:val="nil"/>
              <w:bottom w:val="nil"/>
              <w:right w:val="nil"/>
            </w:tcBorders>
            <w:shd w:val="clear" w:color="auto" w:fill="auto"/>
            <w:noWrap/>
            <w:vAlign w:val="center"/>
            <w:hideMark/>
          </w:tcPr>
          <w:p w14:paraId="6140D729" w14:textId="77777777" w:rsidR="005C5CED" w:rsidRPr="005C5CED" w:rsidRDefault="005C5CED" w:rsidP="005C5CED">
            <w:pPr>
              <w:spacing w:after="0" w:line="240" w:lineRule="auto"/>
              <w:rPr>
                <w:rFonts w:eastAsia="Times New Roman" w:cs="Arial"/>
                <w:color w:val="auto"/>
                <w:szCs w:val="20"/>
                <w:lang w:eastAsia="en-AU"/>
              </w:rPr>
            </w:pPr>
          </w:p>
        </w:tc>
        <w:tc>
          <w:tcPr>
            <w:tcW w:w="1063" w:type="dxa"/>
            <w:tcBorders>
              <w:top w:val="nil"/>
              <w:left w:val="nil"/>
              <w:bottom w:val="nil"/>
              <w:right w:val="nil"/>
            </w:tcBorders>
            <w:shd w:val="clear" w:color="auto" w:fill="auto"/>
            <w:noWrap/>
            <w:vAlign w:val="center"/>
            <w:hideMark/>
          </w:tcPr>
          <w:p w14:paraId="0F8B2341" w14:textId="77777777" w:rsidR="005C5CED" w:rsidRPr="005C5CED" w:rsidRDefault="005C5CED" w:rsidP="005C5CED">
            <w:pPr>
              <w:spacing w:after="0" w:line="240" w:lineRule="auto"/>
              <w:rPr>
                <w:rFonts w:eastAsia="Times New Roman" w:cs="Arial"/>
                <w:color w:val="auto"/>
                <w:szCs w:val="20"/>
                <w:lang w:eastAsia="en-AU"/>
              </w:rPr>
            </w:pPr>
          </w:p>
        </w:tc>
      </w:tr>
      <w:tr w:rsidR="005C5CED" w:rsidRPr="005C5CED" w14:paraId="65473476" w14:textId="77777777" w:rsidTr="008214F9">
        <w:trPr>
          <w:trHeight w:val="372"/>
        </w:trPr>
        <w:tc>
          <w:tcPr>
            <w:tcW w:w="2858" w:type="dxa"/>
            <w:tcBorders>
              <w:top w:val="nil"/>
              <w:left w:val="nil"/>
              <w:bottom w:val="nil"/>
              <w:right w:val="nil"/>
            </w:tcBorders>
            <w:shd w:val="clear" w:color="auto" w:fill="auto"/>
            <w:noWrap/>
            <w:vAlign w:val="center"/>
            <w:hideMark/>
          </w:tcPr>
          <w:p w14:paraId="503E1599"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050" w:type="dxa"/>
            <w:tcBorders>
              <w:top w:val="nil"/>
              <w:left w:val="nil"/>
              <w:bottom w:val="nil"/>
              <w:right w:val="nil"/>
            </w:tcBorders>
            <w:shd w:val="clear" w:color="auto" w:fill="auto"/>
            <w:noWrap/>
            <w:vAlign w:val="center"/>
          </w:tcPr>
          <w:p w14:paraId="78CF660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4.43%</w:t>
            </w:r>
          </w:p>
        </w:tc>
        <w:tc>
          <w:tcPr>
            <w:tcW w:w="881" w:type="dxa"/>
            <w:tcBorders>
              <w:top w:val="nil"/>
              <w:left w:val="nil"/>
              <w:bottom w:val="nil"/>
              <w:right w:val="nil"/>
            </w:tcBorders>
            <w:shd w:val="clear" w:color="auto" w:fill="auto"/>
            <w:noWrap/>
            <w:vAlign w:val="center"/>
          </w:tcPr>
          <w:p w14:paraId="4789CD0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c>
          <w:tcPr>
            <w:tcW w:w="1480" w:type="dxa"/>
            <w:tcBorders>
              <w:top w:val="nil"/>
              <w:left w:val="nil"/>
              <w:bottom w:val="nil"/>
              <w:right w:val="nil"/>
            </w:tcBorders>
            <w:shd w:val="clear" w:color="auto" w:fill="auto"/>
            <w:noWrap/>
            <w:vAlign w:val="center"/>
          </w:tcPr>
          <w:p w14:paraId="0C8C095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auto" w:fill="auto"/>
            <w:noWrap/>
            <w:vAlign w:val="center"/>
          </w:tcPr>
          <w:p w14:paraId="734E5EF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c>
          <w:tcPr>
            <w:tcW w:w="1063" w:type="dxa"/>
            <w:tcBorders>
              <w:top w:val="nil"/>
              <w:left w:val="nil"/>
              <w:bottom w:val="nil"/>
              <w:right w:val="nil"/>
            </w:tcBorders>
            <w:shd w:val="clear" w:color="auto" w:fill="auto"/>
            <w:noWrap/>
            <w:vAlign w:val="center"/>
          </w:tcPr>
          <w:p w14:paraId="209DEAD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1A207E42" w14:textId="77777777" w:rsidTr="008214F9">
        <w:trPr>
          <w:trHeight w:val="372"/>
        </w:trPr>
        <w:tc>
          <w:tcPr>
            <w:tcW w:w="2858" w:type="dxa"/>
            <w:tcBorders>
              <w:top w:val="nil"/>
              <w:left w:val="nil"/>
              <w:bottom w:val="nil"/>
              <w:right w:val="nil"/>
            </w:tcBorders>
            <w:shd w:val="clear" w:color="auto" w:fill="auto"/>
            <w:noWrap/>
            <w:vAlign w:val="center"/>
            <w:hideMark/>
          </w:tcPr>
          <w:p w14:paraId="77B48475"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 xml:space="preserve">Receivables  </w:t>
            </w:r>
            <w:proofErr w:type="gramStart"/>
            <w:r w:rsidRPr="005C5CED">
              <w:rPr>
                <w:rFonts w:eastAsia="Times New Roman" w:cs="Arial"/>
                <w:color w:val="auto"/>
                <w:sz w:val="16"/>
                <w:szCs w:val="16"/>
                <w:lang w:eastAsia="en-AU"/>
              </w:rPr>
              <w:t xml:space="preserve">   (</w:t>
            </w:r>
            <w:proofErr w:type="gramEnd"/>
            <w:r w:rsidRPr="005C5CED">
              <w:rPr>
                <w:rFonts w:eastAsia="Times New Roman" w:cs="Arial"/>
                <w:color w:val="auto"/>
                <w:sz w:val="16"/>
                <w:szCs w:val="16"/>
                <w:lang w:eastAsia="en-AU"/>
              </w:rPr>
              <w:t>a)</w:t>
            </w:r>
          </w:p>
        </w:tc>
        <w:tc>
          <w:tcPr>
            <w:tcW w:w="1050" w:type="dxa"/>
            <w:tcBorders>
              <w:top w:val="nil"/>
              <w:left w:val="nil"/>
              <w:bottom w:val="nil"/>
              <w:right w:val="nil"/>
            </w:tcBorders>
            <w:shd w:val="clear" w:color="auto" w:fill="auto"/>
            <w:noWrap/>
            <w:vAlign w:val="center"/>
          </w:tcPr>
          <w:p w14:paraId="634A646D"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p>
        </w:tc>
        <w:tc>
          <w:tcPr>
            <w:tcW w:w="881" w:type="dxa"/>
            <w:tcBorders>
              <w:top w:val="nil"/>
              <w:left w:val="nil"/>
              <w:bottom w:val="nil"/>
              <w:right w:val="nil"/>
            </w:tcBorders>
            <w:shd w:val="clear" w:color="auto" w:fill="auto"/>
            <w:noWrap/>
            <w:vAlign w:val="center"/>
          </w:tcPr>
          <w:p w14:paraId="37FBA76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10,657</w:t>
            </w:r>
          </w:p>
        </w:tc>
        <w:tc>
          <w:tcPr>
            <w:tcW w:w="1480" w:type="dxa"/>
            <w:tcBorders>
              <w:top w:val="nil"/>
              <w:left w:val="nil"/>
              <w:bottom w:val="nil"/>
              <w:right w:val="nil"/>
            </w:tcBorders>
            <w:shd w:val="clear" w:color="auto" w:fill="auto"/>
            <w:noWrap/>
            <w:vAlign w:val="center"/>
          </w:tcPr>
          <w:p w14:paraId="4C51F34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auto" w:fill="auto"/>
            <w:noWrap/>
            <w:vAlign w:val="center"/>
          </w:tcPr>
          <w:p w14:paraId="7EEEFB5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auto" w:fill="auto"/>
            <w:noWrap/>
            <w:vAlign w:val="center"/>
          </w:tcPr>
          <w:p w14:paraId="312CAE1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10,657</w:t>
            </w:r>
          </w:p>
        </w:tc>
      </w:tr>
      <w:tr w:rsidR="005C5CED" w:rsidRPr="005C5CED" w14:paraId="33507232" w14:textId="77777777" w:rsidTr="008214F9">
        <w:trPr>
          <w:trHeight w:val="372"/>
        </w:trPr>
        <w:tc>
          <w:tcPr>
            <w:tcW w:w="2858" w:type="dxa"/>
            <w:tcBorders>
              <w:top w:val="nil"/>
              <w:left w:val="nil"/>
              <w:bottom w:val="nil"/>
              <w:right w:val="nil"/>
            </w:tcBorders>
            <w:shd w:val="clear" w:color="auto" w:fill="auto"/>
            <w:noWrap/>
            <w:vAlign w:val="center"/>
            <w:hideMark/>
          </w:tcPr>
          <w:p w14:paraId="6B9856C8"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1050" w:type="dxa"/>
            <w:tcBorders>
              <w:top w:val="nil"/>
              <w:left w:val="nil"/>
              <w:bottom w:val="single" w:sz="4" w:space="0" w:color="auto"/>
              <w:right w:val="nil"/>
            </w:tcBorders>
            <w:shd w:val="clear" w:color="auto" w:fill="auto"/>
            <w:noWrap/>
            <w:vAlign w:val="center"/>
          </w:tcPr>
          <w:p w14:paraId="4E462852"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881" w:type="dxa"/>
            <w:tcBorders>
              <w:top w:val="nil"/>
              <w:left w:val="nil"/>
              <w:bottom w:val="nil"/>
              <w:right w:val="nil"/>
            </w:tcBorders>
            <w:shd w:val="clear" w:color="auto" w:fill="auto"/>
            <w:noWrap/>
            <w:vAlign w:val="center"/>
          </w:tcPr>
          <w:p w14:paraId="7485C0C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c>
          <w:tcPr>
            <w:tcW w:w="1480" w:type="dxa"/>
            <w:tcBorders>
              <w:top w:val="nil"/>
              <w:left w:val="nil"/>
              <w:bottom w:val="nil"/>
              <w:right w:val="nil"/>
            </w:tcBorders>
            <w:shd w:val="clear" w:color="auto" w:fill="auto"/>
            <w:noWrap/>
            <w:vAlign w:val="center"/>
          </w:tcPr>
          <w:p w14:paraId="4A40ACB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auto" w:fill="auto"/>
            <w:noWrap/>
            <w:vAlign w:val="center"/>
          </w:tcPr>
          <w:p w14:paraId="2E2DD07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auto" w:fill="auto"/>
            <w:noWrap/>
            <w:vAlign w:val="center"/>
          </w:tcPr>
          <w:p w14:paraId="2EA2B6E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r>
      <w:tr w:rsidR="005C5CED" w:rsidRPr="005C5CED" w14:paraId="1E1CE1DB" w14:textId="77777777" w:rsidTr="008214F9">
        <w:trPr>
          <w:trHeight w:val="372"/>
        </w:trPr>
        <w:tc>
          <w:tcPr>
            <w:tcW w:w="2858" w:type="dxa"/>
            <w:tcBorders>
              <w:top w:val="single" w:sz="4" w:space="0" w:color="auto"/>
              <w:left w:val="nil"/>
              <w:bottom w:val="single" w:sz="4" w:space="0" w:color="auto"/>
              <w:right w:val="nil"/>
            </w:tcBorders>
            <w:shd w:val="clear" w:color="auto" w:fill="auto"/>
            <w:noWrap/>
            <w:vAlign w:val="center"/>
            <w:hideMark/>
          </w:tcPr>
          <w:p w14:paraId="3039C8AC"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financial assets</w:t>
            </w:r>
          </w:p>
        </w:tc>
        <w:tc>
          <w:tcPr>
            <w:tcW w:w="1050" w:type="dxa"/>
            <w:tcBorders>
              <w:top w:val="nil"/>
              <w:left w:val="nil"/>
              <w:bottom w:val="single" w:sz="4" w:space="0" w:color="auto"/>
              <w:right w:val="nil"/>
            </w:tcBorders>
            <w:shd w:val="clear" w:color="auto" w:fill="auto"/>
            <w:noWrap/>
            <w:vAlign w:val="center"/>
          </w:tcPr>
          <w:p w14:paraId="33D44687"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881" w:type="dxa"/>
            <w:tcBorders>
              <w:top w:val="single" w:sz="4" w:space="0" w:color="auto"/>
              <w:left w:val="nil"/>
              <w:bottom w:val="single" w:sz="4" w:space="0" w:color="auto"/>
              <w:right w:val="nil"/>
            </w:tcBorders>
            <w:shd w:val="clear" w:color="auto" w:fill="auto"/>
            <w:noWrap/>
            <w:vAlign w:val="center"/>
          </w:tcPr>
          <w:p w14:paraId="71A26CE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90,198</w:t>
            </w:r>
          </w:p>
        </w:tc>
        <w:tc>
          <w:tcPr>
            <w:tcW w:w="1480" w:type="dxa"/>
            <w:tcBorders>
              <w:top w:val="single" w:sz="4" w:space="0" w:color="auto"/>
              <w:left w:val="nil"/>
              <w:bottom w:val="single" w:sz="4" w:space="0" w:color="auto"/>
              <w:right w:val="nil"/>
            </w:tcBorders>
            <w:shd w:val="clear" w:color="auto" w:fill="auto"/>
            <w:noWrap/>
            <w:vAlign w:val="center"/>
          </w:tcPr>
          <w:p w14:paraId="7F39AFA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31" w:type="dxa"/>
            <w:tcBorders>
              <w:top w:val="single" w:sz="4" w:space="0" w:color="auto"/>
              <w:left w:val="nil"/>
              <w:bottom w:val="single" w:sz="4" w:space="0" w:color="auto"/>
              <w:right w:val="nil"/>
            </w:tcBorders>
            <w:shd w:val="clear" w:color="auto" w:fill="auto"/>
            <w:noWrap/>
            <w:vAlign w:val="center"/>
          </w:tcPr>
          <w:p w14:paraId="6314F86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79,141</w:t>
            </w:r>
          </w:p>
        </w:tc>
        <w:tc>
          <w:tcPr>
            <w:tcW w:w="1063" w:type="dxa"/>
            <w:tcBorders>
              <w:top w:val="single" w:sz="4" w:space="0" w:color="auto"/>
              <w:left w:val="nil"/>
              <w:bottom w:val="single" w:sz="4" w:space="0" w:color="auto"/>
              <w:right w:val="nil"/>
            </w:tcBorders>
            <w:shd w:val="clear" w:color="auto" w:fill="auto"/>
            <w:noWrap/>
            <w:vAlign w:val="center"/>
          </w:tcPr>
          <w:p w14:paraId="368B6E8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11,057</w:t>
            </w:r>
          </w:p>
        </w:tc>
      </w:tr>
      <w:tr w:rsidR="005C5CED" w:rsidRPr="005C5CED" w14:paraId="5345C47A" w14:textId="77777777" w:rsidTr="008214F9">
        <w:trPr>
          <w:trHeight w:val="372"/>
        </w:trPr>
        <w:tc>
          <w:tcPr>
            <w:tcW w:w="2858" w:type="dxa"/>
            <w:tcBorders>
              <w:top w:val="nil"/>
              <w:left w:val="nil"/>
              <w:bottom w:val="nil"/>
              <w:right w:val="nil"/>
            </w:tcBorders>
            <w:shd w:val="clear" w:color="auto" w:fill="auto"/>
            <w:noWrap/>
            <w:vAlign w:val="center"/>
            <w:hideMark/>
          </w:tcPr>
          <w:p w14:paraId="55113EBD"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 xml:space="preserve">Payables       </w:t>
            </w:r>
            <w:proofErr w:type="gramStart"/>
            <w:r w:rsidRPr="005C5CED">
              <w:rPr>
                <w:rFonts w:eastAsia="Times New Roman" w:cs="Arial"/>
                <w:color w:val="auto"/>
                <w:sz w:val="16"/>
                <w:szCs w:val="16"/>
                <w:lang w:eastAsia="en-AU"/>
              </w:rPr>
              <w:t xml:space="preserve">   (</w:t>
            </w:r>
            <w:proofErr w:type="gramEnd"/>
            <w:r w:rsidRPr="005C5CED">
              <w:rPr>
                <w:rFonts w:eastAsia="Times New Roman" w:cs="Arial"/>
                <w:color w:val="auto"/>
                <w:sz w:val="16"/>
                <w:szCs w:val="16"/>
                <w:lang w:eastAsia="en-AU"/>
              </w:rPr>
              <w:t>a)</w:t>
            </w:r>
          </w:p>
        </w:tc>
        <w:tc>
          <w:tcPr>
            <w:tcW w:w="1050" w:type="dxa"/>
            <w:tcBorders>
              <w:top w:val="nil"/>
              <w:left w:val="nil"/>
              <w:bottom w:val="nil"/>
              <w:right w:val="nil"/>
            </w:tcBorders>
            <w:shd w:val="clear" w:color="auto" w:fill="auto"/>
            <w:noWrap/>
            <w:vAlign w:val="center"/>
          </w:tcPr>
          <w:p w14:paraId="11A0AAA3"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881" w:type="dxa"/>
            <w:tcBorders>
              <w:top w:val="nil"/>
              <w:left w:val="nil"/>
              <w:bottom w:val="nil"/>
              <w:right w:val="nil"/>
            </w:tcBorders>
            <w:shd w:val="clear" w:color="auto" w:fill="auto"/>
            <w:noWrap/>
            <w:vAlign w:val="center"/>
          </w:tcPr>
          <w:p w14:paraId="5BBED7C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5,819</w:t>
            </w:r>
          </w:p>
        </w:tc>
        <w:tc>
          <w:tcPr>
            <w:tcW w:w="1480" w:type="dxa"/>
            <w:tcBorders>
              <w:top w:val="nil"/>
              <w:left w:val="nil"/>
              <w:bottom w:val="nil"/>
              <w:right w:val="nil"/>
            </w:tcBorders>
            <w:shd w:val="clear" w:color="auto" w:fill="auto"/>
            <w:noWrap/>
            <w:vAlign w:val="center"/>
          </w:tcPr>
          <w:p w14:paraId="4367C4D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auto" w:fill="auto"/>
            <w:noWrap/>
            <w:vAlign w:val="center"/>
          </w:tcPr>
          <w:p w14:paraId="7EF7D2C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auto" w:fill="auto"/>
            <w:noWrap/>
            <w:vAlign w:val="center"/>
          </w:tcPr>
          <w:p w14:paraId="045F337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5,819</w:t>
            </w:r>
          </w:p>
        </w:tc>
      </w:tr>
      <w:tr w:rsidR="005C5CED" w:rsidRPr="005C5CED" w14:paraId="438E2375" w14:textId="77777777" w:rsidTr="008214F9">
        <w:trPr>
          <w:trHeight w:val="372"/>
        </w:trPr>
        <w:tc>
          <w:tcPr>
            <w:tcW w:w="2858" w:type="dxa"/>
            <w:tcBorders>
              <w:top w:val="nil"/>
              <w:left w:val="nil"/>
              <w:bottom w:val="nil"/>
              <w:right w:val="nil"/>
            </w:tcBorders>
            <w:shd w:val="clear" w:color="auto" w:fill="auto"/>
            <w:noWrap/>
            <w:vAlign w:val="center"/>
            <w:hideMark/>
          </w:tcPr>
          <w:p w14:paraId="368F6645"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Lease liabilities</w:t>
            </w:r>
          </w:p>
        </w:tc>
        <w:tc>
          <w:tcPr>
            <w:tcW w:w="1050" w:type="dxa"/>
            <w:tcBorders>
              <w:top w:val="nil"/>
              <w:left w:val="nil"/>
              <w:bottom w:val="single" w:sz="4" w:space="0" w:color="auto"/>
              <w:right w:val="nil"/>
            </w:tcBorders>
            <w:shd w:val="clear" w:color="auto" w:fill="auto"/>
            <w:noWrap/>
            <w:vAlign w:val="center"/>
          </w:tcPr>
          <w:p w14:paraId="365338C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4.67%</w:t>
            </w:r>
          </w:p>
        </w:tc>
        <w:tc>
          <w:tcPr>
            <w:tcW w:w="881" w:type="dxa"/>
            <w:tcBorders>
              <w:top w:val="nil"/>
              <w:left w:val="nil"/>
              <w:bottom w:val="nil"/>
              <w:right w:val="nil"/>
            </w:tcBorders>
            <w:shd w:val="clear" w:color="auto" w:fill="auto"/>
            <w:noWrap/>
            <w:vAlign w:val="center"/>
          </w:tcPr>
          <w:p w14:paraId="31B5668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7,613</w:t>
            </w:r>
          </w:p>
        </w:tc>
        <w:tc>
          <w:tcPr>
            <w:tcW w:w="1480" w:type="dxa"/>
            <w:tcBorders>
              <w:top w:val="nil"/>
              <w:left w:val="nil"/>
              <w:bottom w:val="nil"/>
              <w:right w:val="nil"/>
            </w:tcBorders>
            <w:shd w:val="clear" w:color="auto" w:fill="auto"/>
            <w:noWrap/>
            <w:vAlign w:val="center"/>
          </w:tcPr>
          <w:p w14:paraId="172C4E0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7,613</w:t>
            </w:r>
          </w:p>
        </w:tc>
        <w:tc>
          <w:tcPr>
            <w:tcW w:w="1231" w:type="dxa"/>
            <w:tcBorders>
              <w:top w:val="nil"/>
              <w:left w:val="nil"/>
              <w:bottom w:val="nil"/>
              <w:right w:val="nil"/>
            </w:tcBorders>
            <w:shd w:val="clear" w:color="auto" w:fill="auto"/>
            <w:noWrap/>
            <w:vAlign w:val="center"/>
          </w:tcPr>
          <w:p w14:paraId="19B9058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auto" w:fill="auto"/>
            <w:noWrap/>
            <w:vAlign w:val="center"/>
          </w:tcPr>
          <w:p w14:paraId="6A1505D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5C55100C" w14:textId="77777777" w:rsidTr="008214F9">
        <w:trPr>
          <w:trHeight w:val="372"/>
        </w:trPr>
        <w:tc>
          <w:tcPr>
            <w:tcW w:w="2858" w:type="dxa"/>
            <w:tcBorders>
              <w:top w:val="single" w:sz="4" w:space="0" w:color="auto"/>
              <w:left w:val="nil"/>
              <w:bottom w:val="single" w:sz="4" w:space="0" w:color="auto"/>
              <w:right w:val="nil"/>
            </w:tcBorders>
            <w:shd w:val="clear" w:color="auto" w:fill="auto"/>
            <w:noWrap/>
            <w:vAlign w:val="center"/>
            <w:hideMark/>
          </w:tcPr>
          <w:p w14:paraId="3EF3203D"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financial liabilities</w:t>
            </w:r>
          </w:p>
        </w:tc>
        <w:tc>
          <w:tcPr>
            <w:tcW w:w="1050" w:type="dxa"/>
            <w:tcBorders>
              <w:top w:val="nil"/>
              <w:left w:val="nil"/>
              <w:bottom w:val="single" w:sz="4" w:space="0" w:color="auto"/>
              <w:right w:val="nil"/>
            </w:tcBorders>
            <w:shd w:val="clear" w:color="auto" w:fill="auto"/>
            <w:noWrap/>
            <w:vAlign w:val="center"/>
          </w:tcPr>
          <w:p w14:paraId="10288ABF"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881" w:type="dxa"/>
            <w:tcBorders>
              <w:top w:val="single" w:sz="4" w:space="0" w:color="auto"/>
              <w:left w:val="nil"/>
              <w:bottom w:val="single" w:sz="4" w:space="0" w:color="auto"/>
              <w:right w:val="nil"/>
            </w:tcBorders>
            <w:shd w:val="clear" w:color="auto" w:fill="auto"/>
            <w:noWrap/>
            <w:vAlign w:val="center"/>
          </w:tcPr>
          <w:p w14:paraId="7E5F78E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13,432</w:t>
            </w:r>
          </w:p>
        </w:tc>
        <w:tc>
          <w:tcPr>
            <w:tcW w:w="1480" w:type="dxa"/>
            <w:tcBorders>
              <w:top w:val="single" w:sz="4" w:space="0" w:color="auto"/>
              <w:left w:val="nil"/>
              <w:bottom w:val="single" w:sz="4" w:space="0" w:color="auto"/>
              <w:right w:val="nil"/>
            </w:tcBorders>
            <w:shd w:val="clear" w:color="auto" w:fill="auto"/>
            <w:noWrap/>
            <w:vAlign w:val="center"/>
          </w:tcPr>
          <w:p w14:paraId="2FAE4CF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7,613</w:t>
            </w:r>
          </w:p>
        </w:tc>
        <w:tc>
          <w:tcPr>
            <w:tcW w:w="1231" w:type="dxa"/>
            <w:tcBorders>
              <w:top w:val="single" w:sz="4" w:space="0" w:color="auto"/>
              <w:left w:val="nil"/>
              <w:bottom w:val="single" w:sz="4" w:space="0" w:color="auto"/>
              <w:right w:val="nil"/>
            </w:tcBorders>
            <w:shd w:val="clear" w:color="auto" w:fill="auto"/>
            <w:noWrap/>
            <w:vAlign w:val="center"/>
          </w:tcPr>
          <w:p w14:paraId="4CCBCD7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063" w:type="dxa"/>
            <w:tcBorders>
              <w:top w:val="single" w:sz="4" w:space="0" w:color="auto"/>
              <w:left w:val="nil"/>
              <w:bottom w:val="single" w:sz="4" w:space="0" w:color="auto"/>
              <w:right w:val="nil"/>
            </w:tcBorders>
            <w:shd w:val="clear" w:color="auto" w:fill="auto"/>
            <w:noWrap/>
            <w:vAlign w:val="center"/>
          </w:tcPr>
          <w:p w14:paraId="419716D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5,819</w:t>
            </w:r>
          </w:p>
        </w:tc>
      </w:tr>
      <w:tr w:rsidR="005C5CED" w:rsidRPr="005C5CED" w14:paraId="480BF56D" w14:textId="77777777" w:rsidTr="008214F9">
        <w:trPr>
          <w:trHeight w:val="245"/>
        </w:trPr>
        <w:tc>
          <w:tcPr>
            <w:tcW w:w="2858" w:type="dxa"/>
            <w:tcBorders>
              <w:top w:val="nil"/>
              <w:left w:val="nil"/>
              <w:bottom w:val="nil"/>
              <w:right w:val="nil"/>
            </w:tcBorders>
            <w:shd w:val="clear" w:color="auto" w:fill="auto"/>
            <w:noWrap/>
            <w:vAlign w:val="bottom"/>
            <w:hideMark/>
          </w:tcPr>
          <w:p w14:paraId="46558E8D"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050" w:type="dxa"/>
            <w:tcBorders>
              <w:top w:val="nil"/>
              <w:left w:val="nil"/>
              <w:bottom w:val="nil"/>
              <w:right w:val="nil"/>
            </w:tcBorders>
            <w:shd w:val="clear" w:color="auto" w:fill="auto"/>
            <w:noWrap/>
            <w:vAlign w:val="bottom"/>
            <w:hideMark/>
          </w:tcPr>
          <w:p w14:paraId="5B4A8A2B" w14:textId="77777777" w:rsidR="005C5CED" w:rsidRPr="005C5CED" w:rsidRDefault="005C5CED" w:rsidP="005C5CED">
            <w:pPr>
              <w:spacing w:after="0" w:line="240" w:lineRule="auto"/>
              <w:rPr>
                <w:rFonts w:eastAsia="Times New Roman" w:cs="Arial"/>
                <w:color w:val="auto"/>
                <w:szCs w:val="20"/>
                <w:lang w:eastAsia="en-AU"/>
              </w:rPr>
            </w:pPr>
          </w:p>
        </w:tc>
        <w:tc>
          <w:tcPr>
            <w:tcW w:w="881" w:type="dxa"/>
            <w:tcBorders>
              <w:top w:val="nil"/>
              <w:left w:val="nil"/>
              <w:bottom w:val="nil"/>
              <w:right w:val="nil"/>
            </w:tcBorders>
            <w:shd w:val="clear" w:color="auto" w:fill="auto"/>
            <w:noWrap/>
            <w:vAlign w:val="bottom"/>
            <w:hideMark/>
          </w:tcPr>
          <w:p w14:paraId="55A37062" w14:textId="77777777" w:rsidR="005C5CED" w:rsidRPr="005C5CED" w:rsidRDefault="005C5CED" w:rsidP="005C5CED">
            <w:pPr>
              <w:spacing w:after="0" w:line="240" w:lineRule="auto"/>
              <w:jc w:val="right"/>
              <w:rPr>
                <w:rFonts w:eastAsia="Times New Roman" w:cs="Arial"/>
                <w:color w:val="auto"/>
                <w:szCs w:val="20"/>
                <w:lang w:eastAsia="en-AU"/>
              </w:rPr>
            </w:pPr>
          </w:p>
        </w:tc>
        <w:tc>
          <w:tcPr>
            <w:tcW w:w="1480" w:type="dxa"/>
            <w:tcBorders>
              <w:top w:val="nil"/>
              <w:left w:val="nil"/>
              <w:bottom w:val="nil"/>
              <w:right w:val="nil"/>
            </w:tcBorders>
            <w:shd w:val="clear" w:color="auto" w:fill="auto"/>
            <w:noWrap/>
            <w:vAlign w:val="bottom"/>
            <w:hideMark/>
          </w:tcPr>
          <w:p w14:paraId="7A1B347E"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1" w:type="dxa"/>
            <w:tcBorders>
              <w:top w:val="nil"/>
              <w:left w:val="nil"/>
              <w:bottom w:val="nil"/>
              <w:right w:val="nil"/>
            </w:tcBorders>
            <w:shd w:val="clear" w:color="auto" w:fill="auto"/>
            <w:noWrap/>
            <w:vAlign w:val="bottom"/>
            <w:hideMark/>
          </w:tcPr>
          <w:p w14:paraId="00B9BE43" w14:textId="77777777" w:rsidR="005C5CED" w:rsidRPr="005C5CED" w:rsidRDefault="005C5CED" w:rsidP="005C5CED">
            <w:pPr>
              <w:spacing w:after="0" w:line="240" w:lineRule="auto"/>
              <w:jc w:val="right"/>
              <w:rPr>
                <w:rFonts w:eastAsia="Times New Roman" w:cs="Arial"/>
                <w:color w:val="auto"/>
                <w:szCs w:val="20"/>
                <w:lang w:eastAsia="en-AU"/>
              </w:rPr>
            </w:pPr>
          </w:p>
        </w:tc>
        <w:tc>
          <w:tcPr>
            <w:tcW w:w="1063" w:type="dxa"/>
            <w:tcBorders>
              <w:top w:val="nil"/>
              <w:left w:val="nil"/>
              <w:bottom w:val="nil"/>
              <w:right w:val="nil"/>
            </w:tcBorders>
            <w:shd w:val="clear" w:color="auto" w:fill="auto"/>
            <w:noWrap/>
            <w:vAlign w:val="bottom"/>
            <w:hideMark/>
          </w:tcPr>
          <w:p w14:paraId="70C4C6CF"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1DF712C5" w14:textId="77777777" w:rsidTr="008214F9">
        <w:trPr>
          <w:trHeight w:val="372"/>
        </w:trPr>
        <w:tc>
          <w:tcPr>
            <w:tcW w:w="2858" w:type="dxa"/>
            <w:tcBorders>
              <w:top w:val="nil"/>
              <w:left w:val="nil"/>
              <w:bottom w:val="nil"/>
              <w:right w:val="nil"/>
            </w:tcBorders>
            <w:shd w:val="clear" w:color="auto" w:fill="auto"/>
            <w:noWrap/>
            <w:vAlign w:val="center"/>
            <w:hideMark/>
          </w:tcPr>
          <w:p w14:paraId="0DD3302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050" w:type="dxa"/>
            <w:tcBorders>
              <w:top w:val="nil"/>
              <w:left w:val="nil"/>
              <w:bottom w:val="nil"/>
              <w:right w:val="nil"/>
            </w:tcBorders>
            <w:shd w:val="clear" w:color="auto" w:fill="auto"/>
            <w:noWrap/>
            <w:vAlign w:val="center"/>
            <w:hideMark/>
          </w:tcPr>
          <w:p w14:paraId="79EA8AE0"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881" w:type="dxa"/>
            <w:tcBorders>
              <w:top w:val="nil"/>
              <w:left w:val="nil"/>
              <w:bottom w:val="nil"/>
              <w:right w:val="nil"/>
            </w:tcBorders>
            <w:shd w:val="clear" w:color="auto" w:fill="auto"/>
            <w:noWrap/>
            <w:vAlign w:val="center"/>
            <w:hideMark/>
          </w:tcPr>
          <w:p w14:paraId="35DE9D40" w14:textId="77777777" w:rsidR="005C5CED" w:rsidRPr="005C5CED" w:rsidRDefault="005C5CED" w:rsidP="005C5CED">
            <w:pPr>
              <w:spacing w:after="0" w:line="240" w:lineRule="auto"/>
              <w:jc w:val="right"/>
              <w:rPr>
                <w:rFonts w:eastAsia="Times New Roman" w:cs="Arial"/>
                <w:color w:val="auto"/>
                <w:szCs w:val="20"/>
                <w:lang w:eastAsia="en-AU"/>
              </w:rPr>
            </w:pPr>
          </w:p>
        </w:tc>
        <w:tc>
          <w:tcPr>
            <w:tcW w:w="1480" w:type="dxa"/>
            <w:tcBorders>
              <w:top w:val="nil"/>
              <w:left w:val="nil"/>
              <w:bottom w:val="nil"/>
              <w:right w:val="nil"/>
            </w:tcBorders>
            <w:shd w:val="clear" w:color="auto" w:fill="auto"/>
            <w:noWrap/>
            <w:vAlign w:val="center"/>
            <w:hideMark/>
          </w:tcPr>
          <w:p w14:paraId="38436D0D"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1" w:type="dxa"/>
            <w:tcBorders>
              <w:top w:val="nil"/>
              <w:left w:val="nil"/>
              <w:bottom w:val="nil"/>
              <w:right w:val="nil"/>
            </w:tcBorders>
            <w:shd w:val="clear" w:color="auto" w:fill="auto"/>
            <w:noWrap/>
            <w:vAlign w:val="center"/>
            <w:hideMark/>
          </w:tcPr>
          <w:p w14:paraId="0DBB6C89" w14:textId="77777777" w:rsidR="005C5CED" w:rsidRPr="005C5CED" w:rsidRDefault="005C5CED" w:rsidP="005C5CED">
            <w:pPr>
              <w:spacing w:after="0" w:line="240" w:lineRule="auto"/>
              <w:jc w:val="right"/>
              <w:rPr>
                <w:rFonts w:eastAsia="Times New Roman" w:cs="Arial"/>
                <w:color w:val="auto"/>
                <w:szCs w:val="20"/>
                <w:lang w:eastAsia="en-AU"/>
              </w:rPr>
            </w:pPr>
          </w:p>
        </w:tc>
        <w:tc>
          <w:tcPr>
            <w:tcW w:w="1063" w:type="dxa"/>
            <w:tcBorders>
              <w:top w:val="nil"/>
              <w:left w:val="nil"/>
              <w:bottom w:val="nil"/>
              <w:right w:val="nil"/>
            </w:tcBorders>
            <w:shd w:val="clear" w:color="auto" w:fill="auto"/>
            <w:noWrap/>
            <w:vAlign w:val="center"/>
            <w:hideMark/>
          </w:tcPr>
          <w:p w14:paraId="6A3F6AF4"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46F89426" w14:textId="77777777" w:rsidTr="008214F9">
        <w:trPr>
          <w:trHeight w:val="372"/>
        </w:trPr>
        <w:tc>
          <w:tcPr>
            <w:tcW w:w="2858" w:type="dxa"/>
            <w:tcBorders>
              <w:top w:val="nil"/>
              <w:left w:val="nil"/>
              <w:bottom w:val="nil"/>
              <w:right w:val="nil"/>
            </w:tcBorders>
            <w:shd w:val="clear" w:color="auto" w:fill="auto"/>
            <w:noWrap/>
            <w:vAlign w:val="center"/>
            <w:hideMark/>
          </w:tcPr>
          <w:p w14:paraId="2A97DA46"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050" w:type="dxa"/>
            <w:tcBorders>
              <w:top w:val="nil"/>
              <w:left w:val="nil"/>
              <w:bottom w:val="nil"/>
              <w:right w:val="nil"/>
            </w:tcBorders>
            <w:shd w:val="clear" w:color="auto" w:fill="auto"/>
            <w:noWrap/>
            <w:vAlign w:val="center"/>
            <w:hideMark/>
          </w:tcPr>
          <w:p w14:paraId="1E9D669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3.08%</w:t>
            </w:r>
          </w:p>
        </w:tc>
        <w:tc>
          <w:tcPr>
            <w:tcW w:w="881" w:type="dxa"/>
            <w:tcBorders>
              <w:top w:val="nil"/>
              <w:left w:val="nil"/>
              <w:bottom w:val="nil"/>
              <w:right w:val="nil"/>
            </w:tcBorders>
            <w:shd w:val="clear" w:color="000000" w:fill="E7E6E6"/>
            <w:noWrap/>
            <w:vAlign w:val="center"/>
            <w:hideMark/>
          </w:tcPr>
          <w:p w14:paraId="1775099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c>
          <w:tcPr>
            <w:tcW w:w="1480" w:type="dxa"/>
            <w:tcBorders>
              <w:top w:val="nil"/>
              <w:left w:val="nil"/>
              <w:bottom w:val="nil"/>
              <w:right w:val="nil"/>
            </w:tcBorders>
            <w:shd w:val="clear" w:color="000000" w:fill="E7E6E6"/>
            <w:noWrap/>
            <w:vAlign w:val="center"/>
            <w:hideMark/>
          </w:tcPr>
          <w:p w14:paraId="7FFEC1A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000000" w:fill="E7E6E6"/>
            <w:noWrap/>
            <w:vAlign w:val="center"/>
            <w:hideMark/>
          </w:tcPr>
          <w:p w14:paraId="6B58C41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c>
          <w:tcPr>
            <w:tcW w:w="1063" w:type="dxa"/>
            <w:tcBorders>
              <w:top w:val="nil"/>
              <w:left w:val="nil"/>
              <w:bottom w:val="nil"/>
              <w:right w:val="nil"/>
            </w:tcBorders>
            <w:shd w:val="clear" w:color="000000" w:fill="E7E6E6"/>
            <w:noWrap/>
            <w:vAlign w:val="center"/>
            <w:hideMark/>
          </w:tcPr>
          <w:p w14:paraId="47669F4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635F83B6" w14:textId="77777777" w:rsidTr="008214F9">
        <w:trPr>
          <w:trHeight w:val="372"/>
        </w:trPr>
        <w:tc>
          <w:tcPr>
            <w:tcW w:w="2858" w:type="dxa"/>
            <w:tcBorders>
              <w:top w:val="nil"/>
              <w:left w:val="nil"/>
              <w:bottom w:val="nil"/>
              <w:right w:val="nil"/>
            </w:tcBorders>
            <w:shd w:val="clear" w:color="auto" w:fill="auto"/>
            <w:noWrap/>
            <w:vAlign w:val="center"/>
            <w:hideMark/>
          </w:tcPr>
          <w:p w14:paraId="4958423B"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 xml:space="preserve">Receivables  </w:t>
            </w:r>
            <w:proofErr w:type="gramStart"/>
            <w:r w:rsidRPr="005C5CED">
              <w:rPr>
                <w:rFonts w:eastAsia="Times New Roman" w:cs="Arial"/>
                <w:color w:val="auto"/>
                <w:sz w:val="16"/>
                <w:szCs w:val="16"/>
                <w:lang w:eastAsia="en-AU"/>
              </w:rPr>
              <w:t xml:space="preserve">   (</w:t>
            </w:r>
            <w:proofErr w:type="gramEnd"/>
            <w:r w:rsidRPr="005C5CED">
              <w:rPr>
                <w:rFonts w:eastAsia="Times New Roman" w:cs="Arial"/>
                <w:color w:val="auto"/>
                <w:sz w:val="16"/>
                <w:szCs w:val="16"/>
                <w:lang w:eastAsia="en-AU"/>
              </w:rPr>
              <w:t>a)</w:t>
            </w:r>
          </w:p>
        </w:tc>
        <w:tc>
          <w:tcPr>
            <w:tcW w:w="1050" w:type="dxa"/>
            <w:tcBorders>
              <w:top w:val="nil"/>
              <w:left w:val="nil"/>
              <w:bottom w:val="nil"/>
              <w:right w:val="nil"/>
            </w:tcBorders>
            <w:shd w:val="clear" w:color="auto" w:fill="auto"/>
            <w:noWrap/>
            <w:vAlign w:val="center"/>
            <w:hideMark/>
          </w:tcPr>
          <w:p w14:paraId="59F1B5C3"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p>
        </w:tc>
        <w:tc>
          <w:tcPr>
            <w:tcW w:w="881" w:type="dxa"/>
            <w:tcBorders>
              <w:top w:val="nil"/>
              <w:left w:val="nil"/>
              <w:bottom w:val="nil"/>
              <w:right w:val="nil"/>
            </w:tcBorders>
            <w:shd w:val="clear" w:color="000000" w:fill="E7E6E6"/>
            <w:noWrap/>
            <w:vAlign w:val="center"/>
            <w:hideMark/>
          </w:tcPr>
          <w:p w14:paraId="28D6DBF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12,590</w:t>
            </w:r>
          </w:p>
        </w:tc>
        <w:tc>
          <w:tcPr>
            <w:tcW w:w="1480" w:type="dxa"/>
            <w:tcBorders>
              <w:top w:val="nil"/>
              <w:left w:val="nil"/>
              <w:bottom w:val="nil"/>
              <w:right w:val="nil"/>
            </w:tcBorders>
            <w:shd w:val="clear" w:color="000000" w:fill="E7E6E6"/>
            <w:noWrap/>
            <w:vAlign w:val="center"/>
            <w:hideMark/>
          </w:tcPr>
          <w:p w14:paraId="55C29D8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000000" w:fill="E7E6E6"/>
            <w:noWrap/>
            <w:vAlign w:val="center"/>
            <w:hideMark/>
          </w:tcPr>
          <w:p w14:paraId="2622205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000000" w:fill="E7E6E6"/>
            <w:noWrap/>
            <w:vAlign w:val="center"/>
            <w:hideMark/>
          </w:tcPr>
          <w:p w14:paraId="0640148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12,590</w:t>
            </w:r>
          </w:p>
        </w:tc>
      </w:tr>
      <w:tr w:rsidR="005C5CED" w:rsidRPr="005C5CED" w14:paraId="321077B8" w14:textId="77777777" w:rsidTr="008214F9">
        <w:trPr>
          <w:trHeight w:val="372"/>
        </w:trPr>
        <w:tc>
          <w:tcPr>
            <w:tcW w:w="2858" w:type="dxa"/>
            <w:tcBorders>
              <w:top w:val="nil"/>
              <w:left w:val="nil"/>
              <w:bottom w:val="nil"/>
              <w:right w:val="nil"/>
            </w:tcBorders>
            <w:shd w:val="clear" w:color="auto" w:fill="auto"/>
            <w:noWrap/>
            <w:vAlign w:val="center"/>
            <w:hideMark/>
          </w:tcPr>
          <w:p w14:paraId="624CB7B4"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1050" w:type="dxa"/>
            <w:tcBorders>
              <w:top w:val="nil"/>
              <w:left w:val="nil"/>
              <w:bottom w:val="single" w:sz="4" w:space="0" w:color="auto"/>
              <w:right w:val="nil"/>
            </w:tcBorders>
            <w:shd w:val="clear" w:color="auto" w:fill="auto"/>
            <w:noWrap/>
            <w:vAlign w:val="center"/>
            <w:hideMark/>
          </w:tcPr>
          <w:p w14:paraId="34306562"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881" w:type="dxa"/>
            <w:tcBorders>
              <w:top w:val="nil"/>
              <w:left w:val="nil"/>
              <w:bottom w:val="nil"/>
              <w:right w:val="nil"/>
            </w:tcBorders>
            <w:shd w:val="clear" w:color="000000" w:fill="E7E6E6"/>
            <w:noWrap/>
            <w:vAlign w:val="center"/>
            <w:hideMark/>
          </w:tcPr>
          <w:p w14:paraId="3FAE372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c>
          <w:tcPr>
            <w:tcW w:w="1480" w:type="dxa"/>
            <w:tcBorders>
              <w:top w:val="nil"/>
              <w:left w:val="nil"/>
              <w:bottom w:val="nil"/>
              <w:right w:val="nil"/>
            </w:tcBorders>
            <w:shd w:val="clear" w:color="000000" w:fill="E7E6E6"/>
            <w:noWrap/>
            <w:vAlign w:val="center"/>
            <w:hideMark/>
          </w:tcPr>
          <w:p w14:paraId="1986586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000000" w:fill="E7E6E6"/>
            <w:noWrap/>
            <w:vAlign w:val="center"/>
            <w:hideMark/>
          </w:tcPr>
          <w:p w14:paraId="51FAA96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000000" w:fill="E7E6E6"/>
            <w:noWrap/>
            <w:vAlign w:val="center"/>
            <w:hideMark/>
          </w:tcPr>
          <w:p w14:paraId="1841DEE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r>
      <w:tr w:rsidR="005C5CED" w:rsidRPr="005C5CED" w14:paraId="70D59EB8" w14:textId="77777777" w:rsidTr="008214F9">
        <w:trPr>
          <w:trHeight w:val="372"/>
        </w:trPr>
        <w:tc>
          <w:tcPr>
            <w:tcW w:w="2858" w:type="dxa"/>
            <w:tcBorders>
              <w:top w:val="single" w:sz="4" w:space="0" w:color="auto"/>
              <w:left w:val="nil"/>
              <w:bottom w:val="single" w:sz="4" w:space="0" w:color="auto"/>
              <w:right w:val="nil"/>
            </w:tcBorders>
            <w:shd w:val="clear" w:color="auto" w:fill="auto"/>
            <w:noWrap/>
            <w:vAlign w:val="center"/>
            <w:hideMark/>
          </w:tcPr>
          <w:p w14:paraId="3CCD8BBC"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financial assets</w:t>
            </w:r>
          </w:p>
        </w:tc>
        <w:tc>
          <w:tcPr>
            <w:tcW w:w="1050" w:type="dxa"/>
            <w:tcBorders>
              <w:top w:val="nil"/>
              <w:left w:val="nil"/>
              <w:bottom w:val="single" w:sz="4" w:space="0" w:color="auto"/>
              <w:right w:val="nil"/>
            </w:tcBorders>
            <w:shd w:val="clear" w:color="auto" w:fill="auto"/>
            <w:noWrap/>
            <w:vAlign w:val="center"/>
            <w:hideMark/>
          </w:tcPr>
          <w:p w14:paraId="3476867C"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881" w:type="dxa"/>
            <w:tcBorders>
              <w:top w:val="single" w:sz="4" w:space="0" w:color="auto"/>
              <w:left w:val="nil"/>
              <w:bottom w:val="single" w:sz="4" w:space="0" w:color="auto"/>
              <w:right w:val="nil"/>
            </w:tcBorders>
            <w:shd w:val="clear" w:color="000000" w:fill="E7E6E6"/>
            <w:noWrap/>
            <w:vAlign w:val="center"/>
            <w:hideMark/>
          </w:tcPr>
          <w:p w14:paraId="42121F0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84,022</w:t>
            </w:r>
          </w:p>
        </w:tc>
        <w:tc>
          <w:tcPr>
            <w:tcW w:w="1480" w:type="dxa"/>
            <w:tcBorders>
              <w:top w:val="single" w:sz="4" w:space="0" w:color="auto"/>
              <w:left w:val="nil"/>
              <w:bottom w:val="single" w:sz="4" w:space="0" w:color="auto"/>
              <w:right w:val="nil"/>
            </w:tcBorders>
            <w:shd w:val="clear" w:color="000000" w:fill="E7E6E6"/>
            <w:noWrap/>
            <w:vAlign w:val="center"/>
            <w:hideMark/>
          </w:tcPr>
          <w:p w14:paraId="4C3E5E6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231" w:type="dxa"/>
            <w:tcBorders>
              <w:top w:val="single" w:sz="4" w:space="0" w:color="auto"/>
              <w:left w:val="nil"/>
              <w:bottom w:val="single" w:sz="4" w:space="0" w:color="auto"/>
              <w:right w:val="nil"/>
            </w:tcBorders>
            <w:shd w:val="clear" w:color="000000" w:fill="E7E6E6"/>
            <w:noWrap/>
            <w:vAlign w:val="center"/>
            <w:hideMark/>
          </w:tcPr>
          <w:p w14:paraId="0FB7D0F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71,033</w:t>
            </w:r>
          </w:p>
        </w:tc>
        <w:tc>
          <w:tcPr>
            <w:tcW w:w="1063" w:type="dxa"/>
            <w:tcBorders>
              <w:top w:val="single" w:sz="4" w:space="0" w:color="auto"/>
              <w:left w:val="nil"/>
              <w:bottom w:val="single" w:sz="4" w:space="0" w:color="auto"/>
              <w:right w:val="nil"/>
            </w:tcBorders>
            <w:shd w:val="clear" w:color="000000" w:fill="E7E6E6"/>
            <w:noWrap/>
            <w:vAlign w:val="center"/>
            <w:hideMark/>
          </w:tcPr>
          <w:p w14:paraId="19D739E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12,989</w:t>
            </w:r>
          </w:p>
        </w:tc>
      </w:tr>
      <w:tr w:rsidR="005C5CED" w:rsidRPr="005C5CED" w14:paraId="17C56245" w14:textId="77777777" w:rsidTr="008214F9">
        <w:trPr>
          <w:trHeight w:val="372"/>
        </w:trPr>
        <w:tc>
          <w:tcPr>
            <w:tcW w:w="2858" w:type="dxa"/>
            <w:tcBorders>
              <w:top w:val="nil"/>
              <w:left w:val="nil"/>
              <w:bottom w:val="nil"/>
              <w:right w:val="nil"/>
            </w:tcBorders>
            <w:shd w:val="clear" w:color="auto" w:fill="auto"/>
            <w:noWrap/>
            <w:vAlign w:val="center"/>
            <w:hideMark/>
          </w:tcPr>
          <w:p w14:paraId="4E36FB71"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 xml:space="preserve">Payables       </w:t>
            </w:r>
            <w:proofErr w:type="gramStart"/>
            <w:r w:rsidRPr="005C5CED">
              <w:rPr>
                <w:rFonts w:eastAsia="Times New Roman" w:cs="Arial"/>
                <w:color w:val="auto"/>
                <w:sz w:val="16"/>
                <w:szCs w:val="16"/>
                <w:lang w:eastAsia="en-AU"/>
              </w:rPr>
              <w:t xml:space="preserve">   (</w:t>
            </w:r>
            <w:proofErr w:type="gramEnd"/>
            <w:r w:rsidRPr="005C5CED">
              <w:rPr>
                <w:rFonts w:eastAsia="Times New Roman" w:cs="Arial"/>
                <w:color w:val="auto"/>
                <w:sz w:val="16"/>
                <w:szCs w:val="16"/>
                <w:lang w:eastAsia="en-AU"/>
              </w:rPr>
              <w:t>a)</w:t>
            </w:r>
          </w:p>
        </w:tc>
        <w:tc>
          <w:tcPr>
            <w:tcW w:w="1050" w:type="dxa"/>
            <w:tcBorders>
              <w:top w:val="nil"/>
              <w:left w:val="nil"/>
              <w:bottom w:val="nil"/>
              <w:right w:val="nil"/>
            </w:tcBorders>
            <w:shd w:val="clear" w:color="auto" w:fill="auto"/>
            <w:noWrap/>
            <w:vAlign w:val="center"/>
            <w:hideMark/>
          </w:tcPr>
          <w:p w14:paraId="2E590EF8" w14:textId="77777777" w:rsidR="005C5CED" w:rsidRPr="005C5CED" w:rsidRDefault="005C5CED" w:rsidP="005C5CED">
            <w:pPr>
              <w:spacing w:after="0" w:line="240" w:lineRule="auto"/>
              <w:jc w:val="right"/>
              <w:rPr>
                <w:rFonts w:eastAsia="Times New Roman" w:cs="Arial"/>
                <w:color w:val="auto"/>
                <w:sz w:val="16"/>
                <w:szCs w:val="16"/>
                <w:lang w:eastAsia="en-AU"/>
              </w:rPr>
            </w:pPr>
          </w:p>
        </w:tc>
        <w:tc>
          <w:tcPr>
            <w:tcW w:w="881" w:type="dxa"/>
            <w:tcBorders>
              <w:top w:val="nil"/>
              <w:left w:val="nil"/>
              <w:bottom w:val="nil"/>
              <w:right w:val="nil"/>
            </w:tcBorders>
            <w:shd w:val="clear" w:color="000000" w:fill="E7E6E6"/>
            <w:noWrap/>
            <w:vAlign w:val="center"/>
            <w:hideMark/>
          </w:tcPr>
          <w:p w14:paraId="29A00FA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4,550</w:t>
            </w:r>
          </w:p>
        </w:tc>
        <w:tc>
          <w:tcPr>
            <w:tcW w:w="1480" w:type="dxa"/>
            <w:tcBorders>
              <w:top w:val="nil"/>
              <w:left w:val="nil"/>
              <w:bottom w:val="nil"/>
              <w:right w:val="nil"/>
            </w:tcBorders>
            <w:shd w:val="clear" w:color="000000" w:fill="E7E6E6"/>
            <w:noWrap/>
            <w:vAlign w:val="center"/>
            <w:hideMark/>
          </w:tcPr>
          <w:p w14:paraId="7C85E93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1" w:type="dxa"/>
            <w:tcBorders>
              <w:top w:val="nil"/>
              <w:left w:val="nil"/>
              <w:bottom w:val="nil"/>
              <w:right w:val="nil"/>
            </w:tcBorders>
            <w:shd w:val="clear" w:color="000000" w:fill="E7E6E6"/>
            <w:noWrap/>
            <w:vAlign w:val="center"/>
            <w:hideMark/>
          </w:tcPr>
          <w:p w14:paraId="3850B18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000000" w:fill="E7E6E6"/>
            <w:noWrap/>
            <w:vAlign w:val="center"/>
            <w:hideMark/>
          </w:tcPr>
          <w:p w14:paraId="0AB6897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4,550</w:t>
            </w:r>
          </w:p>
        </w:tc>
      </w:tr>
      <w:tr w:rsidR="005C5CED" w:rsidRPr="005C5CED" w14:paraId="73879B6D" w14:textId="77777777" w:rsidTr="008214F9">
        <w:trPr>
          <w:trHeight w:val="372"/>
        </w:trPr>
        <w:tc>
          <w:tcPr>
            <w:tcW w:w="2858" w:type="dxa"/>
            <w:tcBorders>
              <w:top w:val="nil"/>
              <w:left w:val="nil"/>
              <w:bottom w:val="nil"/>
              <w:right w:val="nil"/>
            </w:tcBorders>
            <w:shd w:val="clear" w:color="auto" w:fill="auto"/>
            <w:noWrap/>
            <w:vAlign w:val="center"/>
            <w:hideMark/>
          </w:tcPr>
          <w:p w14:paraId="0A57AD16"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Lease liabilities</w:t>
            </w:r>
          </w:p>
        </w:tc>
        <w:tc>
          <w:tcPr>
            <w:tcW w:w="1050" w:type="dxa"/>
            <w:tcBorders>
              <w:top w:val="nil"/>
              <w:left w:val="nil"/>
              <w:bottom w:val="single" w:sz="4" w:space="0" w:color="auto"/>
              <w:right w:val="nil"/>
            </w:tcBorders>
            <w:shd w:val="clear" w:color="auto" w:fill="auto"/>
            <w:noWrap/>
            <w:vAlign w:val="center"/>
            <w:hideMark/>
          </w:tcPr>
          <w:p w14:paraId="6097EB6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1.84%</w:t>
            </w:r>
          </w:p>
        </w:tc>
        <w:tc>
          <w:tcPr>
            <w:tcW w:w="881" w:type="dxa"/>
            <w:tcBorders>
              <w:top w:val="nil"/>
              <w:left w:val="nil"/>
              <w:bottom w:val="nil"/>
              <w:right w:val="nil"/>
            </w:tcBorders>
            <w:shd w:val="clear" w:color="000000" w:fill="E7E6E6"/>
            <w:noWrap/>
            <w:vAlign w:val="center"/>
            <w:hideMark/>
          </w:tcPr>
          <w:p w14:paraId="3F2F848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18,785</w:t>
            </w:r>
          </w:p>
        </w:tc>
        <w:tc>
          <w:tcPr>
            <w:tcW w:w="1480" w:type="dxa"/>
            <w:tcBorders>
              <w:top w:val="nil"/>
              <w:left w:val="nil"/>
              <w:bottom w:val="nil"/>
              <w:right w:val="nil"/>
            </w:tcBorders>
            <w:shd w:val="clear" w:color="000000" w:fill="E7E6E6"/>
            <w:noWrap/>
            <w:vAlign w:val="center"/>
            <w:hideMark/>
          </w:tcPr>
          <w:p w14:paraId="1CFCC16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18,785</w:t>
            </w:r>
          </w:p>
        </w:tc>
        <w:tc>
          <w:tcPr>
            <w:tcW w:w="1231" w:type="dxa"/>
            <w:tcBorders>
              <w:top w:val="nil"/>
              <w:left w:val="nil"/>
              <w:bottom w:val="nil"/>
              <w:right w:val="nil"/>
            </w:tcBorders>
            <w:shd w:val="clear" w:color="000000" w:fill="E7E6E6"/>
            <w:noWrap/>
            <w:vAlign w:val="center"/>
            <w:hideMark/>
          </w:tcPr>
          <w:p w14:paraId="2795793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063" w:type="dxa"/>
            <w:tcBorders>
              <w:top w:val="nil"/>
              <w:left w:val="nil"/>
              <w:bottom w:val="nil"/>
              <w:right w:val="nil"/>
            </w:tcBorders>
            <w:shd w:val="clear" w:color="000000" w:fill="E7E6E6"/>
            <w:noWrap/>
            <w:vAlign w:val="center"/>
            <w:hideMark/>
          </w:tcPr>
          <w:p w14:paraId="2C59290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0873517A" w14:textId="77777777" w:rsidTr="008214F9">
        <w:trPr>
          <w:trHeight w:val="372"/>
        </w:trPr>
        <w:tc>
          <w:tcPr>
            <w:tcW w:w="2858" w:type="dxa"/>
            <w:tcBorders>
              <w:top w:val="single" w:sz="4" w:space="0" w:color="auto"/>
              <w:left w:val="nil"/>
              <w:bottom w:val="single" w:sz="4" w:space="0" w:color="auto"/>
              <w:right w:val="nil"/>
            </w:tcBorders>
            <w:shd w:val="clear" w:color="auto" w:fill="auto"/>
            <w:noWrap/>
            <w:vAlign w:val="center"/>
            <w:hideMark/>
          </w:tcPr>
          <w:p w14:paraId="3462930B"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financial liabilities</w:t>
            </w:r>
          </w:p>
        </w:tc>
        <w:tc>
          <w:tcPr>
            <w:tcW w:w="1050" w:type="dxa"/>
            <w:tcBorders>
              <w:top w:val="nil"/>
              <w:left w:val="nil"/>
              <w:bottom w:val="single" w:sz="4" w:space="0" w:color="auto"/>
              <w:right w:val="nil"/>
            </w:tcBorders>
            <w:shd w:val="clear" w:color="auto" w:fill="auto"/>
            <w:noWrap/>
            <w:vAlign w:val="center"/>
            <w:hideMark/>
          </w:tcPr>
          <w:p w14:paraId="44AFDCF2"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881" w:type="dxa"/>
            <w:tcBorders>
              <w:top w:val="single" w:sz="4" w:space="0" w:color="auto"/>
              <w:left w:val="nil"/>
              <w:bottom w:val="single" w:sz="4" w:space="0" w:color="auto"/>
              <w:right w:val="nil"/>
            </w:tcBorders>
            <w:shd w:val="clear" w:color="000000" w:fill="E7E6E6"/>
            <w:noWrap/>
            <w:vAlign w:val="center"/>
            <w:hideMark/>
          </w:tcPr>
          <w:p w14:paraId="29BC027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23,335</w:t>
            </w:r>
          </w:p>
        </w:tc>
        <w:tc>
          <w:tcPr>
            <w:tcW w:w="1480" w:type="dxa"/>
            <w:tcBorders>
              <w:top w:val="single" w:sz="4" w:space="0" w:color="auto"/>
              <w:left w:val="nil"/>
              <w:bottom w:val="single" w:sz="4" w:space="0" w:color="auto"/>
              <w:right w:val="nil"/>
            </w:tcBorders>
            <w:shd w:val="clear" w:color="000000" w:fill="E7E6E6"/>
            <w:noWrap/>
            <w:vAlign w:val="center"/>
            <w:hideMark/>
          </w:tcPr>
          <w:p w14:paraId="2CB82F5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18,785</w:t>
            </w:r>
          </w:p>
        </w:tc>
        <w:tc>
          <w:tcPr>
            <w:tcW w:w="1231" w:type="dxa"/>
            <w:tcBorders>
              <w:top w:val="single" w:sz="4" w:space="0" w:color="auto"/>
              <w:left w:val="nil"/>
              <w:bottom w:val="single" w:sz="4" w:space="0" w:color="auto"/>
              <w:right w:val="nil"/>
            </w:tcBorders>
            <w:shd w:val="clear" w:color="000000" w:fill="E7E6E6"/>
            <w:noWrap/>
            <w:vAlign w:val="center"/>
            <w:hideMark/>
          </w:tcPr>
          <w:p w14:paraId="30FC930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063" w:type="dxa"/>
            <w:tcBorders>
              <w:top w:val="single" w:sz="4" w:space="0" w:color="auto"/>
              <w:left w:val="nil"/>
              <w:bottom w:val="single" w:sz="4" w:space="0" w:color="auto"/>
              <w:right w:val="nil"/>
            </w:tcBorders>
            <w:shd w:val="clear" w:color="000000" w:fill="E7E6E6"/>
            <w:noWrap/>
            <w:vAlign w:val="center"/>
            <w:hideMark/>
          </w:tcPr>
          <w:p w14:paraId="64A0D0B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4,550</w:t>
            </w:r>
          </w:p>
        </w:tc>
      </w:tr>
    </w:tbl>
    <w:p w14:paraId="4B095EC1" w14:textId="77777777" w:rsidR="005C5CED" w:rsidRPr="005C5CED" w:rsidRDefault="005C5CED" w:rsidP="005C5CED">
      <w:pPr>
        <w:spacing w:after="60" w:line="259" w:lineRule="auto"/>
        <w:rPr>
          <w:rFonts w:eastAsia="Calibri" w:cs="Arial"/>
          <w:color w:val="auto"/>
          <w:sz w:val="16"/>
          <w:szCs w:val="16"/>
        </w:rPr>
      </w:pPr>
    </w:p>
    <w:p w14:paraId="4184FD1C"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w:t>
      </w:r>
    </w:p>
    <w:p w14:paraId="25EF03B3"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(a) The total payables disclosed here exclude statutory amounts (e.g., amounts owing to Victorian Government and GST sales tax payable).</w:t>
      </w:r>
      <w:r w:rsidRPr="005C5CED">
        <w:rPr>
          <w:rFonts w:eastAsia="Calibri" w:cs="Arial"/>
          <w:color w:val="auto"/>
          <w:sz w:val="16"/>
          <w:szCs w:val="20"/>
        </w:rPr>
        <w:br w:type="page"/>
      </w:r>
    </w:p>
    <w:p w14:paraId="5D6DAC6A" w14:textId="77777777" w:rsidR="005C5CED" w:rsidRPr="005C5CED" w:rsidRDefault="005C5CED" w:rsidP="005C5CED">
      <w:pPr>
        <w:spacing w:after="0" w:line="240" w:lineRule="auto"/>
        <w:rPr>
          <w:rFonts w:eastAsia="Calibri" w:cs="Arial"/>
          <w:i/>
          <w:iCs/>
          <w:color w:val="174F37"/>
          <w:szCs w:val="20"/>
        </w:rPr>
      </w:pPr>
      <w:r w:rsidRPr="005C5CED">
        <w:rPr>
          <w:rFonts w:eastAsia="Calibri" w:cs="Arial"/>
          <w:b/>
          <w:bCs/>
          <w:i/>
          <w:iCs/>
          <w:color w:val="174F37"/>
          <w:szCs w:val="20"/>
        </w:rPr>
        <w:lastRenderedPageBreak/>
        <w:t>Interest rate risk sensitivity</w:t>
      </w:r>
    </w:p>
    <w:tbl>
      <w:tblPr>
        <w:tblW w:w="8757" w:type="dxa"/>
        <w:tblLook w:val="04A0" w:firstRow="1" w:lastRow="0" w:firstColumn="1" w:lastColumn="0" w:noHBand="0" w:noVBand="1"/>
      </w:tblPr>
      <w:tblGrid>
        <w:gridCol w:w="2922"/>
        <w:gridCol w:w="1200"/>
        <w:gridCol w:w="1211"/>
        <w:gridCol w:w="1240"/>
        <w:gridCol w:w="1183"/>
        <w:gridCol w:w="1001"/>
      </w:tblGrid>
      <w:tr w:rsidR="005C5CED" w:rsidRPr="005C5CED" w14:paraId="30D83672" w14:textId="77777777" w:rsidTr="008214F9">
        <w:trPr>
          <w:trHeight w:val="237"/>
        </w:trPr>
        <w:tc>
          <w:tcPr>
            <w:tcW w:w="2922" w:type="dxa"/>
            <w:tcBorders>
              <w:top w:val="nil"/>
              <w:left w:val="nil"/>
              <w:bottom w:val="nil"/>
              <w:right w:val="nil"/>
            </w:tcBorders>
            <w:shd w:val="clear" w:color="000000" w:fill="000000"/>
            <w:noWrap/>
            <w:vAlign w:val="bottom"/>
            <w:hideMark/>
          </w:tcPr>
          <w:p w14:paraId="537C35CC"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200" w:type="dxa"/>
            <w:tcBorders>
              <w:top w:val="nil"/>
              <w:left w:val="nil"/>
              <w:bottom w:val="nil"/>
              <w:right w:val="nil"/>
            </w:tcBorders>
            <w:shd w:val="clear" w:color="000000" w:fill="000000"/>
            <w:noWrap/>
            <w:vAlign w:val="bottom"/>
            <w:hideMark/>
          </w:tcPr>
          <w:p w14:paraId="5F28C466"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4635" w:type="dxa"/>
            <w:gridSpan w:val="4"/>
            <w:tcBorders>
              <w:top w:val="nil"/>
              <w:left w:val="nil"/>
              <w:right w:val="nil"/>
            </w:tcBorders>
            <w:shd w:val="clear" w:color="000000" w:fill="000000"/>
            <w:vAlign w:val="bottom"/>
            <w:hideMark/>
          </w:tcPr>
          <w:p w14:paraId="3A036F79" w14:textId="77777777" w:rsidR="005C5CED" w:rsidRPr="005C5CED" w:rsidRDefault="005C5CED" w:rsidP="005C5CED">
            <w:pPr>
              <w:spacing w:after="0" w:line="240" w:lineRule="auto"/>
              <w:jc w:val="center"/>
              <w:rPr>
                <w:rFonts w:eastAsia="Times New Roman" w:cs="Arial"/>
                <w:b/>
                <w:color w:val="auto"/>
                <w:sz w:val="16"/>
                <w:szCs w:val="16"/>
                <w:lang w:eastAsia="en-AU"/>
              </w:rPr>
            </w:pPr>
            <w:r w:rsidRPr="005C5CED">
              <w:rPr>
                <w:rFonts w:eastAsia="Times New Roman" w:cs="Arial"/>
                <w:b/>
                <w:color w:val="auto"/>
                <w:sz w:val="16"/>
                <w:szCs w:val="16"/>
                <w:lang w:eastAsia="en-AU"/>
              </w:rPr>
              <w:t>Interest rate risk</w:t>
            </w:r>
          </w:p>
        </w:tc>
      </w:tr>
      <w:tr w:rsidR="005C5CED" w:rsidRPr="005C5CED" w14:paraId="631BF000" w14:textId="77777777" w:rsidTr="008214F9">
        <w:trPr>
          <w:trHeight w:val="237"/>
        </w:trPr>
        <w:tc>
          <w:tcPr>
            <w:tcW w:w="2922" w:type="dxa"/>
            <w:tcBorders>
              <w:left w:val="nil"/>
            </w:tcBorders>
            <w:shd w:val="clear" w:color="000000" w:fill="000000"/>
            <w:noWrap/>
            <w:vAlign w:val="bottom"/>
            <w:hideMark/>
          </w:tcPr>
          <w:p w14:paraId="71AD83CF"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200" w:type="dxa"/>
            <w:shd w:val="clear" w:color="000000" w:fill="000000"/>
            <w:noWrap/>
            <w:vAlign w:val="bottom"/>
            <w:hideMark/>
          </w:tcPr>
          <w:p w14:paraId="28A6989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451" w:type="dxa"/>
            <w:gridSpan w:val="2"/>
            <w:tcBorders>
              <w:bottom w:val="single" w:sz="4" w:space="0" w:color="FFFFFF"/>
            </w:tcBorders>
            <w:shd w:val="clear" w:color="000000" w:fill="000000"/>
            <w:vAlign w:val="bottom"/>
            <w:hideMark/>
          </w:tcPr>
          <w:p w14:paraId="1A3853B0" w14:textId="77777777" w:rsidR="005C5CED" w:rsidRPr="005C5CED" w:rsidRDefault="005C5CED" w:rsidP="005C5CED">
            <w:pPr>
              <w:spacing w:after="0" w:line="240" w:lineRule="auto"/>
              <w:ind w:firstLineChars="100" w:firstLine="161"/>
              <w:jc w:val="center"/>
              <w:rPr>
                <w:rFonts w:eastAsia="Times New Roman" w:cs="Arial"/>
                <w:b/>
                <w:color w:val="auto"/>
                <w:sz w:val="16"/>
                <w:szCs w:val="16"/>
                <w:lang w:eastAsia="en-AU"/>
              </w:rPr>
            </w:pPr>
            <w:r w:rsidRPr="005C5CED">
              <w:rPr>
                <w:rFonts w:eastAsia="Times New Roman" w:cs="Arial"/>
                <w:b/>
                <w:color w:val="auto"/>
                <w:sz w:val="16"/>
                <w:szCs w:val="16"/>
                <w:lang w:eastAsia="en-AU"/>
              </w:rPr>
              <w:t>+</w:t>
            </w:r>
            <w:r w:rsidRPr="005C5CED">
              <w:rPr>
                <w:rFonts w:eastAsia="Times New Roman" w:cs="Arial"/>
                <w:b/>
                <w:bCs/>
                <w:color w:val="auto"/>
                <w:sz w:val="16"/>
                <w:szCs w:val="16"/>
                <w:lang w:eastAsia="en-AU"/>
              </w:rPr>
              <w:t>25</w:t>
            </w:r>
            <w:r w:rsidRPr="005C5CED">
              <w:rPr>
                <w:rFonts w:eastAsia="Times New Roman" w:cs="Arial"/>
                <w:b/>
                <w:color w:val="auto"/>
                <w:sz w:val="16"/>
                <w:szCs w:val="16"/>
                <w:lang w:eastAsia="en-AU"/>
              </w:rPr>
              <w:t xml:space="preserve"> basis points</w:t>
            </w:r>
          </w:p>
          <w:p w14:paraId="7DEF4C51" w14:textId="77777777" w:rsidR="005C5CED" w:rsidRPr="005C5CED" w:rsidRDefault="005C5CED" w:rsidP="005C5CED">
            <w:pPr>
              <w:spacing w:after="0" w:line="240" w:lineRule="auto"/>
              <w:ind w:firstLineChars="100" w:firstLine="161"/>
              <w:jc w:val="center"/>
              <w:rPr>
                <w:rFonts w:eastAsia="Times New Roman" w:cs="Arial"/>
                <w:b/>
                <w:color w:val="auto"/>
                <w:sz w:val="16"/>
                <w:szCs w:val="16"/>
                <w:lang w:eastAsia="en-AU"/>
              </w:rPr>
            </w:pPr>
          </w:p>
        </w:tc>
        <w:tc>
          <w:tcPr>
            <w:tcW w:w="2184" w:type="dxa"/>
            <w:gridSpan w:val="2"/>
            <w:tcBorders>
              <w:bottom w:val="single" w:sz="4" w:space="0" w:color="FFFFFF"/>
            </w:tcBorders>
            <w:shd w:val="clear" w:color="000000" w:fill="000000"/>
            <w:vAlign w:val="bottom"/>
            <w:hideMark/>
          </w:tcPr>
          <w:p w14:paraId="604FC745" w14:textId="77777777" w:rsidR="005C5CED" w:rsidRPr="005C5CED" w:rsidRDefault="005C5CED" w:rsidP="005C5CED">
            <w:pPr>
              <w:spacing w:after="0" w:line="240" w:lineRule="auto"/>
              <w:ind w:firstLineChars="100" w:firstLine="161"/>
              <w:jc w:val="center"/>
              <w:rPr>
                <w:rFonts w:eastAsia="Times New Roman" w:cs="Arial"/>
                <w:b/>
                <w:color w:val="auto"/>
                <w:sz w:val="16"/>
                <w:szCs w:val="16"/>
                <w:lang w:eastAsia="en-AU"/>
              </w:rPr>
            </w:pPr>
            <w:r w:rsidRPr="005C5CED">
              <w:rPr>
                <w:rFonts w:eastAsia="Times New Roman" w:cs="Arial"/>
                <w:b/>
                <w:color w:val="auto"/>
                <w:sz w:val="16"/>
                <w:szCs w:val="16"/>
                <w:lang w:eastAsia="en-AU"/>
              </w:rPr>
              <w:t>-</w:t>
            </w:r>
            <w:r w:rsidRPr="005C5CED">
              <w:rPr>
                <w:rFonts w:eastAsia="Times New Roman" w:cs="Arial"/>
                <w:b/>
                <w:bCs/>
                <w:color w:val="auto"/>
                <w:sz w:val="16"/>
                <w:szCs w:val="16"/>
                <w:lang w:eastAsia="en-AU"/>
              </w:rPr>
              <w:t>25</w:t>
            </w:r>
            <w:r w:rsidRPr="005C5CED">
              <w:rPr>
                <w:rFonts w:eastAsia="Times New Roman" w:cs="Arial"/>
                <w:b/>
                <w:color w:val="auto"/>
                <w:sz w:val="16"/>
                <w:szCs w:val="16"/>
                <w:lang w:eastAsia="en-AU"/>
              </w:rPr>
              <w:t xml:space="preserve"> basis points</w:t>
            </w:r>
          </w:p>
          <w:p w14:paraId="6F9C880B" w14:textId="77777777" w:rsidR="005C5CED" w:rsidRPr="005C5CED" w:rsidRDefault="005C5CED" w:rsidP="005C5CED">
            <w:pPr>
              <w:spacing w:after="0" w:line="240" w:lineRule="auto"/>
              <w:ind w:firstLineChars="100" w:firstLine="161"/>
              <w:jc w:val="center"/>
              <w:rPr>
                <w:rFonts w:eastAsia="Times New Roman" w:cs="Arial"/>
                <w:b/>
                <w:color w:val="auto"/>
                <w:sz w:val="16"/>
                <w:szCs w:val="16"/>
                <w:lang w:eastAsia="en-AU"/>
              </w:rPr>
            </w:pPr>
          </w:p>
        </w:tc>
      </w:tr>
      <w:tr w:rsidR="005C5CED" w:rsidRPr="005C5CED" w14:paraId="3E71DC94" w14:textId="77777777" w:rsidTr="008214F9">
        <w:trPr>
          <w:trHeight w:val="237"/>
        </w:trPr>
        <w:tc>
          <w:tcPr>
            <w:tcW w:w="2922" w:type="dxa"/>
            <w:tcBorders>
              <w:top w:val="nil"/>
              <w:left w:val="nil"/>
              <w:bottom w:val="nil"/>
              <w:right w:val="nil"/>
            </w:tcBorders>
            <w:shd w:val="clear" w:color="000000" w:fill="000000"/>
            <w:noWrap/>
            <w:vAlign w:val="bottom"/>
            <w:hideMark/>
          </w:tcPr>
          <w:p w14:paraId="41D3205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200" w:type="dxa"/>
            <w:tcBorders>
              <w:top w:val="nil"/>
              <w:left w:val="nil"/>
              <w:bottom w:val="nil"/>
              <w:right w:val="nil"/>
            </w:tcBorders>
            <w:shd w:val="clear" w:color="000000" w:fill="000000"/>
            <w:noWrap/>
            <w:vAlign w:val="bottom"/>
            <w:hideMark/>
          </w:tcPr>
          <w:p w14:paraId="5B8BA7FA"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Carrying amount</w:t>
            </w:r>
          </w:p>
        </w:tc>
        <w:tc>
          <w:tcPr>
            <w:tcW w:w="1211" w:type="dxa"/>
            <w:tcBorders>
              <w:top w:val="single" w:sz="4" w:space="0" w:color="FFFFFF"/>
              <w:left w:val="nil"/>
              <w:bottom w:val="nil"/>
              <w:right w:val="nil"/>
            </w:tcBorders>
            <w:shd w:val="clear" w:color="000000" w:fill="000000"/>
            <w:vAlign w:val="bottom"/>
            <w:hideMark/>
          </w:tcPr>
          <w:p w14:paraId="17B818E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Net result </w:t>
            </w:r>
          </w:p>
        </w:tc>
        <w:tc>
          <w:tcPr>
            <w:tcW w:w="1239" w:type="dxa"/>
            <w:tcBorders>
              <w:top w:val="single" w:sz="4" w:space="0" w:color="FFFFFF"/>
              <w:left w:val="nil"/>
              <w:bottom w:val="nil"/>
              <w:right w:val="nil"/>
            </w:tcBorders>
            <w:shd w:val="clear" w:color="000000" w:fill="000000"/>
            <w:vAlign w:val="bottom"/>
            <w:hideMark/>
          </w:tcPr>
          <w:p w14:paraId="0C9F61A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Equity</w:t>
            </w:r>
          </w:p>
        </w:tc>
        <w:tc>
          <w:tcPr>
            <w:tcW w:w="1183" w:type="dxa"/>
            <w:tcBorders>
              <w:top w:val="single" w:sz="4" w:space="0" w:color="FFFFFF"/>
              <w:left w:val="nil"/>
              <w:bottom w:val="nil"/>
              <w:right w:val="nil"/>
            </w:tcBorders>
            <w:shd w:val="clear" w:color="000000" w:fill="000000"/>
            <w:vAlign w:val="bottom"/>
            <w:hideMark/>
          </w:tcPr>
          <w:p w14:paraId="59713AEC"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Net result </w:t>
            </w:r>
          </w:p>
        </w:tc>
        <w:tc>
          <w:tcPr>
            <w:tcW w:w="1000" w:type="dxa"/>
            <w:tcBorders>
              <w:top w:val="single" w:sz="4" w:space="0" w:color="FFFFFF"/>
              <w:left w:val="nil"/>
              <w:bottom w:val="nil"/>
              <w:right w:val="nil"/>
            </w:tcBorders>
            <w:shd w:val="clear" w:color="000000" w:fill="000000"/>
            <w:vAlign w:val="bottom"/>
            <w:hideMark/>
          </w:tcPr>
          <w:p w14:paraId="67EE5CFA"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Equity</w:t>
            </w:r>
          </w:p>
        </w:tc>
      </w:tr>
      <w:tr w:rsidR="005C5CED" w:rsidRPr="005C5CED" w14:paraId="60128F82" w14:textId="77777777" w:rsidTr="008214F9">
        <w:trPr>
          <w:trHeight w:val="237"/>
        </w:trPr>
        <w:tc>
          <w:tcPr>
            <w:tcW w:w="2922" w:type="dxa"/>
            <w:tcBorders>
              <w:top w:val="nil"/>
              <w:left w:val="nil"/>
              <w:bottom w:val="nil"/>
              <w:right w:val="nil"/>
            </w:tcBorders>
            <w:shd w:val="clear" w:color="000000" w:fill="000000"/>
            <w:noWrap/>
            <w:vAlign w:val="bottom"/>
            <w:hideMark/>
          </w:tcPr>
          <w:p w14:paraId="3127F9FA"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200" w:type="dxa"/>
            <w:tcBorders>
              <w:top w:val="nil"/>
              <w:left w:val="nil"/>
              <w:bottom w:val="nil"/>
              <w:right w:val="nil"/>
            </w:tcBorders>
            <w:shd w:val="clear" w:color="000000" w:fill="000000"/>
            <w:noWrap/>
            <w:vAlign w:val="bottom"/>
            <w:hideMark/>
          </w:tcPr>
          <w:p w14:paraId="65ADA7FC"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11" w:type="dxa"/>
            <w:tcBorders>
              <w:top w:val="nil"/>
              <w:left w:val="nil"/>
              <w:bottom w:val="nil"/>
              <w:right w:val="nil"/>
            </w:tcBorders>
            <w:shd w:val="clear" w:color="000000" w:fill="000000"/>
            <w:noWrap/>
            <w:vAlign w:val="bottom"/>
            <w:hideMark/>
          </w:tcPr>
          <w:p w14:paraId="5212694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39" w:type="dxa"/>
            <w:tcBorders>
              <w:top w:val="nil"/>
              <w:left w:val="nil"/>
              <w:bottom w:val="nil"/>
              <w:right w:val="nil"/>
            </w:tcBorders>
            <w:shd w:val="clear" w:color="000000" w:fill="000000"/>
            <w:noWrap/>
            <w:vAlign w:val="bottom"/>
            <w:hideMark/>
          </w:tcPr>
          <w:p w14:paraId="275DB6D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83" w:type="dxa"/>
            <w:tcBorders>
              <w:top w:val="nil"/>
              <w:left w:val="nil"/>
              <w:bottom w:val="nil"/>
              <w:right w:val="nil"/>
            </w:tcBorders>
            <w:shd w:val="clear" w:color="000000" w:fill="000000"/>
            <w:noWrap/>
            <w:vAlign w:val="bottom"/>
            <w:hideMark/>
          </w:tcPr>
          <w:p w14:paraId="513D0F9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000" w:type="dxa"/>
            <w:tcBorders>
              <w:top w:val="nil"/>
              <w:left w:val="nil"/>
              <w:bottom w:val="nil"/>
              <w:right w:val="nil"/>
            </w:tcBorders>
            <w:shd w:val="clear" w:color="000000" w:fill="000000"/>
            <w:noWrap/>
            <w:vAlign w:val="bottom"/>
            <w:hideMark/>
          </w:tcPr>
          <w:p w14:paraId="2E8C868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764F78B8" w14:textId="77777777" w:rsidTr="008214F9">
        <w:trPr>
          <w:trHeight w:val="361"/>
        </w:trPr>
        <w:tc>
          <w:tcPr>
            <w:tcW w:w="2922" w:type="dxa"/>
            <w:tcBorders>
              <w:top w:val="nil"/>
              <w:left w:val="nil"/>
              <w:bottom w:val="nil"/>
              <w:right w:val="nil"/>
            </w:tcBorders>
            <w:shd w:val="clear" w:color="auto" w:fill="auto"/>
            <w:noWrap/>
            <w:vAlign w:val="center"/>
            <w:hideMark/>
          </w:tcPr>
          <w:p w14:paraId="4318689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200" w:type="dxa"/>
            <w:tcBorders>
              <w:top w:val="nil"/>
              <w:left w:val="nil"/>
              <w:bottom w:val="nil"/>
              <w:right w:val="nil"/>
            </w:tcBorders>
            <w:shd w:val="clear" w:color="auto" w:fill="auto"/>
            <w:noWrap/>
            <w:vAlign w:val="center"/>
            <w:hideMark/>
          </w:tcPr>
          <w:p w14:paraId="1A710DB9"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211" w:type="dxa"/>
            <w:tcBorders>
              <w:top w:val="nil"/>
              <w:left w:val="nil"/>
              <w:bottom w:val="nil"/>
              <w:right w:val="nil"/>
            </w:tcBorders>
            <w:shd w:val="clear" w:color="auto" w:fill="auto"/>
            <w:noWrap/>
            <w:vAlign w:val="center"/>
            <w:hideMark/>
          </w:tcPr>
          <w:p w14:paraId="7E2833C4"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9" w:type="dxa"/>
            <w:tcBorders>
              <w:top w:val="nil"/>
              <w:left w:val="nil"/>
              <w:bottom w:val="nil"/>
              <w:right w:val="nil"/>
            </w:tcBorders>
            <w:shd w:val="clear" w:color="auto" w:fill="auto"/>
            <w:noWrap/>
            <w:vAlign w:val="center"/>
            <w:hideMark/>
          </w:tcPr>
          <w:p w14:paraId="6756E3EE" w14:textId="77777777" w:rsidR="005C5CED" w:rsidRPr="005C5CED" w:rsidRDefault="005C5CED" w:rsidP="005C5CED">
            <w:pPr>
              <w:spacing w:after="0" w:line="240" w:lineRule="auto"/>
              <w:jc w:val="right"/>
              <w:rPr>
                <w:rFonts w:eastAsia="Times New Roman" w:cs="Arial"/>
                <w:color w:val="auto"/>
                <w:szCs w:val="20"/>
                <w:lang w:eastAsia="en-AU"/>
              </w:rPr>
            </w:pPr>
          </w:p>
        </w:tc>
        <w:tc>
          <w:tcPr>
            <w:tcW w:w="1183" w:type="dxa"/>
            <w:tcBorders>
              <w:top w:val="nil"/>
              <w:left w:val="nil"/>
              <w:bottom w:val="nil"/>
              <w:right w:val="nil"/>
            </w:tcBorders>
            <w:shd w:val="clear" w:color="auto" w:fill="auto"/>
            <w:noWrap/>
            <w:vAlign w:val="center"/>
            <w:hideMark/>
          </w:tcPr>
          <w:p w14:paraId="0B7319E0" w14:textId="77777777" w:rsidR="005C5CED" w:rsidRPr="005C5CED" w:rsidRDefault="005C5CED" w:rsidP="005C5CED">
            <w:pPr>
              <w:spacing w:after="0" w:line="240" w:lineRule="auto"/>
              <w:jc w:val="right"/>
              <w:rPr>
                <w:rFonts w:eastAsia="Times New Roman" w:cs="Arial"/>
                <w:color w:val="auto"/>
                <w:szCs w:val="20"/>
                <w:lang w:eastAsia="en-AU"/>
              </w:rPr>
            </w:pPr>
          </w:p>
        </w:tc>
        <w:tc>
          <w:tcPr>
            <w:tcW w:w="1000" w:type="dxa"/>
            <w:tcBorders>
              <w:top w:val="nil"/>
              <w:left w:val="nil"/>
              <w:bottom w:val="nil"/>
              <w:right w:val="nil"/>
            </w:tcBorders>
            <w:shd w:val="clear" w:color="auto" w:fill="auto"/>
            <w:noWrap/>
            <w:vAlign w:val="center"/>
            <w:hideMark/>
          </w:tcPr>
          <w:p w14:paraId="59B455E1"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1BD5A33E" w14:textId="77777777" w:rsidTr="008214F9">
        <w:trPr>
          <w:trHeight w:val="361"/>
        </w:trPr>
        <w:tc>
          <w:tcPr>
            <w:tcW w:w="2922" w:type="dxa"/>
            <w:tcBorders>
              <w:top w:val="nil"/>
              <w:left w:val="nil"/>
              <w:bottom w:val="nil"/>
              <w:right w:val="nil"/>
            </w:tcBorders>
            <w:shd w:val="clear" w:color="auto" w:fill="auto"/>
            <w:noWrap/>
            <w:vAlign w:val="center"/>
            <w:hideMark/>
          </w:tcPr>
          <w:p w14:paraId="61D71ED5"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Contractual financial assets</w:t>
            </w:r>
          </w:p>
        </w:tc>
        <w:tc>
          <w:tcPr>
            <w:tcW w:w="1200" w:type="dxa"/>
            <w:tcBorders>
              <w:top w:val="nil"/>
              <w:left w:val="nil"/>
              <w:bottom w:val="nil"/>
              <w:right w:val="nil"/>
            </w:tcBorders>
            <w:shd w:val="clear" w:color="auto" w:fill="auto"/>
            <w:noWrap/>
            <w:vAlign w:val="center"/>
            <w:hideMark/>
          </w:tcPr>
          <w:p w14:paraId="14C6B21D"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p>
        </w:tc>
        <w:tc>
          <w:tcPr>
            <w:tcW w:w="1211" w:type="dxa"/>
            <w:tcBorders>
              <w:top w:val="nil"/>
              <w:left w:val="nil"/>
              <w:bottom w:val="nil"/>
              <w:right w:val="nil"/>
            </w:tcBorders>
            <w:shd w:val="clear" w:color="auto" w:fill="auto"/>
            <w:noWrap/>
            <w:vAlign w:val="center"/>
            <w:hideMark/>
          </w:tcPr>
          <w:p w14:paraId="25ABC91F"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9" w:type="dxa"/>
            <w:tcBorders>
              <w:top w:val="nil"/>
              <w:left w:val="nil"/>
              <w:bottom w:val="nil"/>
              <w:right w:val="nil"/>
            </w:tcBorders>
            <w:shd w:val="clear" w:color="auto" w:fill="auto"/>
            <w:noWrap/>
            <w:vAlign w:val="center"/>
            <w:hideMark/>
          </w:tcPr>
          <w:p w14:paraId="4A4F61C9" w14:textId="77777777" w:rsidR="005C5CED" w:rsidRPr="005C5CED" w:rsidRDefault="005C5CED" w:rsidP="005C5CED">
            <w:pPr>
              <w:spacing w:after="0" w:line="240" w:lineRule="auto"/>
              <w:jc w:val="right"/>
              <w:rPr>
                <w:rFonts w:eastAsia="Times New Roman" w:cs="Arial"/>
                <w:color w:val="auto"/>
                <w:szCs w:val="20"/>
                <w:lang w:eastAsia="en-AU"/>
              </w:rPr>
            </w:pPr>
          </w:p>
        </w:tc>
        <w:tc>
          <w:tcPr>
            <w:tcW w:w="1183" w:type="dxa"/>
            <w:tcBorders>
              <w:top w:val="nil"/>
              <w:left w:val="nil"/>
              <w:bottom w:val="nil"/>
              <w:right w:val="nil"/>
            </w:tcBorders>
            <w:shd w:val="clear" w:color="auto" w:fill="auto"/>
            <w:noWrap/>
            <w:vAlign w:val="center"/>
            <w:hideMark/>
          </w:tcPr>
          <w:p w14:paraId="62672659" w14:textId="77777777" w:rsidR="005C5CED" w:rsidRPr="005C5CED" w:rsidRDefault="005C5CED" w:rsidP="005C5CED">
            <w:pPr>
              <w:spacing w:after="0" w:line="240" w:lineRule="auto"/>
              <w:jc w:val="right"/>
              <w:rPr>
                <w:rFonts w:eastAsia="Times New Roman" w:cs="Arial"/>
                <w:color w:val="auto"/>
                <w:szCs w:val="20"/>
                <w:lang w:eastAsia="en-AU"/>
              </w:rPr>
            </w:pPr>
          </w:p>
        </w:tc>
        <w:tc>
          <w:tcPr>
            <w:tcW w:w="1000" w:type="dxa"/>
            <w:tcBorders>
              <w:top w:val="nil"/>
              <w:left w:val="nil"/>
              <w:bottom w:val="nil"/>
              <w:right w:val="nil"/>
            </w:tcBorders>
            <w:shd w:val="clear" w:color="auto" w:fill="auto"/>
            <w:noWrap/>
            <w:vAlign w:val="center"/>
            <w:hideMark/>
          </w:tcPr>
          <w:p w14:paraId="2A37055E"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3537EAB0" w14:textId="77777777" w:rsidTr="008214F9">
        <w:trPr>
          <w:trHeight w:val="361"/>
        </w:trPr>
        <w:tc>
          <w:tcPr>
            <w:tcW w:w="2922" w:type="dxa"/>
            <w:tcBorders>
              <w:top w:val="nil"/>
              <w:left w:val="nil"/>
              <w:bottom w:val="nil"/>
              <w:right w:val="nil"/>
            </w:tcBorders>
            <w:shd w:val="clear" w:color="auto" w:fill="auto"/>
            <w:noWrap/>
            <w:vAlign w:val="center"/>
            <w:hideMark/>
          </w:tcPr>
          <w:p w14:paraId="6DE44EEC"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200" w:type="dxa"/>
            <w:tcBorders>
              <w:top w:val="nil"/>
              <w:left w:val="nil"/>
              <w:bottom w:val="nil"/>
              <w:right w:val="nil"/>
            </w:tcBorders>
            <w:shd w:val="clear" w:color="auto" w:fill="auto"/>
            <w:noWrap/>
            <w:vAlign w:val="center"/>
          </w:tcPr>
          <w:p w14:paraId="6AB4A5E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79,141</w:t>
            </w:r>
          </w:p>
        </w:tc>
        <w:tc>
          <w:tcPr>
            <w:tcW w:w="1211" w:type="dxa"/>
            <w:tcBorders>
              <w:top w:val="nil"/>
              <w:left w:val="nil"/>
              <w:bottom w:val="nil"/>
              <w:right w:val="nil"/>
            </w:tcBorders>
            <w:shd w:val="clear" w:color="auto" w:fill="auto"/>
            <w:noWrap/>
            <w:vAlign w:val="center"/>
          </w:tcPr>
          <w:p w14:paraId="2F4E480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(198)</w:t>
            </w:r>
          </w:p>
        </w:tc>
        <w:tc>
          <w:tcPr>
            <w:tcW w:w="1239" w:type="dxa"/>
            <w:tcBorders>
              <w:top w:val="nil"/>
              <w:left w:val="nil"/>
              <w:bottom w:val="nil"/>
              <w:right w:val="nil"/>
            </w:tcBorders>
            <w:shd w:val="clear" w:color="auto" w:fill="auto"/>
            <w:noWrap/>
            <w:vAlign w:val="center"/>
          </w:tcPr>
          <w:p w14:paraId="692EAAC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(198)</w:t>
            </w:r>
          </w:p>
        </w:tc>
        <w:tc>
          <w:tcPr>
            <w:tcW w:w="1183" w:type="dxa"/>
            <w:tcBorders>
              <w:top w:val="nil"/>
              <w:left w:val="nil"/>
              <w:bottom w:val="nil"/>
              <w:right w:val="nil"/>
            </w:tcBorders>
            <w:shd w:val="clear" w:color="auto" w:fill="auto"/>
            <w:noWrap/>
            <w:vAlign w:val="center"/>
          </w:tcPr>
          <w:p w14:paraId="3E59A95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198</w:t>
            </w:r>
          </w:p>
        </w:tc>
        <w:tc>
          <w:tcPr>
            <w:tcW w:w="1000" w:type="dxa"/>
            <w:tcBorders>
              <w:top w:val="nil"/>
              <w:left w:val="nil"/>
              <w:bottom w:val="nil"/>
              <w:right w:val="nil"/>
            </w:tcBorders>
            <w:shd w:val="clear" w:color="auto" w:fill="auto"/>
            <w:noWrap/>
            <w:vAlign w:val="center"/>
          </w:tcPr>
          <w:p w14:paraId="10C373A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198</w:t>
            </w:r>
          </w:p>
        </w:tc>
      </w:tr>
      <w:tr w:rsidR="005C5CED" w:rsidRPr="005C5CED" w14:paraId="63F8DE76" w14:textId="77777777" w:rsidTr="008214F9">
        <w:trPr>
          <w:trHeight w:val="361"/>
        </w:trPr>
        <w:tc>
          <w:tcPr>
            <w:tcW w:w="2922" w:type="dxa"/>
            <w:tcBorders>
              <w:top w:val="nil"/>
              <w:left w:val="nil"/>
              <w:bottom w:val="nil"/>
              <w:right w:val="nil"/>
            </w:tcBorders>
            <w:shd w:val="clear" w:color="auto" w:fill="auto"/>
            <w:noWrap/>
            <w:vAlign w:val="center"/>
            <w:hideMark/>
          </w:tcPr>
          <w:p w14:paraId="3D333DCD"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1200" w:type="dxa"/>
            <w:tcBorders>
              <w:top w:val="nil"/>
              <w:left w:val="nil"/>
              <w:bottom w:val="single" w:sz="4" w:space="0" w:color="auto"/>
              <w:right w:val="nil"/>
            </w:tcBorders>
            <w:shd w:val="clear" w:color="auto" w:fill="auto"/>
            <w:noWrap/>
            <w:vAlign w:val="center"/>
          </w:tcPr>
          <w:p w14:paraId="71D6AF7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w:t>
            </w:r>
          </w:p>
        </w:tc>
        <w:tc>
          <w:tcPr>
            <w:tcW w:w="1211" w:type="dxa"/>
            <w:tcBorders>
              <w:top w:val="nil"/>
              <w:left w:val="nil"/>
              <w:bottom w:val="nil"/>
              <w:right w:val="nil"/>
            </w:tcBorders>
            <w:shd w:val="clear" w:color="auto" w:fill="auto"/>
            <w:noWrap/>
            <w:vAlign w:val="center"/>
          </w:tcPr>
          <w:p w14:paraId="5416922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c>
          <w:tcPr>
            <w:tcW w:w="1239" w:type="dxa"/>
            <w:tcBorders>
              <w:top w:val="nil"/>
              <w:left w:val="nil"/>
              <w:bottom w:val="nil"/>
              <w:right w:val="nil"/>
            </w:tcBorders>
            <w:shd w:val="clear" w:color="auto" w:fill="auto"/>
            <w:noWrap/>
            <w:vAlign w:val="center"/>
          </w:tcPr>
          <w:p w14:paraId="00F253F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c>
          <w:tcPr>
            <w:tcW w:w="1183" w:type="dxa"/>
            <w:tcBorders>
              <w:top w:val="nil"/>
              <w:left w:val="nil"/>
              <w:bottom w:val="nil"/>
              <w:right w:val="nil"/>
            </w:tcBorders>
            <w:shd w:val="clear" w:color="auto" w:fill="auto"/>
            <w:noWrap/>
            <w:vAlign w:val="center"/>
          </w:tcPr>
          <w:p w14:paraId="6B8BE42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c>
          <w:tcPr>
            <w:tcW w:w="1000" w:type="dxa"/>
            <w:tcBorders>
              <w:top w:val="nil"/>
              <w:left w:val="nil"/>
              <w:bottom w:val="nil"/>
              <w:right w:val="nil"/>
            </w:tcBorders>
            <w:shd w:val="clear" w:color="auto" w:fill="auto"/>
            <w:noWrap/>
            <w:vAlign w:val="center"/>
          </w:tcPr>
          <w:p w14:paraId="70BB7EB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r>
      <w:tr w:rsidR="005C5CED" w:rsidRPr="005C5CED" w14:paraId="3CC6E4E3" w14:textId="77777777" w:rsidTr="008214F9">
        <w:trPr>
          <w:trHeight w:val="361"/>
        </w:trPr>
        <w:tc>
          <w:tcPr>
            <w:tcW w:w="2922" w:type="dxa"/>
            <w:tcBorders>
              <w:top w:val="single" w:sz="4" w:space="0" w:color="auto"/>
              <w:left w:val="nil"/>
              <w:bottom w:val="single" w:sz="4" w:space="0" w:color="auto"/>
              <w:right w:val="nil"/>
            </w:tcBorders>
            <w:shd w:val="clear" w:color="auto" w:fill="auto"/>
            <w:noWrap/>
            <w:vAlign w:val="center"/>
            <w:hideMark/>
          </w:tcPr>
          <w:p w14:paraId="5D7B46AF"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impact</w:t>
            </w:r>
          </w:p>
        </w:tc>
        <w:tc>
          <w:tcPr>
            <w:tcW w:w="1200" w:type="dxa"/>
            <w:tcBorders>
              <w:top w:val="nil"/>
              <w:left w:val="nil"/>
              <w:bottom w:val="single" w:sz="4" w:space="0" w:color="auto"/>
              <w:right w:val="nil"/>
            </w:tcBorders>
            <w:shd w:val="clear" w:color="auto" w:fill="auto"/>
            <w:noWrap/>
            <w:vAlign w:val="center"/>
          </w:tcPr>
          <w:p w14:paraId="5D537E0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79,541</w:t>
            </w:r>
          </w:p>
        </w:tc>
        <w:tc>
          <w:tcPr>
            <w:tcW w:w="1211" w:type="dxa"/>
            <w:tcBorders>
              <w:top w:val="single" w:sz="4" w:space="0" w:color="auto"/>
              <w:left w:val="nil"/>
              <w:bottom w:val="single" w:sz="4" w:space="0" w:color="auto"/>
              <w:right w:val="nil"/>
            </w:tcBorders>
            <w:shd w:val="clear" w:color="auto" w:fill="auto"/>
            <w:noWrap/>
            <w:vAlign w:val="center"/>
          </w:tcPr>
          <w:p w14:paraId="671736F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(199)</w:t>
            </w:r>
          </w:p>
        </w:tc>
        <w:tc>
          <w:tcPr>
            <w:tcW w:w="1239" w:type="dxa"/>
            <w:tcBorders>
              <w:top w:val="single" w:sz="4" w:space="0" w:color="auto"/>
              <w:left w:val="nil"/>
              <w:bottom w:val="single" w:sz="4" w:space="0" w:color="auto"/>
              <w:right w:val="nil"/>
            </w:tcBorders>
            <w:shd w:val="clear" w:color="auto" w:fill="auto"/>
            <w:noWrap/>
            <w:vAlign w:val="center"/>
          </w:tcPr>
          <w:p w14:paraId="00A5CE0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(199)</w:t>
            </w:r>
          </w:p>
        </w:tc>
        <w:tc>
          <w:tcPr>
            <w:tcW w:w="1183" w:type="dxa"/>
            <w:tcBorders>
              <w:top w:val="single" w:sz="4" w:space="0" w:color="auto"/>
              <w:left w:val="nil"/>
              <w:bottom w:val="single" w:sz="4" w:space="0" w:color="auto"/>
              <w:right w:val="nil"/>
            </w:tcBorders>
            <w:shd w:val="clear" w:color="auto" w:fill="auto"/>
            <w:noWrap/>
            <w:vAlign w:val="center"/>
          </w:tcPr>
          <w:p w14:paraId="73DD798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199</w:t>
            </w:r>
          </w:p>
        </w:tc>
        <w:tc>
          <w:tcPr>
            <w:tcW w:w="1000" w:type="dxa"/>
            <w:tcBorders>
              <w:top w:val="single" w:sz="4" w:space="0" w:color="auto"/>
              <w:left w:val="nil"/>
              <w:bottom w:val="single" w:sz="4" w:space="0" w:color="auto"/>
              <w:right w:val="nil"/>
            </w:tcBorders>
            <w:shd w:val="clear" w:color="auto" w:fill="auto"/>
            <w:noWrap/>
            <w:vAlign w:val="center"/>
          </w:tcPr>
          <w:p w14:paraId="128CC0A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199</w:t>
            </w:r>
          </w:p>
        </w:tc>
      </w:tr>
      <w:tr w:rsidR="005C5CED" w:rsidRPr="005C5CED" w14:paraId="52850E9E" w14:textId="77777777" w:rsidTr="008214F9">
        <w:trPr>
          <w:trHeight w:val="237"/>
        </w:trPr>
        <w:tc>
          <w:tcPr>
            <w:tcW w:w="2922" w:type="dxa"/>
            <w:tcBorders>
              <w:left w:val="nil"/>
            </w:tcBorders>
            <w:shd w:val="clear" w:color="000000" w:fill="000000"/>
            <w:noWrap/>
            <w:vAlign w:val="bottom"/>
            <w:hideMark/>
          </w:tcPr>
          <w:p w14:paraId="3547B0BB"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200" w:type="dxa"/>
            <w:shd w:val="clear" w:color="000000" w:fill="000000"/>
            <w:noWrap/>
            <w:vAlign w:val="bottom"/>
            <w:hideMark/>
          </w:tcPr>
          <w:p w14:paraId="1A53CEBA"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451" w:type="dxa"/>
            <w:gridSpan w:val="2"/>
            <w:tcBorders>
              <w:bottom w:val="single" w:sz="4" w:space="0" w:color="FFFFFF"/>
            </w:tcBorders>
            <w:shd w:val="clear" w:color="000000" w:fill="000000"/>
            <w:vAlign w:val="bottom"/>
            <w:hideMark/>
          </w:tcPr>
          <w:p w14:paraId="1C2E726A" w14:textId="77777777" w:rsidR="005C5CED" w:rsidRPr="005C5CED" w:rsidRDefault="005C5CED" w:rsidP="005C5CED">
            <w:pPr>
              <w:spacing w:after="0" w:line="240" w:lineRule="auto"/>
              <w:ind w:firstLineChars="100" w:firstLine="161"/>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+200 basis points</w:t>
            </w:r>
          </w:p>
          <w:p w14:paraId="3CE812DE" w14:textId="77777777" w:rsidR="005C5CED" w:rsidRPr="005C5CED" w:rsidRDefault="005C5CED" w:rsidP="005C5CED">
            <w:pPr>
              <w:spacing w:after="0" w:line="240" w:lineRule="auto"/>
              <w:ind w:firstLineChars="100" w:firstLine="161"/>
              <w:jc w:val="center"/>
              <w:rPr>
                <w:rFonts w:eastAsia="Times New Roman" w:cs="Arial"/>
                <w:b/>
                <w:bCs/>
                <w:color w:val="FFFFFF"/>
                <w:sz w:val="16"/>
                <w:szCs w:val="16"/>
                <w:lang w:eastAsia="en-AU"/>
              </w:rPr>
            </w:pPr>
          </w:p>
        </w:tc>
        <w:tc>
          <w:tcPr>
            <w:tcW w:w="2184" w:type="dxa"/>
            <w:gridSpan w:val="2"/>
            <w:tcBorders>
              <w:bottom w:val="single" w:sz="4" w:space="0" w:color="FFFFFF"/>
            </w:tcBorders>
            <w:shd w:val="clear" w:color="000000" w:fill="000000"/>
            <w:vAlign w:val="bottom"/>
            <w:hideMark/>
          </w:tcPr>
          <w:p w14:paraId="2E2897A1" w14:textId="77777777" w:rsidR="005C5CED" w:rsidRPr="005C5CED" w:rsidRDefault="005C5CED" w:rsidP="005C5CED">
            <w:pPr>
              <w:spacing w:after="0" w:line="240" w:lineRule="auto"/>
              <w:ind w:firstLineChars="100" w:firstLine="161"/>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-200 basis points</w:t>
            </w:r>
          </w:p>
          <w:p w14:paraId="664DD22E" w14:textId="77777777" w:rsidR="005C5CED" w:rsidRPr="005C5CED" w:rsidRDefault="005C5CED" w:rsidP="005C5CED">
            <w:pPr>
              <w:spacing w:after="0" w:line="240" w:lineRule="auto"/>
              <w:ind w:firstLineChars="100" w:firstLine="161"/>
              <w:jc w:val="center"/>
              <w:rPr>
                <w:rFonts w:eastAsia="Times New Roman" w:cs="Arial"/>
                <w:b/>
                <w:bCs/>
                <w:color w:val="FFFFFF"/>
                <w:sz w:val="16"/>
                <w:szCs w:val="16"/>
                <w:lang w:eastAsia="en-AU"/>
              </w:rPr>
            </w:pPr>
          </w:p>
        </w:tc>
      </w:tr>
      <w:tr w:rsidR="005C5CED" w:rsidRPr="005C5CED" w14:paraId="47F31AE5" w14:textId="77777777" w:rsidTr="008214F9">
        <w:trPr>
          <w:trHeight w:val="361"/>
        </w:trPr>
        <w:tc>
          <w:tcPr>
            <w:tcW w:w="2922" w:type="dxa"/>
            <w:tcBorders>
              <w:top w:val="nil"/>
              <w:left w:val="nil"/>
              <w:bottom w:val="nil"/>
              <w:right w:val="nil"/>
            </w:tcBorders>
            <w:shd w:val="clear" w:color="auto" w:fill="auto"/>
            <w:noWrap/>
            <w:vAlign w:val="center"/>
            <w:hideMark/>
          </w:tcPr>
          <w:p w14:paraId="558EB06B"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200" w:type="dxa"/>
            <w:tcBorders>
              <w:top w:val="nil"/>
              <w:left w:val="nil"/>
              <w:bottom w:val="nil"/>
              <w:right w:val="nil"/>
            </w:tcBorders>
            <w:shd w:val="clear" w:color="auto" w:fill="auto"/>
            <w:noWrap/>
            <w:vAlign w:val="center"/>
            <w:hideMark/>
          </w:tcPr>
          <w:p w14:paraId="5E12DDB9"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211" w:type="dxa"/>
            <w:tcBorders>
              <w:top w:val="nil"/>
              <w:left w:val="nil"/>
              <w:bottom w:val="nil"/>
              <w:right w:val="nil"/>
            </w:tcBorders>
            <w:shd w:val="clear" w:color="auto" w:fill="auto"/>
            <w:noWrap/>
            <w:vAlign w:val="center"/>
            <w:hideMark/>
          </w:tcPr>
          <w:p w14:paraId="14D0EEC8"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9" w:type="dxa"/>
            <w:tcBorders>
              <w:top w:val="nil"/>
              <w:left w:val="nil"/>
              <w:bottom w:val="nil"/>
              <w:right w:val="nil"/>
            </w:tcBorders>
            <w:shd w:val="clear" w:color="auto" w:fill="auto"/>
            <w:noWrap/>
            <w:vAlign w:val="center"/>
            <w:hideMark/>
          </w:tcPr>
          <w:p w14:paraId="2E6529B3" w14:textId="77777777" w:rsidR="005C5CED" w:rsidRPr="005C5CED" w:rsidRDefault="005C5CED" w:rsidP="005C5CED">
            <w:pPr>
              <w:spacing w:after="0" w:line="240" w:lineRule="auto"/>
              <w:jc w:val="right"/>
              <w:rPr>
                <w:rFonts w:eastAsia="Times New Roman" w:cs="Arial"/>
                <w:color w:val="auto"/>
                <w:szCs w:val="20"/>
                <w:lang w:eastAsia="en-AU"/>
              </w:rPr>
            </w:pPr>
          </w:p>
        </w:tc>
        <w:tc>
          <w:tcPr>
            <w:tcW w:w="1183" w:type="dxa"/>
            <w:tcBorders>
              <w:top w:val="nil"/>
              <w:left w:val="nil"/>
              <w:bottom w:val="nil"/>
              <w:right w:val="nil"/>
            </w:tcBorders>
            <w:shd w:val="clear" w:color="auto" w:fill="auto"/>
            <w:noWrap/>
            <w:vAlign w:val="center"/>
            <w:hideMark/>
          </w:tcPr>
          <w:p w14:paraId="79FD96F5" w14:textId="77777777" w:rsidR="005C5CED" w:rsidRPr="005C5CED" w:rsidRDefault="005C5CED" w:rsidP="005C5CED">
            <w:pPr>
              <w:spacing w:after="0" w:line="240" w:lineRule="auto"/>
              <w:jc w:val="right"/>
              <w:rPr>
                <w:rFonts w:eastAsia="Times New Roman" w:cs="Arial"/>
                <w:color w:val="auto"/>
                <w:szCs w:val="20"/>
                <w:lang w:eastAsia="en-AU"/>
              </w:rPr>
            </w:pPr>
          </w:p>
        </w:tc>
        <w:tc>
          <w:tcPr>
            <w:tcW w:w="1000" w:type="dxa"/>
            <w:tcBorders>
              <w:top w:val="nil"/>
              <w:left w:val="nil"/>
              <w:bottom w:val="nil"/>
              <w:right w:val="nil"/>
            </w:tcBorders>
            <w:shd w:val="clear" w:color="auto" w:fill="auto"/>
            <w:noWrap/>
            <w:vAlign w:val="center"/>
            <w:hideMark/>
          </w:tcPr>
          <w:p w14:paraId="10953A88"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03160841" w14:textId="77777777" w:rsidTr="008214F9">
        <w:trPr>
          <w:trHeight w:val="361"/>
        </w:trPr>
        <w:tc>
          <w:tcPr>
            <w:tcW w:w="2922" w:type="dxa"/>
            <w:tcBorders>
              <w:top w:val="nil"/>
              <w:left w:val="nil"/>
              <w:bottom w:val="nil"/>
              <w:right w:val="nil"/>
            </w:tcBorders>
            <w:shd w:val="clear" w:color="auto" w:fill="auto"/>
            <w:noWrap/>
            <w:vAlign w:val="center"/>
            <w:hideMark/>
          </w:tcPr>
          <w:p w14:paraId="545B9277"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Contractual financial assets</w:t>
            </w:r>
          </w:p>
        </w:tc>
        <w:tc>
          <w:tcPr>
            <w:tcW w:w="1200" w:type="dxa"/>
            <w:tcBorders>
              <w:top w:val="nil"/>
              <w:left w:val="nil"/>
              <w:bottom w:val="nil"/>
              <w:right w:val="nil"/>
            </w:tcBorders>
            <w:shd w:val="clear" w:color="000000" w:fill="E7E6E6"/>
            <w:noWrap/>
            <w:vAlign w:val="center"/>
            <w:hideMark/>
          </w:tcPr>
          <w:p w14:paraId="580EBFD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11" w:type="dxa"/>
            <w:tcBorders>
              <w:top w:val="nil"/>
              <w:left w:val="nil"/>
              <w:bottom w:val="nil"/>
              <w:right w:val="nil"/>
            </w:tcBorders>
            <w:shd w:val="clear" w:color="000000" w:fill="E7E6E6"/>
            <w:noWrap/>
            <w:vAlign w:val="center"/>
            <w:hideMark/>
          </w:tcPr>
          <w:p w14:paraId="48E16D9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239" w:type="dxa"/>
            <w:tcBorders>
              <w:top w:val="nil"/>
              <w:left w:val="nil"/>
              <w:bottom w:val="nil"/>
              <w:right w:val="nil"/>
            </w:tcBorders>
            <w:shd w:val="clear" w:color="000000" w:fill="E7E6E6"/>
            <w:noWrap/>
            <w:vAlign w:val="center"/>
            <w:hideMark/>
          </w:tcPr>
          <w:p w14:paraId="0B35602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183" w:type="dxa"/>
            <w:tcBorders>
              <w:top w:val="nil"/>
              <w:left w:val="nil"/>
              <w:bottom w:val="nil"/>
              <w:right w:val="nil"/>
            </w:tcBorders>
            <w:shd w:val="clear" w:color="000000" w:fill="E7E6E6"/>
            <w:noWrap/>
            <w:vAlign w:val="center"/>
            <w:hideMark/>
          </w:tcPr>
          <w:p w14:paraId="19B71B3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000" w:type="dxa"/>
            <w:tcBorders>
              <w:top w:val="nil"/>
              <w:left w:val="nil"/>
              <w:bottom w:val="nil"/>
              <w:right w:val="nil"/>
            </w:tcBorders>
            <w:shd w:val="clear" w:color="000000" w:fill="E7E6E6"/>
            <w:noWrap/>
            <w:vAlign w:val="center"/>
            <w:hideMark/>
          </w:tcPr>
          <w:p w14:paraId="209B5B9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526DB7FB" w14:textId="77777777" w:rsidTr="008214F9">
        <w:trPr>
          <w:trHeight w:val="361"/>
        </w:trPr>
        <w:tc>
          <w:tcPr>
            <w:tcW w:w="2922" w:type="dxa"/>
            <w:tcBorders>
              <w:top w:val="nil"/>
              <w:left w:val="nil"/>
              <w:bottom w:val="nil"/>
              <w:right w:val="nil"/>
            </w:tcBorders>
            <w:shd w:val="clear" w:color="auto" w:fill="auto"/>
            <w:noWrap/>
            <w:vAlign w:val="center"/>
            <w:hideMark/>
          </w:tcPr>
          <w:p w14:paraId="7F4748E7"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200" w:type="dxa"/>
            <w:tcBorders>
              <w:top w:val="nil"/>
              <w:left w:val="nil"/>
              <w:bottom w:val="nil"/>
              <w:right w:val="nil"/>
            </w:tcBorders>
            <w:shd w:val="clear" w:color="000000" w:fill="E7E6E6"/>
            <w:noWrap/>
            <w:vAlign w:val="center"/>
            <w:hideMark/>
          </w:tcPr>
          <w:p w14:paraId="6CC4B4F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71,033</w:t>
            </w:r>
          </w:p>
        </w:tc>
        <w:tc>
          <w:tcPr>
            <w:tcW w:w="1211" w:type="dxa"/>
            <w:tcBorders>
              <w:top w:val="nil"/>
              <w:left w:val="nil"/>
              <w:bottom w:val="nil"/>
              <w:right w:val="nil"/>
            </w:tcBorders>
            <w:shd w:val="clear" w:color="000000" w:fill="E7E6E6"/>
            <w:noWrap/>
            <w:vAlign w:val="center"/>
            <w:hideMark/>
          </w:tcPr>
          <w:p w14:paraId="515F39A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(1,421)</w:t>
            </w:r>
          </w:p>
        </w:tc>
        <w:tc>
          <w:tcPr>
            <w:tcW w:w="1239" w:type="dxa"/>
            <w:tcBorders>
              <w:top w:val="nil"/>
              <w:left w:val="nil"/>
              <w:bottom w:val="nil"/>
              <w:right w:val="nil"/>
            </w:tcBorders>
            <w:shd w:val="clear" w:color="000000" w:fill="E7E6E6"/>
            <w:noWrap/>
            <w:vAlign w:val="center"/>
            <w:hideMark/>
          </w:tcPr>
          <w:p w14:paraId="4D329D7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(1,421)</w:t>
            </w:r>
          </w:p>
        </w:tc>
        <w:tc>
          <w:tcPr>
            <w:tcW w:w="1183" w:type="dxa"/>
            <w:tcBorders>
              <w:top w:val="nil"/>
              <w:left w:val="nil"/>
              <w:bottom w:val="nil"/>
              <w:right w:val="nil"/>
            </w:tcBorders>
            <w:shd w:val="clear" w:color="000000" w:fill="E7E6E6"/>
            <w:noWrap/>
            <w:vAlign w:val="center"/>
            <w:hideMark/>
          </w:tcPr>
          <w:p w14:paraId="29D0D9F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1,421</w:t>
            </w:r>
          </w:p>
        </w:tc>
        <w:tc>
          <w:tcPr>
            <w:tcW w:w="1000" w:type="dxa"/>
            <w:tcBorders>
              <w:top w:val="nil"/>
              <w:left w:val="nil"/>
              <w:bottom w:val="nil"/>
              <w:right w:val="nil"/>
            </w:tcBorders>
            <w:shd w:val="clear" w:color="000000" w:fill="E7E6E6"/>
            <w:noWrap/>
            <w:vAlign w:val="center"/>
            <w:hideMark/>
          </w:tcPr>
          <w:p w14:paraId="4C46C7D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1,421</w:t>
            </w:r>
          </w:p>
        </w:tc>
      </w:tr>
      <w:tr w:rsidR="005C5CED" w:rsidRPr="005C5CED" w14:paraId="338A049C" w14:textId="77777777" w:rsidTr="008214F9">
        <w:trPr>
          <w:trHeight w:val="361"/>
        </w:trPr>
        <w:tc>
          <w:tcPr>
            <w:tcW w:w="2922" w:type="dxa"/>
            <w:tcBorders>
              <w:top w:val="nil"/>
              <w:left w:val="nil"/>
              <w:bottom w:val="nil"/>
              <w:right w:val="nil"/>
            </w:tcBorders>
            <w:shd w:val="clear" w:color="auto" w:fill="auto"/>
            <w:noWrap/>
            <w:vAlign w:val="center"/>
            <w:hideMark/>
          </w:tcPr>
          <w:p w14:paraId="56380474"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Investments and other financial assets</w:t>
            </w:r>
          </w:p>
        </w:tc>
        <w:tc>
          <w:tcPr>
            <w:tcW w:w="1200" w:type="dxa"/>
            <w:tcBorders>
              <w:top w:val="nil"/>
              <w:left w:val="nil"/>
              <w:bottom w:val="single" w:sz="4" w:space="0" w:color="auto"/>
              <w:right w:val="nil"/>
            </w:tcBorders>
            <w:shd w:val="clear" w:color="000000" w:fill="E7E6E6"/>
            <w:noWrap/>
            <w:vAlign w:val="center"/>
            <w:hideMark/>
          </w:tcPr>
          <w:p w14:paraId="3E0FC20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399</w:t>
            </w:r>
          </w:p>
        </w:tc>
        <w:tc>
          <w:tcPr>
            <w:tcW w:w="1211" w:type="dxa"/>
            <w:tcBorders>
              <w:top w:val="nil"/>
              <w:left w:val="nil"/>
              <w:bottom w:val="nil"/>
              <w:right w:val="nil"/>
            </w:tcBorders>
            <w:shd w:val="clear" w:color="000000" w:fill="E7E6E6"/>
            <w:noWrap/>
            <w:vAlign w:val="center"/>
            <w:hideMark/>
          </w:tcPr>
          <w:p w14:paraId="7D93C2A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w:t>
            </w:r>
          </w:p>
        </w:tc>
        <w:tc>
          <w:tcPr>
            <w:tcW w:w="1239" w:type="dxa"/>
            <w:tcBorders>
              <w:top w:val="nil"/>
              <w:left w:val="nil"/>
              <w:bottom w:val="nil"/>
              <w:right w:val="nil"/>
            </w:tcBorders>
            <w:shd w:val="clear" w:color="000000" w:fill="E7E6E6"/>
            <w:noWrap/>
            <w:vAlign w:val="center"/>
            <w:hideMark/>
          </w:tcPr>
          <w:p w14:paraId="28A0B79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w:t>
            </w:r>
          </w:p>
        </w:tc>
        <w:tc>
          <w:tcPr>
            <w:tcW w:w="1183" w:type="dxa"/>
            <w:tcBorders>
              <w:top w:val="nil"/>
              <w:left w:val="nil"/>
              <w:bottom w:val="nil"/>
              <w:right w:val="nil"/>
            </w:tcBorders>
            <w:shd w:val="clear" w:color="000000" w:fill="E7E6E6"/>
            <w:noWrap/>
            <w:vAlign w:val="center"/>
            <w:hideMark/>
          </w:tcPr>
          <w:p w14:paraId="38B0448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w:t>
            </w:r>
          </w:p>
        </w:tc>
        <w:tc>
          <w:tcPr>
            <w:tcW w:w="1000" w:type="dxa"/>
            <w:tcBorders>
              <w:top w:val="nil"/>
              <w:left w:val="nil"/>
              <w:bottom w:val="nil"/>
              <w:right w:val="nil"/>
            </w:tcBorders>
            <w:shd w:val="clear" w:color="000000" w:fill="E7E6E6"/>
            <w:noWrap/>
            <w:vAlign w:val="center"/>
            <w:hideMark/>
          </w:tcPr>
          <w:p w14:paraId="5D41774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8</w:t>
            </w:r>
          </w:p>
        </w:tc>
      </w:tr>
      <w:tr w:rsidR="005C5CED" w:rsidRPr="005C5CED" w14:paraId="274D40B9" w14:textId="77777777" w:rsidTr="008214F9">
        <w:trPr>
          <w:trHeight w:val="361"/>
        </w:trPr>
        <w:tc>
          <w:tcPr>
            <w:tcW w:w="2922" w:type="dxa"/>
            <w:tcBorders>
              <w:top w:val="single" w:sz="4" w:space="0" w:color="auto"/>
              <w:left w:val="nil"/>
              <w:bottom w:val="single" w:sz="4" w:space="0" w:color="auto"/>
              <w:right w:val="nil"/>
            </w:tcBorders>
            <w:shd w:val="clear" w:color="auto" w:fill="auto"/>
            <w:noWrap/>
            <w:vAlign w:val="center"/>
            <w:hideMark/>
          </w:tcPr>
          <w:p w14:paraId="50DFAD63"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impact</w:t>
            </w:r>
          </w:p>
        </w:tc>
        <w:tc>
          <w:tcPr>
            <w:tcW w:w="1200" w:type="dxa"/>
            <w:tcBorders>
              <w:top w:val="nil"/>
              <w:left w:val="nil"/>
              <w:bottom w:val="single" w:sz="4" w:space="0" w:color="auto"/>
              <w:right w:val="nil"/>
            </w:tcBorders>
            <w:shd w:val="clear" w:color="auto" w:fill="auto"/>
            <w:noWrap/>
            <w:vAlign w:val="center"/>
            <w:hideMark/>
          </w:tcPr>
          <w:p w14:paraId="300B8B3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71,432</w:t>
            </w:r>
          </w:p>
        </w:tc>
        <w:tc>
          <w:tcPr>
            <w:tcW w:w="1211" w:type="dxa"/>
            <w:tcBorders>
              <w:top w:val="single" w:sz="4" w:space="0" w:color="auto"/>
              <w:left w:val="nil"/>
              <w:bottom w:val="single" w:sz="4" w:space="0" w:color="auto"/>
              <w:right w:val="nil"/>
            </w:tcBorders>
            <w:shd w:val="clear" w:color="auto" w:fill="auto"/>
            <w:noWrap/>
            <w:vAlign w:val="center"/>
            <w:hideMark/>
          </w:tcPr>
          <w:p w14:paraId="45E8145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(1,429)</w:t>
            </w:r>
          </w:p>
        </w:tc>
        <w:tc>
          <w:tcPr>
            <w:tcW w:w="1239" w:type="dxa"/>
            <w:tcBorders>
              <w:top w:val="single" w:sz="4" w:space="0" w:color="auto"/>
              <w:left w:val="nil"/>
              <w:bottom w:val="single" w:sz="4" w:space="0" w:color="auto"/>
              <w:right w:val="nil"/>
            </w:tcBorders>
            <w:shd w:val="clear" w:color="auto" w:fill="auto"/>
            <w:noWrap/>
            <w:vAlign w:val="center"/>
            <w:hideMark/>
          </w:tcPr>
          <w:p w14:paraId="7362491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(1,429)</w:t>
            </w:r>
          </w:p>
        </w:tc>
        <w:tc>
          <w:tcPr>
            <w:tcW w:w="1183" w:type="dxa"/>
            <w:tcBorders>
              <w:top w:val="single" w:sz="4" w:space="0" w:color="auto"/>
              <w:left w:val="nil"/>
              <w:bottom w:val="single" w:sz="4" w:space="0" w:color="auto"/>
              <w:right w:val="nil"/>
            </w:tcBorders>
            <w:shd w:val="clear" w:color="auto" w:fill="auto"/>
            <w:noWrap/>
            <w:vAlign w:val="center"/>
            <w:hideMark/>
          </w:tcPr>
          <w:p w14:paraId="1C9BDE1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1,429</w:t>
            </w:r>
          </w:p>
        </w:tc>
        <w:tc>
          <w:tcPr>
            <w:tcW w:w="1000" w:type="dxa"/>
            <w:tcBorders>
              <w:top w:val="single" w:sz="4" w:space="0" w:color="auto"/>
              <w:left w:val="nil"/>
              <w:bottom w:val="single" w:sz="4" w:space="0" w:color="auto"/>
              <w:right w:val="nil"/>
            </w:tcBorders>
            <w:shd w:val="clear" w:color="auto" w:fill="auto"/>
            <w:noWrap/>
            <w:vAlign w:val="center"/>
            <w:hideMark/>
          </w:tcPr>
          <w:p w14:paraId="22A4CCB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1,429</w:t>
            </w:r>
          </w:p>
        </w:tc>
      </w:tr>
    </w:tbl>
    <w:p w14:paraId="59B8C94E" w14:textId="77777777" w:rsidR="005C5CED" w:rsidRPr="005C5CED" w:rsidRDefault="005C5CED" w:rsidP="005C5CED">
      <w:pPr>
        <w:spacing w:after="0" w:line="240" w:lineRule="auto"/>
        <w:rPr>
          <w:rFonts w:eastAsia="Calibri" w:cs="Arial"/>
          <w:color w:val="auto"/>
          <w:sz w:val="16"/>
          <w:szCs w:val="16"/>
        </w:rPr>
      </w:pPr>
    </w:p>
    <w:tbl>
      <w:tblPr>
        <w:tblW w:w="10843" w:type="dxa"/>
        <w:tblLook w:val="04A0" w:firstRow="1" w:lastRow="0" w:firstColumn="1" w:lastColumn="0" w:noHBand="0" w:noVBand="1"/>
      </w:tblPr>
      <w:tblGrid>
        <w:gridCol w:w="10621"/>
        <w:gridCol w:w="222"/>
      </w:tblGrid>
      <w:tr w:rsidR="005C5CED" w:rsidRPr="005C5CED" w14:paraId="51CE0079" w14:textId="77777777" w:rsidTr="0062462F">
        <w:trPr>
          <w:gridAfter w:val="1"/>
          <w:wAfter w:w="202" w:type="dxa"/>
          <w:trHeight w:val="450"/>
        </w:trPr>
        <w:tc>
          <w:tcPr>
            <w:tcW w:w="10641" w:type="dxa"/>
            <w:vMerge w:val="restart"/>
            <w:tcBorders>
              <w:top w:val="nil"/>
              <w:left w:val="nil"/>
              <w:bottom w:val="nil"/>
              <w:right w:val="nil"/>
            </w:tcBorders>
            <w:shd w:val="clear" w:color="auto" w:fill="auto"/>
            <w:vAlign w:val="bottom"/>
            <w:hideMark/>
          </w:tcPr>
          <w:p w14:paraId="210F95D9" w14:textId="77777777" w:rsidR="005C5CED" w:rsidRPr="005C5CED" w:rsidRDefault="005C5CED" w:rsidP="008214F9">
            <w:pPr>
              <w:spacing w:line="259" w:lineRule="auto"/>
              <w:ind w:left="-113" w:right="1725"/>
              <w:rPr>
                <w:rFonts w:eastAsia="Calibri" w:cs="Arial"/>
                <w:bCs/>
                <w:i/>
                <w:color w:val="174F37"/>
              </w:rPr>
            </w:pPr>
            <w:r w:rsidRPr="005C5CED">
              <w:rPr>
                <w:rFonts w:eastAsia="Calibri" w:cs="Arial"/>
                <w:color w:val="auto"/>
              </w:rPr>
              <w:t>Cash and deposits include a deposit of $79,140,986 (2023: $71,032,829) that is exposed to floating rates movements. Sensitivities to these movements are calculated as follows: 2024: $79,140,986 x 0.002 = $197,852 and 2023: $71,032,829 x 0.02 = $1,420,657</w:t>
            </w:r>
          </w:p>
          <w:p w14:paraId="6DF45782" w14:textId="77777777" w:rsidR="005C5CED" w:rsidRPr="005C5CED" w:rsidRDefault="005C5CED" w:rsidP="008214F9">
            <w:pPr>
              <w:spacing w:line="259" w:lineRule="auto"/>
              <w:ind w:left="-113" w:right="1300"/>
              <w:rPr>
                <w:rFonts w:eastAsia="Calibri" w:cs="Arial"/>
                <w:i/>
                <w:iCs/>
                <w:color w:val="174F37"/>
              </w:rPr>
            </w:pPr>
            <w:r w:rsidRPr="005C5CED">
              <w:rPr>
                <w:rFonts w:eastAsia="Calibri" w:cs="Arial"/>
                <w:b/>
                <w:bCs/>
                <w:i/>
                <w:iCs/>
                <w:color w:val="174F37"/>
              </w:rPr>
              <w:t>Contractual financial liabilities</w:t>
            </w:r>
            <w:r w:rsidRPr="005C5CED">
              <w:rPr>
                <w:rFonts w:eastAsia="Calibri" w:cs="Arial"/>
                <w:b/>
                <w:bCs/>
                <w:i/>
                <w:iCs/>
                <w:color w:val="174F37"/>
              </w:rPr>
              <w:br/>
            </w:r>
            <w:r w:rsidRPr="005C5CED">
              <w:rPr>
                <w:rFonts w:eastAsia="Calibri" w:cs="Arial"/>
                <w:color w:val="auto"/>
              </w:rPr>
              <w:t xml:space="preserve">Sustainability Victoria does not hold any contractual financial liabilities which are exposed to variable interest </w:t>
            </w:r>
            <w:proofErr w:type="gramStart"/>
            <w:r w:rsidRPr="005C5CED">
              <w:rPr>
                <w:rFonts w:eastAsia="Calibri" w:cs="Arial"/>
                <w:color w:val="auto"/>
              </w:rPr>
              <w:t>rates</w:t>
            </w:r>
            <w:proofErr w:type="gramEnd"/>
            <w:r w:rsidRPr="005C5CED">
              <w:rPr>
                <w:rFonts w:eastAsia="Calibri" w:cs="Arial"/>
                <w:color w:val="auto"/>
              </w:rPr>
              <w:t xml:space="preserve"> so no sensitivity analysis is provided.</w:t>
            </w:r>
          </w:p>
        </w:tc>
      </w:tr>
      <w:tr w:rsidR="005C5CED" w:rsidRPr="005C5CED" w14:paraId="2B98A41F" w14:textId="77777777" w:rsidTr="0062462F">
        <w:trPr>
          <w:trHeight w:val="225"/>
        </w:trPr>
        <w:tc>
          <w:tcPr>
            <w:tcW w:w="10641" w:type="dxa"/>
            <w:vMerge/>
            <w:tcBorders>
              <w:top w:val="nil"/>
              <w:left w:val="nil"/>
              <w:bottom w:val="nil"/>
              <w:right w:val="nil"/>
            </w:tcBorders>
            <w:vAlign w:val="center"/>
            <w:hideMark/>
          </w:tcPr>
          <w:p w14:paraId="66F511AC" w14:textId="77777777" w:rsidR="005C5CED" w:rsidRPr="005C5CED" w:rsidRDefault="005C5CED" w:rsidP="005C5CED">
            <w:pPr>
              <w:spacing w:line="259" w:lineRule="auto"/>
              <w:rPr>
                <w:rFonts w:eastAsia="Calibri" w:cs="Arial"/>
                <w:color w:val="auto"/>
              </w:rPr>
            </w:pPr>
          </w:p>
        </w:tc>
        <w:tc>
          <w:tcPr>
            <w:tcW w:w="202" w:type="dxa"/>
            <w:tcBorders>
              <w:top w:val="nil"/>
              <w:left w:val="nil"/>
              <w:bottom w:val="nil"/>
              <w:right w:val="nil"/>
            </w:tcBorders>
            <w:shd w:val="clear" w:color="auto" w:fill="auto"/>
            <w:noWrap/>
            <w:vAlign w:val="bottom"/>
            <w:hideMark/>
          </w:tcPr>
          <w:p w14:paraId="62B3ED04" w14:textId="77777777" w:rsidR="005C5CED" w:rsidRPr="005C5CED" w:rsidRDefault="005C5CED" w:rsidP="005C5CED">
            <w:pPr>
              <w:spacing w:line="259" w:lineRule="auto"/>
              <w:rPr>
                <w:rFonts w:eastAsia="Calibri" w:cs="Arial"/>
                <w:color w:val="auto"/>
              </w:rPr>
            </w:pPr>
          </w:p>
        </w:tc>
      </w:tr>
    </w:tbl>
    <w:p w14:paraId="19DD01CC" w14:textId="77777777" w:rsidR="005C5CED" w:rsidRPr="005C5CED" w:rsidRDefault="005C5CED" w:rsidP="005C5CED">
      <w:pPr>
        <w:spacing w:line="259" w:lineRule="auto"/>
        <w:rPr>
          <w:rFonts w:eastAsia="Calibri" w:cs="Arial"/>
          <w:i/>
          <w:iCs/>
          <w:color w:val="174F37"/>
        </w:rPr>
      </w:pPr>
      <w:r w:rsidRPr="005C5CED">
        <w:rPr>
          <w:rFonts w:eastAsia="Calibri" w:cs="Arial"/>
          <w:b/>
          <w:bCs/>
          <w:i/>
          <w:iCs/>
          <w:color w:val="174F37"/>
        </w:rPr>
        <w:t>Foreign currency risk</w:t>
      </w:r>
      <w:r w:rsidRPr="005C5CED">
        <w:rPr>
          <w:rFonts w:eastAsia="Calibri" w:cs="Arial"/>
          <w:b/>
          <w:bCs/>
          <w:i/>
          <w:iCs/>
          <w:color w:val="174F37"/>
        </w:rPr>
        <w:br/>
      </w:r>
      <w:r w:rsidRPr="005C5CED">
        <w:rPr>
          <w:rFonts w:eastAsia="Calibri" w:cs="Arial"/>
          <w:color w:val="auto"/>
        </w:rPr>
        <w:t>All foreign currency transactions during the financial year are brought to account using the exchange rate in effect at the date of the transaction.</w:t>
      </w:r>
    </w:p>
    <w:p w14:paraId="4E9A9BFE"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Sustainability Victoria is exposed to foreign currency risk mainly through its payables relating to purchases of supplies and consumables from overseas. Sustainability Victoria is not exposed to any material foreign currency risk. Risk is minimal, as Sustainability Victoria has a limited </w:t>
      </w:r>
      <w:proofErr w:type="gramStart"/>
      <w:r w:rsidRPr="005C5CED">
        <w:rPr>
          <w:rFonts w:eastAsia="Calibri" w:cs="Arial"/>
          <w:color w:val="auto"/>
        </w:rPr>
        <w:t>amount</w:t>
      </w:r>
      <w:proofErr w:type="gramEnd"/>
      <w:r w:rsidRPr="005C5CED">
        <w:rPr>
          <w:rFonts w:eastAsia="Calibri" w:cs="Arial"/>
          <w:color w:val="auto"/>
        </w:rPr>
        <w:t xml:space="preserve"> of transactions denominated in foreign currencies and there is a relatively short timeframe between commitment and settlement.</w:t>
      </w:r>
    </w:p>
    <w:p w14:paraId="1C5F318C"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rPr>
        <w:t xml:space="preserve">Based on past and current assessment of economic outlook, management does not consider that it is necessary for Sustainability Victoria to </w:t>
      </w:r>
      <w:proofErr w:type="gramStart"/>
      <w:r w:rsidRPr="005C5CED">
        <w:rPr>
          <w:rFonts w:eastAsia="Calibri" w:cs="Arial"/>
          <w:color w:val="auto"/>
        </w:rPr>
        <w:t>enter into</w:t>
      </w:r>
      <w:proofErr w:type="gramEnd"/>
      <w:r w:rsidRPr="005C5CED">
        <w:rPr>
          <w:rFonts w:eastAsia="Calibri" w:cs="Arial"/>
          <w:color w:val="auto"/>
        </w:rPr>
        <w:t xml:space="preserve"> any hedging arrangements to manage the risk.</w:t>
      </w:r>
    </w:p>
    <w:p w14:paraId="0AFC8C46"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7.2 Contingent assets and contingent liabilities</w:t>
      </w:r>
    </w:p>
    <w:p w14:paraId="159E06B0"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Contingent assets and contingent liabilities are not recognised in the balance sheet, but are disclosed and if quantifiable, are measured at nominal values. Contingent assets and liabilities are presented inclusive of GST receivable or payable respectively.  </w:t>
      </w:r>
    </w:p>
    <w:p w14:paraId="6A735CAF"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t>Contingent Assets</w:t>
      </w:r>
    </w:p>
    <w:p w14:paraId="66B7A21A" w14:textId="77777777" w:rsidR="005C5CED" w:rsidRPr="005C5CED" w:rsidRDefault="005C5CED" w:rsidP="005C5CED">
      <w:pPr>
        <w:spacing w:line="259" w:lineRule="auto"/>
        <w:rPr>
          <w:rFonts w:eastAsia="Calibri" w:cs="Arial"/>
          <w:color w:val="auto"/>
        </w:rPr>
      </w:pPr>
      <w:r w:rsidRPr="005C5CED">
        <w:rPr>
          <w:rFonts w:eastAsia="Calibri" w:cs="Arial"/>
          <w:color w:val="auto"/>
        </w:rPr>
        <w:t>Contingent assets are possible assets that arise from past events, whose existence will be confirmed only by the occurrence or non-occurrence of one or more uncertain future events not wholly within the control of the entity.</w:t>
      </w:r>
    </w:p>
    <w:p w14:paraId="2DD2BB4E"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These are classified as either quantifiable, where the potential economic benefit is known, or non-quantifiable.</w:t>
      </w:r>
    </w:p>
    <w:p w14:paraId="08685C7B"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has no contingent assets as at the reporting date (2024: $Nil).</w:t>
      </w:r>
    </w:p>
    <w:p w14:paraId="26B0968E"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lastRenderedPageBreak/>
        <w:t>Contingent Liabilities</w:t>
      </w:r>
    </w:p>
    <w:p w14:paraId="5F8C7E15"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Contingent liabilities are:</w:t>
      </w:r>
    </w:p>
    <w:p w14:paraId="2BCDC3D2" w14:textId="77777777" w:rsidR="005C5CED" w:rsidRPr="005C5CED" w:rsidRDefault="005C5CED" w:rsidP="00196A67">
      <w:pPr>
        <w:numPr>
          <w:ilvl w:val="0"/>
          <w:numId w:val="45"/>
        </w:numPr>
        <w:spacing w:after="0" w:line="240" w:lineRule="auto"/>
        <w:rPr>
          <w:rFonts w:eastAsia="Calibri" w:cs="Arial"/>
          <w:color w:val="auto"/>
          <w:shd w:val="clear" w:color="auto" w:fill="FFFFFF"/>
        </w:rPr>
      </w:pPr>
      <w:r w:rsidRPr="005C5CED">
        <w:rPr>
          <w:rFonts w:eastAsia="Yu Mincho" w:cs="Calibri"/>
          <w:color w:val="auto"/>
          <w:szCs w:val="24"/>
          <w:shd w:val="clear" w:color="auto" w:fill="FFFFFF"/>
        </w:rPr>
        <w:t>possible obligations that arise from past events, whose existence will be confirmed only by the occurrence or non-occurrence of one or more uncertain future events not wholly within the control of the entity</w:t>
      </w:r>
    </w:p>
    <w:p w14:paraId="0FDE211D" w14:textId="77777777" w:rsidR="005C5CED" w:rsidRPr="005C5CED" w:rsidRDefault="005C5CED" w:rsidP="005C5CED">
      <w:pPr>
        <w:numPr>
          <w:ilvl w:val="0"/>
          <w:numId w:val="11"/>
        </w:numPr>
        <w:spacing w:after="0" w:line="240" w:lineRule="auto"/>
        <w:ind w:left="0" w:firstLine="0"/>
        <w:rPr>
          <w:rFonts w:eastAsia="Times New Roman" w:cs="Arial"/>
          <w:b/>
          <w:bCs/>
          <w:color w:val="auto"/>
          <w:sz w:val="16"/>
          <w:szCs w:val="16"/>
          <w:shd w:val="clear" w:color="auto" w:fill="FFFFFF"/>
          <w:lang w:eastAsia="en-AU"/>
        </w:rPr>
      </w:pPr>
    </w:p>
    <w:p w14:paraId="57A9167F" w14:textId="77777777" w:rsidR="005C5CED" w:rsidRPr="005C5CED" w:rsidRDefault="005C5CED" w:rsidP="00196A67">
      <w:pPr>
        <w:numPr>
          <w:ilvl w:val="0"/>
          <w:numId w:val="45"/>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present obligations that arise from past events but are not recognised because:</w:t>
      </w:r>
    </w:p>
    <w:p w14:paraId="0CD0F27D" w14:textId="77777777" w:rsidR="005C5CED" w:rsidRPr="005C5CED" w:rsidRDefault="005C5CED" w:rsidP="00196A67">
      <w:pPr>
        <w:numPr>
          <w:ilvl w:val="1"/>
          <w:numId w:val="45"/>
        </w:numPr>
        <w:spacing w:line="259" w:lineRule="auto"/>
        <w:rPr>
          <w:rFonts w:eastAsia="Calibri" w:cs="Arial"/>
          <w:color w:val="auto"/>
        </w:rPr>
      </w:pPr>
      <w:r w:rsidRPr="005C5CED">
        <w:rPr>
          <w:rFonts w:eastAsia="Calibri" w:cs="Arial"/>
          <w:color w:val="auto"/>
        </w:rPr>
        <w:t>it is not probable that an outflow of resources embodying economic benefits will be required to settle the obligations</w:t>
      </w:r>
      <w:r w:rsidRPr="005C5CED">
        <w:rPr>
          <w:rFonts w:eastAsia="Calibri" w:cs="Arial"/>
          <w:color w:val="auto"/>
        </w:rPr>
        <w:tab/>
      </w:r>
    </w:p>
    <w:p w14:paraId="46F34B8C" w14:textId="77777777" w:rsidR="005C5CED" w:rsidRPr="005C5CED" w:rsidRDefault="005C5CED" w:rsidP="00196A67">
      <w:pPr>
        <w:numPr>
          <w:ilvl w:val="1"/>
          <w:numId w:val="45"/>
        </w:numPr>
        <w:spacing w:line="259" w:lineRule="auto"/>
        <w:rPr>
          <w:rFonts w:eastAsia="Calibri" w:cs="Arial"/>
          <w:color w:val="auto"/>
        </w:rPr>
      </w:pPr>
      <w:r w:rsidRPr="005C5CED">
        <w:rPr>
          <w:rFonts w:eastAsia="Calibri" w:cs="Arial"/>
          <w:color w:val="auto"/>
        </w:rPr>
        <w:t>the amount of the obligations cannot be measured with sufficient reliability.</w:t>
      </w:r>
    </w:p>
    <w:p w14:paraId="7EA62527"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has no contingent liabilities as at the reporting date (2024: $Nil).</w:t>
      </w:r>
    </w:p>
    <w:p w14:paraId="46EC4D91"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7.3 Fair value determination</w:t>
      </w:r>
    </w:p>
    <w:p w14:paraId="72688C03"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Significant judgement: fair value measurements of assets and liabilities</w:t>
      </w:r>
    </w:p>
    <w:p w14:paraId="2FD05536" w14:textId="77777777" w:rsidR="005C5CED" w:rsidRPr="005C5CED" w:rsidRDefault="005C5CED" w:rsidP="005C5CED">
      <w:pPr>
        <w:spacing w:line="259" w:lineRule="auto"/>
        <w:rPr>
          <w:rFonts w:eastAsia="Calibri" w:cs="Arial"/>
          <w:color w:val="auto"/>
        </w:rPr>
      </w:pPr>
      <w:r w:rsidRPr="005C5CED">
        <w:rPr>
          <w:rFonts w:eastAsia="Calibri" w:cs="Arial"/>
          <w:color w:val="auto"/>
        </w:rPr>
        <w:t>This section sets out information on how Sustainability Victoria determined fair value for financial reporting purposes. Fair value is the price that would be received to sell an asset or paid to transfer a liability in an orderly transaction between market participants at the measurement date.</w:t>
      </w:r>
    </w:p>
    <w:p w14:paraId="6661D7D9" w14:textId="77777777" w:rsidR="005C5CED" w:rsidRPr="005C5CED" w:rsidRDefault="005C5CED" w:rsidP="005C5CED">
      <w:pPr>
        <w:spacing w:line="259" w:lineRule="auto"/>
        <w:rPr>
          <w:rFonts w:eastAsia="Calibri" w:cs="Arial"/>
          <w:color w:val="auto"/>
        </w:rPr>
      </w:pPr>
      <w:r w:rsidRPr="005C5CED">
        <w:rPr>
          <w:rFonts w:eastAsia="Calibri" w:cs="Arial"/>
          <w:color w:val="auto"/>
        </w:rPr>
        <w:t>The following assets and liabilities are carried at fair value:</w:t>
      </w:r>
    </w:p>
    <w:p w14:paraId="52A29ADD" w14:textId="77777777" w:rsidR="005C5CED" w:rsidRPr="005C5CED" w:rsidRDefault="005C5CED" w:rsidP="00196A67">
      <w:pPr>
        <w:numPr>
          <w:ilvl w:val="0"/>
          <w:numId w:val="46"/>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financial assets and liabilities at fair value through profit or loss</w:t>
      </w:r>
      <w:r w:rsidRPr="005C5CED">
        <w:rPr>
          <w:rFonts w:eastAsia="Yu Mincho" w:cs="Calibri"/>
          <w:color w:val="auto"/>
          <w:szCs w:val="24"/>
          <w:shd w:val="clear" w:color="auto" w:fill="FFFFFF"/>
        </w:rPr>
        <w:tab/>
      </w:r>
    </w:p>
    <w:p w14:paraId="431BF3DD" w14:textId="77777777" w:rsidR="005C5CED" w:rsidRPr="005C5CED" w:rsidRDefault="005C5CED" w:rsidP="00196A67">
      <w:pPr>
        <w:numPr>
          <w:ilvl w:val="0"/>
          <w:numId w:val="46"/>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financial assets at fair value through other comprehensive income (plant and equipment).</w:t>
      </w:r>
    </w:p>
    <w:p w14:paraId="22674E7D" w14:textId="77777777" w:rsidR="005C5CED" w:rsidRPr="005C5CED" w:rsidRDefault="005C5CED" w:rsidP="005C5CED">
      <w:pPr>
        <w:numPr>
          <w:ilvl w:val="0"/>
          <w:numId w:val="11"/>
        </w:numPr>
        <w:spacing w:after="0" w:line="240" w:lineRule="auto"/>
        <w:ind w:left="720" w:firstLine="0"/>
        <w:rPr>
          <w:rFonts w:eastAsia="Yu Mincho" w:cs="Calibri"/>
          <w:color w:val="auto"/>
          <w:szCs w:val="24"/>
          <w:shd w:val="clear" w:color="auto" w:fill="FFFFFF"/>
        </w:rPr>
      </w:pPr>
    </w:p>
    <w:p w14:paraId="703AC5C8" w14:textId="77777777" w:rsidR="005C5CED" w:rsidRPr="005C5CED" w:rsidRDefault="005C5CED" w:rsidP="005C5CED">
      <w:pPr>
        <w:spacing w:line="259" w:lineRule="auto"/>
        <w:rPr>
          <w:rFonts w:eastAsia="Calibri" w:cs="Arial"/>
          <w:color w:val="auto"/>
        </w:rPr>
      </w:pPr>
      <w:r w:rsidRPr="005C5CED">
        <w:rPr>
          <w:rFonts w:eastAsia="Calibri" w:cs="Arial"/>
          <w:color w:val="auto"/>
        </w:rPr>
        <w:t>In addition, the fair values of other assets and liabilities that are carried at amortised cost, also need to be determined for disclosure purposes.</w:t>
      </w:r>
    </w:p>
    <w:p w14:paraId="19C28896"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determines the policies and procedures for determining fair values for both financial and non-financial assets and liabilities as required.</w:t>
      </w:r>
    </w:p>
    <w:p w14:paraId="56FEB0F1"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Fair value hierarchy</w:t>
      </w:r>
    </w:p>
    <w:p w14:paraId="03D6EE36" w14:textId="77777777" w:rsidR="005C5CED" w:rsidRPr="005C5CED" w:rsidRDefault="005C5CED" w:rsidP="005C5CED">
      <w:pPr>
        <w:spacing w:line="259" w:lineRule="auto"/>
        <w:rPr>
          <w:rFonts w:eastAsia="Calibri" w:cs="Arial"/>
          <w:color w:val="auto"/>
        </w:rPr>
      </w:pPr>
      <w:r w:rsidRPr="005C5CED">
        <w:rPr>
          <w:rFonts w:eastAsia="Calibri" w:cs="Arial"/>
          <w:color w:val="auto"/>
        </w:rPr>
        <w:t>In determining fair values, several inputs are used. To increase consistency and comparability in the financial statements, these inputs are categorised into three levels, also known as the fair value hierarchy. The levels are as follows:</w:t>
      </w:r>
    </w:p>
    <w:p w14:paraId="677D4D3B" w14:textId="77777777" w:rsidR="005C5CED" w:rsidRPr="005C5CED" w:rsidRDefault="005C5CED" w:rsidP="00196A67">
      <w:pPr>
        <w:numPr>
          <w:ilvl w:val="0"/>
          <w:numId w:val="47"/>
        </w:numPr>
        <w:spacing w:line="259" w:lineRule="auto"/>
        <w:rPr>
          <w:rFonts w:eastAsia="Calibri" w:cs="Arial"/>
          <w:color w:val="auto"/>
        </w:rPr>
      </w:pPr>
      <w:r w:rsidRPr="005C5CED">
        <w:rPr>
          <w:rFonts w:eastAsia="Calibri" w:cs="Arial"/>
          <w:b/>
          <w:bCs/>
          <w:color w:val="auto"/>
        </w:rPr>
        <w:t>Level 1:</w:t>
      </w:r>
      <w:r w:rsidRPr="005C5CED">
        <w:rPr>
          <w:rFonts w:eastAsia="Calibri" w:cs="Arial"/>
          <w:color w:val="auto"/>
        </w:rPr>
        <w:t xml:space="preserve"> quoted (unadjusted) market prices in active markets for identical assets or liabilities</w:t>
      </w:r>
    </w:p>
    <w:p w14:paraId="4D08B270" w14:textId="77777777" w:rsidR="005C5CED" w:rsidRPr="005C5CED" w:rsidRDefault="005C5CED" w:rsidP="00196A67">
      <w:pPr>
        <w:numPr>
          <w:ilvl w:val="0"/>
          <w:numId w:val="47"/>
        </w:numPr>
        <w:spacing w:line="259" w:lineRule="auto"/>
        <w:rPr>
          <w:rFonts w:eastAsia="Calibri" w:cs="Arial"/>
          <w:color w:val="auto"/>
        </w:rPr>
      </w:pPr>
      <w:r w:rsidRPr="005C5CED">
        <w:rPr>
          <w:rFonts w:eastAsia="Calibri" w:cs="Arial"/>
          <w:b/>
          <w:bCs/>
          <w:color w:val="auto"/>
        </w:rPr>
        <w:t>Level 2:</w:t>
      </w:r>
      <w:r w:rsidRPr="005C5CED">
        <w:rPr>
          <w:rFonts w:eastAsia="Calibri" w:cs="Arial"/>
          <w:color w:val="auto"/>
        </w:rPr>
        <w:t xml:space="preserve"> valuation techniques for which the lowest level input that is significant to the fair value measurement is directly or indirectly observable</w:t>
      </w:r>
    </w:p>
    <w:p w14:paraId="61B26301" w14:textId="77777777" w:rsidR="005C5CED" w:rsidRPr="005C5CED" w:rsidRDefault="005C5CED" w:rsidP="00196A67">
      <w:pPr>
        <w:numPr>
          <w:ilvl w:val="0"/>
          <w:numId w:val="47"/>
        </w:numPr>
        <w:spacing w:line="259" w:lineRule="auto"/>
        <w:rPr>
          <w:rFonts w:eastAsia="Calibri" w:cs="Arial"/>
          <w:color w:val="auto"/>
        </w:rPr>
      </w:pPr>
      <w:r w:rsidRPr="005C5CED">
        <w:rPr>
          <w:rFonts w:eastAsia="Calibri" w:cs="Arial"/>
          <w:b/>
          <w:bCs/>
          <w:color w:val="auto"/>
        </w:rPr>
        <w:t>Level 3:</w:t>
      </w:r>
      <w:r w:rsidRPr="005C5CED">
        <w:rPr>
          <w:rFonts w:eastAsia="Calibri" w:cs="Arial"/>
          <w:color w:val="auto"/>
        </w:rPr>
        <w:t xml:space="preserve"> valuation techniques for which the lowest level input that is significant to the fair value measurement is unobservable.</w:t>
      </w:r>
    </w:p>
    <w:p w14:paraId="138D01EC"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determines whether transfers have occurred between levels in the hierarchy by reassessing categorisation (based on the lowest level input that is significant to the fair value measurement as a whole) at the end of each reporting period.</w:t>
      </w:r>
    </w:p>
    <w:p w14:paraId="238F6512"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How this section is structured</w:t>
      </w:r>
    </w:p>
    <w:p w14:paraId="4F252F11" w14:textId="77777777" w:rsidR="005C5CED" w:rsidRPr="005C5CED" w:rsidRDefault="005C5CED" w:rsidP="005C5CED">
      <w:pPr>
        <w:spacing w:line="259" w:lineRule="auto"/>
        <w:rPr>
          <w:rFonts w:eastAsia="Calibri" w:cs="Arial"/>
          <w:color w:val="auto"/>
        </w:rPr>
      </w:pPr>
      <w:r w:rsidRPr="005C5CED">
        <w:rPr>
          <w:rFonts w:eastAsia="Calibri" w:cs="Arial"/>
          <w:color w:val="auto"/>
        </w:rPr>
        <w:t>For those assets and liabilities for which fair values are determined, the following disclosures are provided:</w:t>
      </w:r>
    </w:p>
    <w:p w14:paraId="608B7C9C" w14:textId="77777777" w:rsidR="005C5CED" w:rsidRPr="005C5CED" w:rsidRDefault="005C5CED" w:rsidP="00196A67">
      <w:pPr>
        <w:numPr>
          <w:ilvl w:val="0"/>
          <w:numId w:val="48"/>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 xml:space="preserve">carrying amount and the fair value (which would be the same for those assets measured at fair value) </w:t>
      </w:r>
    </w:p>
    <w:p w14:paraId="623859EA" w14:textId="77777777" w:rsidR="005C5CED" w:rsidRPr="005C5CED" w:rsidRDefault="005C5CED" w:rsidP="00196A67">
      <w:pPr>
        <w:numPr>
          <w:ilvl w:val="0"/>
          <w:numId w:val="48"/>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which level of the fair value hierarchy was used to determine the fair value</w:t>
      </w:r>
    </w:p>
    <w:p w14:paraId="26DE5FC5" w14:textId="77777777" w:rsidR="005C5CED" w:rsidRPr="005C5CED" w:rsidRDefault="005C5CED" w:rsidP="00196A67">
      <w:pPr>
        <w:numPr>
          <w:ilvl w:val="0"/>
          <w:numId w:val="48"/>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in respect of those assets and liabilities subject to fair value determination using Level 3 inputs:</w:t>
      </w:r>
    </w:p>
    <w:p w14:paraId="3C0CC269" w14:textId="77777777" w:rsidR="005C5CED" w:rsidRPr="005C5CED" w:rsidRDefault="005C5CED" w:rsidP="00196A67">
      <w:pPr>
        <w:numPr>
          <w:ilvl w:val="1"/>
          <w:numId w:val="49"/>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lastRenderedPageBreak/>
        <w:t>a reconciliation of the movements in fair values from the beginning of the year to the end; and</w:t>
      </w:r>
    </w:p>
    <w:p w14:paraId="508B18AD" w14:textId="77777777" w:rsidR="005C5CED" w:rsidRPr="005C5CED" w:rsidRDefault="005C5CED" w:rsidP="00196A67">
      <w:pPr>
        <w:numPr>
          <w:ilvl w:val="1"/>
          <w:numId w:val="49"/>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details of significant unobservable inputs used in the fair value determination.</w:t>
      </w:r>
    </w:p>
    <w:p w14:paraId="033E7939" w14:textId="77777777" w:rsidR="005C5CED" w:rsidRPr="005C5CED" w:rsidRDefault="005C5CED" w:rsidP="005C5CED">
      <w:pPr>
        <w:spacing w:line="259" w:lineRule="auto"/>
        <w:rPr>
          <w:rFonts w:eastAsia="Calibri" w:cs="Arial"/>
          <w:color w:val="auto"/>
        </w:rPr>
      </w:pPr>
      <w:r w:rsidRPr="005C5CED">
        <w:rPr>
          <w:rFonts w:eastAsia="Calibri" w:cs="Arial"/>
          <w:color w:val="auto"/>
        </w:rPr>
        <w:br/>
        <w:t>This section is divided between disclosures in connection with fair value determination for financial instruments (refer to Note 7.3.1) and non-financial physical assets (refer to 7.3.2).</w:t>
      </w:r>
    </w:p>
    <w:p w14:paraId="0EBD210E"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7.3.1 Fair value determination of financial assets and liabilities</w:t>
      </w:r>
    </w:p>
    <w:p w14:paraId="08A9C30D" w14:textId="77777777" w:rsidR="005C5CED" w:rsidRPr="005C5CED" w:rsidRDefault="005C5CED" w:rsidP="005C5CED">
      <w:pPr>
        <w:spacing w:line="259" w:lineRule="auto"/>
        <w:rPr>
          <w:rFonts w:eastAsia="Calibri" w:cs="Arial"/>
          <w:color w:val="auto"/>
        </w:rPr>
      </w:pPr>
      <w:r w:rsidRPr="005C5CED">
        <w:rPr>
          <w:rFonts w:eastAsia="Calibri" w:cs="Arial"/>
          <w:color w:val="auto"/>
        </w:rPr>
        <w:t>The fair values and net fair values of financial assets and liabilities are determined as follows:</w:t>
      </w:r>
    </w:p>
    <w:p w14:paraId="73AC6D3C" w14:textId="77777777" w:rsidR="005C5CED" w:rsidRPr="005C5CED" w:rsidRDefault="005C5CED" w:rsidP="00196A67">
      <w:pPr>
        <w:numPr>
          <w:ilvl w:val="0"/>
          <w:numId w:val="50"/>
        </w:numPr>
        <w:spacing w:line="259" w:lineRule="auto"/>
        <w:rPr>
          <w:rFonts w:eastAsia="Calibri" w:cs="Arial"/>
          <w:color w:val="auto"/>
        </w:rPr>
      </w:pPr>
      <w:r w:rsidRPr="005C5CED">
        <w:rPr>
          <w:rFonts w:eastAsia="Calibri" w:cs="Arial"/>
          <w:b/>
          <w:bCs/>
          <w:color w:val="auto"/>
        </w:rPr>
        <w:t>Level 1 –</w:t>
      </w:r>
      <w:r w:rsidRPr="005C5CED">
        <w:rPr>
          <w:rFonts w:eastAsia="Calibri" w:cs="Arial"/>
          <w:color w:val="auto"/>
        </w:rPr>
        <w:t xml:space="preserve"> the fair value of financial instrument with standard terms and conditions and traded in active liquid markets are determined with reference to quoted market </w:t>
      </w:r>
      <w:proofErr w:type="gramStart"/>
      <w:r w:rsidRPr="005C5CED">
        <w:rPr>
          <w:rFonts w:eastAsia="Calibri" w:cs="Arial"/>
          <w:color w:val="auto"/>
        </w:rPr>
        <w:t>prices;</w:t>
      </w:r>
      <w:proofErr w:type="gramEnd"/>
      <w:r w:rsidRPr="005C5CED">
        <w:rPr>
          <w:rFonts w:eastAsia="Calibri" w:cs="Arial"/>
          <w:color w:val="auto"/>
        </w:rPr>
        <w:t xml:space="preserve"> </w:t>
      </w:r>
    </w:p>
    <w:p w14:paraId="38E79ABF" w14:textId="77777777" w:rsidR="005C5CED" w:rsidRPr="005C5CED" w:rsidRDefault="005C5CED" w:rsidP="00196A67">
      <w:pPr>
        <w:numPr>
          <w:ilvl w:val="0"/>
          <w:numId w:val="50"/>
        </w:numPr>
        <w:spacing w:line="259" w:lineRule="auto"/>
        <w:rPr>
          <w:rFonts w:eastAsia="Calibri" w:cs="Arial"/>
          <w:color w:val="auto"/>
        </w:rPr>
      </w:pPr>
      <w:r w:rsidRPr="005C5CED">
        <w:rPr>
          <w:rFonts w:eastAsia="Calibri" w:cs="Arial"/>
          <w:b/>
          <w:bCs/>
          <w:color w:val="auto"/>
        </w:rPr>
        <w:t xml:space="preserve">Level 2 – </w:t>
      </w:r>
      <w:r w:rsidRPr="005C5CED">
        <w:rPr>
          <w:rFonts w:eastAsia="Calibri" w:cs="Arial"/>
          <w:color w:val="auto"/>
        </w:rPr>
        <w:t>the fair value is determined using inputs other than quoted prices that are observable for the financial asset or liability, either directly or indirectly; and</w:t>
      </w:r>
      <w:r w:rsidRPr="005C5CED">
        <w:rPr>
          <w:rFonts w:eastAsia="Calibri" w:cs="Arial"/>
          <w:color w:val="auto"/>
        </w:rPr>
        <w:tab/>
      </w:r>
    </w:p>
    <w:p w14:paraId="28286648" w14:textId="77777777" w:rsidR="005C5CED" w:rsidRPr="005C5CED" w:rsidRDefault="005C5CED" w:rsidP="00196A67">
      <w:pPr>
        <w:numPr>
          <w:ilvl w:val="0"/>
          <w:numId w:val="50"/>
        </w:numPr>
        <w:spacing w:line="259" w:lineRule="auto"/>
        <w:rPr>
          <w:rFonts w:eastAsia="Calibri" w:cs="Arial"/>
          <w:color w:val="auto"/>
        </w:rPr>
      </w:pPr>
      <w:r w:rsidRPr="005C5CED">
        <w:rPr>
          <w:rFonts w:eastAsia="Calibri" w:cs="Arial"/>
          <w:b/>
          <w:bCs/>
          <w:color w:val="auto"/>
        </w:rPr>
        <w:t>Level 3 –</w:t>
      </w:r>
      <w:r w:rsidRPr="005C5CED">
        <w:rPr>
          <w:rFonts w:eastAsia="Calibri" w:cs="Arial"/>
          <w:color w:val="auto"/>
        </w:rPr>
        <w:t xml:space="preserve"> the fair value is determined in accordance with generally accepted pricing models based on discounted cash flow analysis using unobservable market inputs.</w:t>
      </w:r>
    </w:p>
    <w:p w14:paraId="30E8AA47" w14:textId="77777777" w:rsidR="005C5CED" w:rsidRPr="005C5CED" w:rsidRDefault="005C5CED" w:rsidP="005C5CED">
      <w:pPr>
        <w:spacing w:after="0" w:line="240" w:lineRule="auto"/>
        <w:rPr>
          <w:rFonts w:eastAsia="Times New Roman" w:cs="Arial"/>
          <w:b/>
          <w:bCs/>
          <w:color w:val="auto"/>
          <w:sz w:val="16"/>
          <w:szCs w:val="16"/>
          <w:lang w:eastAsia="en-AU"/>
        </w:rPr>
      </w:pPr>
    </w:p>
    <w:p w14:paraId="68D942A1"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currently holds a range of financial instruments that are recorded in the financial statements where the carrying amounts are a reasonable approximation of fair value, either due to their short-term nature or with the expectation that they will be paid in full by the end of the 2024-25 reporting period.</w:t>
      </w:r>
    </w:p>
    <w:p w14:paraId="71DDF659"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rPr>
        <w:t>These financial instruments include:</w:t>
      </w:r>
    </w:p>
    <w:tbl>
      <w:tblPr>
        <w:tblW w:w="9156" w:type="dxa"/>
        <w:tblLook w:val="04A0" w:firstRow="1" w:lastRow="0" w:firstColumn="1" w:lastColumn="0" w:noHBand="0" w:noVBand="1"/>
      </w:tblPr>
      <w:tblGrid>
        <w:gridCol w:w="1376"/>
        <w:gridCol w:w="1256"/>
        <w:gridCol w:w="1076"/>
        <w:gridCol w:w="1796"/>
        <w:gridCol w:w="1496"/>
        <w:gridCol w:w="2156"/>
      </w:tblGrid>
      <w:tr w:rsidR="005C5CED" w:rsidRPr="005C5CED" w14:paraId="07397B80" w14:textId="77777777" w:rsidTr="0062462F">
        <w:trPr>
          <w:trHeight w:val="225"/>
        </w:trPr>
        <w:tc>
          <w:tcPr>
            <w:tcW w:w="1376" w:type="dxa"/>
            <w:tcBorders>
              <w:top w:val="nil"/>
              <w:left w:val="nil"/>
              <w:bottom w:val="nil"/>
              <w:right w:val="nil"/>
            </w:tcBorders>
            <w:shd w:val="clear" w:color="000000" w:fill="000000"/>
            <w:noWrap/>
            <w:vAlign w:val="bottom"/>
            <w:hideMark/>
          </w:tcPr>
          <w:p w14:paraId="6B40A8B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Financial assets</w:t>
            </w:r>
          </w:p>
        </w:tc>
        <w:tc>
          <w:tcPr>
            <w:tcW w:w="1256" w:type="dxa"/>
            <w:tcBorders>
              <w:top w:val="nil"/>
              <w:left w:val="nil"/>
              <w:bottom w:val="nil"/>
              <w:right w:val="nil"/>
            </w:tcBorders>
            <w:shd w:val="clear" w:color="000000" w:fill="000000"/>
            <w:noWrap/>
            <w:vAlign w:val="bottom"/>
            <w:hideMark/>
          </w:tcPr>
          <w:p w14:paraId="2A9491F4"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076" w:type="dxa"/>
            <w:tcBorders>
              <w:top w:val="nil"/>
              <w:left w:val="nil"/>
              <w:bottom w:val="nil"/>
              <w:right w:val="nil"/>
            </w:tcBorders>
            <w:shd w:val="clear" w:color="000000" w:fill="000000"/>
            <w:noWrap/>
            <w:vAlign w:val="bottom"/>
            <w:hideMark/>
          </w:tcPr>
          <w:p w14:paraId="20AFF6AA"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796" w:type="dxa"/>
            <w:tcBorders>
              <w:top w:val="nil"/>
              <w:left w:val="nil"/>
              <w:bottom w:val="nil"/>
              <w:right w:val="nil"/>
            </w:tcBorders>
            <w:shd w:val="clear" w:color="000000" w:fill="000000"/>
            <w:noWrap/>
            <w:vAlign w:val="bottom"/>
            <w:hideMark/>
          </w:tcPr>
          <w:p w14:paraId="1996940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96" w:type="dxa"/>
            <w:tcBorders>
              <w:top w:val="nil"/>
              <w:left w:val="nil"/>
              <w:bottom w:val="nil"/>
              <w:right w:val="nil"/>
            </w:tcBorders>
            <w:shd w:val="clear" w:color="000000" w:fill="000000"/>
            <w:noWrap/>
            <w:vAlign w:val="bottom"/>
            <w:hideMark/>
          </w:tcPr>
          <w:p w14:paraId="40B89F56"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Financial liabilities</w:t>
            </w:r>
          </w:p>
        </w:tc>
        <w:tc>
          <w:tcPr>
            <w:tcW w:w="2156" w:type="dxa"/>
            <w:tcBorders>
              <w:top w:val="nil"/>
              <w:left w:val="nil"/>
              <w:bottom w:val="nil"/>
              <w:right w:val="nil"/>
            </w:tcBorders>
            <w:shd w:val="clear" w:color="000000" w:fill="000000"/>
            <w:noWrap/>
            <w:vAlign w:val="bottom"/>
            <w:hideMark/>
          </w:tcPr>
          <w:p w14:paraId="05C59032"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r>
      <w:tr w:rsidR="005C5CED" w:rsidRPr="005C5CED" w14:paraId="37546499" w14:textId="77777777" w:rsidTr="0062462F">
        <w:trPr>
          <w:trHeight w:val="225"/>
        </w:trPr>
        <w:tc>
          <w:tcPr>
            <w:tcW w:w="2632" w:type="dxa"/>
            <w:gridSpan w:val="2"/>
            <w:tcBorders>
              <w:top w:val="nil"/>
              <w:left w:val="nil"/>
              <w:bottom w:val="nil"/>
              <w:right w:val="nil"/>
            </w:tcBorders>
            <w:shd w:val="clear" w:color="auto" w:fill="auto"/>
            <w:noWrap/>
            <w:vAlign w:val="bottom"/>
            <w:hideMark/>
          </w:tcPr>
          <w:p w14:paraId="43438CD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Cash and deposits</w:t>
            </w:r>
          </w:p>
        </w:tc>
        <w:tc>
          <w:tcPr>
            <w:tcW w:w="1076" w:type="dxa"/>
            <w:tcBorders>
              <w:top w:val="nil"/>
              <w:left w:val="nil"/>
              <w:bottom w:val="nil"/>
              <w:right w:val="nil"/>
            </w:tcBorders>
            <w:shd w:val="clear" w:color="auto" w:fill="auto"/>
            <w:noWrap/>
            <w:vAlign w:val="bottom"/>
            <w:hideMark/>
          </w:tcPr>
          <w:p w14:paraId="117F7F9C" w14:textId="77777777" w:rsidR="005C5CED" w:rsidRPr="005C5CED" w:rsidRDefault="005C5CED" w:rsidP="005C5CED">
            <w:pPr>
              <w:spacing w:after="0" w:line="240" w:lineRule="auto"/>
              <w:rPr>
                <w:rFonts w:eastAsia="Times New Roman" w:cs="Arial"/>
                <w:color w:val="auto"/>
                <w:sz w:val="16"/>
                <w:szCs w:val="16"/>
                <w:lang w:eastAsia="en-AU"/>
              </w:rPr>
            </w:pPr>
          </w:p>
        </w:tc>
        <w:tc>
          <w:tcPr>
            <w:tcW w:w="1796" w:type="dxa"/>
            <w:tcBorders>
              <w:top w:val="nil"/>
              <w:left w:val="nil"/>
              <w:bottom w:val="nil"/>
              <w:right w:val="nil"/>
            </w:tcBorders>
            <w:shd w:val="clear" w:color="auto" w:fill="auto"/>
            <w:noWrap/>
            <w:vAlign w:val="bottom"/>
            <w:hideMark/>
          </w:tcPr>
          <w:p w14:paraId="634F332D" w14:textId="77777777" w:rsidR="005C5CED" w:rsidRPr="005C5CED" w:rsidRDefault="005C5CED" w:rsidP="005C5CED">
            <w:pPr>
              <w:spacing w:after="0" w:line="240" w:lineRule="auto"/>
              <w:rPr>
                <w:rFonts w:eastAsia="Times New Roman" w:cs="Arial"/>
                <w:color w:val="auto"/>
                <w:szCs w:val="20"/>
                <w:lang w:eastAsia="en-AU"/>
              </w:rPr>
            </w:pPr>
          </w:p>
        </w:tc>
        <w:tc>
          <w:tcPr>
            <w:tcW w:w="1496" w:type="dxa"/>
            <w:tcBorders>
              <w:top w:val="nil"/>
              <w:left w:val="nil"/>
              <w:bottom w:val="nil"/>
              <w:right w:val="nil"/>
            </w:tcBorders>
            <w:shd w:val="clear" w:color="auto" w:fill="auto"/>
            <w:noWrap/>
            <w:vAlign w:val="bottom"/>
            <w:hideMark/>
          </w:tcPr>
          <w:p w14:paraId="706B255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Payables</w:t>
            </w:r>
          </w:p>
        </w:tc>
        <w:tc>
          <w:tcPr>
            <w:tcW w:w="2156" w:type="dxa"/>
            <w:tcBorders>
              <w:top w:val="nil"/>
              <w:left w:val="nil"/>
              <w:bottom w:val="nil"/>
              <w:right w:val="nil"/>
            </w:tcBorders>
            <w:shd w:val="clear" w:color="auto" w:fill="auto"/>
            <w:noWrap/>
            <w:vAlign w:val="bottom"/>
            <w:hideMark/>
          </w:tcPr>
          <w:p w14:paraId="5983FB81" w14:textId="77777777" w:rsidR="005C5CED" w:rsidRPr="005C5CED" w:rsidRDefault="005C5CED" w:rsidP="005C5CED">
            <w:pPr>
              <w:spacing w:after="0" w:line="240" w:lineRule="auto"/>
              <w:rPr>
                <w:rFonts w:eastAsia="Times New Roman" w:cs="Arial"/>
                <w:color w:val="auto"/>
                <w:sz w:val="16"/>
                <w:szCs w:val="16"/>
                <w:lang w:eastAsia="en-AU"/>
              </w:rPr>
            </w:pPr>
          </w:p>
        </w:tc>
      </w:tr>
      <w:tr w:rsidR="005C5CED" w:rsidRPr="005C5CED" w14:paraId="14688E2D" w14:textId="77777777" w:rsidTr="0062462F">
        <w:trPr>
          <w:trHeight w:val="225"/>
        </w:trPr>
        <w:tc>
          <w:tcPr>
            <w:tcW w:w="1376" w:type="dxa"/>
            <w:tcBorders>
              <w:top w:val="nil"/>
              <w:left w:val="nil"/>
              <w:bottom w:val="nil"/>
              <w:right w:val="nil"/>
            </w:tcBorders>
            <w:shd w:val="clear" w:color="auto" w:fill="auto"/>
            <w:noWrap/>
            <w:vAlign w:val="bottom"/>
            <w:hideMark/>
          </w:tcPr>
          <w:p w14:paraId="3BA4082A"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Receivables:</w:t>
            </w:r>
          </w:p>
        </w:tc>
        <w:tc>
          <w:tcPr>
            <w:tcW w:w="1256" w:type="dxa"/>
            <w:tcBorders>
              <w:top w:val="nil"/>
              <w:left w:val="nil"/>
              <w:bottom w:val="nil"/>
              <w:right w:val="nil"/>
            </w:tcBorders>
            <w:shd w:val="clear" w:color="auto" w:fill="auto"/>
            <w:noWrap/>
            <w:vAlign w:val="bottom"/>
            <w:hideMark/>
          </w:tcPr>
          <w:p w14:paraId="1EDA1125" w14:textId="77777777" w:rsidR="005C5CED" w:rsidRPr="005C5CED" w:rsidRDefault="005C5CED" w:rsidP="005C5CED">
            <w:pPr>
              <w:spacing w:after="0" w:line="240" w:lineRule="auto"/>
              <w:rPr>
                <w:rFonts w:eastAsia="Times New Roman" w:cs="Arial"/>
                <w:color w:val="auto"/>
                <w:sz w:val="16"/>
                <w:szCs w:val="16"/>
                <w:lang w:eastAsia="en-AU"/>
              </w:rPr>
            </w:pPr>
          </w:p>
        </w:tc>
        <w:tc>
          <w:tcPr>
            <w:tcW w:w="1076" w:type="dxa"/>
            <w:tcBorders>
              <w:top w:val="nil"/>
              <w:left w:val="nil"/>
              <w:bottom w:val="nil"/>
              <w:right w:val="nil"/>
            </w:tcBorders>
            <w:shd w:val="clear" w:color="auto" w:fill="auto"/>
            <w:noWrap/>
            <w:vAlign w:val="bottom"/>
            <w:hideMark/>
          </w:tcPr>
          <w:p w14:paraId="2ED082C6" w14:textId="77777777" w:rsidR="005C5CED" w:rsidRPr="005C5CED" w:rsidRDefault="005C5CED" w:rsidP="005C5CED">
            <w:pPr>
              <w:spacing w:after="0" w:line="240" w:lineRule="auto"/>
              <w:rPr>
                <w:rFonts w:eastAsia="Times New Roman" w:cs="Arial"/>
                <w:color w:val="auto"/>
                <w:szCs w:val="20"/>
                <w:lang w:eastAsia="en-AU"/>
              </w:rPr>
            </w:pPr>
          </w:p>
        </w:tc>
        <w:tc>
          <w:tcPr>
            <w:tcW w:w="1796" w:type="dxa"/>
            <w:tcBorders>
              <w:top w:val="nil"/>
              <w:left w:val="nil"/>
              <w:bottom w:val="nil"/>
              <w:right w:val="nil"/>
            </w:tcBorders>
            <w:shd w:val="clear" w:color="auto" w:fill="auto"/>
            <w:noWrap/>
            <w:vAlign w:val="bottom"/>
            <w:hideMark/>
          </w:tcPr>
          <w:p w14:paraId="1035A09A" w14:textId="77777777" w:rsidR="005C5CED" w:rsidRPr="005C5CED" w:rsidRDefault="005C5CED" w:rsidP="005C5CED">
            <w:pPr>
              <w:spacing w:after="0" w:line="240" w:lineRule="auto"/>
              <w:rPr>
                <w:rFonts w:eastAsia="Times New Roman" w:cs="Arial"/>
                <w:color w:val="auto"/>
                <w:szCs w:val="20"/>
                <w:lang w:eastAsia="en-AU"/>
              </w:rPr>
            </w:pPr>
          </w:p>
        </w:tc>
        <w:tc>
          <w:tcPr>
            <w:tcW w:w="1496" w:type="dxa"/>
            <w:tcBorders>
              <w:top w:val="nil"/>
              <w:left w:val="nil"/>
              <w:bottom w:val="nil"/>
              <w:right w:val="nil"/>
            </w:tcBorders>
            <w:shd w:val="clear" w:color="auto" w:fill="auto"/>
            <w:noWrap/>
            <w:vAlign w:val="center"/>
            <w:hideMark/>
          </w:tcPr>
          <w:p w14:paraId="745EF009" w14:textId="77777777" w:rsidR="005C5CED" w:rsidRPr="005C5CED" w:rsidRDefault="005C5CED" w:rsidP="005C5CED">
            <w:pPr>
              <w:spacing w:after="0" w:line="240" w:lineRule="auto"/>
              <w:jc w:val="right"/>
              <w:rPr>
                <w:rFonts w:eastAsia="Times New Roman" w:cs="Arial"/>
                <w:color w:val="auto"/>
                <w:sz w:val="10"/>
                <w:szCs w:val="10"/>
                <w:lang w:eastAsia="en-AU"/>
              </w:rPr>
            </w:pPr>
            <w:r w:rsidRPr="005C5CED">
              <w:rPr>
                <w:rFonts w:eastAsia="Times New Roman" w:cs="Arial"/>
                <w:color w:val="auto"/>
                <w:sz w:val="10"/>
                <w:szCs w:val="10"/>
                <w:lang w:eastAsia="en-AU"/>
              </w:rPr>
              <w:t>l</w:t>
            </w:r>
          </w:p>
        </w:tc>
        <w:tc>
          <w:tcPr>
            <w:tcW w:w="2156" w:type="dxa"/>
            <w:tcBorders>
              <w:top w:val="nil"/>
              <w:left w:val="nil"/>
              <w:bottom w:val="nil"/>
              <w:right w:val="nil"/>
            </w:tcBorders>
            <w:shd w:val="clear" w:color="auto" w:fill="auto"/>
            <w:noWrap/>
            <w:vAlign w:val="bottom"/>
            <w:hideMark/>
          </w:tcPr>
          <w:p w14:paraId="792B7D0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Trade creditors</w:t>
            </w:r>
          </w:p>
        </w:tc>
      </w:tr>
      <w:tr w:rsidR="005C5CED" w:rsidRPr="005C5CED" w14:paraId="383825A5" w14:textId="77777777" w:rsidTr="0062462F">
        <w:trPr>
          <w:trHeight w:val="225"/>
        </w:trPr>
        <w:tc>
          <w:tcPr>
            <w:tcW w:w="1376" w:type="dxa"/>
            <w:tcBorders>
              <w:top w:val="nil"/>
              <w:left w:val="nil"/>
              <w:bottom w:val="nil"/>
              <w:right w:val="nil"/>
            </w:tcBorders>
            <w:shd w:val="clear" w:color="auto" w:fill="auto"/>
            <w:noWrap/>
            <w:vAlign w:val="center"/>
            <w:hideMark/>
          </w:tcPr>
          <w:p w14:paraId="0A2307FA" w14:textId="77777777" w:rsidR="005C5CED" w:rsidRPr="005C5CED" w:rsidRDefault="005C5CED" w:rsidP="005C5CED">
            <w:pPr>
              <w:spacing w:after="0" w:line="240" w:lineRule="auto"/>
              <w:jc w:val="right"/>
              <w:rPr>
                <w:rFonts w:eastAsia="Times New Roman" w:cs="Arial"/>
                <w:color w:val="auto"/>
                <w:sz w:val="10"/>
                <w:szCs w:val="10"/>
                <w:lang w:eastAsia="en-AU"/>
              </w:rPr>
            </w:pPr>
            <w:r w:rsidRPr="005C5CED">
              <w:rPr>
                <w:rFonts w:eastAsia="Times New Roman" w:cs="Arial"/>
                <w:color w:val="auto"/>
                <w:sz w:val="10"/>
                <w:szCs w:val="10"/>
                <w:lang w:eastAsia="en-AU"/>
              </w:rPr>
              <w:t>l</w:t>
            </w:r>
          </w:p>
        </w:tc>
        <w:tc>
          <w:tcPr>
            <w:tcW w:w="4128" w:type="dxa"/>
            <w:gridSpan w:val="3"/>
            <w:tcBorders>
              <w:top w:val="nil"/>
              <w:left w:val="nil"/>
              <w:bottom w:val="nil"/>
              <w:right w:val="nil"/>
            </w:tcBorders>
            <w:shd w:val="clear" w:color="auto" w:fill="auto"/>
            <w:noWrap/>
            <w:vAlign w:val="bottom"/>
            <w:hideMark/>
          </w:tcPr>
          <w:p w14:paraId="7CF5BB1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Trade debtors</w:t>
            </w:r>
          </w:p>
        </w:tc>
        <w:tc>
          <w:tcPr>
            <w:tcW w:w="1496" w:type="dxa"/>
            <w:tcBorders>
              <w:top w:val="nil"/>
              <w:left w:val="nil"/>
              <w:bottom w:val="nil"/>
              <w:right w:val="nil"/>
            </w:tcBorders>
            <w:shd w:val="clear" w:color="auto" w:fill="auto"/>
            <w:noWrap/>
            <w:vAlign w:val="center"/>
            <w:hideMark/>
          </w:tcPr>
          <w:p w14:paraId="7A164C52" w14:textId="77777777" w:rsidR="005C5CED" w:rsidRPr="005C5CED" w:rsidRDefault="005C5CED" w:rsidP="005C5CED">
            <w:pPr>
              <w:spacing w:after="0" w:line="240" w:lineRule="auto"/>
              <w:jc w:val="right"/>
              <w:rPr>
                <w:rFonts w:eastAsia="Times New Roman" w:cs="Arial"/>
                <w:color w:val="auto"/>
                <w:sz w:val="10"/>
                <w:szCs w:val="10"/>
                <w:lang w:eastAsia="en-AU"/>
              </w:rPr>
            </w:pPr>
            <w:r w:rsidRPr="005C5CED">
              <w:rPr>
                <w:rFonts w:eastAsia="Times New Roman" w:cs="Arial"/>
                <w:color w:val="auto"/>
                <w:sz w:val="10"/>
                <w:szCs w:val="10"/>
                <w:lang w:eastAsia="en-AU"/>
              </w:rPr>
              <w:t>l</w:t>
            </w:r>
          </w:p>
        </w:tc>
        <w:tc>
          <w:tcPr>
            <w:tcW w:w="2156" w:type="dxa"/>
            <w:tcBorders>
              <w:top w:val="nil"/>
              <w:left w:val="nil"/>
              <w:bottom w:val="nil"/>
              <w:right w:val="nil"/>
            </w:tcBorders>
            <w:shd w:val="clear" w:color="auto" w:fill="auto"/>
            <w:noWrap/>
            <w:vAlign w:val="bottom"/>
            <w:hideMark/>
          </w:tcPr>
          <w:p w14:paraId="447ADB3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payables</w:t>
            </w:r>
          </w:p>
        </w:tc>
      </w:tr>
      <w:tr w:rsidR="005C5CED" w:rsidRPr="005C5CED" w14:paraId="5441E878" w14:textId="77777777" w:rsidTr="0062462F">
        <w:trPr>
          <w:trHeight w:val="225"/>
        </w:trPr>
        <w:tc>
          <w:tcPr>
            <w:tcW w:w="1376" w:type="dxa"/>
            <w:tcBorders>
              <w:top w:val="nil"/>
              <w:left w:val="nil"/>
              <w:bottom w:val="nil"/>
              <w:right w:val="nil"/>
            </w:tcBorders>
            <w:shd w:val="clear" w:color="auto" w:fill="auto"/>
            <w:noWrap/>
            <w:vAlign w:val="center"/>
            <w:hideMark/>
          </w:tcPr>
          <w:p w14:paraId="5D08F6EB" w14:textId="77777777" w:rsidR="005C5CED" w:rsidRPr="005C5CED" w:rsidRDefault="005C5CED" w:rsidP="005C5CED">
            <w:pPr>
              <w:spacing w:after="0" w:line="240" w:lineRule="auto"/>
              <w:jc w:val="right"/>
              <w:rPr>
                <w:rFonts w:eastAsia="Times New Roman" w:cs="Arial"/>
                <w:color w:val="auto"/>
                <w:sz w:val="10"/>
                <w:szCs w:val="10"/>
                <w:lang w:eastAsia="en-AU"/>
              </w:rPr>
            </w:pPr>
            <w:r w:rsidRPr="005C5CED">
              <w:rPr>
                <w:rFonts w:eastAsia="Times New Roman" w:cs="Arial"/>
                <w:color w:val="auto"/>
                <w:sz w:val="10"/>
                <w:szCs w:val="10"/>
                <w:lang w:eastAsia="en-AU"/>
              </w:rPr>
              <w:t>l</w:t>
            </w:r>
          </w:p>
        </w:tc>
        <w:tc>
          <w:tcPr>
            <w:tcW w:w="2332" w:type="dxa"/>
            <w:gridSpan w:val="2"/>
            <w:tcBorders>
              <w:top w:val="nil"/>
              <w:left w:val="nil"/>
              <w:bottom w:val="nil"/>
              <w:right w:val="nil"/>
            </w:tcBorders>
            <w:shd w:val="clear" w:color="auto" w:fill="auto"/>
            <w:noWrap/>
            <w:vAlign w:val="bottom"/>
            <w:hideMark/>
          </w:tcPr>
          <w:p w14:paraId="3BF5764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Other receivables</w:t>
            </w:r>
          </w:p>
        </w:tc>
        <w:tc>
          <w:tcPr>
            <w:tcW w:w="1796" w:type="dxa"/>
            <w:tcBorders>
              <w:top w:val="nil"/>
              <w:left w:val="nil"/>
              <w:bottom w:val="nil"/>
              <w:right w:val="nil"/>
            </w:tcBorders>
            <w:shd w:val="clear" w:color="auto" w:fill="auto"/>
            <w:noWrap/>
            <w:vAlign w:val="bottom"/>
            <w:hideMark/>
          </w:tcPr>
          <w:p w14:paraId="52C67022" w14:textId="77777777" w:rsidR="005C5CED" w:rsidRPr="005C5CED" w:rsidRDefault="005C5CED" w:rsidP="005C5CED">
            <w:pPr>
              <w:spacing w:after="0" w:line="240" w:lineRule="auto"/>
              <w:rPr>
                <w:rFonts w:eastAsia="Times New Roman" w:cs="Arial"/>
                <w:color w:val="auto"/>
                <w:sz w:val="16"/>
                <w:szCs w:val="16"/>
                <w:lang w:eastAsia="en-AU"/>
              </w:rPr>
            </w:pPr>
          </w:p>
        </w:tc>
        <w:tc>
          <w:tcPr>
            <w:tcW w:w="1496" w:type="dxa"/>
            <w:tcBorders>
              <w:top w:val="nil"/>
              <w:left w:val="nil"/>
              <w:bottom w:val="nil"/>
              <w:right w:val="nil"/>
            </w:tcBorders>
            <w:shd w:val="clear" w:color="auto" w:fill="auto"/>
            <w:noWrap/>
            <w:vAlign w:val="bottom"/>
            <w:hideMark/>
          </w:tcPr>
          <w:p w14:paraId="21C89DF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Borrowings:</w:t>
            </w:r>
          </w:p>
        </w:tc>
        <w:tc>
          <w:tcPr>
            <w:tcW w:w="2156" w:type="dxa"/>
            <w:tcBorders>
              <w:top w:val="nil"/>
              <w:left w:val="nil"/>
              <w:bottom w:val="nil"/>
              <w:right w:val="nil"/>
            </w:tcBorders>
            <w:shd w:val="clear" w:color="auto" w:fill="auto"/>
            <w:noWrap/>
            <w:vAlign w:val="bottom"/>
            <w:hideMark/>
          </w:tcPr>
          <w:p w14:paraId="28620AB7" w14:textId="77777777" w:rsidR="005C5CED" w:rsidRPr="005C5CED" w:rsidRDefault="005C5CED" w:rsidP="005C5CED">
            <w:pPr>
              <w:spacing w:after="0" w:line="240" w:lineRule="auto"/>
              <w:rPr>
                <w:rFonts w:eastAsia="Times New Roman" w:cs="Arial"/>
                <w:color w:val="auto"/>
                <w:sz w:val="16"/>
                <w:szCs w:val="16"/>
                <w:lang w:eastAsia="en-AU"/>
              </w:rPr>
            </w:pPr>
          </w:p>
        </w:tc>
      </w:tr>
      <w:tr w:rsidR="005C5CED" w:rsidRPr="005C5CED" w14:paraId="655B92A7" w14:textId="77777777" w:rsidTr="0062462F">
        <w:trPr>
          <w:trHeight w:val="225"/>
        </w:trPr>
        <w:tc>
          <w:tcPr>
            <w:tcW w:w="1376" w:type="dxa"/>
            <w:tcBorders>
              <w:top w:val="nil"/>
              <w:left w:val="nil"/>
              <w:bottom w:val="nil"/>
              <w:right w:val="nil"/>
            </w:tcBorders>
            <w:shd w:val="clear" w:color="auto" w:fill="auto"/>
            <w:noWrap/>
            <w:vAlign w:val="center"/>
            <w:hideMark/>
          </w:tcPr>
          <w:p w14:paraId="7F802333" w14:textId="77777777" w:rsidR="005C5CED" w:rsidRPr="005C5CED" w:rsidRDefault="005C5CED" w:rsidP="005C5CED">
            <w:pPr>
              <w:spacing w:after="0" w:line="240" w:lineRule="auto"/>
              <w:jc w:val="right"/>
              <w:rPr>
                <w:rFonts w:eastAsia="Times New Roman" w:cs="Arial"/>
                <w:color w:val="auto"/>
                <w:sz w:val="10"/>
                <w:szCs w:val="10"/>
                <w:lang w:eastAsia="en-AU"/>
              </w:rPr>
            </w:pPr>
          </w:p>
        </w:tc>
        <w:tc>
          <w:tcPr>
            <w:tcW w:w="2332" w:type="dxa"/>
            <w:gridSpan w:val="2"/>
            <w:tcBorders>
              <w:top w:val="nil"/>
              <w:left w:val="nil"/>
              <w:bottom w:val="nil"/>
              <w:right w:val="nil"/>
            </w:tcBorders>
            <w:shd w:val="clear" w:color="auto" w:fill="auto"/>
            <w:noWrap/>
            <w:vAlign w:val="bottom"/>
            <w:hideMark/>
          </w:tcPr>
          <w:p w14:paraId="71D35309" w14:textId="77777777" w:rsidR="005C5CED" w:rsidRPr="005C5CED" w:rsidRDefault="005C5CED" w:rsidP="005C5CED">
            <w:pPr>
              <w:spacing w:after="0" w:line="240" w:lineRule="auto"/>
              <w:rPr>
                <w:rFonts w:eastAsia="Times New Roman" w:cs="Arial"/>
                <w:color w:val="auto"/>
                <w:sz w:val="16"/>
                <w:szCs w:val="16"/>
                <w:lang w:eastAsia="en-AU"/>
              </w:rPr>
            </w:pPr>
          </w:p>
        </w:tc>
        <w:tc>
          <w:tcPr>
            <w:tcW w:w="1796" w:type="dxa"/>
            <w:tcBorders>
              <w:top w:val="nil"/>
              <w:left w:val="nil"/>
              <w:bottom w:val="nil"/>
              <w:right w:val="nil"/>
            </w:tcBorders>
            <w:shd w:val="clear" w:color="auto" w:fill="auto"/>
            <w:noWrap/>
            <w:vAlign w:val="bottom"/>
            <w:hideMark/>
          </w:tcPr>
          <w:p w14:paraId="532575AE" w14:textId="77777777" w:rsidR="005C5CED" w:rsidRPr="005C5CED" w:rsidRDefault="005C5CED" w:rsidP="005C5CED">
            <w:pPr>
              <w:spacing w:after="0" w:line="240" w:lineRule="auto"/>
              <w:rPr>
                <w:rFonts w:eastAsia="Times New Roman" w:cs="Arial"/>
                <w:color w:val="auto"/>
                <w:sz w:val="16"/>
                <w:szCs w:val="16"/>
                <w:lang w:eastAsia="en-AU"/>
              </w:rPr>
            </w:pPr>
          </w:p>
        </w:tc>
        <w:tc>
          <w:tcPr>
            <w:tcW w:w="1496" w:type="dxa"/>
            <w:tcBorders>
              <w:top w:val="nil"/>
              <w:left w:val="nil"/>
              <w:bottom w:val="nil"/>
              <w:right w:val="nil"/>
            </w:tcBorders>
            <w:shd w:val="clear" w:color="auto" w:fill="auto"/>
            <w:noWrap/>
            <w:vAlign w:val="center"/>
            <w:hideMark/>
          </w:tcPr>
          <w:p w14:paraId="5F208653" w14:textId="77777777" w:rsidR="005C5CED" w:rsidRPr="005C5CED" w:rsidRDefault="005C5CED" w:rsidP="005C5CED">
            <w:pPr>
              <w:spacing w:after="0" w:line="240" w:lineRule="auto"/>
              <w:jc w:val="right"/>
              <w:rPr>
                <w:rFonts w:eastAsia="Times New Roman" w:cs="Arial"/>
                <w:color w:val="auto"/>
                <w:sz w:val="10"/>
                <w:szCs w:val="10"/>
                <w:lang w:eastAsia="en-AU"/>
              </w:rPr>
            </w:pPr>
            <w:r w:rsidRPr="005C5CED">
              <w:rPr>
                <w:rFonts w:eastAsia="Times New Roman" w:cs="Arial"/>
                <w:color w:val="auto"/>
                <w:sz w:val="10"/>
                <w:szCs w:val="10"/>
                <w:lang w:eastAsia="en-AU"/>
              </w:rPr>
              <w:t>l</w:t>
            </w:r>
          </w:p>
        </w:tc>
        <w:tc>
          <w:tcPr>
            <w:tcW w:w="2156" w:type="dxa"/>
            <w:tcBorders>
              <w:top w:val="nil"/>
              <w:left w:val="nil"/>
              <w:bottom w:val="nil"/>
              <w:right w:val="nil"/>
            </w:tcBorders>
            <w:shd w:val="clear" w:color="auto" w:fill="auto"/>
            <w:noWrap/>
            <w:vAlign w:val="bottom"/>
            <w:hideMark/>
          </w:tcPr>
          <w:p w14:paraId="7DCE107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Lease liabilities</w:t>
            </w:r>
          </w:p>
        </w:tc>
      </w:tr>
      <w:tr w:rsidR="005C5CED" w:rsidRPr="005C5CED" w14:paraId="68DE5335" w14:textId="77777777" w:rsidTr="0062462F">
        <w:trPr>
          <w:trHeight w:val="225"/>
        </w:trPr>
        <w:tc>
          <w:tcPr>
            <w:tcW w:w="1376" w:type="dxa"/>
            <w:tcBorders>
              <w:top w:val="nil"/>
              <w:left w:val="nil"/>
              <w:bottom w:val="single" w:sz="4" w:space="0" w:color="auto"/>
              <w:right w:val="nil"/>
            </w:tcBorders>
            <w:shd w:val="clear" w:color="auto" w:fill="auto"/>
            <w:noWrap/>
            <w:vAlign w:val="bottom"/>
            <w:hideMark/>
          </w:tcPr>
          <w:p w14:paraId="05160BA1" w14:textId="77777777" w:rsidR="005C5CED" w:rsidRPr="005C5CED" w:rsidRDefault="005C5CED" w:rsidP="005C5CED">
            <w:pPr>
              <w:spacing w:after="0" w:line="240" w:lineRule="auto"/>
              <w:rPr>
                <w:rFonts w:eastAsia="Times New Roman" w:cs="Arial"/>
                <w:color w:val="auto"/>
                <w:sz w:val="16"/>
                <w:szCs w:val="16"/>
                <w:lang w:eastAsia="en-AU"/>
              </w:rPr>
            </w:pPr>
          </w:p>
        </w:tc>
        <w:tc>
          <w:tcPr>
            <w:tcW w:w="1256" w:type="dxa"/>
            <w:tcBorders>
              <w:top w:val="nil"/>
              <w:left w:val="nil"/>
              <w:bottom w:val="single" w:sz="4" w:space="0" w:color="auto"/>
              <w:right w:val="nil"/>
            </w:tcBorders>
            <w:shd w:val="clear" w:color="auto" w:fill="auto"/>
            <w:noWrap/>
            <w:vAlign w:val="bottom"/>
            <w:hideMark/>
          </w:tcPr>
          <w:p w14:paraId="39C8D5B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076" w:type="dxa"/>
            <w:tcBorders>
              <w:top w:val="nil"/>
              <w:left w:val="nil"/>
              <w:bottom w:val="single" w:sz="4" w:space="0" w:color="auto"/>
              <w:right w:val="nil"/>
            </w:tcBorders>
            <w:shd w:val="clear" w:color="auto" w:fill="auto"/>
            <w:noWrap/>
            <w:vAlign w:val="bottom"/>
            <w:hideMark/>
          </w:tcPr>
          <w:p w14:paraId="68BC7A9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796" w:type="dxa"/>
            <w:tcBorders>
              <w:top w:val="nil"/>
              <w:left w:val="nil"/>
              <w:bottom w:val="single" w:sz="4" w:space="0" w:color="auto"/>
              <w:right w:val="nil"/>
            </w:tcBorders>
            <w:shd w:val="clear" w:color="auto" w:fill="auto"/>
            <w:noWrap/>
            <w:vAlign w:val="bottom"/>
            <w:hideMark/>
          </w:tcPr>
          <w:p w14:paraId="21B8D9C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496" w:type="dxa"/>
            <w:tcBorders>
              <w:top w:val="nil"/>
              <w:left w:val="nil"/>
              <w:bottom w:val="single" w:sz="4" w:space="0" w:color="auto"/>
              <w:right w:val="nil"/>
            </w:tcBorders>
            <w:shd w:val="clear" w:color="auto" w:fill="auto"/>
            <w:noWrap/>
            <w:vAlign w:val="bottom"/>
            <w:hideMark/>
          </w:tcPr>
          <w:p w14:paraId="4B86E9ED"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2156" w:type="dxa"/>
            <w:tcBorders>
              <w:top w:val="nil"/>
              <w:left w:val="nil"/>
              <w:bottom w:val="single" w:sz="4" w:space="0" w:color="auto"/>
              <w:right w:val="nil"/>
            </w:tcBorders>
            <w:shd w:val="clear" w:color="auto" w:fill="auto"/>
            <w:noWrap/>
            <w:vAlign w:val="bottom"/>
            <w:hideMark/>
          </w:tcPr>
          <w:p w14:paraId="11C90C0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bl>
    <w:p w14:paraId="342B1815" w14:textId="77777777" w:rsidR="005C5CED" w:rsidRPr="005C5CED" w:rsidRDefault="005C5CED" w:rsidP="005C5CED">
      <w:pPr>
        <w:spacing w:after="60" w:line="259" w:lineRule="auto"/>
        <w:rPr>
          <w:rFonts w:eastAsia="Calibri" w:cs="Arial"/>
          <w:color w:val="auto"/>
          <w:sz w:val="16"/>
          <w:szCs w:val="16"/>
        </w:rPr>
      </w:pPr>
      <w:r w:rsidRPr="005C5CED">
        <w:rPr>
          <w:rFonts w:eastAsia="Calibri" w:cs="Arial"/>
          <w:color w:val="auto"/>
          <w:sz w:val="16"/>
          <w:szCs w:val="16"/>
        </w:rPr>
        <w:tab/>
      </w:r>
      <w:r w:rsidRPr="005C5CED">
        <w:rPr>
          <w:rFonts w:eastAsia="Calibri" w:cs="Arial"/>
          <w:color w:val="auto"/>
          <w:sz w:val="16"/>
          <w:szCs w:val="16"/>
        </w:rPr>
        <w:tab/>
      </w:r>
    </w:p>
    <w:p w14:paraId="7447B2D2" w14:textId="77777777" w:rsidR="005C5CED" w:rsidRPr="005C5CED" w:rsidRDefault="005C5CED" w:rsidP="005C5CED">
      <w:pPr>
        <w:spacing w:line="259" w:lineRule="auto"/>
        <w:rPr>
          <w:rFonts w:eastAsia="Calibri" w:cs="Arial"/>
          <w:color w:val="auto"/>
          <w:lang w:eastAsia="en-AU"/>
        </w:rPr>
      </w:pPr>
      <w:r w:rsidRPr="005C5CED">
        <w:rPr>
          <w:rFonts w:eastAsia="Calibri" w:cs="Arial"/>
          <w:color w:val="auto"/>
          <w:lang w:eastAsia="en-AU"/>
        </w:rPr>
        <w:t>There is no difference in the fair value of Sustainability Victoria’s financial instruments to the carrying amounts for 2024 or 2023.</w:t>
      </w:r>
    </w:p>
    <w:p w14:paraId="7DA41048"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7.3.2 Fair value determination of non-financial physical assets</w:t>
      </w:r>
    </w:p>
    <w:p w14:paraId="1A118CE0" w14:textId="77777777" w:rsidR="005C5CED" w:rsidRPr="005C5CED" w:rsidRDefault="005C5CED" w:rsidP="005C5CED">
      <w:pPr>
        <w:spacing w:after="60" w:line="259" w:lineRule="auto"/>
        <w:rPr>
          <w:rFonts w:eastAsia="Calibri" w:cs="Arial"/>
          <w:b/>
          <w:bCs/>
          <w:color w:val="auto"/>
          <w:sz w:val="18"/>
          <w:szCs w:val="18"/>
        </w:rPr>
      </w:pPr>
    </w:p>
    <w:p w14:paraId="2E562473"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t>Fair value measurement hierarchy</w:t>
      </w:r>
    </w:p>
    <w:tbl>
      <w:tblPr>
        <w:tblW w:w="9174" w:type="dxa"/>
        <w:tblLook w:val="04A0" w:firstRow="1" w:lastRow="0" w:firstColumn="1" w:lastColumn="0" w:noHBand="0" w:noVBand="1"/>
      </w:tblPr>
      <w:tblGrid>
        <w:gridCol w:w="3686"/>
        <w:gridCol w:w="1505"/>
        <w:gridCol w:w="1257"/>
        <w:gridCol w:w="1488"/>
        <w:gridCol w:w="1238"/>
      </w:tblGrid>
      <w:tr w:rsidR="005C5CED" w:rsidRPr="005C5CED" w14:paraId="52453863" w14:textId="77777777" w:rsidTr="0062462F">
        <w:trPr>
          <w:trHeight w:val="347"/>
        </w:trPr>
        <w:tc>
          <w:tcPr>
            <w:tcW w:w="3686" w:type="dxa"/>
            <w:tcBorders>
              <w:top w:val="nil"/>
              <w:left w:val="nil"/>
              <w:bottom w:val="nil"/>
              <w:right w:val="nil"/>
            </w:tcBorders>
            <w:shd w:val="clear" w:color="000000" w:fill="000000"/>
            <w:noWrap/>
            <w:vAlign w:val="bottom"/>
            <w:hideMark/>
          </w:tcPr>
          <w:p w14:paraId="39C116A9"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505" w:type="dxa"/>
            <w:tcBorders>
              <w:top w:val="nil"/>
              <w:left w:val="nil"/>
              <w:bottom w:val="nil"/>
              <w:right w:val="nil"/>
            </w:tcBorders>
            <w:shd w:val="clear" w:color="000000" w:fill="000000"/>
            <w:vAlign w:val="bottom"/>
            <w:hideMark/>
          </w:tcPr>
          <w:p w14:paraId="3F8F24CA"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3983" w:type="dxa"/>
            <w:gridSpan w:val="3"/>
            <w:tcBorders>
              <w:top w:val="nil"/>
              <w:left w:val="nil"/>
              <w:bottom w:val="single" w:sz="4" w:space="0" w:color="FFFFFF"/>
              <w:right w:val="nil"/>
            </w:tcBorders>
            <w:shd w:val="clear" w:color="000000" w:fill="000000"/>
            <w:vAlign w:val="bottom"/>
            <w:hideMark/>
          </w:tcPr>
          <w:p w14:paraId="71833997"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xml:space="preserve">Fair value measurement </w:t>
            </w:r>
            <w:proofErr w:type="gramStart"/>
            <w:r w:rsidRPr="005C5CED">
              <w:rPr>
                <w:rFonts w:eastAsia="Times New Roman" w:cs="Arial"/>
                <w:b/>
                <w:bCs/>
                <w:color w:val="FFFFFF"/>
                <w:sz w:val="16"/>
                <w:szCs w:val="16"/>
                <w:lang w:eastAsia="en-AU"/>
              </w:rPr>
              <w:t>at</w:t>
            </w:r>
            <w:proofErr w:type="gramEnd"/>
            <w:r w:rsidRPr="005C5CED">
              <w:rPr>
                <w:rFonts w:eastAsia="Times New Roman" w:cs="Arial"/>
                <w:b/>
                <w:bCs/>
                <w:color w:val="FFFFFF"/>
                <w:sz w:val="16"/>
                <w:szCs w:val="16"/>
                <w:lang w:eastAsia="en-AU"/>
              </w:rPr>
              <w:t xml:space="preserve"> 30 June using: </w:t>
            </w:r>
          </w:p>
        </w:tc>
      </w:tr>
      <w:tr w:rsidR="005C5CED" w:rsidRPr="005C5CED" w14:paraId="189CA574" w14:textId="77777777" w:rsidTr="0062462F">
        <w:trPr>
          <w:trHeight w:val="147"/>
        </w:trPr>
        <w:tc>
          <w:tcPr>
            <w:tcW w:w="3686" w:type="dxa"/>
            <w:tcBorders>
              <w:top w:val="nil"/>
              <w:left w:val="nil"/>
              <w:bottom w:val="nil"/>
              <w:right w:val="nil"/>
            </w:tcBorders>
            <w:shd w:val="clear" w:color="000000" w:fill="000000"/>
            <w:noWrap/>
            <w:vAlign w:val="bottom"/>
            <w:hideMark/>
          </w:tcPr>
          <w:p w14:paraId="44910269"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505" w:type="dxa"/>
            <w:tcBorders>
              <w:top w:val="nil"/>
              <w:left w:val="nil"/>
              <w:bottom w:val="nil"/>
              <w:right w:val="nil"/>
            </w:tcBorders>
            <w:shd w:val="clear" w:color="000000" w:fill="000000"/>
            <w:noWrap/>
            <w:vAlign w:val="bottom"/>
            <w:hideMark/>
          </w:tcPr>
          <w:p w14:paraId="0A1644D3"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xml:space="preserve">Carrying amount </w:t>
            </w:r>
            <w:proofErr w:type="gramStart"/>
            <w:r w:rsidRPr="005C5CED">
              <w:rPr>
                <w:rFonts w:eastAsia="Times New Roman" w:cs="Arial"/>
                <w:b/>
                <w:bCs/>
                <w:color w:val="FFFFFF"/>
                <w:sz w:val="16"/>
                <w:szCs w:val="16"/>
                <w:lang w:eastAsia="en-AU"/>
              </w:rPr>
              <w:t>at</w:t>
            </w:r>
            <w:proofErr w:type="gramEnd"/>
            <w:r w:rsidRPr="005C5CED">
              <w:rPr>
                <w:rFonts w:eastAsia="Times New Roman" w:cs="Arial"/>
                <w:b/>
                <w:bCs/>
                <w:color w:val="FFFFFF"/>
                <w:sz w:val="16"/>
                <w:szCs w:val="16"/>
                <w:lang w:eastAsia="en-AU"/>
              </w:rPr>
              <w:t xml:space="preserve"> 30 June</w:t>
            </w:r>
          </w:p>
        </w:tc>
        <w:tc>
          <w:tcPr>
            <w:tcW w:w="1257" w:type="dxa"/>
            <w:tcBorders>
              <w:top w:val="nil"/>
              <w:left w:val="nil"/>
              <w:bottom w:val="nil"/>
              <w:right w:val="nil"/>
            </w:tcBorders>
            <w:shd w:val="clear" w:color="000000" w:fill="000000"/>
            <w:noWrap/>
            <w:vAlign w:val="bottom"/>
            <w:hideMark/>
          </w:tcPr>
          <w:p w14:paraId="135AFB7E"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Level 1</w:t>
            </w:r>
          </w:p>
        </w:tc>
        <w:tc>
          <w:tcPr>
            <w:tcW w:w="1488" w:type="dxa"/>
            <w:tcBorders>
              <w:top w:val="nil"/>
              <w:left w:val="nil"/>
              <w:bottom w:val="nil"/>
              <w:right w:val="nil"/>
            </w:tcBorders>
            <w:shd w:val="clear" w:color="000000" w:fill="000000"/>
            <w:noWrap/>
            <w:vAlign w:val="bottom"/>
            <w:hideMark/>
          </w:tcPr>
          <w:p w14:paraId="246EC407"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Level 2</w:t>
            </w:r>
          </w:p>
        </w:tc>
        <w:tc>
          <w:tcPr>
            <w:tcW w:w="1238" w:type="dxa"/>
            <w:tcBorders>
              <w:top w:val="nil"/>
              <w:left w:val="nil"/>
              <w:bottom w:val="nil"/>
              <w:right w:val="nil"/>
            </w:tcBorders>
            <w:shd w:val="clear" w:color="000000" w:fill="000000"/>
            <w:noWrap/>
            <w:vAlign w:val="bottom"/>
            <w:hideMark/>
          </w:tcPr>
          <w:p w14:paraId="4862FD4F"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Level 3</w:t>
            </w:r>
          </w:p>
        </w:tc>
      </w:tr>
      <w:tr w:rsidR="005C5CED" w:rsidRPr="005C5CED" w14:paraId="7E737F47" w14:textId="77777777" w:rsidTr="0062462F">
        <w:trPr>
          <w:trHeight w:val="147"/>
        </w:trPr>
        <w:tc>
          <w:tcPr>
            <w:tcW w:w="3686" w:type="dxa"/>
            <w:tcBorders>
              <w:top w:val="nil"/>
              <w:left w:val="nil"/>
              <w:bottom w:val="nil"/>
              <w:right w:val="nil"/>
            </w:tcBorders>
            <w:shd w:val="clear" w:color="000000" w:fill="000000"/>
            <w:noWrap/>
            <w:vAlign w:val="bottom"/>
            <w:hideMark/>
          </w:tcPr>
          <w:p w14:paraId="4C84203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505" w:type="dxa"/>
            <w:tcBorders>
              <w:top w:val="nil"/>
              <w:left w:val="nil"/>
              <w:bottom w:val="nil"/>
              <w:right w:val="nil"/>
            </w:tcBorders>
            <w:shd w:val="clear" w:color="000000" w:fill="000000"/>
            <w:noWrap/>
            <w:vAlign w:val="bottom"/>
            <w:hideMark/>
          </w:tcPr>
          <w:p w14:paraId="03D5C0D8"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57" w:type="dxa"/>
            <w:tcBorders>
              <w:top w:val="nil"/>
              <w:left w:val="nil"/>
              <w:bottom w:val="nil"/>
              <w:right w:val="nil"/>
            </w:tcBorders>
            <w:shd w:val="clear" w:color="000000" w:fill="000000"/>
            <w:noWrap/>
            <w:vAlign w:val="bottom"/>
            <w:hideMark/>
          </w:tcPr>
          <w:p w14:paraId="3A53DB8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488" w:type="dxa"/>
            <w:tcBorders>
              <w:top w:val="nil"/>
              <w:left w:val="nil"/>
              <w:bottom w:val="nil"/>
              <w:right w:val="nil"/>
            </w:tcBorders>
            <w:shd w:val="clear" w:color="000000" w:fill="000000"/>
            <w:noWrap/>
            <w:vAlign w:val="bottom"/>
            <w:hideMark/>
          </w:tcPr>
          <w:p w14:paraId="3E19F208"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238" w:type="dxa"/>
            <w:tcBorders>
              <w:top w:val="nil"/>
              <w:left w:val="nil"/>
              <w:bottom w:val="nil"/>
              <w:right w:val="nil"/>
            </w:tcBorders>
            <w:shd w:val="clear" w:color="000000" w:fill="000000"/>
            <w:noWrap/>
            <w:vAlign w:val="bottom"/>
            <w:hideMark/>
          </w:tcPr>
          <w:p w14:paraId="0466FFE4"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3F237BEF" w14:textId="77777777" w:rsidTr="0062462F">
        <w:trPr>
          <w:trHeight w:val="222"/>
        </w:trPr>
        <w:tc>
          <w:tcPr>
            <w:tcW w:w="3686" w:type="dxa"/>
            <w:tcBorders>
              <w:top w:val="nil"/>
              <w:left w:val="nil"/>
              <w:bottom w:val="nil"/>
              <w:right w:val="nil"/>
            </w:tcBorders>
            <w:shd w:val="clear" w:color="auto" w:fill="auto"/>
            <w:noWrap/>
            <w:vAlign w:val="center"/>
            <w:hideMark/>
          </w:tcPr>
          <w:p w14:paraId="2FE6C28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505" w:type="dxa"/>
            <w:tcBorders>
              <w:top w:val="nil"/>
              <w:left w:val="nil"/>
              <w:bottom w:val="nil"/>
              <w:right w:val="nil"/>
            </w:tcBorders>
            <w:shd w:val="clear" w:color="auto" w:fill="auto"/>
            <w:noWrap/>
            <w:vAlign w:val="center"/>
            <w:hideMark/>
          </w:tcPr>
          <w:p w14:paraId="42C07E25"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257" w:type="dxa"/>
            <w:tcBorders>
              <w:top w:val="nil"/>
              <w:left w:val="nil"/>
              <w:bottom w:val="nil"/>
              <w:right w:val="nil"/>
            </w:tcBorders>
            <w:shd w:val="clear" w:color="auto" w:fill="auto"/>
            <w:noWrap/>
            <w:vAlign w:val="center"/>
            <w:hideMark/>
          </w:tcPr>
          <w:p w14:paraId="6DB41C84" w14:textId="77777777" w:rsidR="005C5CED" w:rsidRPr="005C5CED" w:rsidRDefault="005C5CED" w:rsidP="005C5CED">
            <w:pPr>
              <w:spacing w:after="0" w:line="240" w:lineRule="auto"/>
              <w:jc w:val="right"/>
              <w:rPr>
                <w:rFonts w:eastAsia="Times New Roman" w:cs="Arial"/>
                <w:color w:val="auto"/>
                <w:szCs w:val="20"/>
                <w:lang w:eastAsia="en-AU"/>
              </w:rPr>
            </w:pPr>
          </w:p>
        </w:tc>
        <w:tc>
          <w:tcPr>
            <w:tcW w:w="1488" w:type="dxa"/>
            <w:tcBorders>
              <w:top w:val="nil"/>
              <w:left w:val="nil"/>
              <w:bottom w:val="nil"/>
              <w:right w:val="nil"/>
            </w:tcBorders>
            <w:shd w:val="clear" w:color="auto" w:fill="auto"/>
            <w:noWrap/>
            <w:vAlign w:val="center"/>
            <w:hideMark/>
          </w:tcPr>
          <w:p w14:paraId="31B6F44E"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8" w:type="dxa"/>
            <w:tcBorders>
              <w:top w:val="nil"/>
              <w:left w:val="nil"/>
              <w:bottom w:val="nil"/>
              <w:right w:val="nil"/>
            </w:tcBorders>
            <w:shd w:val="clear" w:color="auto" w:fill="auto"/>
            <w:noWrap/>
            <w:vAlign w:val="center"/>
            <w:hideMark/>
          </w:tcPr>
          <w:p w14:paraId="52C73405"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45CD8A19" w14:textId="77777777" w:rsidTr="0062462F">
        <w:trPr>
          <w:trHeight w:val="222"/>
        </w:trPr>
        <w:tc>
          <w:tcPr>
            <w:tcW w:w="3686" w:type="dxa"/>
            <w:tcBorders>
              <w:top w:val="nil"/>
              <w:left w:val="nil"/>
              <w:right w:val="nil"/>
            </w:tcBorders>
            <w:shd w:val="clear" w:color="auto" w:fill="auto"/>
            <w:noWrap/>
            <w:vAlign w:val="center"/>
            <w:hideMark/>
          </w:tcPr>
          <w:p w14:paraId="4F564AAD"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1505" w:type="dxa"/>
            <w:tcBorders>
              <w:top w:val="nil"/>
              <w:left w:val="nil"/>
              <w:right w:val="nil"/>
            </w:tcBorders>
            <w:shd w:val="clear" w:color="auto" w:fill="auto"/>
            <w:noWrap/>
            <w:vAlign w:val="center"/>
          </w:tcPr>
          <w:p w14:paraId="3C7BBA4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w:t>
            </w:r>
          </w:p>
        </w:tc>
        <w:tc>
          <w:tcPr>
            <w:tcW w:w="1257" w:type="dxa"/>
            <w:tcBorders>
              <w:top w:val="nil"/>
              <w:left w:val="nil"/>
              <w:right w:val="nil"/>
            </w:tcBorders>
            <w:shd w:val="clear" w:color="auto" w:fill="auto"/>
            <w:noWrap/>
            <w:vAlign w:val="center"/>
          </w:tcPr>
          <w:p w14:paraId="71A6BB3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8" w:type="dxa"/>
            <w:tcBorders>
              <w:top w:val="nil"/>
              <w:left w:val="nil"/>
              <w:right w:val="nil"/>
            </w:tcBorders>
            <w:shd w:val="clear" w:color="auto" w:fill="auto"/>
            <w:noWrap/>
            <w:vAlign w:val="center"/>
          </w:tcPr>
          <w:p w14:paraId="2469235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8" w:type="dxa"/>
            <w:tcBorders>
              <w:top w:val="nil"/>
              <w:left w:val="nil"/>
              <w:right w:val="nil"/>
            </w:tcBorders>
            <w:shd w:val="clear" w:color="auto" w:fill="auto"/>
            <w:noWrap/>
            <w:vAlign w:val="center"/>
          </w:tcPr>
          <w:p w14:paraId="707EA6A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w:t>
            </w:r>
          </w:p>
        </w:tc>
      </w:tr>
      <w:tr w:rsidR="005C5CED" w:rsidRPr="005C5CED" w14:paraId="06C8CF95" w14:textId="77777777" w:rsidTr="0062462F">
        <w:trPr>
          <w:trHeight w:val="222"/>
        </w:trPr>
        <w:tc>
          <w:tcPr>
            <w:tcW w:w="3686" w:type="dxa"/>
            <w:tcBorders>
              <w:top w:val="nil"/>
              <w:left w:val="nil"/>
              <w:right w:val="nil"/>
            </w:tcBorders>
            <w:shd w:val="clear" w:color="auto" w:fill="auto"/>
            <w:noWrap/>
            <w:vAlign w:val="center"/>
            <w:hideMark/>
          </w:tcPr>
          <w:p w14:paraId="7937CB1A"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1505" w:type="dxa"/>
            <w:tcBorders>
              <w:top w:val="nil"/>
              <w:left w:val="nil"/>
              <w:right w:val="nil"/>
            </w:tcBorders>
            <w:shd w:val="clear" w:color="auto" w:fill="auto"/>
            <w:noWrap/>
            <w:vAlign w:val="center"/>
          </w:tcPr>
          <w:p w14:paraId="6C77A57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116</w:t>
            </w:r>
          </w:p>
        </w:tc>
        <w:tc>
          <w:tcPr>
            <w:tcW w:w="1257" w:type="dxa"/>
            <w:tcBorders>
              <w:top w:val="nil"/>
              <w:left w:val="nil"/>
              <w:right w:val="nil"/>
            </w:tcBorders>
            <w:shd w:val="clear" w:color="auto" w:fill="auto"/>
            <w:noWrap/>
            <w:vAlign w:val="center"/>
          </w:tcPr>
          <w:p w14:paraId="4513E4B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8" w:type="dxa"/>
            <w:tcBorders>
              <w:top w:val="nil"/>
              <w:left w:val="nil"/>
              <w:right w:val="nil"/>
            </w:tcBorders>
            <w:shd w:val="clear" w:color="auto" w:fill="auto"/>
            <w:noWrap/>
            <w:vAlign w:val="center"/>
          </w:tcPr>
          <w:p w14:paraId="2739ADD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8" w:type="dxa"/>
            <w:tcBorders>
              <w:top w:val="nil"/>
              <w:left w:val="nil"/>
              <w:right w:val="nil"/>
            </w:tcBorders>
            <w:shd w:val="clear" w:color="auto" w:fill="auto"/>
            <w:noWrap/>
            <w:vAlign w:val="center"/>
          </w:tcPr>
          <w:p w14:paraId="6ACE48B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116</w:t>
            </w:r>
          </w:p>
        </w:tc>
      </w:tr>
      <w:tr w:rsidR="005C5CED" w:rsidRPr="005C5CED" w14:paraId="2F44B963" w14:textId="77777777" w:rsidTr="0062462F">
        <w:trPr>
          <w:trHeight w:val="222"/>
        </w:trPr>
        <w:tc>
          <w:tcPr>
            <w:tcW w:w="3686" w:type="dxa"/>
            <w:tcBorders>
              <w:top w:val="nil"/>
              <w:left w:val="nil"/>
              <w:bottom w:val="single" w:sz="4" w:space="0" w:color="auto"/>
              <w:right w:val="nil"/>
            </w:tcBorders>
            <w:shd w:val="clear" w:color="auto" w:fill="auto"/>
            <w:noWrap/>
            <w:vAlign w:val="center"/>
          </w:tcPr>
          <w:p w14:paraId="60D029AB"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Building (right-of-use asset)</w:t>
            </w:r>
          </w:p>
        </w:tc>
        <w:tc>
          <w:tcPr>
            <w:tcW w:w="1505" w:type="dxa"/>
            <w:tcBorders>
              <w:top w:val="nil"/>
              <w:left w:val="nil"/>
              <w:bottom w:val="single" w:sz="4" w:space="0" w:color="auto"/>
              <w:right w:val="nil"/>
            </w:tcBorders>
            <w:shd w:val="clear" w:color="auto" w:fill="auto"/>
            <w:noWrap/>
            <w:vAlign w:val="center"/>
          </w:tcPr>
          <w:p w14:paraId="2CDB7B3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4,005</w:t>
            </w:r>
          </w:p>
        </w:tc>
        <w:tc>
          <w:tcPr>
            <w:tcW w:w="1257" w:type="dxa"/>
            <w:tcBorders>
              <w:top w:val="nil"/>
              <w:left w:val="nil"/>
              <w:bottom w:val="single" w:sz="4" w:space="0" w:color="auto"/>
              <w:right w:val="nil"/>
            </w:tcBorders>
            <w:shd w:val="clear" w:color="auto" w:fill="auto"/>
            <w:noWrap/>
            <w:vAlign w:val="center"/>
          </w:tcPr>
          <w:p w14:paraId="7B12844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8" w:type="dxa"/>
            <w:tcBorders>
              <w:top w:val="nil"/>
              <w:left w:val="nil"/>
              <w:bottom w:val="single" w:sz="4" w:space="0" w:color="auto"/>
              <w:right w:val="nil"/>
            </w:tcBorders>
            <w:shd w:val="clear" w:color="auto" w:fill="auto"/>
            <w:noWrap/>
            <w:vAlign w:val="center"/>
          </w:tcPr>
          <w:p w14:paraId="1069AAC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4,005</w:t>
            </w:r>
          </w:p>
        </w:tc>
        <w:tc>
          <w:tcPr>
            <w:tcW w:w="1238" w:type="dxa"/>
            <w:tcBorders>
              <w:top w:val="nil"/>
              <w:left w:val="nil"/>
              <w:bottom w:val="single" w:sz="4" w:space="0" w:color="auto"/>
              <w:right w:val="nil"/>
            </w:tcBorders>
            <w:shd w:val="clear" w:color="auto" w:fill="auto"/>
            <w:noWrap/>
            <w:vAlign w:val="center"/>
          </w:tcPr>
          <w:p w14:paraId="40CA62F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78D496EF" w14:textId="77777777" w:rsidTr="0062462F">
        <w:trPr>
          <w:trHeight w:val="222"/>
        </w:trPr>
        <w:tc>
          <w:tcPr>
            <w:tcW w:w="3686" w:type="dxa"/>
            <w:tcBorders>
              <w:top w:val="single" w:sz="4" w:space="0" w:color="auto"/>
              <w:left w:val="nil"/>
              <w:bottom w:val="single" w:sz="4" w:space="0" w:color="auto"/>
              <w:right w:val="nil"/>
            </w:tcBorders>
            <w:shd w:val="clear" w:color="auto" w:fill="auto"/>
            <w:noWrap/>
            <w:vAlign w:val="center"/>
            <w:hideMark/>
          </w:tcPr>
          <w:p w14:paraId="7A88E241"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of non-financial assets at fair value</w:t>
            </w:r>
          </w:p>
        </w:tc>
        <w:tc>
          <w:tcPr>
            <w:tcW w:w="1505" w:type="dxa"/>
            <w:tcBorders>
              <w:top w:val="single" w:sz="4" w:space="0" w:color="auto"/>
              <w:left w:val="nil"/>
              <w:bottom w:val="single" w:sz="4" w:space="0" w:color="auto"/>
              <w:right w:val="nil"/>
            </w:tcBorders>
            <w:shd w:val="clear" w:color="auto" w:fill="auto"/>
            <w:noWrap/>
            <w:vAlign w:val="center"/>
          </w:tcPr>
          <w:p w14:paraId="705CC8E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4,132</w:t>
            </w:r>
          </w:p>
        </w:tc>
        <w:tc>
          <w:tcPr>
            <w:tcW w:w="1257" w:type="dxa"/>
            <w:tcBorders>
              <w:top w:val="single" w:sz="4" w:space="0" w:color="auto"/>
              <w:left w:val="nil"/>
              <w:bottom w:val="single" w:sz="4" w:space="0" w:color="auto"/>
              <w:right w:val="nil"/>
            </w:tcBorders>
            <w:shd w:val="clear" w:color="auto" w:fill="auto"/>
            <w:noWrap/>
            <w:vAlign w:val="center"/>
          </w:tcPr>
          <w:p w14:paraId="3294385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488" w:type="dxa"/>
            <w:tcBorders>
              <w:top w:val="single" w:sz="4" w:space="0" w:color="auto"/>
              <w:left w:val="nil"/>
              <w:bottom w:val="single" w:sz="4" w:space="0" w:color="auto"/>
              <w:right w:val="nil"/>
            </w:tcBorders>
            <w:shd w:val="clear" w:color="auto" w:fill="auto"/>
            <w:noWrap/>
            <w:vAlign w:val="center"/>
          </w:tcPr>
          <w:p w14:paraId="7B41FCC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4,005</w:t>
            </w:r>
          </w:p>
        </w:tc>
        <w:tc>
          <w:tcPr>
            <w:tcW w:w="1238" w:type="dxa"/>
            <w:tcBorders>
              <w:top w:val="single" w:sz="4" w:space="0" w:color="auto"/>
              <w:left w:val="nil"/>
              <w:bottom w:val="single" w:sz="4" w:space="0" w:color="auto"/>
              <w:right w:val="nil"/>
            </w:tcBorders>
            <w:shd w:val="clear" w:color="auto" w:fill="auto"/>
            <w:noWrap/>
            <w:vAlign w:val="center"/>
          </w:tcPr>
          <w:p w14:paraId="2D8C423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127</w:t>
            </w:r>
          </w:p>
        </w:tc>
      </w:tr>
      <w:tr w:rsidR="005C5CED" w:rsidRPr="005C5CED" w14:paraId="1E15EAF7" w14:textId="77777777" w:rsidTr="0062462F">
        <w:trPr>
          <w:trHeight w:val="147"/>
        </w:trPr>
        <w:tc>
          <w:tcPr>
            <w:tcW w:w="3686" w:type="dxa"/>
            <w:tcBorders>
              <w:top w:val="nil"/>
              <w:left w:val="nil"/>
              <w:bottom w:val="nil"/>
              <w:right w:val="nil"/>
            </w:tcBorders>
            <w:shd w:val="clear" w:color="auto" w:fill="auto"/>
            <w:noWrap/>
            <w:vAlign w:val="bottom"/>
            <w:hideMark/>
          </w:tcPr>
          <w:p w14:paraId="0EAF4B0F"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505" w:type="dxa"/>
            <w:tcBorders>
              <w:top w:val="nil"/>
              <w:left w:val="nil"/>
              <w:bottom w:val="nil"/>
              <w:right w:val="nil"/>
            </w:tcBorders>
            <w:shd w:val="clear" w:color="auto" w:fill="auto"/>
            <w:noWrap/>
            <w:vAlign w:val="bottom"/>
            <w:hideMark/>
          </w:tcPr>
          <w:p w14:paraId="75DF3837" w14:textId="77777777" w:rsidR="005C5CED" w:rsidRPr="005C5CED" w:rsidRDefault="005C5CED" w:rsidP="005C5CED">
            <w:pPr>
              <w:spacing w:after="0" w:line="240" w:lineRule="auto"/>
              <w:rPr>
                <w:rFonts w:eastAsia="Times New Roman" w:cs="Arial"/>
                <w:color w:val="auto"/>
                <w:szCs w:val="20"/>
                <w:lang w:eastAsia="en-AU"/>
              </w:rPr>
            </w:pPr>
          </w:p>
        </w:tc>
        <w:tc>
          <w:tcPr>
            <w:tcW w:w="1257" w:type="dxa"/>
            <w:tcBorders>
              <w:top w:val="nil"/>
              <w:left w:val="nil"/>
              <w:bottom w:val="nil"/>
              <w:right w:val="nil"/>
            </w:tcBorders>
            <w:shd w:val="clear" w:color="auto" w:fill="auto"/>
            <w:noWrap/>
            <w:vAlign w:val="bottom"/>
            <w:hideMark/>
          </w:tcPr>
          <w:p w14:paraId="0F7C97E9" w14:textId="77777777" w:rsidR="005C5CED" w:rsidRPr="005C5CED" w:rsidRDefault="005C5CED" w:rsidP="005C5CED">
            <w:pPr>
              <w:spacing w:after="0" w:line="240" w:lineRule="auto"/>
              <w:jc w:val="right"/>
              <w:rPr>
                <w:rFonts w:eastAsia="Times New Roman" w:cs="Arial"/>
                <w:color w:val="auto"/>
                <w:szCs w:val="20"/>
                <w:lang w:eastAsia="en-AU"/>
              </w:rPr>
            </w:pPr>
          </w:p>
        </w:tc>
        <w:tc>
          <w:tcPr>
            <w:tcW w:w="1488" w:type="dxa"/>
            <w:tcBorders>
              <w:top w:val="nil"/>
              <w:left w:val="nil"/>
              <w:bottom w:val="nil"/>
              <w:right w:val="nil"/>
            </w:tcBorders>
            <w:shd w:val="clear" w:color="auto" w:fill="auto"/>
            <w:noWrap/>
            <w:vAlign w:val="bottom"/>
            <w:hideMark/>
          </w:tcPr>
          <w:p w14:paraId="39DC77EC"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8" w:type="dxa"/>
            <w:tcBorders>
              <w:top w:val="nil"/>
              <w:left w:val="nil"/>
              <w:bottom w:val="nil"/>
              <w:right w:val="nil"/>
            </w:tcBorders>
            <w:shd w:val="clear" w:color="auto" w:fill="auto"/>
            <w:noWrap/>
            <w:vAlign w:val="bottom"/>
            <w:hideMark/>
          </w:tcPr>
          <w:p w14:paraId="59F16E00"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2EDDD329" w14:textId="77777777" w:rsidTr="0062462F">
        <w:trPr>
          <w:trHeight w:val="222"/>
        </w:trPr>
        <w:tc>
          <w:tcPr>
            <w:tcW w:w="3686" w:type="dxa"/>
            <w:tcBorders>
              <w:top w:val="nil"/>
              <w:left w:val="nil"/>
              <w:bottom w:val="nil"/>
              <w:right w:val="nil"/>
            </w:tcBorders>
            <w:shd w:val="clear" w:color="auto" w:fill="auto"/>
            <w:noWrap/>
            <w:vAlign w:val="center"/>
            <w:hideMark/>
          </w:tcPr>
          <w:p w14:paraId="49E3CDF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505" w:type="dxa"/>
            <w:tcBorders>
              <w:top w:val="nil"/>
              <w:left w:val="nil"/>
              <w:bottom w:val="nil"/>
              <w:right w:val="nil"/>
            </w:tcBorders>
            <w:shd w:val="clear" w:color="auto" w:fill="auto"/>
            <w:noWrap/>
            <w:vAlign w:val="center"/>
            <w:hideMark/>
          </w:tcPr>
          <w:p w14:paraId="4361341A"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257" w:type="dxa"/>
            <w:tcBorders>
              <w:top w:val="nil"/>
              <w:left w:val="nil"/>
              <w:bottom w:val="nil"/>
              <w:right w:val="nil"/>
            </w:tcBorders>
            <w:shd w:val="clear" w:color="auto" w:fill="auto"/>
            <w:noWrap/>
            <w:vAlign w:val="center"/>
            <w:hideMark/>
          </w:tcPr>
          <w:p w14:paraId="0318AC34" w14:textId="77777777" w:rsidR="005C5CED" w:rsidRPr="005C5CED" w:rsidRDefault="005C5CED" w:rsidP="005C5CED">
            <w:pPr>
              <w:spacing w:after="0" w:line="240" w:lineRule="auto"/>
              <w:jc w:val="right"/>
              <w:rPr>
                <w:rFonts w:eastAsia="Times New Roman" w:cs="Arial"/>
                <w:color w:val="auto"/>
                <w:szCs w:val="20"/>
                <w:lang w:eastAsia="en-AU"/>
              </w:rPr>
            </w:pPr>
          </w:p>
        </w:tc>
        <w:tc>
          <w:tcPr>
            <w:tcW w:w="1488" w:type="dxa"/>
            <w:tcBorders>
              <w:top w:val="nil"/>
              <w:left w:val="nil"/>
              <w:bottom w:val="nil"/>
              <w:right w:val="nil"/>
            </w:tcBorders>
            <w:shd w:val="clear" w:color="auto" w:fill="auto"/>
            <w:noWrap/>
            <w:vAlign w:val="center"/>
            <w:hideMark/>
          </w:tcPr>
          <w:p w14:paraId="649309CD" w14:textId="77777777" w:rsidR="005C5CED" w:rsidRPr="005C5CED" w:rsidRDefault="005C5CED" w:rsidP="005C5CED">
            <w:pPr>
              <w:spacing w:after="0" w:line="240" w:lineRule="auto"/>
              <w:jc w:val="right"/>
              <w:rPr>
                <w:rFonts w:eastAsia="Times New Roman" w:cs="Arial"/>
                <w:color w:val="auto"/>
                <w:szCs w:val="20"/>
                <w:lang w:eastAsia="en-AU"/>
              </w:rPr>
            </w:pPr>
          </w:p>
        </w:tc>
        <w:tc>
          <w:tcPr>
            <w:tcW w:w="1238" w:type="dxa"/>
            <w:tcBorders>
              <w:top w:val="nil"/>
              <w:left w:val="nil"/>
              <w:bottom w:val="nil"/>
              <w:right w:val="nil"/>
            </w:tcBorders>
            <w:shd w:val="clear" w:color="auto" w:fill="auto"/>
            <w:noWrap/>
            <w:vAlign w:val="center"/>
            <w:hideMark/>
          </w:tcPr>
          <w:p w14:paraId="77EBDF2E"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63D76920" w14:textId="77777777" w:rsidTr="0062462F">
        <w:trPr>
          <w:trHeight w:val="222"/>
        </w:trPr>
        <w:tc>
          <w:tcPr>
            <w:tcW w:w="3686" w:type="dxa"/>
            <w:tcBorders>
              <w:top w:val="nil"/>
              <w:left w:val="nil"/>
              <w:right w:val="nil"/>
            </w:tcBorders>
            <w:shd w:val="clear" w:color="auto" w:fill="auto"/>
            <w:noWrap/>
            <w:vAlign w:val="center"/>
            <w:hideMark/>
          </w:tcPr>
          <w:p w14:paraId="0EFA91A8"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1505" w:type="dxa"/>
            <w:tcBorders>
              <w:top w:val="nil"/>
              <w:left w:val="nil"/>
              <w:right w:val="nil"/>
            </w:tcBorders>
            <w:shd w:val="clear" w:color="000000" w:fill="E7E6E6"/>
            <w:noWrap/>
            <w:vAlign w:val="center"/>
            <w:hideMark/>
          </w:tcPr>
          <w:p w14:paraId="3DB291A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w:t>
            </w:r>
          </w:p>
        </w:tc>
        <w:tc>
          <w:tcPr>
            <w:tcW w:w="1257" w:type="dxa"/>
            <w:tcBorders>
              <w:top w:val="nil"/>
              <w:left w:val="nil"/>
              <w:right w:val="nil"/>
            </w:tcBorders>
            <w:shd w:val="clear" w:color="000000" w:fill="E7E6E6"/>
            <w:noWrap/>
            <w:vAlign w:val="center"/>
            <w:hideMark/>
          </w:tcPr>
          <w:p w14:paraId="06899EC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8" w:type="dxa"/>
            <w:tcBorders>
              <w:top w:val="nil"/>
              <w:left w:val="nil"/>
              <w:right w:val="nil"/>
            </w:tcBorders>
            <w:shd w:val="clear" w:color="000000" w:fill="E7E6E6"/>
            <w:noWrap/>
            <w:vAlign w:val="center"/>
            <w:hideMark/>
          </w:tcPr>
          <w:p w14:paraId="689D61E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8" w:type="dxa"/>
            <w:tcBorders>
              <w:top w:val="nil"/>
              <w:left w:val="nil"/>
              <w:right w:val="nil"/>
            </w:tcBorders>
            <w:shd w:val="clear" w:color="000000" w:fill="E7E6E6"/>
            <w:noWrap/>
            <w:vAlign w:val="center"/>
            <w:hideMark/>
          </w:tcPr>
          <w:p w14:paraId="78C2CA4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30</w:t>
            </w:r>
          </w:p>
        </w:tc>
      </w:tr>
      <w:tr w:rsidR="005C5CED" w:rsidRPr="005C5CED" w14:paraId="1736604F" w14:textId="77777777" w:rsidTr="0062462F">
        <w:trPr>
          <w:trHeight w:val="222"/>
        </w:trPr>
        <w:tc>
          <w:tcPr>
            <w:tcW w:w="3686" w:type="dxa"/>
            <w:tcBorders>
              <w:top w:val="nil"/>
              <w:left w:val="nil"/>
              <w:right w:val="nil"/>
            </w:tcBorders>
            <w:shd w:val="clear" w:color="auto" w:fill="auto"/>
            <w:noWrap/>
            <w:vAlign w:val="center"/>
            <w:hideMark/>
          </w:tcPr>
          <w:p w14:paraId="59E8CE5C"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1505" w:type="dxa"/>
            <w:tcBorders>
              <w:top w:val="nil"/>
              <w:left w:val="nil"/>
              <w:right w:val="nil"/>
            </w:tcBorders>
            <w:shd w:val="clear" w:color="000000" w:fill="E7E6E6"/>
            <w:noWrap/>
            <w:vAlign w:val="center"/>
            <w:hideMark/>
          </w:tcPr>
          <w:p w14:paraId="5341822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158</w:t>
            </w:r>
          </w:p>
        </w:tc>
        <w:tc>
          <w:tcPr>
            <w:tcW w:w="1257" w:type="dxa"/>
            <w:tcBorders>
              <w:top w:val="nil"/>
              <w:left w:val="nil"/>
              <w:right w:val="nil"/>
            </w:tcBorders>
            <w:shd w:val="clear" w:color="000000" w:fill="E7E6E6"/>
            <w:noWrap/>
            <w:vAlign w:val="center"/>
            <w:hideMark/>
          </w:tcPr>
          <w:p w14:paraId="132BE1A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8" w:type="dxa"/>
            <w:tcBorders>
              <w:top w:val="nil"/>
              <w:left w:val="nil"/>
              <w:right w:val="nil"/>
            </w:tcBorders>
            <w:shd w:val="clear" w:color="000000" w:fill="E7E6E6"/>
            <w:noWrap/>
            <w:vAlign w:val="center"/>
            <w:hideMark/>
          </w:tcPr>
          <w:p w14:paraId="157B727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238" w:type="dxa"/>
            <w:tcBorders>
              <w:top w:val="nil"/>
              <w:left w:val="nil"/>
              <w:right w:val="nil"/>
            </w:tcBorders>
            <w:shd w:val="clear" w:color="000000" w:fill="E7E6E6"/>
            <w:noWrap/>
            <w:vAlign w:val="center"/>
            <w:hideMark/>
          </w:tcPr>
          <w:p w14:paraId="3BE33A0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158</w:t>
            </w:r>
          </w:p>
        </w:tc>
      </w:tr>
      <w:tr w:rsidR="005C5CED" w:rsidRPr="005C5CED" w14:paraId="463F000C" w14:textId="77777777" w:rsidTr="0062462F">
        <w:trPr>
          <w:trHeight w:val="222"/>
        </w:trPr>
        <w:tc>
          <w:tcPr>
            <w:tcW w:w="3686" w:type="dxa"/>
            <w:tcBorders>
              <w:top w:val="nil"/>
              <w:left w:val="nil"/>
              <w:bottom w:val="single" w:sz="4" w:space="0" w:color="auto"/>
              <w:right w:val="nil"/>
            </w:tcBorders>
            <w:shd w:val="clear" w:color="auto" w:fill="auto"/>
            <w:noWrap/>
            <w:vAlign w:val="center"/>
          </w:tcPr>
          <w:p w14:paraId="1C1985E7"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Building (right-of-use asset)</w:t>
            </w:r>
          </w:p>
        </w:tc>
        <w:tc>
          <w:tcPr>
            <w:tcW w:w="1505" w:type="dxa"/>
            <w:tcBorders>
              <w:top w:val="nil"/>
              <w:left w:val="nil"/>
              <w:bottom w:val="single" w:sz="4" w:space="0" w:color="auto"/>
              <w:right w:val="nil"/>
            </w:tcBorders>
            <w:shd w:val="clear" w:color="000000" w:fill="E7E6E6"/>
            <w:noWrap/>
            <w:vAlign w:val="center"/>
          </w:tcPr>
          <w:p w14:paraId="1A32A22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17,919</w:t>
            </w:r>
          </w:p>
        </w:tc>
        <w:tc>
          <w:tcPr>
            <w:tcW w:w="1257" w:type="dxa"/>
            <w:tcBorders>
              <w:top w:val="nil"/>
              <w:left w:val="nil"/>
              <w:bottom w:val="single" w:sz="4" w:space="0" w:color="auto"/>
              <w:right w:val="nil"/>
            </w:tcBorders>
            <w:shd w:val="clear" w:color="000000" w:fill="E7E6E6"/>
            <w:noWrap/>
            <w:vAlign w:val="center"/>
          </w:tcPr>
          <w:p w14:paraId="23842EC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88" w:type="dxa"/>
            <w:tcBorders>
              <w:top w:val="nil"/>
              <w:left w:val="nil"/>
              <w:bottom w:val="single" w:sz="4" w:space="0" w:color="auto"/>
              <w:right w:val="nil"/>
            </w:tcBorders>
            <w:shd w:val="clear" w:color="000000" w:fill="E7E6E6"/>
            <w:noWrap/>
            <w:vAlign w:val="center"/>
          </w:tcPr>
          <w:p w14:paraId="2102618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17,919</w:t>
            </w:r>
          </w:p>
        </w:tc>
        <w:tc>
          <w:tcPr>
            <w:tcW w:w="1238" w:type="dxa"/>
            <w:tcBorders>
              <w:top w:val="nil"/>
              <w:left w:val="nil"/>
              <w:bottom w:val="single" w:sz="4" w:space="0" w:color="auto"/>
              <w:right w:val="nil"/>
            </w:tcBorders>
            <w:shd w:val="clear" w:color="000000" w:fill="E7E6E6"/>
            <w:noWrap/>
            <w:vAlign w:val="center"/>
          </w:tcPr>
          <w:p w14:paraId="73635EF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5B845AA6" w14:textId="77777777" w:rsidTr="0062462F">
        <w:trPr>
          <w:trHeight w:val="222"/>
        </w:trPr>
        <w:tc>
          <w:tcPr>
            <w:tcW w:w="3686" w:type="dxa"/>
            <w:tcBorders>
              <w:top w:val="single" w:sz="4" w:space="0" w:color="auto"/>
              <w:left w:val="nil"/>
              <w:bottom w:val="single" w:sz="4" w:space="0" w:color="auto"/>
              <w:right w:val="nil"/>
            </w:tcBorders>
            <w:shd w:val="clear" w:color="auto" w:fill="auto"/>
            <w:noWrap/>
            <w:vAlign w:val="center"/>
            <w:hideMark/>
          </w:tcPr>
          <w:p w14:paraId="79F1AFC9"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Total of non-financial assets at fair value</w:t>
            </w:r>
          </w:p>
        </w:tc>
        <w:tc>
          <w:tcPr>
            <w:tcW w:w="1505" w:type="dxa"/>
            <w:tcBorders>
              <w:top w:val="single" w:sz="4" w:space="0" w:color="auto"/>
              <w:left w:val="nil"/>
              <w:bottom w:val="single" w:sz="4" w:space="0" w:color="auto"/>
              <w:right w:val="nil"/>
            </w:tcBorders>
            <w:shd w:val="clear" w:color="000000" w:fill="E7E6E6"/>
            <w:noWrap/>
            <w:vAlign w:val="center"/>
            <w:hideMark/>
          </w:tcPr>
          <w:p w14:paraId="47F1B3A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18,107</w:t>
            </w:r>
          </w:p>
        </w:tc>
        <w:tc>
          <w:tcPr>
            <w:tcW w:w="1257" w:type="dxa"/>
            <w:tcBorders>
              <w:top w:val="single" w:sz="4" w:space="0" w:color="auto"/>
              <w:left w:val="nil"/>
              <w:bottom w:val="single" w:sz="4" w:space="0" w:color="auto"/>
              <w:right w:val="nil"/>
            </w:tcBorders>
            <w:shd w:val="clear" w:color="000000" w:fill="E7E6E6"/>
            <w:noWrap/>
            <w:vAlign w:val="center"/>
            <w:hideMark/>
          </w:tcPr>
          <w:p w14:paraId="1E85A413"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488" w:type="dxa"/>
            <w:tcBorders>
              <w:top w:val="single" w:sz="4" w:space="0" w:color="auto"/>
              <w:left w:val="nil"/>
              <w:bottom w:val="single" w:sz="4" w:space="0" w:color="auto"/>
              <w:right w:val="nil"/>
            </w:tcBorders>
            <w:shd w:val="clear" w:color="000000" w:fill="E7E6E6"/>
            <w:noWrap/>
            <w:vAlign w:val="center"/>
            <w:hideMark/>
          </w:tcPr>
          <w:p w14:paraId="07F42C4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17,919</w:t>
            </w:r>
          </w:p>
        </w:tc>
        <w:tc>
          <w:tcPr>
            <w:tcW w:w="1238" w:type="dxa"/>
            <w:tcBorders>
              <w:top w:val="single" w:sz="4" w:space="0" w:color="auto"/>
              <w:left w:val="nil"/>
              <w:bottom w:val="single" w:sz="4" w:space="0" w:color="auto"/>
              <w:right w:val="nil"/>
            </w:tcBorders>
            <w:shd w:val="clear" w:color="000000" w:fill="E7E6E6"/>
            <w:noWrap/>
            <w:vAlign w:val="center"/>
            <w:hideMark/>
          </w:tcPr>
          <w:p w14:paraId="3D54065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188</w:t>
            </w:r>
          </w:p>
        </w:tc>
      </w:tr>
    </w:tbl>
    <w:p w14:paraId="7F9675BB" w14:textId="77777777" w:rsidR="005C5CED" w:rsidRPr="005C5CED" w:rsidRDefault="005C5CED" w:rsidP="005C5CED">
      <w:pPr>
        <w:spacing w:after="60" w:line="259" w:lineRule="auto"/>
        <w:rPr>
          <w:rFonts w:eastAsia="Calibri" w:cs="Arial"/>
          <w:b/>
          <w:bCs/>
          <w:color w:val="auto"/>
          <w:sz w:val="16"/>
          <w:szCs w:val="16"/>
        </w:rPr>
      </w:pPr>
    </w:p>
    <w:p w14:paraId="4A2F888F"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Office furniture and equipment and computer equipment</w:t>
      </w:r>
      <w:r w:rsidRPr="005C5CED">
        <w:rPr>
          <w:rFonts w:eastAsia="Calibri" w:cs="Arial"/>
          <w:color w:val="auto"/>
        </w:rPr>
        <w:t xml:space="preserve"> is held at fair value. Fair value is determined using the current replacement cost method. There were no changes in valuation </w:t>
      </w:r>
      <w:r w:rsidRPr="005C5CED">
        <w:rPr>
          <w:rFonts w:eastAsia="Calibri" w:cs="Arial"/>
          <w:color w:val="auto"/>
        </w:rPr>
        <w:lastRenderedPageBreak/>
        <w:t>techniques used throughout the period to 30 June 2024. For all assets measured at fair value, the current use is considered the highest and best use.</w:t>
      </w:r>
    </w:p>
    <w:p w14:paraId="1C96B915"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Motor vehicles</w:t>
      </w:r>
      <w:r w:rsidRPr="005C5CED">
        <w:rPr>
          <w:rFonts w:eastAsia="Calibri" w:cs="Arial"/>
          <w:color w:val="auto"/>
        </w:rPr>
        <w:t xml:space="preserve"> are valued using the current replacement cost method. Sustainability Victoria acquires new vehicles and at times disposes of them before the end of their economic life. The process of acquisition use and disposal in the market is managed by our facilities manager who sets relevant depreciation rates during use to reflect the lease term of the vehicle.</w:t>
      </w:r>
    </w:p>
    <w:p w14:paraId="5D471A04"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Building (right-of-use asset)</w:t>
      </w:r>
      <w:r w:rsidRPr="005C5CED">
        <w:rPr>
          <w:rFonts w:eastAsia="Calibri" w:cs="Arial"/>
          <w:color w:val="auto"/>
        </w:rPr>
        <w:t xml:space="preserve"> is initially measured at cost which comprises the initial amount of the lease liability. The right-of-use asset is also subject to revaluation. In addition, the right-of-use asset is periodically reduced by impairment losses, if any and adjusted for certain remeasurements of the lease liability.</w:t>
      </w:r>
      <w:r w:rsidRPr="005C5CED">
        <w:rPr>
          <w:rFonts w:eastAsia="Calibri" w:cs="Arial"/>
          <w:color w:val="auto"/>
        </w:rPr>
        <w:br w:type="page"/>
      </w:r>
    </w:p>
    <w:p w14:paraId="0BBDFEEC" w14:textId="77777777" w:rsidR="005C5CED" w:rsidRPr="005C5CED" w:rsidRDefault="005C5CED" w:rsidP="005C5CED">
      <w:pPr>
        <w:spacing w:after="60" w:line="259" w:lineRule="auto"/>
        <w:rPr>
          <w:rFonts w:eastAsia="Calibri" w:cs="Arial"/>
          <w:i/>
          <w:iCs/>
          <w:color w:val="174F37"/>
          <w:szCs w:val="20"/>
        </w:rPr>
      </w:pPr>
      <w:r w:rsidRPr="005C5CED">
        <w:rPr>
          <w:rFonts w:eastAsia="Calibri" w:cs="Arial"/>
          <w:b/>
          <w:bCs/>
          <w:i/>
          <w:iCs/>
          <w:color w:val="174F37"/>
          <w:szCs w:val="20"/>
        </w:rPr>
        <w:lastRenderedPageBreak/>
        <w:t>Reconciliation of Level 3 fair value movements</w:t>
      </w:r>
    </w:p>
    <w:tbl>
      <w:tblPr>
        <w:tblpPr w:leftFromText="180" w:rightFromText="180" w:vertAnchor="text" w:horzAnchor="margin" w:tblpY="-51"/>
        <w:tblW w:w="9054" w:type="dxa"/>
        <w:tblLook w:val="04A0" w:firstRow="1" w:lastRow="0" w:firstColumn="1" w:lastColumn="0" w:noHBand="0" w:noVBand="1"/>
      </w:tblPr>
      <w:tblGrid>
        <w:gridCol w:w="3101"/>
        <w:gridCol w:w="1413"/>
        <w:gridCol w:w="1933"/>
        <w:gridCol w:w="1423"/>
        <w:gridCol w:w="1184"/>
      </w:tblGrid>
      <w:tr w:rsidR="005C5CED" w:rsidRPr="005C5CED" w14:paraId="6D5B1164" w14:textId="77777777" w:rsidTr="00872F28">
        <w:trPr>
          <w:trHeight w:val="203"/>
        </w:trPr>
        <w:tc>
          <w:tcPr>
            <w:tcW w:w="3101" w:type="dxa"/>
            <w:tcBorders>
              <w:top w:val="nil"/>
              <w:left w:val="nil"/>
              <w:bottom w:val="single" w:sz="4" w:space="0" w:color="auto"/>
              <w:right w:val="nil"/>
            </w:tcBorders>
            <w:shd w:val="clear" w:color="000000" w:fill="000000"/>
            <w:noWrap/>
            <w:vAlign w:val="bottom"/>
            <w:hideMark/>
          </w:tcPr>
          <w:p w14:paraId="12E953B1"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13" w:type="dxa"/>
            <w:tcBorders>
              <w:top w:val="nil"/>
              <w:left w:val="nil"/>
              <w:bottom w:val="single" w:sz="4" w:space="0" w:color="auto"/>
              <w:right w:val="nil"/>
            </w:tcBorders>
            <w:shd w:val="clear" w:color="000000" w:fill="000000"/>
            <w:noWrap/>
            <w:vAlign w:val="bottom"/>
            <w:hideMark/>
          </w:tcPr>
          <w:p w14:paraId="1C3C6A5F"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Office, furniture and equipment</w:t>
            </w:r>
          </w:p>
        </w:tc>
        <w:tc>
          <w:tcPr>
            <w:tcW w:w="1933" w:type="dxa"/>
            <w:tcBorders>
              <w:top w:val="nil"/>
              <w:left w:val="nil"/>
              <w:bottom w:val="single" w:sz="4" w:space="0" w:color="auto"/>
              <w:right w:val="nil"/>
            </w:tcBorders>
            <w:shd w:val="clear" w:color="000000" w:fill="000000"/>
            <w:noWrap/>
            <w:vAlign w:val="bottom"/>
            <w:hideMark/>
          </w:tcPr>
          <w:p w14:paraId="54C97369"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xml:space="preserve"> Computer equipment</w:t>
            </w:r>
          </w:p>
        </w:tc>
        <w:tc>
          <w:tcPr>
            <w:tcW w:w="1423" w:type="dxa"/>
            <w:tcBorders>
              <w:top w:val="nil"/>
              <w:left w:val="nil"/>
              <w:bottom w:val="single" w:sz="4" w:space="0" w:color="auto"/>
              <w:right w:val="nil"/>
            </w:tcBorders>
            <w:shd w:val="clear" w:color="000000" w:fill="000000"/>
            <w:noWrap/>
            <w:vAlign w:val="bottom"/>
            <w:hideMark/>
          </w:tcPr>
          <w:p w14:paraId="4F5D662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 xml:space="preserve"> Motor vehicles</w:t>
            </w:r>
          </w:p>
        </w:tc>
        <w:tc>
          <w:tcPr>
            <w:tcW w:w="1184" w:type="dxa"/>
            <w:tcBorders>
              <w:top w:val="nil"/>
              <w:left w:val="nil"/>
              <w:bottom w:val="single" w:sz="4" w:space="0" w:color="auto"/>
              <w:right w:val="nil"/>
            </w:tcBorders>
            <w:shd w:val="clear" w:color="000000" w:fill="000000"/>
            <w:noWrap/>
            <w:vAlign w:val="bottom"/>
            <w:hideMark/>
          </w:tcPr>
          <w:p w14:paraId="4D23B171"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Total</w:t>
            </w:r>
          </w:p>
        </w:tc>
      </w:tr>
      <w:tr w:rsidR="005C5CED" w:rsidRPr="005C5CED" w14:paraId="1F5A10FC" w14:textId="77777777" w:rsidTr="00872F28">
        <w:trPr>
          <w:trHeight w:val="203"/>
        </w:trPr>
        <w:tc>
          <w:tcPr>
            <w:tcW w:w="3101" w:type="dxa"/>
            <w:tcBorders>
              <w:top w:val="nil"/>
              <w:left w:val="nil"/>
              <w:bottom w:val="nil"/>
              <w:right w:val="nil"/>
            </w:tcBorders>
            <w:shd w:val="clear" w:color="000000" w:fill="000000"/>
            <w:noWrap/>
            <w:vAlign w:val="bottom"/>
            <w:hideMark/>
          </w:tcPr>
          <w:p w14:paraId="59B72542"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13" w:type="dxa"/>
            <w:tcBorders>
              <w:top w:val="nil"/>
              <w:left w:val="nil"/>
              <w:bottom w:val="nil"/>
              <w:right w:val="nil"/>
            </w:tcBorders>
            <w:shd w:val="clear" w:color="000000" w:fill="000000"/>
            <w:noWrap/>
            <w:vAlign w:val="bottom"/>
            <w:hideMark/>
          </w:tcPr>
          <w:p w14:paraId="621D3F99"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933" w:type="dxa"/>
            <w:tcBorders>
              <w:top w:val="nil"/>
              <w:left w:val="nil"/>
              <w:bottom w:val="nil"/>
              <w:right w:val="nil"/>
            </w:tcBorders>
            <w:shd w:val="clear" w:color="000000" w:fill="000000"/>
            <w:noWrap/>
            <w:vAlign w:val="bottom"/>
            <w:hideMark/>
          </w:tcPr>
          <w:p w14:paraId="171DBCA2"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423" w:type="dxa"/>
            <w:tcBorders>
              <w:top w:val="nil"/>
              <w:left w:val="nil"/>
              <w:bottom w:val="nil"/>
              <w:right w:val="nil"/>
            </w:tcBorders>
            <w:shd w:val="clear" w:color="000000" w:fill="000000"/>
            <w:noWrap/>
            <w:vAlign w:val="bottom"/>
            <w:hideMark/>
          </w:tcPr>
          <w:p w14:paraId="6ADA437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184" w:type="dxa"/>
            <w:tcBorders>
              <w:top w:val="nil"/>
              <w:left w:val="nil"/>
              <w:bottom w:val="nil"/>
              <w:right w:val="nil"/>
            </w:tcBorders>
            <w:shd w:val="clear" w:color="000000" w:fill="000000"/>
            <w:noWrap/>
            <w:vAlign w:val="bottom"/>
            <w:hideMark/>
          </w:tcPr>
          <w:p w14:paraId="525B9B1A" w14:textId="77777777" w:rsidR="005C5CED" w:rsidRPr="005C5CED" w:rsidRDefault="005C5CED" w:rsidP="005C5CED">
            <w:pPr>
              <w:spacing w:after="0" w:line="240" w:lineRule="auto"/>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4E14A2CE" w14:textId="77777777" w:rsidTr="00872F28">
        <w:trPr>
          <w:trHeight w:val="309"/>
        </w:trPr>
        <w:tc>
          <w:tcPr>
            <w:tcW w:w="3101" w:type="dxa"/>
            <w:tcBorders>
              <w:top w:val="nil"/>
              <w:left w:val="nil"/>
              <w:bottom w:val="nil"/>
              <w:right w:val="nil"/>
            </w:tcBorders>
            <w:shd w:val="clear" w:color="auto" w:fill="auto"/>
            <w:noWrap/>
            <w:vAlign w:val="center"/>
            <w:hideMark/>
          </w:tcPr>
          <w:p w14:paraId="5D4A5389"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tc>
        <w:tc>
          <w:tcPr>
            <w:tcW w:w="1413" w:type="dxa"/>
            <w:tcBorders>
              <w:top w:val="nil"/>
              <w:left w:val="nil"/>
              <w:bottom w:val="nil"/>
              <w:right w:val="nil"/>
            </w:tcBorders>
            <w:shd w:val="clear" w:color="auto" w:fill="auto"/>
            <w:noWrap/>
            <w:vAlign w:val="center"/>
            <w:hideMark/>
          </w:tcPr>
          <w:p w14:paraId="07738D42"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933" w:type="dxa"/>
            <w:tcBorders>
              <w:top w:val="nil"/>
              <w:left w:val="nil"/>
              <w:bottom w:val="nil"/>
              <w:right w:val="nil"/>
            </w:tcBorders>
            <w:shd w:val="clear" w:color="auto" w:fill="auto"/>
            <w:noWrap/>
            <w:vAlign w:val="center"/>
            <w:hideMark/>
          </w:tcPr>
          <w:p w14:paraId="76FED253" w14:textId="77777777" w:rsidR="005C5CED" w:rsidRPr="005C5CED" w:rsidRDefault="005C5CED" w:rsidP="005C5CED">
            <w:pPr>
              <w:spacing w:after="0" w:line="240" w:lineRule="auto"/>
              <w:jc w:val="right"/>
              <w:rPr>
                <w:rFonts w:eastAsia="Times New Roman" w:cs="Arial"/>
                <w:color w:val="auto"/>
                <w:szCs w:val="20"/>
                <w:lang w:eastAsia="en-AU"/>
              </w:rPr>
            </w:pPr>
          </w:p>
        </w:tc>
        <w:tc>
          <w:tcPr>
            <w:tcW w:w="1423" w:type="dxa"/>
            <w:tcBorders>
              <w:top w:val="nil"/>
              <w:left w:val="nil"/>
              <w:bottom w:val="nil"/>
              <w:right w:val="nil"/>
            </w:tcBorders>
            <w:shd w:val="clear" w:color="auto" w:fill="auto"/>
            <w:noWrap/>
            <w:vAlign w:val="center"/>
            <w:hideMark/>
          </w:tcPr>
          <w:p w14:paraId="28D7A095" w14:textId="77777777" w:rsidR="005C5CED" w:rsidRPr="005C5CED" w:rsidRDefault="005C5CED" w:rsidP="005C5CED">
            <w:pPr>
              <w:spacing w:after="0" w:line="240" w:lineRule="auto"/>
              <w:jc w:val="right"/>
              <w:rPr>
                <w:rFonts w:eastAsia="Times New Roman" w:cs="Arial"/>
                <w:color w:val="auto"/>
                <w:szCs w:val="20"/>
                <w:lang w:eastAsia="en-AU"/>
              </w:rPr>
            </w:pPr>
          </w:p>
        </w:tc>
        <w:tc>
          <w:tcPr>
            <w:tcW w:w="1184" w:type="dxa"/>
            <w:tcBorders>
              <w:top w:val="nil"/>
              <w:left w:val="nil"/>
              <w:bottom w:val="nil"/>
              <w:right w:val="nil"/>
            </w:tcBorders>
            <w:shd w:val="clear" w:color="auto" w:fill="auto"/>
            <w:noWrap/>
            <w:vAlign w:val="center"/>
            <w:hideMark/>
          </w:tcPr>
          <w:p w14:paraId="7338334A"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109E27F1" w14:textId="77777777" w:rsidTr="00872F28">
        <w:trPr>
          <w:trHeight w:val="309"/>
        </w:trPr>
        <w:tc>
          <w:tcPr>
            <w:tcW w:w="3101" w:type="dxa"/>
            <w:tcBorders>
              <w:top w:val="nil"/>
              <w:left w:val="nil"/>
              <w:bottom w:val="nil"/>
              <w:right w:val="nil"/>
            </w:tcBorders>
            <w:shd w:val="clear" w:color="auto" w:fill="auto"/>
            <w:noWrap/>
            <w:vAlign w:val="center"/>
            <w:hideMark/>
          </w:tcPr>
          <w:p w14:paraId="08B69BAC"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Opening balance</w:t>
            </w:r>
          </w:p>
        </w:tc>
        <w:tc>
          <w:tcPr>
            <w:tcW w:w="1413" w:type="dxa"/>
            <w:tcBorders>
              <w:top w:val="nil"/>
              <w:left w:val="nil"/>
              <w:bottom w:val="nil"/>
              <w:right w:val="nil"/>
            </w:tcBorders>
            <w:shd w:val="clear" w:color="auto" w:fill="auto"/>
            <w:noWrap/>
            <w:vAlign w:val="center"/>
          </w:tcPr>
          <w:p w14:paraId="607EB90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30</w:t>
            </w:r>
          </w:p>
        </w:tc>
        <w:tc>
          <w:tcPr>
            <w:tcW w:w="1933" w:type="dxa"/>
            <w:tcBorders>
              <w:top w:val="nil"/>
              <w:left w:val="nil"/>
              <w:bottom w:val="nil"/>
              <w:right w:val="nil"/>
            </w:tcBorders>
            <w:shd w:val="clear" w:color="auto" w:fill="auto"/>
            <w:noWrap/>
            <w:vAlign w:val="center"/>
          </w:tcPr>
          <w:p w14:paraId="788C129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158</w:t>
            </w:r>
          </w:p>
        </w:tc>
        <w:tc>
          <w:tcPr>
            <w:tcW w:w="1423" w:type="dxa"/>
            <w:tcBorders>
              <w:top w:val="nil"/>
              <w:left w:val="nil"/>
              <w:bottom w:val="nil"/>
              <w:right w:val="nil"/>
            </w:tcBorders>
            <w:shd w:val="clear" w:color="auto" w:fill="auto"/>
            <w:noWrap/>
            <w:vAlign w:val="center"/>
          </w:tcPr>
          <w:p w14:paraId="30B1D950"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184" w:type="dxa"/>
            <w:tcBorders>
              <w:top w:val="nil"/>
              <w:left w:val="nil"/>
              <w:bottom w:val="nil"/>
              <w:right w:val="nil"/>
            </w:tcBorders>
            <w:shd w:val="clear" w:color="auto" w:fill="auto"/>
            <w:noWrap/>
            <w:vAlign w:val="center"/>
          </w:tcPr>
          <w:p w14:paraId="31EA9D37"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188</w:t>
            </w:r>
          </w:p>
        </w:tc>
      </w:tr>
      <w:tr w:rsidR="005C5CED" w:rsidRPr="005C5CED" w14:paraId="57BC2B80" w14:textId="77777777" w:rsidTr="00872F28">
        <w:trPr>
          <w:trHeight w:val="309"/>
        </w:trPr>
        <w:tc>
          <w:tcPr>
            <w:tcW w:w="3101" w:type="dxa"/>
            <w:tcBorders>
              <w:top w:val="nil"/>
              <w:left w:val="nil"/>
              <w:bottom w:val="nil"/>
              <w:right w:val="nil"/>
            </w:tcBorders>
            <w:shd w:val="clear" w:color="auto" w:fill="auto"/>
            <w:noWrap/>
            <w:vAlign w:val="center"/>
            <w:hideMark/>
          </w:tcPr>
          <w:p w14:paraId="1E6EFDAD"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 xml:space="preserve">Purchases </w:t>
            </w:r>
          </w:p>
        </w:tc>
        <w:tc>
          <w:tcPr>
            <w:tcW w:w="1413" w:type="dxa"/>
            <w:tcBorders>
              <w:top w:val="nil"/>
              <w:left w:val="nil"/>
              <w:bottom w:val="nil"/>
              <w:right w:val="nil"/>
            </w:tcBorders>
            <w:shd w:val="clear" w:color="auto" w:fill="auto"/>
            <w:noWrap/>
            <w:vAlign w:val="center"/>
          </w:tcPr>
          <w:p w14:paraId="2306A75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w:t>
            </w:r>
          </w:p>
        </w:tc>
        <w:tc>
          <w:tcPr>
            <w:tcW w:w="1933" w:type="dxa"/>
            <w:tcBorders>
              <w:top w:val="nil"/>
              <w:left w:val="nil"/>
              <w:bottom w:val="nil"/>
              <w:right w:val="nil"/>
            </w:tcBorders>
            <w:shd w:val="clear" w:color="auto" w:fill="auto"/>
            <w:noWrap/>
            <w:vAlign w:val="center"/>
          </w:tcPr>
          <w:p w14:paraId="514FB2F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55</w:t>
            </w:r>
          </w:p>
        </w:tc>
        <w:tc>
          <w:tcPr>
            <w:tcW w:w="1423" w:type="dxa"/>
            <w:tcBorders>
              <w:top w:val="nil"/>
              <w:left w:val="nil"/>
              <w:bottom w:val="nil"/>
              <w:right w:val="nil"/>
            </w:tcBorders>
            <w:shd w:val="clear" w:color="auto" w:fill="auto"/>
            <w:noWrap/>
            <w:vAlign w:val="center"/>
          </w:tcPr>
          <w:p w14:paraId="79918432"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84" w:type="dxa"/>
            <w:tcBorders>
              <w:top w:val="nil"/>
              <w:left w:val="nil"/>
              <w:bottom w:val="nil"/>
              <w:right w:val="nil"/>
            </w:tcBorders>
            <w:shd w:val="clear" w:color="auto" w:fill="auto"/>
            <w:noWrap/>
            <w:vAlign w:val="center"/>
          </w:tcPr>
          <w:p w14:paraId="5E89638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58</w:t>
            </w:r>
          </w:p>
        </w:tc>
      </w:tr>
      <w:tr w:rsidR="005C5CED" w:rsidRPr="005C5CED" w14:paraId="2F769280" w14:textId="77777777" w:rsidTr="00872F28">
        <w:trPr>
          <w:trHeight w:val="309"/>
        </w:trPr>
        <w:tc>
          <w:tcPr>
            <w:tcW w:w="3101" w:type="dxa"/>
            <w:tcBorders>
              <w:top w:val="nil"/>
              <w:left w:val="nil"/>
              <w:right w:val="nil"/>
            </w:tcBorders>
            <w:shd w:val="clear" w:color="auto" w:fill="auto"/>
            <w:noWrap/>
            <w:vAlign w:val="center"/>
            <w:hideMark/>
          </w:tcPr>
          <w:p w14:paraId="68DDB832"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Disposals</w:t>
            </w:r>
          </w:p>
        </w:tc>
        <w:tc>
          <w:tcPr>
            <w:tcW w:w="1413" w:type="dxa"/>
            <w:tcBorders>
              <w:top w:val="nil"/>
              <w:left w:val="nil"/>
              <w:right w:val="nil"/>
            </w:tcBorders>
            <w:shd w:val="clear" w:color="auto" w:fill="auto"/>
            <w:noWrap/>
            <w:vAlign w:val="center"/>
          </w:tcPr>
          <w:p w14:paraId="1CF0492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933" w:type="dxa"/>
            <w:tcBorders>
              <w:top w:val="nil"/>
              <w:left w:val="nil"/>
              <w:right w:val="nil"/>
            </w:tcBorders>
            <w:shd w:val="clear" w:color="auto" w:fill="auto"/>
            <w:noWrap/>
            <w:vAlign w:val="center"/>
          </w:tcPr>
          <w:p w14:paraId="49343C9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23" w:type="dxa"/>
            <w:tcBorders>
              <w:top w:val="nil"/>
              <w:left w:val="nil"/>
              <w:right w:val="nil"/>
            </w:tcBorders>
            <w:shd w:val="clear" w:color="auto" w:fill="auto"/>
            <w:noWrap/>
            <w:vAlign w:val="center"/>
          </w:tcPr>
          <w:p w14:paraId="7404F5E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84" w:type="dxa"/>
            <w:tcBorders>
              <w:top w:val="nil"/>
              <w:left w:val="nil"/>
              <w:right w:val="nil"/>
            </w:tcBorders>
            <w:shd w:val="clear" w:color="auto" w:fill="auto"/>
            <w:noWrap/>
            <w:vAlign w:val="center"/>
          </w:tcPr>
          <w:p w14:paraId="7D5B37B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20FCED63" w14:textId="77777777" w:rsidTr="00872F28">
        <w:trPr>
          <w:trHeight w:val="309"/>
        </w:trPr>
        <w:tc>
          <w:tcPr>
            <w:tcW w:w="3101" w:type="dxa"/>
            <w:tcBorders>
              <w:top w:val="nil"/>
              <w:left w:val="nil"/>
              <w:bottom w:val="single" w:sz="4" w:space="0" w:color="auto"/>
              <w:right w:val="nil"/>
            </w:tcBorders>
            <w:shd w:val="clear" w:color="auto" w:fill="auto"/>
            <w:noWrap/>
            <w:vAlign w:val="center"/>
            <w:hideMark/>
          </w:tcPr>
          <w:p w14:paraId="72DEF291"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Depreciation</w:t>
            </w:r>
          </w:p>
        </w:tc>
        <w:tc>
          <w:tcPr>
            <w:tcW w:w="1413" w:type="dxa"/>
            <w:tcBorders>
              <w:top w:val="nil"/>
              <w:left w:val="nil"/>
              <w:bottom w:val="single" w:sz="4" w:space="0" w:color="auto"/>
              <w:right w:val="nil"/>
            </w:tcBorders>
            <w:shd w:val="clear" w:color="auto" w:fill="auto"/>
            <w:noWrap/>
            <w:vAlign w:val="center"/>
          </w:tcPr>
          <w:p w14:paraId="6E0C9C1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(22)</w:t>
            </w:r>
          </w:p>
        </w:tc>
        <w:tc>
          <w:tcPr>
            <w:tcW w:w="1933" w:type="dxa"/>
            <w:tcBorders>
              <w:top w:val="nil"/>
              <w:left w:val="nil"/>
              <w:bottom w:val="single" w:sz="4" w:space="0" w:color="auto"/>
              <w:right w:val="nil"/>
            </w:tcBorders>
            <w:shd w:val="clear" w:color="auto" w:fill="auto"/>
            <w:noWrap/>
            <w:vAlign w:val="center"/>
          </w:tcPr>
          <w:p w14:paraId="74CDCCB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(97)</w:t>
            </w:r>
          </w:p>
        </w:tc>
        <w:tc>
          <w:tcPr>
            <w:tcW w:w="1423" w:type="dxa"/>
            <w:tcBorders>
              <w:top w:val="nil"/>
              <w:left w:val="nil"/>
              <w:bottom w:val="single" w:sz="4" w:space="0" w:color="auto"/>
              <w:right w:val="nil"/>
            </w:tcBorders>
            <w:shd w:val="clear" w:color="auto" w:fill="auto"/>
            <w:noWrap/>
            <w:vAlign w:val="center"/>
          </w:tcPr>
          <w:p w14:paraId="1632792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84" w:type="dxa"/>
            <w:tcBorders>
              <w:top w:val="nil"/>
              <w:left w:val="nil"/>
              <w:bottom w:val="single" w:sz="4" w:space="0" w:color="auto"/>
              <w:right w:val="nil"/>
            </w:tcBorders>
            <w:shd w:val="clear" w:color="auto" w:fill="auto"/>
            <w:noWrap/>
            <w:vAlign w:val="center"/>
          </w:tcPr>
          <w:p w14:paraId="295E480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(119)</w:t>
            </w:r>
          </w:p>
        </w:tc>
      </w:tr>
      <w:tr w:rsidR="005C5CED" w:rsidRPr="005C5CED" w14:paraId="7FC0E33E" w14:textId="77777777" w:rsidTr="00872F28">
        <w:trPr>
          <w:trHeight w:val="309"/>
        </w:trPr>
        <w:tc>
          <w:tcPr>
            <w:tcW w:w="3101" w:type="dxa"/>
            <w:tcBorders>
              <w:top w:val="single" w:sz="4" w:space="0" w:color="auto"/>
              <w:left w:val="nil"/>
              <w:bottom w:val="single" w:sz="4" w:space="0" w:color="auto"/>
              <w:right w:val="nil"/>
            </w:tcBorders>
            <w:shd w:val="clear" w:color="auto" w:fill="auto"/>
            <w:noWrap/>
            <w:vAlign w:val="center"/>
            <w:hideMark/>
          </w:tcPr>
          <w:p w14:paraId="222BAA16"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Closing balance</w:t>
            </w:r>
          </w:p>
        </w:tc>
        <w:tc>
          <w:tcPr>
            <w:tcW w:w="1413" w:type="dxa"/>
            <w:tcBorders>
              <w:top w:val="single" w:sz="4" w:space="0" w:color="auto"/>
              <w:left w:val="nil"/>
              <w:bottom w:val="single" w:sz="4" w:space="0" w:color="auto"/>
              <w:right w:val="nil"/>
            </w:tcBorders>
            <w:shd w:val="clear" w:color="auto" w:fill="auto"/>
            <w:noWrap/>
            <w:vAlign w:val="center"/>
          </w:tcPr>
          <w:p w14:paraId="0028CD8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w:t>
            </w:r>
          </w:p>
        </w:tc>
        <w:tc>
          <w:tcPr>
            <w:tcW w:w="1933" w:type="dxa"/>
            <w:tcBorders>
              <w:top w:val="single" w:sz="4" w:space="0" w:color="auto"/>
              <w:left w:val="nil"/>
              <w:bottom w:val="single" w:sz="4" w:space="0" w:color="auto"/>
              <w:right w:val="nil"/>
            </w:tcBorders>
            <w:shd w:val="clear" w:color="auto" w:fill="auto"/>
            <w:noWrap/>
            <w:vAlign w:val="center"/>
          </w:tcPr>
          <w:p w14:paraId="3861B57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116</w:t>
            </w:r>
          </w:p>
        </w:tc>
        <w:tc>
          <w:tcPr>
            <w:tcW w:w="1423" w:type="dxa"/>
            <w:tcBorders>
              <w:top w:val="single" w:sz="4" w:space="0" w:color="auto"/>
              <w:left w:val="nil"/>
              <w:bottom w:val="single" w:sz="4" w:space="0" w:color="auto"/>
              <w:right w:val="nil"/>
            </w:tcBorders>
            <w:shd w:val="clear" w:color="auto" w:fill="auto"/>
            <w:noWrap/>
            <w:vAlign w:val="center"/>
          </w:tcPr>
          <w:p w14:paraId="177AA47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184" w:type="dxa"/>
            <w:tcBorders>
              <w:top w:val="single" w:sz="4" w:space="0" w:color="auto"/>
              <w:left w:val="nil"/>
              <w:bottom w:val="single" w:sz="4" w:space="0" w:color="auto"/>
              <w:right w:val="nil"/>
            </w:tcBorders>
            <w:shd w:val="clear" w:color="auto" w:fill="auto"/>
            <w:noWrap/>
            <w:vAlign w:val="center"/>
          </w:tcPr>
          <w:p w14:paraId="570541F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127</w:t>
            </w:r>
          </w:p>
        </w:tc>
      </w:tr>
      <w:tr w:rsidR="005C5CED" w:rsidRPr="005C5CED" w14:paraId="3DED0FA6" w14:textId="77777777" w:rsidTr="00872F28">
        <w:trPr>
          <w:trHeight w:val="203"/>
        </w:trPr>
        <w:tc>
          <w:tcPr>
            <w:tcW w:w="3101" w:type="dxa"/>
            <w:tcBorders>
              <w:top w:val="nil"/>
              <w:left w:val="nil"/>
              <w:bottom w:val="nil"/>
              <w:right w:val="nil"/>
            </w:tcBorders>
            <w:shd w:val="clear" w:color="auto" w:fill="auto"/>
            <w:noWrap/>
            <w:vAlign w:val="bottom"/>
            <w:hideMark/>
          </w:tcPr>
          <w:p w14:paraId="25DAB00B"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413" w:type="dxa"/>
            <w:tcBorders>
              <w:top w:val="nil"/>
              <w:left w:val="nil"/>
              <w:bottom w:val="nil"/>
              <w:right w:val="nil"/>
            </w:tcBorders>
            <w:shd w:val="clear" w:color="auto" w:fill="auto"/>
            <w:noWrap/>
            <w:vAlign w:val="bottom"/>
            <w:hideMark/>
          </w:tcPr>
          <w:p w14:paraId="51A06CD6" w14:textId="77777777" w:rsidR="005C5CED" w:rsidRPr="005C5CED" w:rsidRDefault="005C5CED" w:rsidP="005C5CED">
            <w:pPr>
              <w:spacing w:after="0" w:line="240" w:lineRule="auto"/>
              <w:rPr>
                <w:rFonts w:eastAsia="Times New Roman" w:cs="Arial"/>
                <w:color w:val="auto"/>
                <w:szCs w:val="20"/>
                <w:lang w:eastAsia="en-AU"/>
              </w:rPr>
            </w:pPr>
          </w:p>
        </w:tc>
        <w:tc>
          <w:tcPr>
            <w:tcW w:w="1933" w:type="dxa"/>
            <w:tcBorders>
              <w:top w:val="nil"/>
              <w:left w:val="nil"/>
              <w:bottom w:val="nil"/>
              <w:right w:val="nil"/>
            </w:tcBorders>
            <w:shd w:val="clear" w:color="auto" w:fill="auto"/>
            <w:noWrap/>
            <w:vAlign w:val="bottom"/>
            <w:hideMark/>
          </w:tcPr>
          <w:p w14:paraId="127C3B97" w14:textId="77777777" w:rsidR="005C5CED" w:rsidRPr="005C5CED" w:rsidRDefault="005C5CED" w:rsidP="005C5CED">
            <w:pPr>
              <w:spacing w:after="0" w:line="240" w:lineRule="auto"/>
              <w:jc w:val="right"/>
              <w:rPr>
                <w:rFonts w:eastAsia="Times New Roman" w:cs="Arial"/>
                <w:color w:val="auto"/>
                <w:szCs w:val="20"/>
                <w:lang w:eastAsia="en-AU"/>
              </w:rPr>
            </w:pPr>
          </w:p>
        </w:tc>
        <w:tc>
          <w:tcPr>
            <w:tcW w:w="1423" w:type="dxa"/>
            <w:tcBorders>
              <w:top w:val="nil"/>
              <w:left w:val="nil"/>
              <w:bottom w:val="nil"/>
              <w:right w:val="nil"/>
            </w:tcBorders>
            <w:shd w:val="clear" w:color="auto" w:fill="auto"/>
            <w:noWrap/>
            <w:vAlign w:val="bottom"/>
            <w:hideMark/>
          </w:tcPr>
          <w:p w14:paraId="4306CE45" w14:textId="77777777" w:rsidR="005C5CED" w:rsidRPr="005C5CED" w:rsidRDefault="005C5CED" w:rsidP="005C5CED">
            <w:pPr>
              <w:spacing w:after="0" w:line="240" w:lineRule="auto"/>
              <w:jc w:val="right"/>
              <w:rPr>
                <w:rFonts w:eastAsia="Times New Roman" w:cs="Arial"/>
                <w:color w:val="auto"/>
                <w:szCs w:val="20"/>
                <w:lang w:eastAsia="en-AU"/>
              </w:rPr>
            </w:pPr>
          </w:p>
        </w:tc>
        <w:tc>
          <w:tcPr>
            <w:tcW w:w="1184" w:type="dxa"/>
            <w:tcBorders>
              <w:top w:val="nil"/>
              <w:left w:val="nil"/>
              <w:bottom w:val="nil"/>
              <w:right w:val="nil"/>
            </w:tcBorders>
            <w:shd w:val="clear" w:color="auto" w:fill="auto"/>
            <w:noWrap/>
            <w:vAlign w:val="bottom"/>
            <w:hideMark/>
          </w:tcPr>
          <w:p w14:paraId="772412AB"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2B09A646" w14:textId="77777777" w:rsidTr="00872F28">
        <w:trPr>
          <w:trHeight w:val="309"/>
        </w:trPr>
        <w:tc>
          <w:tcPr>
            <w:tcW w:w="3101" w:type="dxa"/>
            <w:tcBorders>
              <w:top w:val="nil"/>
              <w:left w:val="nil"/>
              <w:bottom w:val="nil"/>
              <w:right w:val="nil"/>
            </w:tcBorders>
            <w:shd w:val="clear" w:color="auto" w:fill="auto"/>
            <w:noWrap/>
            <w:vAlign w:val="center"/>
            <w:hideMark/>
          </w:tcPr>
          <w:p w14:paraId="4A7E31F0"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tc>
        <w:tc>
          <w:tcPr>
            <w:tcW w:w="1413" w:type="dxa"/>
            <w:tcBorders>
              <w:top w:val="nil"/>
              <w:left w:val="nil"/>
              <w:bottom w:val="nil"/>
              <w:right w:val="nil"/>
            </w:tcBorders>
            <w:shd w:val="clear" w:color="auto" w:fill="auto"/>
            <w:noWrap/>
            <w:vAlign w:val="center"/>
            <w:hideMark/>
          </w:tcPr>
          <w:p w14:paraId="664EADD6"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933" w:type="dxa"/>
            <w:tcBorders>
              <w:top w:val="nil"/>
              <w:left w:val="nil"/>
              <w:bottom w:val="nil"/>
              <w:right w:val="nil"/>
            </w:tcBorders>
            <w:shd w:val="clear" w:color="auto" w:fill="auto"/>
            <w:noWrap/>
            <w:vAlign w:val="center"/>
            <w:hideMark/>
          </w:tcPr>
          <w:p w14:paraId="736FC8ED" w14:textId="77777777" w:rsidR="005C5CED" w:rsidRPr="005C5CED" w:rsidRDefault="005C5CED" w:rsidP="005C5CED">
            <w:pPr>
              <w:spacing w:after="0" w:line="240" w:lineRule="auto"/>
              <w:jc w:val="right"/>
              <w:rPr>
                <w:rFonts w:eastAsia="Times New Roman" w:cs="Arial"/>
                <w:color w:val="auto"/>
                <w:szCs w:val="20"/>
                <w:lang w:eastAsia="en-AU"/>
              </w:rPr>
            </w:pPr>
          </w:p>
        </w:tc>
        <w:tc>
          <w:tcPr>
            <w:tcW w:w="1423" w:type="dxa"/>
            <w:tcBorders>
              <w:top w:val="nil"/>
              <w:left w:val="nil"/>
              <w:bottom w:val="nil"/>
              <w:right w:val="nil"/>
            </w:tcBorders>
            <w:shd w:val="clear" w:color="auto" w:fill="auto"/>
            <w:noWrap/>
            <w:vAlign w:val="center"/>
            <w:hideMark/>
          </w:tcPr>
          <w:p w14:paraId="227C124D" w14:textId="77777777" w:rsidR="005C5CED" w:rsidRPr="005C5CED" w:rsidRDefault="005C5CED" w:rsidP="005C5CED">
            <w:pPr>
              <w:spacing w:after="0" w:line="240" w:lineRule="auto"/>
              <w:jc w:val="right"/>
              <w:rPr>
                <w:rFonts w:eastAsia="Times New Roman" w:cs="Arial"/>
                <w:color w:val="auto"/>
                <w:szCs w:val="20"/>
                <w:lang w:eastAsia="en-AU"/>
              </w:rPr>
            </w:pPr>
          </w:p>
        </w:tc>
        <w:tc>
          <w:tcPr>
            <w:tcW w:w="1184" w:type="dxa"/>
            <w:tcBorders>
              <w:top w:val="nil"/>
              <w:left w:val="nil"/>
              <w:bottom w:val="nil"/>
              <w:right w:val="nil"/>
            </w:tcBorders>
            <w:shd w:val="clear" w:color="auto" w:fill="auto"/>
            <w:noWrap/>
            <w:vAlign w:val="center"/>
            <w:hideMark/>
          </w:tcPr>
          <w:p w14:paraId="0CD6E486" w14:textId="77777777" w:rsidR="005C5CED" w:rsidRPr="005C5CED" w:rsidRDefault="005C5CED" w:rsidP="005C5CED">
            <w:pPr>
              <w:spacing w:after="0" w:line="240" w:lineRule="auto"/>
              <w:jc w:val="right"/>
              <w:rPr>
                <w:rFonts w:eastAsia="Times New Roman" w:cs="Arial"/>
                <w:color w:val="auto"/>
                <w:szCs w:val="20"/>
                <w:lang w:eastAsia="en-AU"/>
              </w:rPr>
            </w:pPr>
          </w:p>
        </w:tc>
      </w:tr>
      <w:tr w:rsidR="005C5CED" w:rsidRPr="005C5CED" w14:paraId="175D289F" w14:textId="77777777" w:rsidTr="00872F28">
        <w:trPr>
          <w:trHeight w:val="309"/>
        </w:trPr>
        <w:tc>
          <w:tcPr>
            <w:tcW w:w="3101" w:type="dxa"/>
            <w:tcBorders>
              <w:top w:val="nil"/>
              <w:left w:val="nil"/>
              <w:bottom w:val="nil"/>
              <w:right w:val="nil"/>
            </w:tcBorders>
            <w:shd w:val="clear" w:color="auto" w:fill="auto"/>
            <w:noWrap/>
            <w:vAlign w:val="center"/>
            <w:hideMark/>
          </w:tcPr>
          <w:p w14:paraId="2C3C8ABF"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Opening balance</w:t>
            </w:r>
          </w:p>
        </w:tc>
        <w:tc>
          <w:tcPr>
            <w:tcW w:w="1413" w:type="dxa"/>
            <w:tcBorders>
              <w:top w:val="nil"/>
              <w:left w:val="nil"/>
              <w:bottom w:val="nil"/>
              <w:right w:val="nil"/>
            </w:tcBorders>
            <w:shd w:val="clear" w:color="000000" w:fill="E7E6E6"/>
            <w:noWrap/>
            <w:vAlign w:val="center"/>
            <w:hideMark/>
          </w:tcPr>
          <w:p w14:paraId="29A3878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58</w:t>
            </w:r>
          </w:p>
        </w:tc>
        <w:tc>
          <w:tcPr>
            <w:tcW w:w="1933" w:type="dxa"/>
            <w:tcBorders>
              <w:top w:val="nil"/>
              <w:left w:val="nil"/>
              <w:bottom w:val="nil"/>
              <w:right w:val="nil"/>
            </w:tcBorders>
            <w:shd w:val="clear" w:color="000000" w:fill="E7E6E6"/>
            <w:noWrap/>
            <w:vAlign w:val="center"/>
            <w:hideMark/>
          </w:tcPr>
          <w:p w14:paraId="0192D3C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177</w:t>
            </w:r>
          </w:p>
        </w:tc>
        <w:tc>
          <w:tcPr>
            <w:tcW w:w="1423" w:type="dxa"/>
            <w:tcBorders>
              <w:top w:val="nil"/>
              <w:left w:val="nil"/>
              <w:bottom w:val="nil"/>
              <w:right w:val="nil"/>
            </w:tcBorders>
            <w:shd w:val="clear" w:color="000000" w:fill="E7E6E6"/>
            <w:noWrap/>
            <w:vAlign w:val="center"/>
            <w:hideMark/>
          </w:tcPr>
          <w:p w14:paraId="78D2762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184" w:type="dxa"/>
            <w:tcBorders>
              <w:top w:val="nil"/>
              <w:left w:val="nil"/>
              <w:bottom w:val="nil"/>
              <w:right w:val="nil"/>
            </w:tcBorders>
            <w:shd w:val="clear" w:color="000000" w:fill="E7E6E6"/>
            <w:noWrap/>
            <w:vAlign w:val="center"/>
            <w:hideMark/>
          </w:tcPr>
          <w:p w14:paraId="3D0C2E68"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235</w:t>
            </w:r>
          </w:p>
        </w:tc>
      </w:tr>
      <w:tr w:rsidR="005C5CED" w:rsidRPr="005C5CED" w14:paraId="20A23B28" w14:textId="77777777" w:rsidTr="00872F28">
        <w:trPr>
          <w:trHeight w:val="309"/>
        </w:trPr>
        <w:tc>
          <w:tcPr>
            <w:tcW w:w="3101" w:type="dxa"/>
            <w:tcBorders>
              <w:top w:val="nil"/>
              <w:left w:val="nil"/>
              <w:bottom w:val="nil"/>
              <w:right w:val="nil"/>
            </w:tcBorders>
            <w:shd w:val="clear" w:color="auto" w:fill="auto"/>
            <w:noWrap/>
            <w:vAlign w:val="center"/>
            <w:hideMark/>
          </w:tcPr>
          <w:p w14:paraId="6BEC1142"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 xml:space="preserve">Purchases </w:t>
            </w:r>
          </w:p>
        </w:tc>
        <w:tc>
          <w:tcPr>
            <w:tcW w:w="1413" w:type="dxa"/>
            <w:tcBorders>
              <w:top w:val="nil"/>
              <w:left w:val="nil"/>
              <w:bottom w:val="nil"/>
              <w:right w:val="nil"/>
            </w:tcBorders>
            <w:shd w:val="clear" w:color="000000" w:fill="E7E6E6"/>
            <w:noWrap/>
            <w:vAlign w:val="center"/>
            <w:hideMark/>
          </w:tcPr>
          <w:p w14:paraId="5A5F0557"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6</w:t>
            </w:r>
          </w:p>
        </w:tc>
        <w:tc>
          <w:tcPr>
            <w:tcW w:w="1933" w:type="dxa"/>
            <w:tcBorders>
              <w:top w:val="nil"/>
              <w:left w:val="nil"/>
              <w:bottom w:val="nil"/>
              <w:right w:val="nil"/>
            </w:tcBorders>
            <w:shd w:val="clear" w:color="000000" w:fill="E7E6E6"/>
            <w:noWrap/>
            <w:vAlign w:val="center"/>
            <w:hideMark/>
          </w:tcPr>
          <w:p w14:paraId="0A5CB7E5"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73</w:t>
            </w:r>
          </w:p>
        </w:tc>
        <w:tc>
          <w:tcPr>
            <w:tcW w:w="1423" w:type="dxa"/>
            <w:tcBorders>
              <w:top w:val="nil"/>
              <w:left w:val="nil"/>
              <w:bottom w:val="nil"/>
              <w:right w:val="nil"/>
            </w:tcBorders>
            <w:shd w:val="clear" w:color="000000" w:fill="E7E6E6"/>
            <w:noWrap/>
            <w:vAlign w:val="center"/>
            <w:hideMark/>
          </w:tcPr>
          <w:p w14:paraId="22078524"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84" w:type="dxa"/>
            <w:tcBorders>
              <w:top w:val="nil"/>
              <w:left w:val="nil"/>
              <w:bottom w:val="nil"/>
              <w:right w:val="nil"/>
            </w:tcBorders>
            <w:shd w:val="clear" w:color="000000" w:fill="E7E6E6"/>
            <w:noWrap/>
            <w:vAlign w:val="center"/>
            <w:hideMark/>
          </w:tcPr>
          <w:p w14:paraId="158B6B5B"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79</w:t>
            </w:r>
          </w:p>
        </w:tc>
      </w:tr>
      <w:tr w:rsidR="005C5CED" w:rsidRPr="005C5CED" w14:paraId="326ADE36" w14:textId="77777777" w:rsidTr="00872F28">
        <w:trPr>
          <w:trHeight w:val="309"/>
        </w:trPr>
        <w:tc>
          <w:tcPr>
            <w:tcW w:w="3101" w:type="dxa"/>
            <w:tcBorders>
              <w:top w:val="nil"/>
              <w:left w:val="nil"/>
              <w:bottom w:val="nil"/>
              <w:right w:val="nil"/>
            </w:tcBorders>
            <w:shd w:val="clear" w:color="auto" w:fill="auto"/>
            <w:noWrap/>
            <w:vAlign w:val="center"/>
          </w:tcPr>
          <w:p w14:paraId="0AC430BF"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Disposals</w:t>
            </w:r>
          </w:p>
        </w:tc>
        <w:tc>
          <w:tcPr>
            <w:tcW w:w="1413" w:type="dxa"/>
            <w:tcBorders>
              <w:top w:val="nil"/>
              <w:left w:val="nil"/>
              <w:bottom w:val="nil"/>
              <w:right w:val="nil"/>
            </w:tcBorders>
            <w:shd w:val="clear" w:color="000000" w:fill="E7E6E6"/>
            <w:noWrap/>
            <w:vAlign w:val="center"/>
          </w:tcPr>
          <w:p w14:paraId="238EC03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933" w:type="dxa"/>
            <w:tcBorders>
              <w:top w:val="nil"/>
              <w:left w:val="nil"/>
              <w:bottom w:val="nil"/>
              <w:right w:val="nil"/>
            </w:tcBorders>
            <w:shd w:val="clear" w:color="000000" w:fill="E7E6E6"/>
            <w:noWrap/>
            <w:vAlign w:val="center"/>
          </w:tcPr>
          <w:p w14:paraId="3671CE7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423" w:type="dxa"/>
            <w:tcBorders>
              <w:top w:val="nil"/>
              <w:left w:val="nil"/>
              <w:bottom w:val="nil"/>
              <w:right w:val="nil"/>
            </w:tcBorders>
            <w:shd w:val="clear" w:color="000000" w:fill="E7E6E6"/>
            <w:noWrap/>
            <w:vAlign w:val="center"/>
          </w:tcPr>
          <w:p w14:paraId="470B3B3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84" w:type="dxa"/>
            <w:tcBorders>
              <w:top w:val="nil"/>
              <w:left w:val="nil"/>
              <w:bottom w:val="nil"/>
              <w:right w:val="nil"/>
            </w:tcBorders>
            <w:shd w:val="clear" w:color="000000" w:fill="E7E6E6"/>
            <w:noWrap/>
            <w:vAlign w:val="center"/>
          </w:tcPr>
          <w:p w14:paraId="14EBBAD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475BD357" w14:textId="77777777" w:rsidTr="00872F28">
        <w:trPr>
          <w:trHeight w:val="309"/>
        </w:trPr>
        <w:tc>
          <w:tcPr>
            <w:tcW w:w="3101" w:type="dxa"/>
            <w:tcBorders>
              <w:top w:val="nil"/>
              <w:left w:val="nil"/>
              <w:bottom w:val="nil"/>
              <w:right w:val="nil"/>
            </w:tcBorders>
            <w:shd w:val="clear" w:color="auto" w:fill="auto"/>
            <w:noWrap/>
            <w:vAlign w:val="center"/>
            <w:hideMark/>
          </w:tcPr>
          <w:p w14:paraId="48DB81E0" w14:textId="77777777" w:rsidR="005C5CED" w:rsidRPr="005C5CED" w:rsidRDefault="005C5CED" w:rsidP="005C5CED">
            <w:pPr>
              <w:spacing w:after="0" w:line="240" w:lineRule="auto"/>
              <w:ind w:firstLineChars="200" w:firstLine="320"/>
              <w:rPr>
                <w:rFonts w:eastAsia="Times New Roman" w:cs="Arial"/>
                <w:color w:val="auto"/>
                <w:sz w:val="16"/>
                <w:szCs w:val="16"/>
                <w:lang w:eastAsia="en-AU"/>
              </w:rPr>
            </w:pPr>
            <w:r w:rsidRPr="005C5CED">
              <w:rPr>
                <w:rFonts w:eastAsia="Times New Roman" w:cs="Arial"/>
                <w:color w:val="auto"/>
                <w:sz w:val="16"/>
                <w:szCs w:val="16"/>
                <w:lang w:eastAsia="en-AU"/>
              </w:rPr>
              <w:t>Depreciation</w:t>
            </w:r>
          </w:p>
        </w:tc>
        <w:tc>
          <w:tcPr>
            <w:tcW w:w="1413" w:type="dxa"/>
            <w:tcBorders>
              <w:top w:val="nil"/>
              <w:left w:val="nil"/>
              <w:bottom w:val="single" w:sz="4" w:space="0" w:color="auto"/>
              <w:right w:val="nil"/>
            </w:tcBorders>
            <w:shd w:val="clear" w:color="000000" w:fill="E7E6E6"/>
            <w:noWrap/>
            <w:vAlign w:val="center"/>
            <w:hideMark/>
          </w:tcPr>
          <w:p w14:paraId="28125A6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(34)</w:t>
            </w:r>
          </w:p>
        </w:tc>
        <w:tc>
          <w:tcPr>
            <w:tcW w:w="1933" w:type="dxa"/>
            <w:tcBorders>
              <w:top w:val="nil"/>
              <w:left w:val="nil"/>
              <w:bottom w:val="single" w:sz="4" w:space="0" w:color="auto"/>
              <w:right w:val="nil"/>
            </w:tcBorders>
            <w:shd w:val="clear" w:color="000000" w:fill="E7E6E6"/>
            <w:noWrap/>
            <w:vAlign w:val="center"/>
            <w:hideMark/>
          </w:tcPr>
          <w:p w14:paraId="6323B83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(92)</w:t>
            </w:r>
          </w:p>
        </w:tc>
        <w:tc>
          <w:tcPr>
            <w:tcW w:w="1423" w:type="dxa"/>
            <w:tcBorders>
              <w:top w:val="nil"/>
              <w:left w:val="nil"/>
              <w:bottom w:val="single" w:sz="4" w:space="0" w:color="auto"/>
              <w:right w:val="nil"/>
            </w:tcBorders>
            <w:shd w:val="clear" w:color="000000" w:fill="E7E6E6"/>
            <w:noWrap/>
            <w:vAlign w:val="center"/>
            <w:hideMark/>
          </w:tcPr>
          <w:p w14:paraId="6C5F5E7C"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184" w:type="dxa"/>
            <w:tcBorders>
              <w:top w:val="nil"/>
              <w:left w:val="nil"/>
              <w:bottom w:val="single" w:sz="4" w:space="0" w:color="auto"/>
              <w:right w:val="nil"/>
            </w:tcBorders>
            <w:shd w:val="clear" w:color="000000" w:fill="E7E6E6"/>
            <w:noWrap/>
            <w:vAlign w:val="center"/>
            <w:hideMark/>
          </w:tcPr>
          <w:p w14:paraId="21B8BDF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(126)</w:t>
            </w:r>
          </w:p>
        </w:tc>
      </w:tr>
      <w:tr w:rsidR="005C5CED" w:rsidRPr="005C5CED" w14:paraId="092C3AFE" w14:textId="77777777" w:rsidTr="00872F28">
        <w:trPr>
          <w:trHeight w:val="309"/>
        </w:trPr>
        <w:tc>
          <w:tcPr>
            <w:tcW w:w="3101" w:type="dxa"/>
            <w:tcBorders>
              <w:top w:val="single" w:sz="4" w:space="0" w:color="auto"/>
              <w:left w:val="nil"/>
              <w:bottom w:val="single" w:sz="4" w:space="0" w:color="auto"/>
              <w:right w:val="nil"/>
            </w:tcBorders>
            <w:shd w:val="clear" w:color="auto" w:fill="auto"/>
            <w:noWrap/>
            <w:vAlign w:val="center"/>
            <w:hideMark/>
          </w:tcPr>
          <w:p w14:paraId="28C7960F" w14:textId="77777777" w:rsidR="005C5CED" w:rsidRPr="005C5CED" w:rsidRDefault="005C5CED" w:rsidP="005C5CED">
            <w:pPr>
              <w:spacing w:after="0" w:line="240" w:lineRule="auto"/>
              <w:ind w:firstLineChars="100" w:firstLine="161"/>
              <w:rPr>
                <w:rFonts w:eastAsia="Times New Roman" w:cs="Arial"/>
                <w:b/>
                <w:bCs/>
                <w:color w:val="auto"/>
                <w:sz w:val="16"/>
                <w:szCs w:val="16"/>
                <w:lang w:eastAsia="en-AU"/>
              </w:rPr>
            </w:pPr>
            <w:r w:rsidRPr="005C5CED">
              <w:rPr>
                <w:rFonts w:eastAsia="Times New Roman" w:cs="Arial"/>
                <w:b/>
                <w:bCs/>
                <w:color w:val="auto"/>
                <w:sz w:val="16"/>
                <w:szCs w:val="16"/>
                <w:lang w:eastAsia="en-AU"/>
              </w:rPr>
              <w:t>Closing balance</w:t>
            </w:r>
          </w:p>
        </w:tc>
        <w:tc>
          <w:tcPr>
            <w:tcW w:w="1413" w:type="dxa"/>
            <w:tcBorders>
              <w:top w:val="single" w:sz="4" w:space="0" w:color="auto"/>
              <w:left w:val="nil"/>
              <w:bottom w:val="single" w:sz="4" w:space="0" w:color="auto"/>
              <w:right w:val="nil"/>
            </w:tcBorders>
            <w:shd w:val="clear" w:color="000000" w:fill="E7E6E6"/>
            <w:noWrap/>
            <w:vAlign w:val="center"/>
            <w:hideMark/>
          </w:tcPr>
          <w:p w14:paraId="0BD4950B"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30</w:t>
            </w:r>
          </w:p>
        </w:tc>
        <w:tc>
          <w:tcPr>
            <w:tcW w:w="1933" w:type="dxa"/>
            <w:tcBorders>
              <w:top w:val="single" w:sz="4" w:space="0" w:color="auto"/>
              <w:left w:val="nil"/>
              <w:bottom w:val="single" w:sz="4" w:space="0" w:color="auto"/>
              <w:right w:val="nil"/>
            </w:tcBorders>
            <w:shd w:val="clear" w:color="000000" w:fill="E7E6E6"/>
            <w:noWrap/>
            <w:vAlign w:val="center"/>
            <w:hideMark/>
          </w:tcPr>
          <w:p w14:paraId="7566876E"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158</w:t>
            </w:r>
          </w:p>
        </w:tc>
        <w:tc>
          <w:tcPr>
            <w:tcW w:w="1423" w:type="dxa"/>
            <w:tcBorders>
              <w:top w:val="single" w:sz="4" w:space="0" w:color="auto"/>
              <w:left w:val="nil"/>
              <w:bottom w:val="single" w:sz="4" w:space="0" w:color="auto"/>
              <w:right w:val="nil"/>
            </w:tcBorders>
            <w:shd w:val="clear" w:color="000000" w:fill="E7E6E6"/>
            <w:noWrap/>
            <w:vAlign w:val="center"/>
            <w:hideMark/>
          </w:tcPr>
          <w:p w14:paraId="79668F4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w:t>
            </w:r>
          </w:p>
        </w:tc>
        <w:tc>
          <w:tcPr>
            <w:tcW w:w="1184" w:type="dxa"/>
            <w:tcBorders>
              <w:top w:val="single" w:sz="4" w:space="0" w:color="auto"/>
              <w:left w:val="nil"/>
              <w:bottom w:val="single" w:sz="4" w:space="0" w:color="auto"/>
              <w:right w:val="nil"/>
            </w:tcBorders>
            <w:shd w:val="clear" w:color="000000" w:fill="E7E6E6"/>
            <w:noWrap/>
            <w:vAlign w:val="center"/>
            <w:hideMark/>
          </w:tcPr>
          <w:p w14:paraId="6E929A09"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188</w:t>
            </w:r>
          </w:p>
        </w:tc>
      </w:tr>
    </w:tbl>
    <w:p w14:paraId="00DFCF29" w14:textId="77777777" w:rsidR="005C5CED" w:rsidRPr="005C5CED" w:rsidRDefault="005C5CED" w:rsidP="005C5CED">
      <w:pPr>
        <w:spacing w:after="0" w:line="240" w:lineRule="auto"/>
        <w:rPr>
          <w:rFonts w:eastAsia="Calibri" w:cs="Arial"/>
          <w:i/>
          <w:iCs/>
          <w:color w:val="174F37"/>
          <w:szCs w:val="20"/>
        </w:rPr>
      </w:pPr>
    </w:p>
    <w:p w14:paraId="251B03CE" w14:textId="77777777" w:rsidR="005C5CED" w:rsidRPr="005C5CED" w:rsidRDefault="005C5CED" w:rsidP="005C5CED">
      <w:pPr>
        <w:spacing w:after="0" w:line="240" w:lineRule="auto"/>
        <w:rPr>
          <w:rFonts w:eastAsia="Calibri" w:cs="Arial"/>
          <w:i/>
          <w:iCs/>
          <w:color w:val="174F37"/>
          <w:szCs w:val="20"/>
        </w:rPr>
      </w:pPr>
    </w:p>
    <w:p w14:paraId="186DBA40" w14:textId="77777777" w:rsidR="005C5CED" w:rsidRPr="005C5CED" w:rsidRDefault="005C5CED" w:rsidP="005C5CED">
      <w:pPr>
        <w:spacing w:after="0" w:line="240" w:lineRule="auto"/>
        <w:rPr>
          <w:rFonts w:eastAsia="Calibri" w:cs="Arial"/>
          <w:i/>
          <w:iCs/>
          <w:color w:val="174F37"/>
          <w:szCs w:val="20"/>
        </w:rPr>
      </w:pPr>
      <w:r w:rsidRPr="005C5CED">
        <w:rPr>
          <w:rFonts w:eastAsia="Calibri" w:cs="Arial"/>
          <w:b/>
          <w:bCs/>
          <w:i/>
          <w:iCs/>
          <w:color w:val="174F37"/>
          <w:szCs w:val="20"/>
        </w:rPr>
        <w:t>Description of significant unobservable inputs to Level 3 valuations</w:t>
      </w:r>
    </w:p>
    <w:tbl>
      <w:tblPr>
        <w:tblW w:w="9129" w:type="dxa"/>
        <w:tblLook w:val="04A0" w:firstRow="1" w:lastRow="0" w:firstColumn="1" w:lastColumn="0" w:noHBand="0" w:noVBand="1"/>
      </w:tblPr>
      <w:tblGrid>
        <w:gridCol w:w="3228"/>
        <w:gridCol w:w="543"/>
        <w:gridCol w:w="2018"/>
        <w:gridCol w:w="891"/>
        <w:gridCol w:w="2449"/>
      </w:tblGrid>
      <w:tr w:rsidR="005C5CED" w:rsidRPr="005C5CED" w14:paraId="31F27A35" w14:textId="77777777" w:rsidTr="00872F28">
        <w:trPr>
          <w:trHeight w:val="361"/>
        </w:trPr>
        <w:tc>
          <w:tcPr>
            <w:tcW w:w="3228" w:type="dxa"/>
            <w:tcBorders>
              <w:top w:val="nil"/>
              <w:left w:val="nil"/>
              <w:bottom w:val="single" w:sz="4" w:space="0" w:color="auto"/>
              <w:right w:val="nil"/>
            </w:tcBorders>
            <w:shd w:val="clear" w:color="000000" w:fill="000000"/>
            <w:noWrap/>
            <w:vAlign w:val="bottom"/>
            <w:hideMark/>
          </w:tcPr>
          <w:p w14:paraId="448EE202"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2024 and 2023</w:t>
            </w:r>
          </w:p>
        </w:tc>
        <w:tc>
          <w:tcPr>
            <w:tcW w:w="543" w:type="dxa"/>
            <w:tcBorders>
              <w:top w:val="nil"/>
              <w:left w:val="nil"/>
              <w:bottom w:val="single" w:sz="4" w:space="0" w:color="auto"/>
              <w:right w:val="nil"/>
            </w:tcBorders>
            <w:shd w:val="clear" w:color="000000" w:fill="000000"/>
            <w:noWrap/>
            <w:vAlign w:val="bottom"/>
            <w:hideMark/>
          </w:tcPr>
          <w:p w14:paraId="38814420"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018" w:type="dxa"/>
            <w:tcBorders>
              <w:top w:val="nil"/>
              <w:left w:val="nil"/>
              <w:bottom w:val="single" w:sz="4" w:space="0" w:color="auto"/>
              <w:right w:val="nil"/>
            </w:tcBorders>
            <w:shd w:val="clear" w:color="000000" w:fill="000000"/>
            <w:noWrap/>
            <w:vAlign w:val="bottom"/>
            <w:hideMark/>
          </w:tcPr>
          <w:p w14:paraId="521F563E"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Valuation Technique</w:t>
            </w:r>
          </w:p>
        </w:tc>
        <w:tc>
          <w:tcPr>
            <w:tcW w:w="891" w:type="dxa"/>
            <w:tcBorders>
              <w:top w:val="nil"/>
              <w:left w:val="nil"/>
              <w:bottom w:val="single" w:sz="4" w:space="0" w:color="auto"/>
              <w:right w:val="nil"/>
            </w:tcBorders>
            <w:shd w:val="clear" w:color="000000" w:fill="000000"/>
            <w:noWrap/>
            <w:vAlign w:val="bottom"/>
            <w:hideMark/>
          </w:tcPr>
          <w:p w14:paraId="173C6177"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449" w:type="dxa"/>
            <w:tcBorders>
              <w:top w:val="nil"/>
              <w:left w:val="nil"/>
              <w:bottom w:val="single" w:sz="4" w:space="0" w:color="auto"/>
              <w:right w:val="nil"/>
            </w:tcBorders>
            <w:shd w:val="clear" w:color="000000" w:fill="000000"/>
            <w:noWrap/>
            <w:vAlign w:val="bottom"/>
            <w:hideMark/>
          </w:tcPr>
          <w:p w14:paraId="0273DD03" w14:textId="77777777" w:rsidR="005C5CED" w:rsidRPr="005C5CED" w:rsidRDefault="005C5CED" w:rsidP="005C5CED">
            <w:pPr>
              <w:spacing w:after="0" w:line="240" w:lineRule="auto"/>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Significant unobservable inputs</w:t>
            </w:r>
          </w:p>
        </w:tc>
      </w:tr>
      <w:tr w:rsidR="005C5CED" w:rsidRPr="005C5CED" w14:paraId="41DF999F" w14:textId="77777777" w:rsidTr="00872F28">
        <w:trPr>
          <w:trHeight w:val="361"/>
        </w:trPr>
        <w:tc>
          <w:tcPr>
            <w:tcW w:w="3228" w:type="dxa"/>
            <w:tcBorders>
              <w:top w:val="nil"/>
              <w:left w:val="nil"/>
              <w:bottom w:val="nil"/>
              <w:right w:val="nil"/>
            </w:tcBorders>
            <w:shd w:val="clear" w:color="auto" w:fill="auto"/>
            <w:noWrap/>
            <w:vAlign w:val="bottom"/>
            <w:hideMark/>
          </w:tcPr>
          <w:p w14:paraId="3E470CF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Office furniture and equipment</w:t>
            </w:r>
          </w:p>
        </w:tc>
        <w:tc>
          <w:tcPr>
            <w:tcW w:w="543" w:type="dxa"/>
            <w:tcBorders>
              <w:top w:val="nil"/>
              <w:left w:val="nil"/>
              <w:bottom w:val="nil"/>
              <w:right w:val="nil"/>
            </w:tcBorders>
            <w:shd w:val="clear" w:color="auto" w:fill="auto"/>
            <w:noWrap/>
            <w:vAlign w:val="bottom"/>
            <w:hideMark/>
          </w:tcPr>
          <w:p w14:paraId="46CA063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2018" w:type="dxa"/>
            <w:tcBorders>
              <w:top w:val="nil"/>
              <w:left w:val="nil"/>
              <w:bottom w:val="nil"/>
              <w:right w:val="nil"/>
            </w:tcBorders>
            <w:shd w:val="clear" w:color="auto" w:fill="auto"/>
            <w:noWrap/>
            <w:vAlign w:val="bottom"/>
            <w:hideMark/>
          </w:tcPr>
          <w:p w14:paraId="4F5CA685"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Current replacement cost</w:t>
            </w:r>
          </w:p>
        </w:tc>
        <w:tc>
          <w:tcPr>
            <w:tcW w:w="891" w:type="dxa"/>
            <w:tcBorders>
              <w:top w:val="nil"/>
              <w:left w:val="nil"/>
              <w:bottom w:val="nil"/>
              <w:right w:val="nil"/>
            </w:tcBorders>
            <w:shd w:val="clear" w:color="auto" w:fill="auto"/>
            <w:noWrap/>
            <w:vAlign w:val="bottom"/>
            <w:hideMark/>
          </w:tcPr>
          <w:p w14:paraId="306D2DE9"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2449" w:type="dxa"/>
            <w:tcBorders>
              <w:top w:val="nil"/>
              <w:left w:val="nil"/>
              <w:bottom w:val="nil"/>
              <w:right w:val="nil"/>
            </w:tcBorders>
            <w:shd w:val="clear" w:color="auto" w:fill="auto"/>
            <w:noWrap/>
            <w:vAlign w:val="bottom"/>
            <w:hideMark/>
          </w:tcPr>
          <w:p w14:paraId="67870534"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Cost per unit</w:t>
            </w:r>
          </w:p>
        </w:tc>
      </w:tr>
      <w:tr w:rsidR="005C5CED" w:rsidRPr="005C5CED" w14:paraId="2448017F" w14:textId="77777777" w:rsidTr="00872F28">
        <w:trPr>
          <w:trHeight w:val="361"/>
        </w:trPr>
        <w:tc>
          <w:tcPr>
            <w:tcW w:w="3228" w:type="dxa"/>
            <w:tcBorders>
              <w:top w:val="nil"/>
              <w:left w:val="nil"/>
              <w:bottom w:val="nil"/>
              <w:right w:val="nil"/>
            </w:tcBorders>
            <w:shd w:val="clear" w:color="auto" w:fill="auto"/>
            <w:noWrap/>
            <w:vAlign w:val="bottom"/>
            <w:hideMark/>
          </w:tcPr>
          <w:p w14:paraId="3A153AA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Computer equipment</w:t>
            </w:r>
          </w:p>
        </w:tc>
        <w:tc>
          <w:tcPr>
            <w:tcW w:w="543" w:type="dxa"/>
            <w:tcBorders>
              <w:top w:val="nil"/>
              <w:left w:val="nil"/>
              <w:bottom w:val="nil"/>
              <w:right w:val="nil"/>
            </w:tcBorders>
            <w:shd w:val="clear" w:color="auto" w:fill="auto"/>
            <w:noWrap/>
            <w:vAlign w:val="bottom"/>
            <w:hideMark/>
          </w:tcPr>
          <w:p w14:paraId="5B782D53"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2018" w:type="dxa"/>
            <w:tcBorders>
              <w:top w:val="nil"/>
              <w:left w:val="nil"/>
              <w:bottom w:val="nil"/>
              <w:right w:val="nil"/>
            </w:tcBorders>
            <w:shd w:val="clear" w:color="auto" w:fill="auto"/>
            <w:noWrap/>
            <w:vAlign w:val="bottom"/>
            <w:hideMark/>
          </w:tcPr>
          <w:p w14:paraId="2C6FB161"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Current replacement cost</w:t>
            </w:r>
          </w:p>
        </w:tc>
        <w:tc>
          <w:tcPr>
            <w:tcW w:w="891" w:type="dxa"/>
            <w:tcBorders>
              <w:top w:val="nil"/>
              <w:left w:val="nil"/>
              <w:bottom w:val="nil"/>
              <w:right w:val="nil"/>
            </w:tcBorders>
            <w:shd w:val="clear" w:color="auto" w:fill="auto"/>
            <w:noWrap/>
            <w:vAlign w:val="bottom"/>
            <w:hideMark/>
          </w:tcPr>
          <w:p w14:paraId="53F4A31D" w14:textId="77777777" w:rsidR="005C5CED" w:rsidRPr="005C5CED" w:rsidRDefault="005C5CED" w:rsidP="005C5CED">
            <w:pPr>
              <w:spacing w:after="0" w:line="240" w:lineRule="auto"/>
              <w:jc w:val="center"/>
              <w:rPr>
                <w:rFonts w:eastAsia="Times New Roman" w:cs="Arial"/>
                <w:color w:val="auto"/>
                <w:sz w:val="16"/>
                <w:szCs w:val="16"/>
                <w:lang w:eastAsia="en-AU"/>
              </w:rPr>
            </w:pPr>
          </w:p>
        </w:tc>
        <w:tc>
          <w:tcPr>
            <w:tcW w:w="2449" w:type="dxa"/>
            <w:tcBorders>
              <w:top w:val="nil"/>
              <w:left w:val="nil"/>
              <w:bottom w:val="nil"/>
              <w:right w:val="nil"/>
            </w:tcBorders>
            <w:shd w:val="clear" w:color="auto" w:fill="auto"/>
            <w:noWrap/>
            <w:vAlign w:val="bottom"/>
            <w:hideMark/>
          </w:tcPr>
          <w:p w14:paraId="6B22774F"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Cost per unit</w:t>
            </w:r>
          </w:p>
        </w:tc>
      </w:tr>
    </w:tbl>
    <w:p w14:paraId="796E18E9" w14:textId="77777777" w:rsidR="005C5CED" w:rsidRPr="005C5CED" w:rsidRDefault="005C5CED" w:rsidP="005C5CED">
      <w:pPr>
        <w:spacing w:after="0" w:line="240" w:lineRule="auto"/>
        <w:rPr>
          <w:rFonts w:eastAsia="Calibri" w:cs="Arial"/>
          <w:i/>
          <w:iCs/>
          <w:color w:val="174F37"/>
          <w:szCs w:val="20"/>
        </w:rPr>
      </w:pPr>
    </w:p>
    <w:p w14:paraId="0FBE9031" w14:textId="77777777" w:rsidR="005C5CED" w:rsidRPr="005C5CED" w:rsidRDefault="005C5CED" w:rsidP="005C5CED">
      <w:pPr>
        <w:spacing w:after="0" w:line="240" w:lineRule="auto"/>
        <w:rPr>
          <w:rFonts w:eastAsia="Calibri" w:cs="Arial"/>
          <w:i/>
          <w:iCs/>
          <w:color w:val="174F37"/>
          <w:szCs w:val="20"/>
        </w:rPr>
      </w:pPr>
    </w:p>
    <w:p w14:paraId="1CAE70DC" w14:textId="77777777" w:rsidR="005C5CED" w:rsidRPr="005C5CED" w:rsidRDefault="005C5CED" w:rsidP="005C5CED">
      <w:pPr>
        <w:keepNext/>
        <w:keepLines/>
        <w:spacing w:before="300" w:after="60" w:line="240" w:lineRule="auto"/>
        <w:outlineLvl w:val="2"/>
        <w:rPr>
          <w:rFonts w:eastAsia="Yu Gothic Light" w:cs="Times New Roman"/>
          <w:b/>
          <w:bCs/>
          <w:color w:val="auto"/>
          <w:sz w:val="28"/>
          <w:szCs w:val="28"/>
        </w:rPr>
      </w:pPr>
      <w:r w:rsidRPr="005C5CED">
        <w:rPr>
          <w:rFonts w:eastAsia="Yu Gothic Light" w:cs="Arial"/>
          <w:b/>
          <w:bCs/>
          <w:color w:val="auto"/>
          <w:sz w:val="16"/>
          <w:szCs w:val="16"/>
        </w:rPr>
        <w:br w:type="page"/>
      </w:r>
      <w:r w:rsidRPr="005C5CED">
        <w:rPr>
          <w:rFonts w:eastAsia="Yu Gothic Light" w:cs="Times New Roman"/>
          <w:b/>
          <w:bCs/>
          <w:color w:val="auto"/>
          <w:sz w:val="28"/>
          <w:szCs w:val="28"/>
        </w:rPr>
        <w:lastRenderedPageBreak/>
        <w:t>Note 8: Other disclosures</w:t>
      </w:r>
    </w:p>
    <w:p w14:paraId="6B2C5F37"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Introduction</w:t>
      </w:r>
    </w:p>
    <w:p w14:paraId="204DC322" w14:textId="77777777" w:rsidR="005C5CED" w:rsidRPr="005C5CED" w:rsidRDefault="005C5CED" w:rsidP="005C5CED">
      <w:pPr>
        <w:spacing w:line="259" w:lineRule="auto"/>
        <w:rPr>
          <w:rFonts w:eastAsia="Calibri" w:cs="Arial"/>
          <w:color w:val="auto"/>
        </w:rPr>
      </w:pPr>
      <w:r w:rsidRPr="005C5CED">
        <w:rPr>
          <w:rFonts w:eastAsia="Calibri" w:cs="Arial"/>
          <w:color w:val="auto"/>
        </w:rPr>
        <w:t>This section includes additional material disclosures required by accounting standards or otherwise, for the understanding of this financial report.</w:t>
      </w:r>
    </w:p>
    <w:p w14:paraId="6243B675"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Structure</w:t>
      </w:r>
      <w:r w:rsidRPr="005C5CED">
        <w:rPr>
          <w:rFonts w:eastAsia="Yu Gothic Light" w:cs="Times New Roman"/>
          <w:color w:val="000000"/>
          <w:sz w:val="24"/>
          <w:szCs w:val="24"/>
          <w14:textFill>
            <w14:solidFill>
              <w14:srgbClr w14:val="000000">
                <w14:lumMod w14:val="65000"/>
                <w14:lumOff w14:val="35000"/>
              </w14:srgbClr>
            </w14:solidFill>
          </w14:textFill>
        </w:rPr>
        <w:tab/>
      </w:r>
    </w:p>
    <w:p w14:paraId="5ABB8ECE"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8.1: Ex-gratia expenses </w:t>
      </w:r>
      <w:r w:rsidRPr="005C5CED">
        <w:rPr>
          <w:rFonts w:eastAsia="Calibri" w:cs="Arial"/>
          <w:color w:val="auto"/>
        </w:rPr>
        <w:tab/>
      </w:r>
    </w:p>
    <w:p w14:paraId="686248AE" w14:textId="77777777" w:rsidR="005C5CED" w:rsidRPr="005C5CED" w:rsidRDefault="005C5CED" w:rsidP="005C5CED">
      <w:pPr>
        <w:spacing w:line="259" w:lineRule="auto"/>
        <w:rPr>
          <w:rFonts w:eastAsia="Calibri" w:cs="Arial"/>
          <w:color w:val="auto"/>
        </w:rPr>
      </w:pPr>
      <w:r w:rsidRPr="005C5CED">
        <w:rPr>
          <w:rFonts w:eastAsia="Calibri" w:cs="Arial"/>
          <w:color w:val="auto"/>
        </w:rPr>
        <w:t>8.2: Responsible persons</w:t>
      </w:r>
    </w:p>
    <w:p w14:paraId="1D8B1EDE" w14:textId="77777777" w:rsidR="005C5CED" w:rsidRPr="005C5CED" w:rsidRDefault="005C5CED" w:rsidP="005C5CED">
      <w:pPr>
        <w:spacing w:line="259" w:lineRule="auto"/>
        <w:rPr>
          <w:rFonts w:eastAsia="Calibri" w:cs="Arial"/>
          <w:color w:val="auto"/>
        </w:rPr>
      </w:pPr>
      <w:r w:rsidRPr="005C5CED">
        <w:rPr>
          <w:rFonts w:eastAsia="Calibri" w:cs="Arial"/>
          <w:color w:val="auto"/>
        </w:rPr>
        <w:t>8.3: Remuneration of senior executive service</w:t>
      </w:r>
    </w:p>
    <w:p w14:paraId="7D2BF473" w14:textId="77777777" w:rsidR="005C5CED" w:rsidRPr="005C5CED" w:rsidRDefault="005C5CED" w:rsidP="005C5CED">
      <w:pPr>
        <w:spacing w:line="259" w:lineRule="auto"/>
        <w:rPr>
          <w:rFonts w:eastAsia="Calibri" w:cs="Arial"/>
          <w:color w:val="auto"/>
        </w:rPr>
      </w:pPr>
      <w:r w:rsidRPr="005C5CED">
        <w:rPr>
          <w:rFonts w:eastAsia="Calibri" w:cs="Arial"/>
          <w:color w:val="auto"/>
        </w:rPr>
        <w:t>8.4: Related parties</w:t>
      </w:r>
    </w:p>
    <w:p w14:paraId="1A4DDCC3" w14:textId="77777777" w:rsidR="005C5CED" w:rsidRPr="005C5CED" w:rsidRDefault="005C5CED" w:rsidP="005C5CED">
      <w:pPr>
        <w:spacing w:line="259" w:lineRule="auto"/>
        <w:rPr>
          <w:rFonts w:eastAsia="Calibri" w:cs="Arial"/>
          <w:color w:val="auto"/>
        </w:rPr>
      </w:pPr>
      <w:r w:rsidRPr="005C5CED">
        <w:rPr>
          <w:rFonts w:eastAsia="Calibri" w:cs="Arial"/>
          <w:color w:val="auto"/>
        </w:rPr>
        <w:t>8.5: Remuneration of auditors</w:t>
      </w:r>
    </w:p>
    <w:p w14:paraId="381AD76B" w14:textId="77777777" w:rsidR="005C5CED" w:rsidRPr="005C5CED" w:rsidRDefault="005C5CED" w:rsidP="005C5CED">
      <w:pPr>
        <w:spacing w:line="259" w:lineRule="auto"/>
        <w:rPr>
          <w:rFonts w:eastAsia="Calibri" w:cs="Arial"/>
          <w:color w:val="auto"/>
        </w:rPr>
      </w:pPr>
      <w:r w:rsidRPr="005C5CED">
        <w:rPr>
          <w:rFonts w:eastAsia="Calibri" w:cs="Arial"/>
          <w:color w:val="auto"/>
        </w:rPr>
        <w:t>8.6: Subsequent events</w:t>
      </w:r>
    </w:p>
    <w:p w14:paraId="78C6EEA5" w14:textId="77777777" w:rsidR="005C5CED" w:rsidRPr="005C5CED" w:rsidRDefault="005C5CED" w:rsidP="005C5CED">
      <w:pPr>
        <w:spacing w:line="259" w:lineRule="auto"/>
        <w:rPr>
          <w:rFonts w:eastAsia="Calibri" w:cs="Arial"/>
          <w:color w:val="auto"/>
        </w:rPr>
      </w:pPr>
      <w:r w:rsidRPr="005C5CED">
        <w:rPr>
          <w:rFonts w:eastAsia="Calibri" w:cs="Arial"/>
          <w:color w:val="auto"/>
        </w:rPr>
        <w:t>8.7: Other accounting policies</w:t>
      </w:r>
    </w:p>
    <w:p w14:paraId="02BE3ACA" w14:textId="77777777" w:rsidR="005C5CED" w:rsidRPr="005C5CED" w:rsidRDefault="005C5CED" w:rsidP="005C5CED">
      <w:pPr>
        <w:spacing w:line="259" w:lineRule="auto"/>
        <w:rPr>
          <w:rFonts w:eastAsia="Calibri" w:cs="Arial"/>
          <w:color w:val="auto"/>
        </w:rPr>
      </w:pPr>
      <w:r w:rsidRPr="005C5CED">
        <w:rPr>
          <w:rFonts w:eastAsia="Calibri" w:cs="Arial"/>
          <w:color w:val="auto"/>
        </w:rPr>
        <w:t>8.8: Australian Accounting Standards issued that are not yet effective</w:t>
      </w:r>
    </w:p>
    <w:p w14:paraId="56E1FAD3" w14:textId="77777777" w:rsidR="005C5CED" w:rsidRPr="005C5CED" w:rsidRDefault="005C5CED" w:rsidP="005C5CED">
      <w:pPr>
        <w:spacing w:line="259" w:lineRule="auto"/>
        <w:rPr>
          <w:rFonts w:eastAsia="Calibri" w:cs="Arial"/>
          <w:color w:val="auto"/>
        </w:rPr>
      </w:pPr>
      <w:r w:rsidRPr="005C5CED">
        <w:rPr>
          <w:rFonts w:eastAsia="Calibri" w:cs="Arial"/>
          <w:color w:val="auto"/>
        </w:rPr>
        <w:t>8.9: Glossary of technical items</w:t>
      </w:r>
    </w:p>
    <w:p w14:paraId="36604746" w14:textId="77777777" w:rsidR="005C5CED" w:rsidRPr="005C5CED" w:rsidRDefault="005C5CED" w:rsidP="005C5CED">
      <w:pPr>
        <w:spacing w:line="259" w:lineRule="auto"/>
        <w:rPr>
          <w:rFonts w:eastAsia="Calibri" w:cs="Arial"/>
          <w:color w:val="auto"/>
        </w:rPr>
      </w:pPr>
      <w:r w:rsidRPr="005C5CED">
        <w:rPr>
          <w:rFonts w:eastAsia="Calibri" w:cs="Arial"/>
          <w:color w:val="auto"/>
        </w:rPr>
        <w:t>8.10: Style convention</w:t>
      </w:r>
    </w:p>
    <w:p w14:paraId="269B1203"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 xml:space="preserve">Note 8.1 Ex-gratia expenses </w:t>
      </w:r>
    </w:p>
    <w:p w14:paraId="260EBECE" w14:textId="77777777" w:rsidR="005C5CED" w:rsidRPr="005C5CED" w:rsidRDefault="005C5CED" w:rsidP="005C5CED">
      <w:pPr>
        <w:spacing w:line="259" w:lineRule="auto"/>
        <w:rPr>
          <w:rFonts w:eastAsia="Calibri" w:cs="Arial"/>
          <w:color w:val="auto"/>
        </w:rPr>
      </w:pPr>
      <w:r w:rsidRPr="005C5CED">
        <w:rPr>
          <w:rFonts w:eastAsia="Calibri" w:cs="Arial"/>
          <w:color w:val="auto"/>
        </w:rPr>
        <w:t>Ex-gratia expenses are the voluntary payments of money or other non-monetary benefits (e.g., a write-off) that are not made either to acquire goods, services or other benefits for the entity or to meet a legal liability, or to settle or resolve a possible legal liability of or claim against the entity.</w:t>
      </w:r>
    </w:p>
    <w:p w14:paraId="1EBAA3C7"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had termination payments totalling $110,279.58 within the 2023-24 financial year (2022-23: $5,492.01).</w:t>
      </w:r>
    </w:p>
    <w:p w14:paraId="7929D2F2"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8.2 Responsible persons</w:t>
      </w:r>
    </w:p>
    <w:p w14:paraId="548E7CF5"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In accordance with the Ministerial Directions issued by the Assistant Treasurer under the </w:t>
      </w:r>
      <w:r w:rsidRPr="005C5CED">
        <w:rPr>
          <w:rFonts w:eastAsia="Calibri" w:cs="Arial"/>
          <w:i/>
          <w:iCs/>
          <w:color w:val="auto"/>
        </w:rPr>
        <w:t>Financial Management Act 1994</w:t>
      </w:r>
      <w:r w:rsidRPr="005C5CED">
        <w:rPr>
          <w:rFonts w:eastAsia="Calibri" w:cs="Arial"/>
          <w:color w:val="auto"/>
        </w:rPr>
        <w:t>, the following disclosures are made regarding responsible persons for the reporting period.</w:t>
      </w:r>
    </w:p>
    <w:p w14:paraId="795CA455"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Names</w:t>
      </w:r>
    </w:p>
    <w:p w14:paraId="72194F35" w14:textId="77777777" w:rsidR="005C5CED" w:rsidRPr="005C5CED" w:rsidRDefault="005C5CED" w:rsidP="005C5CED">
      <w:pPr>
        <w:spacing w:line="259" w:lineRule="auto"/>
        <w:rPr>
          <w:rFonts w:eastAsia="Calibri" w:cs="Arial"/>
          <w:color w:val="auto"/>
        </w:rPr>
      </w:pPr>
      <w:r w:rsidRPr="005C5CED">
        <w:rPr>
          <w:rFonts w:eastAsia="Calibri" w:cs="Arial"/>
          <w:color w:val="auto"/>
        </w:rPr>
        <w:t>The persons who held the positions of Ministers and Accountable Officers in Sustainability Victoria are as follows:</w:t>
      </w:r>
      <w:r w:rsidRPr="005C5CED">
        <w:rPr>
          <w:rFonts w:eastAsia="Calibri" w:cs="Arial"/>
          <w:color w:val="auto"/>
        </w:rPr>
        <w:tab/>
      </w:r>
    </w:p>
    <w:tbl>
      <w:tblPr>
        <w:tblStyle w:val="TableGrid20"/>
        <w:tblW w:w="0" w:type="auto"/>
        <w:tblLook w:val="04A0" w:firstRow="1" w:lastRow="0" w:firstColumn="1" w:lastColumn="0" w:noHBand="0" w:noVBand="1"/>
      </w:tblPr>
      <w:tblGrid>
        <w:gridCol w:w="2977"/>
        <w:gridCol w:w="2977"/>
        <w:gridCol w:w="2977"/>
      </w:tblGrid>
      <w:tr w:rsidR="005C5CED" w:rsidRPr="005C5CED" w14:paraId="6AE8F5E9" w14:textId="77777777" w:rsidTr="0062462F">
        <w:trPr>
          <w:tblHeader/>
        </w:trPr>
        <w:tc>
          <w:tcPr>
            <w:tcW w:w="2977" w:type="dxa"/>
          </w:tcPr>
          <w:p w14:paraId="500087AF" w14:textId="77777777" w:rsidR="005C5CED" w:rsidRPr="005C5CED" w:rsidRDefault="005C5CED" w:rsidP="005C5CED">
            <w:pPr>
              <w:spacing w:line="240" w:lineRule="auto"/>
              <w:rPr>
                <w:rFonts w:eastAsia="Calibri" w:cs="Arial"/>
                <w:b/>
                <w:bCs/>
                <w:color w:val="auto"/>
              </w:rPr>
            </w:pPr>
            <w:r w:rsidRPr="005C5CED">
              <w:rPr>
                <w:rFonts w:eastAsia="Calibri" w:cs="Arial"/>
                <w:b/>
                <w:bCs/>
                <w:color w:val="auto"/>
              </w:rPr>
              <w:t>Position</w:t>
            </w:r>
          </w:p>
        </w:tc>
        <w:tc>
          <w:tcPr>
            <w:tcW w:w="2977" w:type="dxa"/>
          </w:tcPr>
          <w:p w14:paraId="3F621FEA" w14:textId="77777777" w:rsidR="005C5CED" w:rsidRPr="005C5CED" w:rsidRDefault="005C5CED" w:rsidP="005C5CED">
            <w:pPr>
              <w:spacing w:line="240" w:lineRule="auto"/>
              <w:rPr>
                <w:rFonts w:eastAsia="Calibri" w:cs="Arial"/>
                <w:b/>
                <w:bCs/>
                <w:color w:val="auto"/>
              </w:rPr>
            </w:pPr>
            <w:r w:rsidRPr="005C5CED">
              <w:rPr>
                <w:rFonts w:eastAsia="Calibri" w:cs="Arial"/>
                <w:b/>
                <w:bCs/>
                <w:color w:val="auto"/>
              </w:rPr>
              <w:t>Person</w:t>
            </w:r>
          </w:p>
        </w:tc>
        <w:tc>
          <w:tcPr>
            <w:tcW w:w="2977" w:type="dxa"/>
          </w:tcPr>
          <w:p w14:paraId="326F1798" w14:textId="77777777" w:rsidR="005C5CED" w:rsidRPr="005C5CED" w:rsidRDefault="005C5CED" w:rsidP="005C5CED">
            <w:pPr>
              <w:spacing w:line="240" w:lineRule="auto"/>
              <w:rPr>
                <w:rFonts w:eastAsia="Calibri" w:cs="Arial"/>
                <w:b/>
                <w:bCs/>
                <w:color w:val="auto"/>
              </w:rPr>
            </w:pPr>
            <w:r w:rsidRPr="005C5CED">
              <w:rPr>
                <w:rFonts w:eastAsia="Calibri" w:cs="Arial"/>
                <w:b/>
                <w:bCs/>
                <w:color w:val="auto"/>
              </w:rPr>
              <w:t>Dates</w:t>
            </w:r>
          </w:p>
        </w:tc>
      </w:tr>
      <w:tr w:rsidR="005C5CED" w:rsidRPr="005C5CED" w14:paraId="77CF23AF" w14:textId="77777777" w:rsidTr="0062462F">
        <w:tc>
          <w:tcPr>
            <w:tcW w:w="2977" w:type="dxa"/>
          </w:tcPr>
          <w:p w14:paraId="062EE7BB" w14:textId="77777777" w:rsidR="005C5CED" w:rsidRPr="005C5CED" w:rsidRDefault="005C5CED" w:rsidP="005C5CED">
            <w:pPr>
              <w:spacing w:line="240" w:lineRule="auto"/>
              <w:rPr>
                <w:rFonts w:eastAsia="Calibri" w:cs="Arial"/>
                <w:color w:val="auto"/>
              </w:rPr>
            </w:pPr>
            <w:r w:rsidRPr="005C5CED">
              <w:rPr>
                <w:rFonts w:eastAsia="Calibri" w:cs="Arial"/>
                <w:color w:val="auto"/>
              </w:rPr>
              <w:t>Minister of Energy, Environment, Climate Change and Solar Homes</w:t>
            </w:r>
          </w:p>
        </w:tc>
        <w:tc>
          <w:tcPr>
            <w:tcW w:w="2977" w:type="dxa"/>
          </w:tcPr>
          <w:p w14:paraId="507C9C9E" w14:textId="77777777" w:rsidR="005C5CED" w:rsidRPr="005C5CED" w:rsidRDefault="005C5CED" w:rsidP="005C5CED">
            <w:pPr>
              <w:spacing w:line="240" w:lineRule="auto"/>
              <w:rPr>
                <w:rFonts w:eastAsia="Calibri" w:cs="Arial"/>
                <w:color w:val="auto"/>
              </w:rPr>
            </w:pPr>
            <w:r w:rsidRPr="005C5CED">
              <w:rPr>
                <w:rFonts w:eastAsia="Calibri" w:cs="Arial"/>
                <w:color w:val="auto"/>
              </w:rPr>
              <w:t>The Hon. Lily D’Ambrosio</w:t>
            </w:r>
          </w:p>
        </w:tc>
        <w:tc>
          <w:tcPr>
            <w:tcW w:w="2977" w:type="dxa"/>
          </w:tcPr>
          <w:p w14:paraId="57912F44" w14:textId="77777777" w:rsidR="005C5CED" w:rsidRPr="005C5CED" w:rsidRDefault="005C5CED" w:rsidP="005C5CED">
            <w:pPr>
              <w:spacing w:line="240" w:lineRule="auto"/>
              <w:rPr>
                <w:rFonts w:eastAsia="Calibri" w:cs="Arial"/>
                <w:color w:val="auto"/>
              </w:rPr>
            </w:pPr>
            <w:r w:rsidRPr="005C5CED">
              <w:rPr>
                <w:rFonts w:eastAsia="Calibri" w:cs="Arial"/>
                <w:color w:val="auto"/>
              </w:rPr>
              <w:t>1 July 2023 to 30 June 2024</w:t>
            </w:r>
          </w:p>
        </w:tc>
      </w:tr>
      <w:tr w:rsidR="005C5CED" w:rsidRPr="005C5CED" w14:paraId="63B3566F" w14:textId="77777777" w:rsidTr="0062462F">
        <w:tc>
          <w:tcPr>
            <w:tcW w:w="2977" w:type="dxa"/>
          </w:tcPr>
          <w:p w14:paraId="6098E490" w14:textId="77777777" w:rsidR="005C5CED" w:rsidRPr="005C5CED" w:rsidRDefault="005C5CED" w:rsidP="005C5CED">
            <w:pPr>
              <w:spacing w:line="240" w:lineRule="auto"/>
              <w:rPr>
                <w:rFonts w:eastAsia="Calibri" w:cs="Arial"/>
                <w:color w:val="auto"/>
              </w:rPr>
            </w:pPr>
            <w:r w:rsidRPr="005C5CED">
              <w:rPr>
                <w:rFonts w:eastAsia="Calibri" w:cs="Arial"/>
                <w:color w:val="auto"/>
              </w:rPr>
              <w:t>Minister for Climate Action</w:t>
            </w:r>
          </w:p>
        </w:tc>
        <w:tc>
          <w:tcPr>
            <w:tcW w:w="2977" w:type="dxa"/>
          </w:tcPr>
          <w:p w14:paraId="6485490B" w14:textId="77777777" w:rsidR="005C5CED" w:rsidRPr="005C5CED" w:rsidRDefault="005C5CED" w:rsidP="005C5CED">
            <w:pPr>
              <w:spacing w:line="240" w:lineRule="auto"/>
              <w:rPr>
                <w:rFonts w:eastAsia="Calibri" w:cs="Arial"/>
                <w:color w:val="auto"/>
              </w:rPr>
            </w:pPr>
            <w:r w:rsidRPr="005C5CED">
              <w:rPr>
                <w:rFonts w:eastAsia="Calibri" w:cs="Arial"/>
                <w:color w:val="auto"/>
              </w:rPr>
              <w:t>The Hon. Lily D’Ambrosio</w:t>
            </w:r>
          </w:p>
        </w:tc>
        <w:tc>
          <w:tcPr>
            <w:tcW w:w="2977" w:type="dxa"/>
          </w:tcPr>
          <w:p w14:paraId="685017F1" w14:textId="77777777" w:rsidR="005C5CED" w:rsidRPr="005C5CED" w:rsidRDefault="005C5CED" w:rsidP="005C5CED">
            <w:pPr>
              <w:spacing w:line="240" w:lineRule="auto"/>
              <w:rPr>
                <w:rFonts w:eastAsia="Calibri" w:cs="Arial"/>
                <w:color w:val="auto"/>
              </w:rPr>
            </w:pPr>
            <w:r w:rsidRPr="005C5CED">
              <w:rPr>
                <w:rFonts w:eastAsia="Calibri" w:cs="Arial"/>
                <w:color w:val="auto"/>
              </w:rPr>
              <w:t>1 July 2023 to 30 June 2024</w:t>
            </w:r>
          </w:p>
        </w:tc>
      </w:tr>
      <w:tr w:rsidR="005C5CED" w:rsidRPr="005C5CED" w14:paraId="70511C22" w14:textId="77777777" w:rsidTr="0062462F">
        <w:tc>
          <w:tcPr>
            <w:tcW w:w="2977" w:type="dxa"/>
          </w:tcPr>
          <w:p w14:paraId="7207D103" w14:textId="77777777" w:rsidR="005C5CED" w:rsidRPr="005C5CED" w:rsidRDefault="005C5CED" w:rsidP="005C5CED">
            <w:pPr>
              <w:spacing w:line="240" w:lineRule="auto"/>
              <w:rPr>
                <w:rFonts w:eastAsia="Calibri" w:cs="Arial"/>
                <w:color w:val="auto"/>
              </w:rPr>
            </w:pPr>
            <w:r w:rsidRPr="005C5CED">
              <w:rPr>
                <w:rFonts w:eastAsia="Calibri" w:cs="Arial"/>
                <w:color w:val="auto"/>
              </w:rPr>
              <w:t>Minister for Energy and Resources</w:t>
            </w:r>
          </w:p>
        </w:tc>
        <w:tc>
          <w:tcPr>
            <w:tcW w:w="2977" w:type="dxa"/>
          </w:tcPr>
          <w:p w14:paraId="30EA677D" w14:textId="77777777" w:rsidR="005C5CED" w:rsidRPr="005C5CED" w:rsidRDefault="005C5CED" w:rsidP="005C5CED">
            <w:pPr>
              <w:spacing w:line="240" w:lineRule="auto"/>
              <w:rPr>
                <w:rFonts w:eastAsia="Calibri" w:cs="Arial"/>
                <w:color w:val="auto"/>
              </w:rPr>
            </w:pPr>
            <w:r w:rsidRPr="005C5CED">
              <w:rPr>
                <w:rFonts w:eastAsia="Calibri" w:cs="Arial"/>
                <w:color w:val="auto"/>
              </w:rPr>
              <w:t>The Hon. Lily D’Ambrosio</w:t>
            </w:r>
          </w:p>
        </w:tc>
        <w:tc>
          <w:tcPr>
            <w:tcW w:w="2977" w:type="dxa"/>
          </w:tcPr>
          <w:p w14:paraId="2B90E294" w14:textId="77777777" w:rsidR="005C5CED" w:rsidRPr="005C5CED" w:rsidRDefault="005C5CED" w:rsidP="005C5CED">
            <w:pPr>
              <w:spacing w:line="240" w:lineRule="auto"/>
              <w:rPr>
                <w:rFonts w:eastAsia="Calibri" w:cs="Arial"/>
                <w:color w:val="auto"/>
              </w:rPr>
            </w:pPr>
            <w:r w:rsidRPr="005C5CED">
              <w:rPr>
                <w:rFonts w:eastAsia="Calibri" w:cs="Arial"/>
                <w:color w:val="auto"/>
              </w:rPr>
              <w:t>1 July 2023 to 30 June 2024</w:t>
            </w:r>
          </w:p>
        </w:tc>
      </w:tr>
      <w:tr w:rsidR="005C5CED" w:rsidRPr="005C5CED" w14:paraId="0A61FB12" w14:textId="77777777" w:rsidTr="0062462F">
        <w:tc>
          <w:tcPr>
            <w:tcW w:w="2977" w:type="dxa"/>
          </w:tcPr>
          <w:p w14:paraId="72B1326B" w14:textId="77777777" w:rsidR="005C5CED" w:rsidRPr="005C5CED" w:rsidRDefault="005C5CED" w:rsidP="005C5CED">
            <w:pPr>
              <w:spacing w:line="240" w:lineRule="auto"/>
              <w:rPr>
                <w:rFonts w:eastAsia="Calibri" w:cs="Arial"/>
                <w:color w:val="auto"/>
              </w:rPr>
            </w:pPr>
            <w:r w:rsidRPr="005C5CED">
              <w:rPr>
                <w:rFonts w:eastAsia="Calibri" w:cs="Arial"/>
                <w:color w:val="auto"/>
              </w:rPr>
              <w:t>Minister for Environment</w:t>
            </w:r>
          </w:p>
        </w:tc>
        <w:tc>
          <w:tcPr>
            <w:tcW w:w="2977" w:type="dxa"/>
          </w:tcPr>
          <w:p w14:paraId="12E82CA2" w14:textId="77777777" w:rsidR="005C5CED" w:rsidRPr="005C5CED" w:rsidRDefault="005C5CED" w:rsidP="005C5CED">
            <w:pPr>
              <w:spacing w:line="240" w:lineRule="auto"/>
              <w:rPr>
                <w:rFonts w:eastAsia="Calibri" w:cs="Arial"/>
                <w:color w:val="auto"/>
              </w:rPr>
            </w:pPr>
            <w:r w:rsidRPr="005C5CED">
              <w:rPr>
                <w:rFonts w:eastAsia="Calibri" w:cs="Arial"/>
                <w:color w:val="auto"/>
              </w:rPr>
              <w:t>The Hon. Ingrid Stitt</w:t>
            </w:r>
          </w:p>
        </w:tc>
        <w:tc>
          <w:tcPr>
            <w:tcW w:w="2977" w:type="dxa"/>
          </w:tcPr>
          <w:p w14:paraId="7004FCC5" w14:textId="77777777" w:rsidR="005C5CED" w:rsidRPr="005C5CED" w:rsidRDefault="005C5CED" w:rsidP="005C5CED">
            <w:pPr>
              <w:spacing w:line="240" w:lineRule="auto"/>
              <w:rPr>
                <w:rFonts w:eastAsia="Calibri" w:cs="Arial"/>
                <w:color w:val="auto"/>
              </w:rPr>
            </w:pPr>
            <w:r w:rsidRPr="005C5CED">
              <w:rPr>
                <w:rFonts w:eastAsia="Calibri" w:cs="Arial"/>
                <w:color w:val="auto"/>
              </w:rPr>
              <w:t xml:space="preserve">1 July 2023 to 2 October </w:t>
            </w:r>
            <w:r w:rsidRPr="005C5CED" w:rsidDel="00AE3D20">
              <w:rPr>
                <w:rFonts w:eastAsia="Calibri" w:cs="Arial"/>
                <w:color w:val="auto"/>
              </w:rPr>
              <w:t>2023</w:t>
            </w:r>
          </w:p>
        </w:tc>
      </w:tr>
      <w:tr w:rsidR="005C5CED" w:rsidRPr="005C5CED" w14:paraId="4A51EA8A" w14:textId="77777777" w:rsidTr="0062462F">
        <w:tc>
          <w:tcPr>
            <w:tcW w:w="2977" w:type="dxa"/>
          </w:tcPr>
          <w:p w14:paraId="6BE98B6C" w14:textId="77777777" w:rsidR="005C5CED" w:rsidRPr="005C5CED" w:rsidRDefault="005C5CED" w:rsidP="005C5CED">
            <w:pPr>
              <w:spacing w:line="240" w:lineRule="auto"/>
              <w:rPr>
                <w:rFonts w:eastAsia="Calibri" w:cs="Arial"/>
                <w:color w:val="auto"/>
              </w:rPr>
            </w:pPr>
            <w:r w:rsidRPr="005C5CED">
              <w:rPr>
                <w:rFonts w:eastAsia="Calibri" w:cs="Arial"/>
                <w:color w:val="auto"/>
              </w:rPr>
              <w:t>Minister for Environment</w:t>
            </w:r>
          </w:p>
        </w:tc>
        <w:tc>
          <w:tcPr>
            <w:tcW w:w="2977" w:type="dxa"/>
          </w:tcPr>
          <w:p w14:paraId="79969CAD" w14:textId="77777777" w:rsidR="005C5CED" w:rsidRPr="005C5CED" w:rsidRDefault="005C5CED" w:rsidP="005C5CED">
            <w:pPr>
              <w:spacing w:line="240" w:lineRule="auto"/>
              <w:rPr>
                <w:rFonts w:eastAsia="Calibri" w:cs="Arial"/>
                <w:color w:val="auto"/>
              </w:rPr>
            </w:pPr>
            <w:r w:rsidRPr="005C5CED">
              <w:rPr>
                <w:rFonts w:eastAsia="Calibri" w:cs="Arial"/>
                <w:color w:val="auto"/>
              </w:rPr>
              <w:t>The Hon. Steve Dimopoulos</w:t>
            </w:r>
          </w:p>
        </w:tc>
        <w:tc>
          <w:tcPr>
            <w:tcW w:w="2977" w:type="dxa"/>
          </w:tcPr>
          <w:p w14:paraId="22058F29" w14:textId="77777777" w:rsidR="005C5CED" w:rsidRPr="005C5CED" w:rsidRDefault="005C5CED" w:rsidP="005C5CED">
            <w:pPr>
              <w:spacing w:line="240" w:lineRule="auto"/>
              <w:rPr>
                <w:rFonts w:eastAsia="Calibri" w:cs="Arial"/>
                <w:color w:val="auto"/>
              </w:rPr>
            </w:pPr>
            <w:r w:rsidRPr="005C5CED">
              <w:rPr>
                <w:rFonts w:eastAsia="Calibri" w:cs="Arial"/>
                <w:color w:val="auto"/>
              </w:rPr>
              <w:t>2 October 2023 to 30 June 2024</w:t>
            </w:r>
          </w:p>
        </w:tc>
      </w:tr>
      <w:tr w:rsidR="005C5CED" w:rsidRPr="005C5CED" w14:paraId="7EAC89C1" w14:textId="77777777" w:rsidTr="0062462F">
        <w:tc>
          <w:tcPr>
            <w:tcW w:w="2977" w:type="dxa"/>
          </w:tcPr>
          <w:p w14:paraId="439F9762" w14:textId="77777777" w:rsidR="005C5CED" w:rsidRPr="005C5CED" w:rsidRDefault="005C5CED" w:rsidP="005C5CED">
            <w:pPr>
              <w:spacing w:line="240" w:lineRule="auto"/>
              <w:rPr>
                <w:rFonts w:eastAsia="Calibri" w:cs="Arial"/>
                <w:color w:val="auto"/>
              </w:rPr>
            </w:pPr>
            <w:r w:rsidRPr="005C5CED">
              <w:rPr>
                <w:rFonts w:eastAsia="Calibri" w:cs="Arial"/>
                <w:color w:val="auto"/>
              </w:rPr>
              <w:t>Interim Chief Executive Officer</w:t>
            </w:r>
          </w:p>
        </w:tc>
        <w:tc>
          <w:tcPr>
            <w:tcW w:w="2977" w:type="dxa"/>
          </w:tcPr>
          <w:p w14:paraId="5C7F6FFA" w14:textId="77777777" w:rsidR="005C5CED" w:rsidRPr="005C5CED" w:rsidRDefault="005C5CED" w:rsidP="005C5CED">
            <w:pPr>
              <w:spacing w:line="240" w:lineRule="auto"/>
              <w:rPr>
                <w:rFonts w:eastAsia="Calibri" w:cs="Arial"/>
                <w:color w:val="auto"/>
              </w:rPr>
            </w:pPr>
            <w:r w:rsidRPr="005C5CED">
              <w:rPr>
                <w:rFonts w:eastAsia="Calibri" w:cs="Arial"/>
                <w:color w:val="auto"/>
              </w:rPr>
              <w:t>Matthew Genever</w:t>
            </w:r>
          </w:p>
        </w:tc>
        <w:tc>
          <w:tcPr>
            <w:tcW w:w="2977" w:type="dxa"/>
          </w:tcPr>
          <w:p w14:paraId="1FF7C0CF" w14:textId="77777777" w:rsidR="005C5CED" w:rsidRPr="005C5CED" w:rsidRDefault="005C5CED" w:rsidP="005C5CED">
            <w:pPr>
              <w:spacing w:line="240" w:lineRule="auto"/>
              <w:rPr>
                <w:rFonts w:eastAsia="Calibri" w:cs="Arial"/>
                <w:color w:val="auto"/>
              </w:rPr>
            </w:pPr>
            <w:r w:rsidRPr="005C5CED">
              <w:rPr>
                <w:rFonts w:eastAsia="Calibri" w:cs="Arial"/>
                <w:color w:val="auto"/>
              </w:rPr>
              <w:t>1 July 2023 to 27 February 2024</w:t>
            </w:r>
          </w:p>
        </w:tc>
      </w:tr>
      <w:tr w:rsidR="005C5CED" w:rsidRPr="005C5CED" w14:paraId="579D12D9" w14:textId="77777777" w:rsidTr="0062462F">
        <w:tc>
          <w:tcPr>
            <w:tcW w:w="2977" w:type="dxa"/>
          </w:tcPr>
          <w:p w14:paraId="3C2DB909" w14:textId="77777777" w:rsidR="005C5CED" w:rsidRPr="005C5CED" w:rsidRDefault="005C5CED" w:rsidP="005C5CED">
            <w:pPr>
              <w:spacing w:line="240" w:lineRule="auto"/>
              <w:rPr>
                <w:rFonts w:eastAsia="Calibri" w:cs="Arial"/>
                <w:color w:val="auto"/>
              </w:rPr>
            </w:pPr>
            <w:r w:rsidRPr="005C5CED">
              <w:rPr>
                <w:rFonts w:eastAsia="Calibri" w:cs="Arial"/>
                <w:color w:val="auto"/>
              </w:rPr>
              <w:t>Chief Executive Officer</w:t>
            </w:r>
          </w:p>
        </w:tc>
        <w:tc>
          <w:tcPr>
            <w:tcW w:w="2977" w:type="dxa"/>
          </w:tcPr>
          <w:p w14:paraId="412054ED" w14:textId="77777777" w:rsidR="005C5CED" w:rsidRPr="005C5CED" w:rsidRDefault="005C5CED" w:rsidP="005C5CED">
            <w:pPr>
              <w:spacing w:line="240" w:lineRule="auto"/>
              <w:rPr>
                <w:rFonts w:eastAsia="Calibri" w:cs="Arial"/>
                <w:color w:val="auto"/>
              </w:rPr>
            </w:pPr>
            <w:r w:rsidRPr="005C5CED">
              <w:rPr>
                <w:rFonts w:eastAsia="Calibri" w:cs="Arial"/>
                <w:color w:val="auto"/>
              </w:rPr>
              <w:t>Matthew Genever</w:t>
            </w:r>
          </w:p>
        </w:tc>
        <w:tc>
          <w:tcPr>
            <w:tcW w:w="2977" w:type="dxa"/>
          </w:tcPr>
          <w:p w14:paraId="1066ECF4" w14:textId="77777777" w:rsidR="005C5CED" w:rsidRPr="005C5CED" w:rsidRDefault="005C5CED" w:rsidP="005C5CED">
            <w:pPr>
              <w:spacing w:line="240" w:lineRule="auto"/>
              <w:rPr>
                <w:rFonts w:eastAsia="Calibri" w:cs="Arial"/>
                <w:color w:val="auto"/>
              </w:rPr>
            </w:pPr>
            <w:r w:rsidRPr="005C5CED">
              <w:rPr>
                <w:rFonts w:eastAsia="Calibri" w:cs="Arial"/>
                <w:color w:val="auto"/>
              </w:rPr>
              <w:t>28 February 2024 to 30 June 2024</w:t>
            </w:r>
          </w:p>
        </w:tc>
      </w:tr>
      <w:tr w:rsidR="005C5CED" w:rsidRPr="005C5CED" w14:paraId="2E5FCB71" w14:textId="77777777" w:rsidTr="0062462F">
        <w:tc>
          <w:tcPr>
            <w:tcW w:w="2977" w:type="dxa"/>
          </w:tcPr>
          <w:p w14:paraId="3FE8F03D" w14:textId="77777777" w:rsidR="005C5CED" w:rsidRPr="005C5CED" w:rsidRDefault="005C5CED" w:rsidP="005C5CED">
            <w:pPr>
              <w:spacing w:line="240" w:lineRule="auto"/>
              <w:rPr>
                <w:rFonts w:eastAsia="Calibri" w:cs="Arial"/>
                <w:color w:val="auto"/>
              </w:rPr>
            </w:pPr>
            <w:r w:rsidRPr="005C5CED">
              <w:rPr>
                <w:rFonts w:eastAsia="Calibri" w:cs="Arial"/>
                <w:color w:val="auto"/>
              </w:rPr>
              <w:lastRenderedPageBreak/>
              <w:t>Acting Chief Executive Officer</w:t>
            </w:r>
          </w:p>
        </w:tc>
        <w:tc>
          <w:tcPr>
            <w:tcW w:w="2977" w:type="dxa"/>
          </w:tcPr>
          <w:p w14:paraId="66553318" w14:textId="77777777" w:rsidR="005C5CED" w:rsidRPr="005C5CED" w:rsidRDefault="005C5CED" w:rsidP="005C5CED">
            <w:pPr>
              <w:spacing w:line="240" w:lineRule="auto"/>
              <w:rPr>
                <w:rFonts w:eastAsia="Calibri" w:cs="Arial"/>
                <w:color w:val="auto"/>
              </w:rPr>
            </w:pPr>
            <w:r w:rsidRPr="005C5CED">
              <w:rPr>
                <w:rFonts w:eastAsia="Calibri" w:cs="Arial"/>
                <w:color w:val="auto"/>
              </w:rPr>
              <w:t>Christine Tipton</w:t>
            </w:r>
          </w:p>
        </w:tc>
        <w:tc>
          <w:tcPr>
            <w:tcW w:w="2977" w:type="dxa"/>
          </w:tcPr>
          <w:p w14:paraId="6D95FEE0" w14:textId="77777777" w:rsidR="005C5CED" w:rsidRPr="005C5CED" w:rsidRDefault="005C5CED" w:rsidP="005C5CED">
            <w:pPr>
              <w:spacing w:line="240" w:lineRule="auto"/>
              <w:rPr>
                <w:rFonts w:eastAsia="Calibri" w:cs="Arial"/>
                <w:color w:val="auto"/>
              </w:rPr>
            </w:pPr>
            <w:r w:rsidRPr="005C5CED">
              <w:rPr>
                <w:rFonts w:eastAsia="Calibri" w:cs="Arial"/>
                <w:color w:val="auto"/>
              </w:rPr>
              <w:t>8 January 2024 to 22 January 2024</w:t>
            </w:r>
          </w:p>
        </w:tc>
      </w:tr>
    </w:tbl>
    <w:p w14:paraId="2C0C6F77"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See note 8.4 for additional listing of Responsible persons including board members.</w:t>
      </w:r>
    </w:p>
    <w:p w14:paraId="741CF1A8" w14:textId="77777777" w:rsidR="005C5CED" w:rsidRPr="005C5CED" w:rsidRDefault="005C5CED" w:rsidP="005C5CED">
      <w:pPr>
        <w:keepNext/>
        <w:keepLines/>
        <w:spacing w:before="200" w:after="40" w:line="259" w:lineRule="auto"/>
        <w:outlineLvl w:val="4"/>
        <w:rPr>
          <w:rFonts w:eastAsia="Yu Gothic Light" w:cs="SegoeUI"/>
          <w:b/>
          <w:bCs/>
          <w:color w:val="595959"/>
        </w:rPr>
      </w:pPr>
    </w:p>
    <w:p w14:paraId="156FBA89"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Remuneration</w:t>
      </w:r>
    </w:p>
    <w:p w14:paraId="7A53E106" w14:textId="77777777" w:rsidR="005C5CED" w:rsidRPr="005C5CED" w:rsidRDefault="005C5CED" w:rsidP="005C5CED">
      <w:pPr>
        <w:spacing w:line="259" w:lineRule="auto"/>
        <w:rPr>
          <w:rFonts w:eastAsia="Calibri" w:cs="Arial"/>
          <w:color w:val="auto"/>
        </w:rPr>
      </w:pPr>
      <w:r w:rsidRPr="005C5CED">
        <w:rPr>
          <w:rFonts w:eastAsia="Calibri" w:cs="Arial"/>
          <w:color w:val="auto"/>
        </w:rPr>
        <w:t>The number of Responsible Persons is shown in their relevant income bands:</w:t>
      </w:r>
    </w:p>
    <w:tbl>
      <w:tblPr>
        <w:tblW w:w="8879" w:type="dxa"/>
        <w:tblLook w:val="04A0" w:firstRow="1" w:lastRow="0" w:firstColumn="1" w:lastColumn="0" w:noHBand="0" w:noVBand="1"/>
      </w:tblPr>
      <w:tblGrid>
        <w:gridCol w:w="4282"/>
        <w:gridCol w:w="393"/>
        <w:gridCol w:w="1406"/>
        <w:gridCol w:w="1399"/>
        <w:gridCol w:w="1399"/>
      </w:tblGrid>
      <w:tr w:rsidR="005C5CED" w:rsidRPr="005C5CED" w14:paraId="08746B1E" w14:textId="77777777" w:rsidTr="008214F9">
        <w:trPr>
          <w:trHeight w:val="241"/>
        </w:trPr>
        <w:tc>
          <w:tcPr>
            <w:tcW w:w="4282" w:type="dxa"/>
            <w:tcBorders>
              <w:top w:val="nil"/>
              <w:left w:val="nil"/>
              <w:bottom w:val="single" w:sz="4" w:space="0" w:color="auto"/>
              <w:right w:val="nil"/>
            </w:tcBorders>
            <w:shd w:val="clear" w:color="auto" w:fill="000000"/>
            <w:noWrap/>
            <w:vAlign w:val="bottom"/>
            <w:hideMark/>
          </w:tcPr>
          <w:p w14:paraId="7EEC996A"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393" w:type="dxa"/>
            <w:tcBorders>
              <w:top w:val="nil"/>
              <w:left w:val="nil"/>
              <w:bottom w:val="single" w:sz="4" w:space="0" w:color="auto"/>
              <w:right w:val="nil"/>
            </w:tcBorders>
            <w:shd w:val="clear" w:color="auto" w:fill="000000"/>
            <w:noWrap/>
            <w:vAlign w:val="bottom"/>
            <w:hideMark/>
          </w:tcPr>
          <w:p w14:paraId="55C6699F"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06" w:type="dxa"/>
            <w:tcBorders>
              <w:top w:val="nil"/>
              <w:left w:val="nil"/>
              <w:bottom w:val="single" w:sz="4" w:space="0" w:color="auto"/>
              <w:right w:val="nil"/>
            </w:tcBorders>
            <w:shd w:val="clear" w:color="auto" w:fill="000000"/>
            <w:noWrap/>
            <w:vAlign w:val="bottom"/>
            <w:hideMark/>
          </w:tcPr>
          <w:p w14:paraId="37CEEB2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99" w:type="dxa"/>
            <w:tcBorders>
              <w:top w:val="nil"/>
              <w:left w:val="nil"/>
              <w:bottom w:val="single" w:sz="4" w:space="0" w:color="auto"/>
              <w:right w:val="nil"/>
            </w:tcBorders>
            <w:shd w:val="clear" w:color="auto" w:fill="000000"/>
            <w:noWrap/>
            <w:vAlign w:val="bottom"/>
            <w:hideMark/>
          </w:tcPr>
          <w:p w14:paraId="18210533"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399" w:type="dxa"/>
            <w:tcBorders>
              <w:top w:val="nil"/>
              <w:left w:val="nil"/>
              <w:bottom w:val="single" w:sz="4" w:space="0" w:color="auto"/>
              <w:right w:val="nil"/>
            </w:tcBorders>
            <w:shd w:val="clear" w:color="auto" w:fill="000000"/>
            <w:noWrap/>
            <w:vAlign w:val="bottom"/>
            <w:hideMark/>
          </w:tcPr>
          <w:p w14:paraId="45D145E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6BC47FF8" w14:textId="77777777" w:rsidTr="008214F9">
        <w:trPr>
          <w:trHeight w:val="225"/>
        </w:trPr>
        <w:tc>
          <w:tcPr>
            <w:tcW w:w="4282" w:type="dxa"/>
            <w:tcBorders>
              <w:top w:val="nil"/>
              <w:left w:val="nil"/>
              <w:bottom w:val="nil"/>
              <w:right w:val="nil"/>
            </w:tcBorders>
            <w:shd w:val="clear" w:color="auto" w:fill="000000"/>
            <w:noWrap/>
            <w:vAlign w:val="bottom"/>
            <w:hideMark/>
          </w:tcPr>
          <w:p w14:paraId="753E2574"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Income Band</w:t>
            </w:r>
          </w:p>
        </w:tc>
        <w:tc>
          <w:tcPr>
            <w:tcW w:w="393" w:type="dxa"/>
            <w:tcBorders>
              <w:top w:val="nil"/>
              <w:left w:val="nil"/>
              <w:bottom w:val="nil"/>
              <w:right w:val="nil"/>
            </w:tcBorders>
            <w:shd w:val="clear" w:color="auto" w:fill="000000"/>
            <w:noWrap/>
            <w:vAlign w:val="bottom"/>
            <w:hideMark/>
          </w:tcPr>
          <w:p w14:paraId="6C2FBEE3"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406" w:type="dxa"/>
            <w:tcBorders>
              <w:top w:val="nil"/>
              <w:left w:val="nil"/>
              <w:bottom w:val="nil"/>
              <w:right w:val="nil"/>
            </w:tcBorders>
            <w:shd w:val="clear" w:color="auto" w:fill="000000"/>
            <w:noWrap/>
            <w:vAlign w:val="bottom"/>
            <w:hideMark/>
          </w:tcPr>
          <w:p w14:paraId="7EBAEC18"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99" w:type="dxa"/>
            <w:tcBorders>
              <w:top w:val="nil"/>
              <w:left w:val="nil"/>
              <w:bottom w:val="single" w:sz="4" w:space="0" w:color="auto"/>
              <w:right w:val="nil"/>
            </w:tcBorders>
            <w:shd w:val="clear" w:color="auto" w:fill="000000"/>
            <w:noWrap/>
            <w:vAlign w:val="bottom"/>
            <w:hideMark/>
          </w:tcPr>
          <w:p w14:paraId="640048A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No</w:t>
            </w:r>
          </w:p>
        </w:tc>
        <w:tc>
          <w:tcPr>
            <w:tcW w:w="1399" w:type="dxa"/>
            <w:tcBorders>
              <w:top w:val="nil"/>
              <w:left w:val="nil"/>
              <w:bottom w:val="single" w:sz="4" w:space="0" w:color="auto"/>
              <w:right w:val="nil"/>
            </w:tcBorders>
            <w:shd w:val="clear" w:color="auto" w:fill="000000"/>
            <w:noWrap/>
            <w:vAlign w:val="bottom"/>
            <w:hideMark/>
          </w:tcPr>
          <w:p w14:paraId="79EF48B0"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No</w:t>
            </w:r>
          </w:p>
        </w:tc>
      </w:tr>
      <w:tr w:rsidR="005C5CED" w:rsidRPr="005C5CED" w14:paraId="7E39704E" w14:textId="77777777" w:rsidTr="008214F9">
        <w:trPr>
          <w:trHeight w:val="368"/>
        </w:trPr>
        <w:tc>
          <w:tcPr>
            <w:tcW w:w="4282" w:type="dxa"/>
            <w:tcBorders>
              <w:top w:val="nil"/>
              <w:left w:val="nil"/>
              <w:bottom w:val="nil"/>
              <w:right w:val="nil"/>
            </w:tcBorders>
            <w:shd w:val="clear" w:color="auto" w:fill="auto"/>
            <w:noWrap/>
            <w:vAlign w:val="center"/>
            <w:hideMark/>
          </w:tcPr>
          <w:p w14:paraId="6C6E4CF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$10,000 - $19,999</w:t>
            </w:r>
          </w:p>
        </w:tc>
        <w:tc>
          <w:tcPr>
            <w:tcW w:w="393" w:type="dxa"/>
            <w:tcBorders>
              <w:top w:val="nil"/>
              <w:left w:val="nil"/>
              <w:bottom w:val="nil"/>
              <w:right w:val="nil"/>
            </w:tcBorders>
            <w:shd w:val="clear" w:color="auto" w:fill="auto"/>
            <w:noWrap/>
            <w:vAlign w:val="center"/>
            <w:hideMark/>
          </w:tcPr>
          <w:p w14:paraId="5E8CAED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406" w:type="dxa"/>
            <w:tcBorders>
              <w:top w:val="nil"/>
              <w:left w:val="nil"/>
              <w:bottom w:val="nil"/>
              <w:right w:val="nil"/>
            </w:tcBorders>
            <w:shd w:val="clear" w:color="auto" w:fill="auto"/>
            <w:noWrap/>
            <w:vAlign w:val="center"/>
            <w:hideMark/>
          </w:tcPr>
          <w:p w14:paraId="561D91ED" w14:textId="77777777" w:rsidR="005C5CED" w:rsidRPr="005C5CED" w:rsidRDefault="005C5CED" w:rsidP="005C5CED">
            <w:pPr>
              <w:spacing w:after="0" w:line="240" w:lineRule="auto"/>
              <w:rPr>
                <w:rFonts w:eastAsia="Times New Roman" w:cs="Arial"/>
                <w:color w:val="auto"/>
                <w:szCs w:val="20"/>
                <w:lang w:eastAsia="en-AU"/>
              </w:rPr>
            </w:pPr>
          </w:p>
        </w:tc>
        <w:tc>
          <w:tcPr>
            <w:tcW w:w="1399" w:type="dxa"/>
            <w:tcBorders>
              <w:top w:val="nil"/>
              <w:left w:val="nil"/>
              <w:bottom w:val="nil"/>
              <w:right w:val="nil"/>
            </w:tcBorders>
            <w:shd w:val="clear" w:color="auto" w:fill="auto"/>
            <w:noWrap/>
            <w:vAlign w:val="center"/>
          </w:tcPr>
          <w:p w14:paraId="47742709"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w:t>
            </w:r>
          </w:p>
        </w:tc>
        <w:tc>
          <w:tcPr>
            <w:tcW w:w="1399" w:type="dxa"/>
            <w:tcBorders>
              <w:top w:val="nil"/>
              <w:left w:val="nil"/>
              <w:bottom w:val="nil"/>
              <w:right w:val="nil"/>
            </w:tcBorders>
            <w:shd w:val="clear" w:color="auto" w:fill="auto"/>
            <w:noWrap/>
            <w:vAlign w:val="center"/>
            <w:hideMark/>
          </w:tcPr>
          <w:p w14:paraId="4E0A5A5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7</w:t>
            </w:r>
          </w:p>
        </w:tc>
      </w:tr>
      <w:tr w:rsidR="005C5CED" w:rsidRPr="005C5CED" w14:paraId="5EB1EB1E" w14:textId="77777777" w:rsidTr="008214F9">
        <w:trPr>
          <w:trHeight w:val="368"/>
        </w:trPr>
        <w:tc>
          <w:tcPr>
            <w:tcW w:w="4282" w:type="dxa"/>
            <w:tcBorders>
              <w:top w:val="nil"/>
              <w:left w:val="nil"/>
              <w:bottom w:val="nil"/>
              <w:right w:val="nil"/>
            </w:tcBorders>
            <w:shd w:val="clear" w:color="auto" w:fill="auto"/>
            <w:noWrap/>
            <w:vAlign w:val="center"/>
          </w:tcPr>
          <w:p w14:paraId="7C966E5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$20,000 - $29,999</w:t>
            </w:r>
          </w:p>
        </w:tc>
        <w:tc>
          <w:tcPr>
            <w:tcW w:w="393" w:type="dxa"/>
            <w:tcBorders>
              <w:top w:val="nil"/>
              <w:left w:val="nil"/>
              <w:bottom w:val="nil"/>
              <w:right w:val="nil"/>
            </w:tcBorders>
            <w:shd w:val="clear" w:color="auto" w:fill="auto"/>
            <w:noWrap/>
            <w:vAlign w:val="center"/>
          </w:tcPr>
          <w:p w14:paraId="32134816"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406" w:type="dxa"/>
            <w:tcBorders>
              <w:top w:val="nil"/>
              <w:left w:val="nil"/>
              <w:bottom w:val="nil"/>
              <w:right w:val="nil"/>
            </w:tcBorders>
            <w:shd w:val="clear" w:color="auto" w:fill="auto"/>
            <w:noWrap/>
            <w:vAlign w:val="center"/>
          </w:tcPr>
          <w:p w14:paraId="28C1370E" w14:textId="77777777" w:rsidR="005C5CED" w:rsidRPr="005C5CED" w:rsidRDefault="005C5CED" w:rsidP="005C5CED">
            <w:pPr>
              <w:spacing w:after="0" w:line="240" w:lineRule="auto"/>
              <w:rPr>
                <w:rFonts w:eastAsia="Times New Roman" w:cs="Arial"/>
                <w:color w:val="auto"/>
                <w:szCs w:val="20"/>
                <w:lang w:eastAsia="en-AU"/>
              </w:rPr>
            </w:pPr>
          </w:p>
        </w:tc>
        <w:tc>
          <w:tcPr>
            <w:tcW w:w="1399" w:type="dxa"/>
            <w:tcBorders>
              <w:top w:val="nil"/>
              <w:left w:val="nil"/>
              <w:bottom w:val="nil"/>
              <w:right w:val="nil"/>
            </w:tcBorders>
            <w:shd w:val="clear" w:color="auto" w:fill="auto"/>
            <w:noWrap/>
            <w:vAlign w:val="center"/>
          </w:tcPr>
          <w:p w14:paraId="1769DD5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c>
          <w:tcPr>
            <w:tcW w:w="1399" w:type="dxa"/>
            <w:tcBorders>
              <w:top w:val="nil"/>
              <w:left w:val="nil"/>
              <w:bottom w:val="nil"/>
              <w:right w:val="nil"/>
            </w:tcBorders>
            <w:shd w:val="clear" w:color="auto" w:fill="auto"/>
            <w:noWrap/>
            <w:vAlign w:val="center"/>
          </w:tcPr>
          <w:p w14:paraId="535E2B5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r>
      <w:tr w:rsidR="005C5CED" w:rsidRPr="005C5CED" w14:paraId="6A9BFD27" w14:textId="77777777" w:rsidTr="008214F9">
        <w:trPr>
          <w:trHeight w:val="368"/>
        </w:trPr>
        <w:tc>
          <w:tcPr>
            <w:tcW w:w="4282" w:type="dxa"/>
            <w:tcBorders>
              <w:top w:val="nil"/>
              <w:left w:val="nil"/>
              <w:bottom w:val="nil"/>
              <w:right w:val="nil"/>
            </w:tcBorders>
            <w:shd w:val="clear" w:color="auto" w:fill="auto"/>
            <w:noWrap/>
            <w:vAlign w:val="center"/>
          </w:tcPr>
          <w:p w14:paraId="6A95CC6A"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$400,000 - $409,999</w:t>
            </w:r>
          </w:p>
        </w:tc>
        <w:tc>
          <w:tcPr>
            <w:tcW w:w="393" w:type="dxa"/>
            <w:tcBorders>
              <w:top w:val="nil"/>
              <w:left w:val="nil"/>
              <w:bottom w:val="nil"/>
              <w:right w:val="nil"/>
            </w:tcBorders>
            <w:shd w:val="clear" w:color="auto" w:fill="auto"/>
            <w:noWrap/>
            <w:vAlign w:val="center"/>
          </w:tcPr>
          <w:p w14:paraId="0FCFFBA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406" w:type="dxa"/>
            <w:tcBorders>
              <w:top w:val="nil"/>
              <w:left w:val="nil"/>
              <w:bottom w:val="nil"/>
              <w:right w:val="nil"/>
            </w:tcBorders>
            <w:shd w:val="clear" w:color="auto" w:fill="auto"/>
            <w:noWrap/>
            <w:vAlign w:val="center"/>
          </w:tcPr>
          <w:p w14:paraId="38F58318" w14:textId="77777777" w:rsidR="005C5CED" w:rsidRPr="005C5CED" w:rsidRDefault="005C5CED" w:rsidP="005C5CED">
            <w:pPr>
              <w:spacing w:after="0" w:line="240" w:lineRule="auto"/>
              <w:rPr>
                <w:rFonts w:eastAsia="Times New Roman" w:cs="Arial"/>
                <w:color w:val="auto"/>
                <w:szCs w:val="20"/>
                <w:lang w:eastAsia="en-AU"/>
              </w:rPr>
            </w:pPr>
          </w:p>
        </w:tc>
        <w:tc>
          <w:tcPr>
            <w:tcW w:w="1399" w:type="dxa"/>
            <w:tcBorders>
              <w:top w:val="nil"/>
              <w:left w:val="nil"/>
              <w:bottom w:val="nil"/>
              <w:right w:val="nil"/>
            </w:tcBorders>
            <w:shd w:val="clear" w:color="auto" w:fill="auto"/>
            <w:noWrap/>
            <w:vAlign w:val="center"/>
          </w:tcPr>
          <w:p w14:paraId="3DB2F241"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c>
          <w:tcPr>
            <w:tcW w:w="1399" w:type="dxa"/>
            <w:tcBorders>
              <w:top w:val="nil"/>
              <w:left w:val="nil"/>
              <w:bottom w:val="nil"/>
              <w:right w:val="nil"/>
            </w:tcBorders>
            <w:shd w:val="clear" w:color="auto" w:fill="auto"/>
            <w:noWrap/>
            <w:vAlign w:val="center"/>
          </w:tcPr>
          <w:p w14:paraId="15048CD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r>
      <w:tr w:rsidR="005C5CED" w:rsidRPr="005C5CED" w14:paraId="5690443B" w14:textId="77777777" w:rsidTr="008214F9">
        <w:trPr>
          <w:trHeight w:val="368"/>
        </w:trPr>
        <w:tc>
          <w:tcPr>
            <w:tcW w:w="4282" w:type="dxa"/>
            <w:tcBorders>
              <w:top w:val="nil"/>
              <w:left w:val="nil"/>
              <w:bottom w:val="nil"/>
              <w:right w:val="nil"/>
            </w:tcBorders>
            <w:shd w:val="clear" w:color="auto" w:fill="auto"/>
            <w:noWrap/>
            <w:vAlign w:val="center"/>
          </w:tcPr>
          <w:p w14:paraId="7D4BB454"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$410,000 - $419,999</w:t>
            </w:r>
          </w:p>
        </w:tc>
        <w:tc>
          <w:tcPr>
            <w:tcW w:w="393" w:type="dxa"/>
            <w:tcBorders>
              <w:top w:val="nil"/>
              <w:left w:val="nil"/>
              <w:bottom w:val="nil"/>
              <w:right w:val="nil"/>
            </w:tcBorders>
            <w:shd w:val="clear" w:color="auto" w:fill="auto"/>
            <w:noWrap/>
            <w:vAlign w:val="center"/>
          </w:tcPr>
          <w:p w14:paraId="5C5201AF"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406" w:type="dxa"/>
            <w:tcBorders>
              <w:top w:val="nil"/>
              <w:left w:val="nil"/>
              <w:bottom w:val="nil"/>
              <w:right w:val="nil"/>
            </w:tcBorders>
            <w:shd w:val="clear" w:color="auto" w:fill="auto"/>
            <w:noWrap/>
            <w:vAlign w:val="center"/>
          </w:tcPr>
          <w:p w14:paraId="51178A7D" w14:textId="77777777" w:rsidR="005C5CED" w:rsidRPr="005C5CED" w:rsidRDefault="005C5CED" w:rsidP="005C5CED">
            <w:pPr>
              <w:spacing w:after="0" w:line="240" w:lineRule="auto"/>
              <w:rPr>
                <w:rFonts w:eastAsia="Times New Roman" w:cs="Arial"/>
                <w:color w:val="auto"/>
                <w:szCs w:val="20"/>
                <w:lang w:eastAsia="en-AU"/>
              </w:rPr>
            </w:pPr>
          </w:p>
        </w:tc>
        <w:tc>
          <w:tcPr>
            <w:tcW w:w="1399" w:type="dxa"/>
            <w:tcBorders>
              <w:top w:val="nil"/>
              <w:left w:val="nil"/>
              <w:bottom w:val="nil"/>
              <w:right w:val="nil"/>
            </w:tcBorders>
            <w:shd w:val="clear" w:color="auto" w:fill="auto"/>
            <w:noWrap/>
            <w:vAlign w:val="center"/>
          </w:tcPr>
          <w:p w14:paraId="0F28B72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399" w:type="dxa"/>
            <w:tcBorders>
              <w:top w:val="nil"/>
              <w:left w:val="nil"/>
              <w:bottom w:val="nil"/>
              <w:right w:val="nil"/>
            </w:tcBorders>
            <w:shd w:val="clear" w:color="auto" w:fill="auto"/>
            <w:noWrap/>
            <w:vAlign w:val="center"/>
          </w:tcPr>
          <w:p w14:paraId="2808040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w:t>
            </w:r>
          </w:p>
        </w:tc>
      </w:tr>
      <w:tr w:rsidR="005C5CED" w:rsidRPr="005C5CED" w14:paraId="34BFBE5C" w14:textId="77777777" w:rsidTr="008214F9">
        <w:trPr>
          <w:trHeight w:val="368"/>
        </w:trPr>
        <w:tc>
          <w:tcPr>
            <w:tcW w:w="4282" w:type="dxa"/>
            <w:tcBorders>
              <w:top w:val="single" w:sz="4" w:space="0" w:color="auto"/>
              <w:left w:val="nil"/>
              <w:bottom w:val="single" w:sz="4" w:space="0" w:color="auto"/>
              <w:right w:val="nil"/>
            </w:tcBorders>
            <w:shd w:val="clear" w:color="auto" w:fill="auto"/>
            <w:noWrap/>
            <w:vAlign w:val="center"/>
            <w:hideMark/>
          </w:tcPr>
          <w:p w14:paraId="77967FA5"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Numbers</w:t>
            </w:r>
          </w:p>
        </w:tc>
        <w:tc>
          <w:tcPr>
            <w:tcW w:w="393" w:type="dxa"/>
            <w:tcBorders>
              <w:top w:val="single" w:sz="4" w:space="0" w:color="auto"/>
              <w:left w:val="nil"/>
              <w:bottom w:val="single" w:sz="4" w:space="0" w:color="auto"/>
              <w:right w:val="nil"/>
            </w:tcBorders>
            <w:shd w:val="clear" w:color="auto" w:fill="auto"/>
            <w:noWrap/>
            <w:vAlign w:val="center"/>
            <w:hideMark/>
          </w:tcPr>
          <w:p w14:paraId="63ABD29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406" w:type="dxa"/>
            <w:tcBorders>
              <w:top w:val="single" w:sz="4" w:space="0" w:color="auto"/>
              <w:left w:val="nil"/>
              <w:bottom w:val="single" w:sz="4" w:space="0" w:color="auto"/>
              <w:right w:val="nil"/>
            </w:tcBorders>
            <w:shd w:val="clear" w:color="auto" w:fill="auto"/>
            <w:noWrap/>
            <w:vAlign w:val="center"/>
            <w:hideMark/>
          </w:tcPr>
          <w:p w14:paraId="51BA587F"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99" w:type="dxa"/>
            <w:tcBorders>
              <w:top w:val="single" w:sz="4" w:space="0" w:color="auto"/>
              <w:left w:val="nil"/>
              <w:bottom w:val="single" w:sz="4" w:space="0" w:color="auto"/>
              <w:right w:val="nil"/>
            </w:tcBorders>
            <w:shd w:val="clear" w:color="auto" w:fill="auto"/>
            <w:noWrap/>
            <w:vAlign w:val="center"/>
          </w:tcPr>
          <w:p w14:paraId="74E1ED1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w:t>
            </w:r>
          </w:p>
        </w:tc>
        <w:tc>
          <w:tcPr>
            <w:tcW w:w="1399" w:type="dxa"/>
            <w:tcBorders>
              <w:top w:val="single" w:sz="4" w:space="0" w:color="auto"/>
              <w:left w:val="nil"/>
              <w:bottom w:val="single" w:sz="4" w:space="0" w:color="auto"/>
              <w:right w:val="nil"/>
            </w:tcBorders>
            <w:shd w:val="clear" w:color="auto" w:fill="auto"/>
            <w:noWrap/>
            <w:vAlign w:val="center"/>
            <w:hideMark/>
          </w:tcPr>
          <w:p w14:paraId="1A511C8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9</w:t>
            </w:r>
          </w:p>
        </w:tc>
      </w:tr>
      <w:tr w:rsidR="005C5CED" w:rsidRPr="005C5CED" w14:paraId="4D877140" w14:textId="77777777" w:rsidTr="008214F9">
        <w:trPr>
          <w:trHeight w:val="368"/>
        </w:trPr>
        <w:tc>
          <w:tcPr>
            <w:tcW w:w="4282" w:type="dxa"/>
            <w:tcBorders>
              <w:top w:val="single" w:sz="4" w:space="0" w:color="auto"/>
              <w:left w:val="nil"/>
              <w:right w:val="nil"/>
            </w:tcBorders>
            <w:shd w:val="clear" w:color="auto" w:fill="auto"/>
            <w:noWrap/>
            <w:vAlign w:val="center"/>
          </w:tcPr>
          <w:p w14:paraId="3AF6910F"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393" w:type="dxa"/>
            <w:tcBorders>
              <w:top w:val="single" w:sz="4" w:space="0" w:color="auto"/>
              <w:left w:val="nil"/>
              <w:right w:val="nil"/>
            </w:tcBorders>
            <w:shd w:val="clear" w:color="auto" w:fill="auto"/>
            <w:noWrap/>
            <w:vAlign w:val="center"/>
          </w:tcPr>
          <w:p w14:paraId="2027CAC9" w14:textId="77777777" w:rsidR="005C5CED" w:rsidRPr="005C5CED" w:rsidRDefault="005C5CED" w:rsidP="005C5CED">
            <w:pPr>
              <w:spacing w:after="0" w:line="240" w:lineRule="auto"/>
              <w:rPr>
                <w:rFonts w:eastAsia="Times New Roman" w:cs="Arial"/>
                <w:color w:val="auto"/>
                <w:sz w:val="16"/>
                <w:szCs w:val="16"/>
                <w:lang w:eastAsia="en-AU"/>
              </w:rPr>
            </w:pPr>
          </w:p>
        </w:tc>
        <w:tc>
          <w:tcPr>
            <w:tcW w:w="1406" w:type="dxa"/>
            <w:tcBorders>
              <w:top w:val="single" w:sz="4" w:space="0" w:color="auto"/>
              <w:left w:val="nil"/>
              <w:right w:val="nil"/>
            </w:tcBorders>
            <w:shd w:val="clear" w:color="auto" w:fill="auto"/>
            <w:noWrap/>
            <w:vAlign w:val="center"/>
          </w:tcPr>
          <w:p w14:paraId="319B4ECC"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1399" w:type="dxa"/>
            <w:tcBorders>
              <w:top w:val="single" w:sz="4" w:space="0" w:color="auto"/>
              <w:left w:val="nil"/>
              <w:right w:val="nil"/>
            </w:tcBorders>
            <w:shd w:val="clear" w:color="auto" w:fill="auto"/>
            <w:noWrap/>
            <w:vAlign w:val="center"/>
          </w:tcPr>
          <w:p w14:paraId="2E2AB06B"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c>
          <w:tcPr>
            <w:tcW w:w="1399" w:type="dxa"/>
            <w:tcBorders>
              <w:top w:val="single" w:sz="4" w:space="0" w:color="auto"/>
              <w:left w:val="nil"/>
              <w:right w:val="nil"/>
            </w:tcBorders>
            <w:shd w:val="clear" w:color="auto" w:fill="auto"/>
            <w:noWrap/>
            <w:vAlign w:val="center"/>
          </w:tcPr>
          <w:p w14:paraId="36BEB736" w14:textId="77777777" w:rsidR="005C5CED" w:rsidRPr="005C5CED" w:rsidRDefault="005C5CED" w:rsidP="005C5CED">
            <w:pPr>
              <w:spacing w:after="0" w:line="240" w:lineRule="auto"/>
              <w:jc w:val="right"/>
              <w:rPr>
                <w:rFonts w:eastAsia="Times New Roman" w:cs="Arial"/>
                <w:b/>
                <w:bCs/>
                <w:color w:val="auto"/>
                <w:sz w:val="16"/>
                <w:szCs w:val="16"/>
                <w:lang w:eastAsia="en-AU"/>
              </w:rPr>
            </w:pPr>
          </w:p>
        </w:tc>
      </w:tr>
      <w:tr w:rsidR="005C5CED" w:rsidRPr="005C5CED" w14:paraId="6A9F2511" w14:textId="77777777" w:rsidTr="008214F9">
        <w:trPr>
          <w:trHeight w:val="368"/>
        </w:trPr>
        <w:tc>
          <w:tcPr>
            <w:tcW w:w="4282" w:type="dxa"/>
            <w:tcBorders>
              <w:top w:val="nil"/>
              <w:left w:val="nil"/>
              <w:right w:val="nil"/>
            </w:tcBorders>
            <w:shd w:val="clear" w:color="auto" w:fill="000000"/>
            <w:noWrap/>
            <w:vAlign w:val="center"/>
            <w:hideMark/>
          </w:tcPr>
          <w:p w14:paraId="60108DE6"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393" w:type="dxa"/>
            <w:tcBorders>
              <w:top w:val="nil"/>
              <w:left w:val="nil"/>
              <w:right w:val="nil"/>
            </w:tcBorders>
            <w:shd w:val="clear" w:color="auto" w:fill="000000"/>
            <w:noWrap/>
            <w:vAlign w:val="center"/>
            <w:hideMark/>
          </w:tcPr>
          <w:p w14:paraId="76208EBD"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406" w:type="dxa"/>
            <w:tcBorders>
              <w:top w:val="nil"/>
              <w:left w:val="nil"/>
              <w:right w:val="nil"/>
            </w:tcBorders>
            <w:shd w:val="clear" w:color="auto" w:fill="000000"/>
            <w:noWrap/>
            <w:vAlign w:val="center"/>
            <w:hideMark/>
          </w:tcPr>
          <w:p w14:paraId="5A10CED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99" w:type="dxa"/>
            <w:tcBorders>
              <w:top w:val="nil"/>
              <w:left w:val="nil"/>
              <w:right w:val="nil"/>
            </w:tcBorders>
            <w:shd w:val="clear" w:color="auto" w:fill="000000"/>
            <w:noWrap/>
            <w:vAlign w:val="center"/>
          </w:tcPr>
          <w:p w14:paraId="51DCC4D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2024</w:t>
            </w:r>
          </w:p>
          <w:p w14:paraId="1D78035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$’000</w:t>
            </w:r>
          </w:p>
        </w:tc>
        <w:tc>
          <w:tcPr>
            <w:tcW w:w="1399" w:type="dxa"/>
            <w:tcBorders>
              <w:top w:val="nil"/>
              <w:left w:val="nil"/>
              <w:right w:val="nil"/>
            </w:tcBorders>
            <w:shd w:val="clear" w:color="auto" w:fill="000000"/>
            <w:noWrap/>
            <w:vAlign w:val="center"/>
            <w:hideMark/>
          </w:tcPr>
          <w:p w14:paraId="2024B98F"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2023</w:t>
            </w:r>
          </w:p>
          <w:p w14:paraId="3BEF6915"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$’000</w:t>
            </w:r>
          </w:p>
        </w:tc>
      </w:tr>
      <w:tr w:rsidR="005C5CED" w:rsidRPr="005C5CED" w14:paraId="7BE1D76D" w14:textId="77777777" w:rsidTr="008214F9">
        <w:trPr>
          <w:trHeight w:val="323"/>
        </w:trPr>
        <w:tc>
          <w:tcPr>
            <w:tcW w:w="4282" w:type="dxa"/>
            <w:tcBorders>
              <w:left w:val="nil"/>
              <w:bottom w:val="single" w:sz="4" w:space="0" w:color="auto"/>
              <w:right w:val="nil"/>
            </w:tcBorders>
            <w:shd w:val="clear" w:color="auto" w:fill="auto"/>
            <w:noWrap/>
            <w:vAlign w:val="center"/>
            <w:hideMark/>
          </w:tcPr>
          <w:p w14:paraId="765DE03A" w14:textId="77777777" w:rsidR="005C5CED" w:rsidRPr="005C5CED" w:rsidRDefault="005C5CED" w:rsidP="005C5CED">
            <w:pPr>
              <w:spacing w:after="0" w:line="240" w:lineRule="auto"/>
              <w:rPr>
                <w:rFonts w:eastAsia="Times New Roman" w:cs="Arial"/>
                <w:b/>
                <w:bCs/>
                <w:color w:val="auto"/>
                <w:sz w:val="16"/>
                <w:szCs w:val="16"/>
                <w:lang w:eastAsia="en-AU"/>
              </w:rPr>
            </w:pPr>
          </w:p>
          <w:p w14:paraId="0A701639"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remuneration received or due and receivable by responsible Persons from the entity amounted to:</w:t>
            </w:r>
          </w:p>
          <w:p w14:paraId="091133A5" w14:textId="77777777" w:rsidR="005C5CED" w:rsidRPr="005C5CED" w:rsidRDefault="005C5CED" w:rsidP="005C5CED">
            <w:pPr>
              <w:spacing w:after="0" w:line="240" w:lineRule="auto"/>
              <w:rPr>
                <w:rFonts w:eastAsia="Times New Roman" w:cs="Arial"/>
                <w:b/>
                <w:bCs/>
                <w:color w:val="auto"/>
                <w:sz w:val="16"/>
                <w:szCs w:val="16"/>
                <w:lang w:eastAsia="en-AU"/>
              </w:rPr>
            </w:pPr>
          </w:p>
          <w:p w14:paraId="73F6F77D" w14:textId="77777777" w:rsidR="005C5CED" w:rsidRPr="005C5CED" w:rsidRDefault="005C5CED" w:rsidP="005C5CED">
            <w:pPr>
              <w:spacing w:after="0" w:line="240" w:lineRule="auto"/>
              <w:rPr>
                <w:rFonts w:eastAsia="Times New Roman" w:cs="Arial"/>
                <w:b/>
                <w:bCs/>
                <w:color w:val="auto"/>
                <w:sz w:val="16"/>
                <w:szCs w:val="16"/>
                <w:lang w:eastAsia="en-AU"/>
              </w:rPr>
            </w:pPr>
          </w:p>
        </w:tc>
        <w:tc>
          <w:tcPr>
            <w:tcW w:w="393" w:type="dxa"/>
            <w:tcBorders>
              <w:left w:val="nil"/>
              <w:bottom w:val="single" w:sz="4" w:space="0" w:color="auto"/>
              <w:right w:val="nil"/>
            </w:tcBorders>
            <w:shd w:val="clear" w:color="auto" w:fill="auto"/>
            <w:noWrap/>
            <w:vAlign w:val="center"/>
            <w:hideMark/>
          </w:tcPr>
          <w:p w14:paraId="6481593D" w14:textId="77777777" w:rsidR="005C5CED" w:rsidRPr="005C5CED" w:rsidRDefault="005C5CED" w:rsidP="005C5CED">
            <w:pPr>
              <w:spacing w:after="0" w:line="240" w:lineRule="auto"/>
              <w:jc w:val="center"/>
              <w:rPr>
                <w:rFonts w:eastAsia="Times New Roman" w:cs="Arial"/>
                <w:color w:val="auto"/>
                <w:sz w:val="16"/>
                <w:szCs w:val="16"/>
                <w:lang w:eastAsia="en-AU"/>
              </w:rPr>
            </w:pPr>
          </w:p>
        </w:tc>
        <w:tc>
          <w:tcPr>
            <w:tcW w:w="1406" w:type="dxa"/>
            <w:tcBorders>
              <w:left w:val="nil"/>
              <w:bottom w:val="single" w:sz="4" w:space="0" w:color="auto"/>
              <w:right w:val="nil"/>
            </w:tcBorders>
            <w:shd w:val="clear" w:color="auto" w:fill="auto"/>
            <w:noWrap/>
            <w:vAlign w:val="center"/>
            <w:hideMark/>
          </w:tcPr>
          <w:p w14:paraId="5149697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99" w:type="dxa"/>
            <w:tcBorders>
              <w:left w:val="nil"/>
              <w:bottom w:val="single" w:sz="4" w:space="0" w:color="auto"/>
              <w:right w:val="nil"/>
            </w:tcBorders>
            <w:shd w:val="clear" w:color="auto" w:fill="auto"/>
            <w:noWrap/>
            <w:vAlign w:val="center"/>
          </w:tcPr>
          <w:p w14:paraId="086051E1"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533</w:t>
            </w:r>
          </w:p>
        </w:tc>
        <w:tc>
          <w:tcPr>
            <w:tcW w:w="1399" w:type="dxa"/>
            <w:tcBorders>
              <w:left w:val="nil"/>
              <w:bottom w:val="single" w:sz="4" w:space="0" w:color="auto"/>
              <w:right w:val="nil"/>
            </w:tcBorders>
            <w:shd w:val="clear" w:color="auto" w:fill="auto"/>
            <w:noWrap/>
            <w:vAlign w:val="center"/>
            <w:hideMark/>
          </w:tcPr>
          <w:p w14:paraId="7231CF1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546</w:t>
            </w:r>
          </w:p>
        </w:tc>
      </w:tr>
    </w:tbl>
    <w:p w14:paraId="22127466" w14:textId="77777777" w:rsidR="005C5CED" w:rsidRPr="005C5CED" w:rsidRDefault="005C5CED" w:rsidP="005C5CED">
      <w:pPr>
        <w:spacing w:line="259" w:lineRule="auto"/>
        <w:rPr>
          <w:rFonts w:eastAsia="Calibri" w:cs="Arial"/>
          <w:color w:val="auto"/>
        </w:rPr>
      </w:pPr>
    </w:p>
    <w:p w14:paraId="39083403" w14:textId="77777777" w:rsidR="005C5CED" w:rsidRPr="005C5CED" w:rsidRDefault="005C5CED" w:rsidP="005C5CED">
      <w:pPr>
        <w:spacing w:line="259" w:lineRule="auto"/>
        <w:rPr>
          <w:rFonts w:eastAsia="Calibri" w:cs="Arial"/>
          <w:color w:val="auto"/>
        </w:rPr>
      </w:pPr>
      <w:r w:rsidRPr="005C5CED">
        <w:rPr>
          <w:rFonts w:eastAsia="Calibri" w:cs="Arial"/>
          <w:color w:val="auto"/>
        </w:rPr>
        <w:t>Amounts relating to the Board Members and Accountable Officer of Sustainability Victoria</w:t>
      </w:r>
    </w:p>
    <w:p w14:paraId="0AC03175"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8.3 Remuneration of senior executive service</w:t>
      </w:r>
    </w:p>
    <w:p w14:paraId="0A360B3B" w14:textId="77777777" w:rsidR="005C5CED" w:rsidRPr="005C5CED" w:rsidRDefault="005C5CED" w:rsidP="005C5CED">
      <w:pPr>
        <w:spacing w:line="259" w:lineRule="auto"/>
        <w:rPr>
          <w:rFonts w:eastAsia="Times New Roman" w:cs="Arial"/>
          <w:b/>
          <w:bCs/>
          <w:color w:val="auto"/>
          <w:lang w:eastAsia="en-AU"/>
        </w:rPr>
      </w:pPr>
      <w:r w:rsidRPr="005C5CED">
        <w:rPr>
          <w:rFonts w:eastAsia="Calibri" w:cs="Arial"/>
          <w:color w:val="auto"/>
        </w:rPr>
        <w:t>The number of senior executive service, other than Ministers and Accountable Officers, and their total remuneration during the reporting period are shown in the table below. Total annualised employee equivalents provide a measure of full time equivalent executive officers over the reporting period.</w:t>
      </w:r>
    </w:p>
    <w:p w14:paraId="565992FA"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Remuneration comprises employee benefits (as defined by AASB 119 </w:t>
      </w:r>
      <w:r w:rsidRPr="005C5CED">
        <w:rPr>
          <w:rFonts w:eastAsia="Calibri" w:cs="Arial"/>
          <w:i/>
          <w:iCs/>
          <w:color w:val="auto"/>
        </w:rPr>
        <w:t>Employee Benefits</w:t>
      </w:r>
      <w:r w:rsidRPr="005C5CED">
        <w:rPr>
          <w:rFonts w:eastAsia="Calibri" w:cs="Arial"/>
          <w:color w:val="auto"/>
        </w:rPr>
        <w:t>) in all forms of consideration paid, payable or provided by the entity, or on behalf of the entity, in exchange for services rendered, and is disclosed in the following categories.</w:t>
      </w:r>
    </w:p>
    <w:p w14:paraId="456851AB" w14:textId="77777777" w:rsidR="005C5CED" w:rsidRPr="005C5CED" w:rsidRDefault="005C5CED" w:rsidP="005C5CED">
      <w:pPr>
        <w:spacing w:line="259" w:lineRule="auto"/>
        <w:rPr>
          <w:rFonts w:eastAsia="Calibri" w:cs="Arial"/>
          <w:color w:val="auto"/>
        </w:rPr>
      </w:pPr>
      <w:bookmarkStart w:id="322" w:name="_Hlk116476082"/>
      <w:r w:rsidRPr="005C5CED">
        <w:rPr>
          <w:rFonts w:eastAsia="Calibri" w:cs="Arial"/>
          <w:b/>
          <w:bCs/>
          <w:color w:val="auto"/>
        </w:rPr>
        <w:t>Short-term employee benefits</w:t>
      </w:r>
      <w:r w:rsidRPr="005C5CED">
        <w:rPr>
          <w:rFonts w:eastAsia="Calibri" w:cs="Arial"/>
          <w:color w:val="auto"/>
        </w:rPr>
        <w:t xml:space="preserve"> include amounts such as wages, salaries, annual leave, or sick leave that are usually paid or payable on a regular basis, as well as non-monetary benefits such as allowances and free or subsidised goods or services.</w:t>
      </w:r>
      <w:bookmarkEnd w:id="322"/>
    </w:p>
    <w:p w14:paraId="4E11E696"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Post-employment benefits</w:t>
      </w:r>
      <w:r w:rsidRPr="005C5CED">
        <w:rPr>
          <w:rFonts w:eastAsia="Calibri" w:cs="Arial"/>
          <w:color w:val="auto"/>
        </w:rPr>
        <w:t xml:space="preserve"> include pensions and other retirement benefits paid or payable on a discrete basis when employment has ceased.</w:t>
      </w:r>
    </w:p>
    <w:p w14:paraId="1FC7DDB0"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Other long-term benefits</w:t>
      </w:r>
      <w:r w:rsidRPr="005C5CED">
        <w:rPr>
          <w:rFonts w:eastAsia="Calibri" w:cs="Arial"/>
          <w:color w:val="auto"/>
        </w:rPr>
        <w:t xml:space="preserve"> include long service leave, other long service benefits or deferred compensation.</w:t>
      </w:r>
    </w:p>
    <w:p w14:paraId="51907091" w14:textId="77777777" w:rsidR="005C5CED" w:rsidRPr="005C5CED" w:rsidRDefault="005C5CED" w:rsidP="005C5CED">
      <w:pPr>
        <w:spacing w:line="259" w:lineRule="auto"/>
        <w:rPr>
          <w:rFonts w:eastAsia="Times New Roman" w:cs="Arial"/>
          <w:color w:val="auto"/>
          <w:lang w:eastAsia="en-AU"/>
        </w:rPr>
      </w:pPr>
      <w:bookmarkStart w:id="323" w:name="_Hlk116476074"/>
      <w:r w:rsidRPr="005C5CED">
        <w:rPr>
          <w:rFonts w:eastAsia="Times New Roman" w:cs="Arial"/>
          <w:b/>
          <w:bCs/>
          <w:color w:val="auto"/>
          <w:lang w:eastAsia="en-AU"/>
        </w:rPr>
        <w:t>Termination benefits</w:t>
      </w:r>
      <w:r w:rsidRPr="005C5CED">
        <w:rPr>
          <w:rFonts w:eastAsia="Times New Roman" w:cs="Arial"/>
          <w:color w:val="auto"/>
          <w:lang w:eastAsia="en-AU"/>
        </w:rPr>
        <w:t xml:space="preserve"> include termination of employment payments, such as severance packages.</w:t>
      </w:r>
    </w:p>
    <w:p w14:paraId="396740D0" w14:textId="77777777" w:rsidR="006D4B41" w:rsidRDefault="006D4B41">
      <w:pPr>
        <w:spacing w:line="259" w:lineRule="auto"/>
        <w:rPr>
          <w:rFonts w:eastAsia="Yu Gothic Light" w:cs="SegoeUI"/>
          <w:b/>
          <w:bCs/>
          <w:color w:val="595959"/>
        </w:rPr>
      </w:pPr>
      <w:r>
        <w:rPr>
          <w:rFonts w:eastAsia="Yu Gothic Light" w:cs="SegoeUI"/>
          <w:b/>
          <w:bCs/>
          <w:color w:val="595959"/>
        </w:rPr>
        <w:br w:type="page"/>
      </w:r>
    </w:p>
    <w:p w14:paraId="2D3B5D64" w14:textId="44F9ACCE"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lastRenderedPageBreak/>
        <w:t>Remuneration of senior executive service</w:t>
      </w:r>
    </w:p>
    <w:bookmarkEnd w:id="323"/>
    <w:p w14:paraId="597AA2B0" w14:textId="77777777" w:rsidR="005C5CED" w:rsidRPr="005C5CED" w:rsidRDefault="005C5CED" w:rsidP="005C5CED">
      <w:pPr>
        <w:spacing w:after="0" w:line="240" w:lineRule="auto"/>
        <w:rPr>
          <w:rFonts w:eastAsia="Times New Roman" w:cs="Arial"/>
          <w:b/>
          <w:bCs/>
          <w:color w:val="auto"/>
          <w:sz w:val="16"/>
          <w:szCs w:val="16"/>
          <w:lang w:eastAsia="en-AU"/>
        </w:rPr>
      </w:pPr>
    </w:p>
    <w:tbl>
      <w:tblPr>
        <w:tblW w:w="8734" w:type="dxa"/>
        <w:tblLook w:val="04A0" w:firstRow="1" w:lastRow="0" w:firstColumn="1" w:lastColumn="0" w:noHBand="0" w:noVBand="1"/>
      </w:tblPr>
      <w:tblGrid>
        <w:gridCol w:w="3215"/>
        <w:gridCol w:w="1383"/>
        <w:gridCol w:w="1383"/>
        <w:gridCol w:w="1376"/>
        <w:gridCol w:w="1377"/>
      </w:tblGrid>
      <w:tr w:rsidR="005C5CED" w:rsidRPr="005C5CED" w14:paraId="068C3499" w14:textId="77777777" w:rsidTr="006D4B41">
        <w:trPr>
          <w:trHeight w:val="248"/>
        </w:trPr>
        <w:tc>
          <w:tcPr>
            <w:tcW w:w="3215" w:type="dxa"/>
            <w:tcBorders>
              <w:top w:val="nil"/>
              <w:left w:val="nil"/>
              <w:bottom w:val="single" w:sz="4" w:space="0" w:color="auto"/>
              <w:right w:val="nil"/>
            </w:tcBorders>
            <w:shd w:val="clear" w:color="auto" w:fill="000000"/>
            <w:noWrap/>
            <w:vAlign w:val="bottom"/>
            <w:hideMark/>
          </w:tcPr>
          <w:p w14:paraId="50C02037" w14:textId="77777777" w:rsidR="005C5CED" w:rsidRPr="005C5CED" w:rsidRDefault="005C5CED" w:rsidP="005C5CED">
            <w:pPr>
              <w:spacing w:after="0" w:line="240" w:lineRule="auto"/>
              <w:rPr>
                <w:rFonts w:eastAsia="Times New Roman" w:cs="Arial"/>
                <w:b/>
                <w:bCs/>
                <w:color w:val="FFFFFF"/>
                <w:sz w:val="16"/>
                <w:szCs w:val="16"/>
                <w:lang w:eastAsia="en-AU"/>
              </w:rPr>
            </w:pPr>
          </w:p>
        </w:tc>
        <w:tc>
          <w:tcPr>
            <w:tcW w:w="1383" w:type="dxa"/>
            <w:tcBorders>
              <w:top w:val="single" w:sz="4" w:space="0" w:color="auto"/>
              <w:left w:val="nil"/>
              <w:bottom w:val="nil"/>
              <w:right w:val="nil"/>
            </w:tcBorders>
            <w:shd w:val="clear" w:color="auto" w:fill="000000"/>
            <w:noWrap/>
            <w:vAlign w:val="bottom"/>
            <w:hideMark/>
          </w:tcPr>
          <w:p w14:paraId="75A0B57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83" w:type="dxa"/>
            <w:tcBorders>
              <w:top w:val="single" w:sz="4" w:space="0" w:color="auto"/>
              <w:left w:val="nil"/>
              <w:bottom w:val="nil"/>
              <w:right w:val="nil"/>
            </w:tcBorders>
            <w:shd w:val="clear" w:color="auto" w:fill="000000"/>
            <w:noWrap/>
            <w:vAlign w:val="bottom"/>
            <w:hideMark/>
          </w:tcPr>
          <w:p w14:paraId="315FA8F9"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2753" w:type="dxa"/>
            <w:gridSpan w:val="2"/>
            <w:tcBorders>
              <w:top w:val="single" w:sz="4" w:space="0" w:color="auto"/>
              <w:left w:val="nil"/>
              <w:bottom w:val="single" w:sz="4" w:space="0" w:color="FFFFFF"/>
              <w:right w:val="nil"/>
            </w:tcBorders>
            <w:shd w:val="clear" w:color="auto" w:fill="000000"/>
            <w:noWrap/>
            <w:vAlign w:val="bottom"/>
            <w:hideMark/>
          </w:tcPr>
          <w:p w14:paraId="3DE21839" w14:textId="77777777" w:rsidR="005C5CED" w:rsidRPr="005C5CED" w:rsidRDefault="005C5CED" w:rsidP="005C5CED">
            <w:pPr>
              <w:spacing w:after="0" w:line="240" w:lineRule="auto"/>
              <w:ind w:firstLineChars="300" w:firstLine="482"/>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Total remuneration</w:t>
            </w:r>
          </w:p>
          <w:p w14:paraId="25C80C4A" w14:textId="77777777" w:rsidR="005C5CED" w:rsidRPr="005C5CED" w:rsidRDefault="005C5CED" w:rsidP="005C5CED">
            <w:pPr>
              <w:spacing w:after="0" w:line="240" w:lineRule="auto"/>
              <w:ind w:firstLineChars="300" w:firstLine="482"/>
              <w:jc w:val="center"/>
              <w:rPr>
                <w:rFonts w:eastAsia="Times New Roman" w:cs="Arial"/>
                <w:b/>
                <w:bCs/>
                <w:color w:val="FFFFFF"/>
                <w:sz w:val="16"/>
                <w:szCs w:val="16"/>
                <w:lang w:eastAsia="en-AU"/>
              </w:rPr>
            </w:pPr>
          </w:p>
        </w:tc>
      </w:tr>
      <w:tr w:rsidR="005C5CED" w:rsidRPr="005C5CED" w14:paraId="45E02494" w14:textId="77777777" w:rsidTr="006D4B41">
        <w:trPr>
          <w:trHeight w:val="248"/>
        </w:trPr>
        <w:tc>
          <w:tcPr>
            <w:tcW w:w="3215" w:type="dxa"/>
            <w:tcBorders>
              <w:top w:val="nil"/>
              <w:left w:val="nil"/>
              <w:bottom w:val="single" w:sz="4" w:space="0" w:color="auto"/>
              <w:right w:val="nil"/>
            </w:tcBorders>
            <w:shd w:val="clear" w:color="auto" w:fill="000000"/>
            <w:noWrap/>
            <w:vAlign w:val="bottom"/>
            <w:hideMark/>
          </w:tcPr>
          <w:p w14:paraId="4BCA9085"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83" w:type="dxa"/>
            <w:tcBorders>
              <w:top w:val="nil"/>
              <w:left w:val="nil"/>
              <w:bottom w:val="single" w:sz="4" w:space="0" w:color="auto"/>
              <w:right w:val="nil"/>
            </w:tcBorders>
            <w:shd w:val="clear" w:color="auto" w:fill="000000"/>
            <w:noWrap/>
            <w:vAlign w:val="bottom"/>
            <w:hideMark/>
          </w:tcPr>
          <w:p w14:paraId="35172E56"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Notes</w:t>
            </w:r>
          </w:p>
        </w:tc>
        <w:tc>
          <w:tcPr>
            <w:tcW w:w="1383" w:type="dxa"/>
            <w:tcBorders>
              <w:top w:val="nil"/>
              <w:left w:val="nil"/>
              <w:bottom w:val="single" w:sz="4" w:space="0" w:color="auto"/>
              <w:right w:val="nil"/>
            </w:tcBorders>
            <w:shd w:val="clear" w:color="auto" w:fill="000000"/>
            <w:noWrap/>
            <w:vAlign w:val="bottom"/>
            <w:hideMark/>
          </w:tcPr>
          <w:p w14:paraId="555961EC"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76" w:type="dxa"/>
            <w:tcBorders>
              <w:top w:val="nil"/>
              <w:left w:val="nil"/>
              <w:bottom w:val="single" w:sz="4" w:space="0" w:color="auto"/>
              <w:right w:val="nil"/>
            </w:tcBorders>
            <w:shd w:val="clear" w:color="auto" w:fill="000000"/>
            <w:noWrap/>
            <w:vAlign w:val="bottom"/>
            <w:hideMark/>
          </w:tcPr>
          <w:p w14:paraId="610E7BEA"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376" w:type="dxa"/>
            <w:tcBorders>
              <w:top w:val="nil"/>
              <w:left w:val="nil"/>
              <w:bottom w:val="single" w:sz="4" w:space="0" w:color="auto"/>
              <w:right w:val="nil"/>
            </w:tcBorders>
            <w:shd w:val="clear" w:color="auto" w:fill="000000"/>
            <w:noWrap/>
            <w:vAlign w:val="bottom"/>
            <w:hideMark/>
          </w:tcPr>
          <w:p w14:paraId="03B4B06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5229150F" w14:textId="77777777" w:rsidTr="006D4B41">
        <w:trPr>
          <w:trHeight w:val="231"/>
        </w:trPr>
        <w:tc>
          <w:tcPr>
            <w:tcW w:w="3215" w:type="dxa"/>
            <w:tcBorders>
              <w:top w:val="nil"/>
              <w:left w:val="nil"/>
              <w:bottom w:val="nil"/>
              <w:right w:val="nil"/>
            </w:tcBorders>
            <w:shd w:val="clear" w:color="auto" w:fill="000000"/>
            <w:noWrap/>
            <w:vAlign w:val="bottom"/>
            <w:hideMark/>
          </w:tcPr>
          <w:p w14:paraId="42E80E58"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83" w:type="dxa"/>
            <w:tcBorders>
              <w:top w:val="nil"/>
              <w:left w:val="nil"/>
              <w:bottom w:val="nil"/>
              <w:right w:val="nil"/>
            </w:tcBorders>
            <w:shd w:val="clear" w:color="auto" w:fill="000000"/>
            <w:noWrap/>
            <w:vAlign w:val="bottom"/>
            <w:hideMark/>
          </w:tcPr>
          <w:p w14:paraId="5B7B11DF"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83" w:type="dxa"/>
            <w:tcBorders>
              <w:top w:val="nil"/>
              <w:left w:val="nil"/>
              <w:bottom w:val="nil"/>
              <w:right w:val="nil"/>
            </w:tcBorders>
            <w:shd w:val="clear" w:color="auto" w:fill="000000"/>
            <w:noWrap/>
            <w:vAlign w:val="bottom"/>
            <w:hideMark/>
          </w:tcPr>
          <w:p w14:paraId="1B6971EE"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1376" w:type="dxa"/>
            <w:tcBorders>
              <w:top w:val="nil"/>
              <w:left w:val="nil"/>
              <w:bottom w:val="single" w:sz="4" w:space="0" w:color="auto"/>
              <w:right w:val="nil"/>
            </w:tcBorders>
            <w:shd w:val="clear" w:color="auto" w:fill="000000"/>
            <w:noWrap/>
            <w:vAlign w:val="bottom"/>
            <w:hideMark/>
          </w:tcPr>
          <w:p w14:paraId="374469B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376" w:type="dxa"/>
            <w:tcBorders>
              <w:top w:val="nil"/>
              <w:left w:val="nil"/>
              <w:bottom w:val="single" w:sz="4" w:space="0" w:color="auto"/>
              <w:right w:val="nil"/>
            </w:tcBorders>
            <w:shd w:val="clear" w:color="auto" w:fill="000000"/>
            <w:noWrap/>
            <w:vAlign w:val="bottom"/>
            <w:hideMark/>
          </w:tcPr>
          <w:p w14:paraId="56994CED"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21EE2899" w14:textId="77777777" w:rsidTr="006D4B41">
        <w:trPr>
          <w:trHeight w:val="377"/>
        </w:trPr>
        <w:tc>
          <w:tcPr>
            <w:tcW w:w="3215" w:type="dxa"/>
            <w:tcBorders>
              <w:top w:val="nil"/>
              <w:left w:val="nil"/>
              <w:bottom w:val="nil"/>
              <w:right w:val="nil"/>
            </w:tcBorders>
            <w:shd w:val="clear" w:color="auto" w:fill="auto"/>
            <w:noWrap/>
            <w:vAlign w:val="center"/>
            <w:hideMark/>
          </w:tcPr>
          <w:p w14:paraId="0D19CF0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Short-term employee benefits</w:t>
            </w:r>
          </w:p>
        </w:tc>
        <w:tc>
          <w:tcPr>
            <w:tcW w:w="1383" w:type="dxa"/>
            <w:tcBorders>
              <w:top w:val="nil"/>
              <w:left w:val="nil"/>
              <w:bottom w:val="nil"/>
              <w:right w:val="nil"/>
            </w:tcBorders>
            <w:shd w:val="clear" w:color="auto" w:fill="auto"/>
            <w:noWrap/>
            <w:vAlign w:val="center"/>
            <w:hideMark/>
          </w:tcPr>
          <w:p w14:paraId="3228B6B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383" w:type="dxa"/>
            <w:tcBorders>
              <w:top w:val="nil"/>
              <w:left w:val="nil"/>
              <w:bottom w:val="nil"/>
              <w:right w:val="nil"/>
            </w:tcBorders>
            <w:shd w:val="clear" w:color="auto" w:fill="auto"/>
            <w:noWrap/>
            <w:vAlign w:val="center"/>
            <w:hideMark/>
          </w:tcPr>
          <w:p w14:paraId="5EF706B0" w14:textId="77777777" w:rsidR="005C5CED" w:rsidRPr="005C5CED" w:rsidRDefault="005C5CED" w:rsidP="005C5CED">
            <w:pPr>
              <w:spacing w:after="0" w:line="240" w:lineRule="auto"/>
              <w:rPr>
                <w:rFonts w:eastAsia="Times New Roman" w:cs="Arial"/>
                <w:color w:val="auto"/>
                <w:szCs w:val="20"/>
                <w:lang w:eastAsia="en-AU"/>
              </w:rPr>
            </w:pPr>
          </w:p>
        </w:tc>
        <w:tc>
          <w:tcPr>
            <w:tcW w:w="1376" w:type="dxa"/>
            <w:tcBorders>
              <w:top w:val="nil"/>
              <w:left w:val="nil"/>
              <w:bottom w:val="nil"/>
              <w:right w:val="nil"/>
            </w:tcBorders>
            <w:shd w:val="clear" w:color="auto" w:fill="auto"/>
            <w:noWrap/>
            <w:vAlign w:val="center"/>
          </w:tcPr>
          <w:p w14:paraId="45C87736"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1,219</w:t>
            </w:r>
          </w:p>
        </w:tc>
        <w:tc>
          <w:tcPr>
            <w:tcW w:w="1376" w:type="dxa"/>
            <w:tcBorders>
              <w:top w:val="nil"/>
              <w:left w:val="nil"/>
              <w:bottom w:val="nil"/>
              <w:right w:val="nil"/>
            </w:tcBorders>
            <w:shd w:val="clear" w:color="auto" w:fill="auto"/>
            <w:noWrap/>
            <w:vAlign w:val="center"/>
            <w:hideMark/>
          </w:tcPr>
          <w:p w14:paraId="36923453"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1,374</w:t>
            </w:r>
          </w:p>
        </w:tc>
      </w:tr>
      <w:tr w:rsidR="005C5CED" w:rsidRPr="005C5CED" w14:paraId="3096BACD" w14:textId="77777777" w:rsidTr="006D4B41">
        <w:trPr>
          <w:trHeight w:val="377"/>
        </w:trPr>
        <w:tc>
          <w:tcPr>
            <w:tcW w:w="3215" w:type="dxa"/>
            <w:tcBorders>
              <w:top w:val="nil"/>
              <w:left w:val="nil"/>
              <w:bottom w:val="nil"/>
              <w:right w:val="nil"/>
            </w:tcBorders>
            <w:shd w:val="clear" w:color="auto" w:fill="auto"/>
            <w:noWrap/>
            <w:vAlign w:val="center"/>
            <w:hideMark/>
          </w:tcPr>
          <w:p w14:paraId="48984442"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Post-employment benefits</w:t>
            </w:r>
          </w:p>
        </w:tc>
        <w:tc>
          <w:tcPr>
            <w:tcW w:w="1383" w:type="dxa"/>
            <w:tcBorders>
              <w:top w:val="nil"/>
              <w:left w:val="nil"/>
              <w:bottom w:val="nil"/>
              <w:right w:val="nil"/>
            </w:tcBorders>
            <w:shd w:val="clear" w:color="auto" w:fill="auto"/>
            <w:noWrap/>
            <w:vAlign w:val="center"/>
            <w:hideMark/>
          </w:tcPr>
          <w:p w14:paraId="147F672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383" w:type="dxa"/>
            <w:tcBorders>
              <w:top w:val="nil"/>
              <w:left w:val="nil"/>
              <w:bottom w:val="nil"/>
              <w:right w:val="nil"/>
            </w:tcBorders>
            <w:shd w:val="clear" w:color="auto" w:fill="auto"/>
            <w:noWrap/>
            <w:vAlign w:val="center"/>
            <w:hideMark/>
          </w:tcPr>
          <w:p w14:paraId="76A602F5" w14:textId="77777777" w:rsidR="005C5CED" w:rsidRPr="005C5CED" w:rsidRDefault="005C5CED" w:rsidP="005C5CED">
            <w:pPr>
              <w:spacing w:after="0" w:line="240" w:lineRule="auto"/>
              <w:rPr>
                <w:rFonts w:eastAsia="Times New Roman" w:cs="Arial"/>
                <w:color w:val="auto"/>
                <w:szCs w:val="20"/>
                <w:lang w:eastAsia="en-AU"/>
              </w:rPr>
            </w:pPr>
          </w:p>
        </w:tc>
        <w:tc>
          <w:tcPr>
            <w:tcW w:w="1376" w:type="dxa"/>
            <w:tcBorders>
              <w:top w:val="nil"/>
              <w:left w:val="nil"/>
              <w:bottom w:val="nil"/>
              <w:right w:val="nil"/>
            </w:tcBorders>
            <w:shd w:val="clear" w:color="auto" w:fill="auto"/>
            <w:noWrap/>
            <w:vAlign w:val="center"/>
          </w:tcPr>
          <w:p w14:paraId="59CC7A7F"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138</w:t>
            </w:r>
          </w:p>
        </w:tc>
        <w:tc>
          <w:tcPr>
            <w:tcW w:w="1376" w:type="dxa"/>
            <w:tcBorders>
              <w:top w:val="nil"/>
              <w:left w:val="nil"/>
              <w:bottom w:val="nil"/>
              <w:right w:val="nil"/>
            </w:tcBorders>
            <w:shd w:val="clear" w:color="auto" w:fill="auto"/>
            <w:noWrap/>
            <w:vAlign w:val="center"/>
            <w:hideMark/>
          </w:tcPr>
          <w:p w14:paraId="14843FF8"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141</w:t>
            </w:r>
          </w:p>
        </w:tc>
      </w:tr>
      <w:tr w:rsidR="005C5CED" w:rsidRPr="005C5CED" w14:paraId="459EAAAF" w14:textId="77777777" w:rsidTr="006D4B41">
        <w:trPr>
          <w:trHeight w:val="377"/>
        </w:trPr>
        <w:tc>
          <w:tcPr>
            <w:tcW w:w="3215" w:type="dxa"/>
            <w:tcBorders>
              <w:top w:val="nil"/>
              <w:left w:val="nil"/>
              <w:bottom w:val="nil"/>
              <w:right w:val="nil"/>
            </w:tcBorders>
            <w:shd w:val="clear" w:color="auto" w:fill="auto"/>
            <w:noWrap/>
            <w:vAlign w:val="center"/>
            <w:hideMark/>
          </w:tcPr>
          <w:p w14:paraId="21891CAC"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long-term benefits</w:t>
            </w:r>
          </w:p>
        </w:tc>
        <w:tc>
          <w:tcPr>
            <w:tcW w:w="1383" w:type="dxa"/>
            <w:tcBorders>
              <w:top w:val="nil"/>
              <w:left w:val="nil"/>
              <w:bottom w:val="nil"/>
              <w:right w:val="nil"/>
            </w:tcBorders>
            <w:shd w:val="clear" w:color="auto" w:fill="auto"/>
            <w:noWrap/>
            <w:vAlign w:val="center"/>
            <w:hideMark/>
          </w:tcPr>
          <w:p w14:paraId="241DAFE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p>
        </w:tc>
        <w:tc>
          <w:tcPr>
            <w:tcW w:w="1383" w:type="dxa"/>
            <w:tcBorders>
              <w:top w:val="nil"/>
              <w:left w:val="nil"/>
              <w:bottom w:val="nil"/>
              <w:right w:val="nil"/>
            </w:tcBorders>
            <w:shd w:val="clear" w:color="auto" w:fill="auto"/>
            <w:noWrap/>
            <w:vAlign w:val="center"/>
            <w:hideMark/>
          </w:tcPr>
          <w:p w14:paraId="21F2EED7" w14:textId="77777777" w:rsidR="005C5CED" w:rsidRPr="005C5CED" w:rsidRDefault="005C5CED" w:rsidP="005C5CED">
            <w:pPr>
              <w:spacing w:after="0" w:line="240" w:lineRule="auto"/>
              <w:rPr>
                <w:rFonts w:eastAsia="Times New Roman" w:cs="Arial"/>
                <w:color w:val="auto"/>
                <w:szCs w:val="20"/>
                <w:lang w:eastAsia="en-AU"/>
              </w:rPr>
            </w:pPr>
          </w:p>
        </w:tc>
        <w:tc>
          <w:tcPr>
            <w:tcW w:w="1376" w:type="dxa"/>
            <w:tcBorders>
              <w:top w:val="nil"/>
              <w:left w:val="nil"/>
              <w:bottom w:val="nil"/>
              <w:right w:val="nil"/>
            </w:tcBorders>
            <w:shd w:val="clear" w:color="auto" w:fill="auto"/>
            <w:noWrap/>
            <w:vAlign w:val="center"/>
          </w:tcPr>
          <w:p w14:paraId="7FC17C7A"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w:t>
            </w:r>
          </w:p>
        </w:tc>
        <w:tc>
          <w:tcPr>
            <w:tcW w:w="1376" w:type="dxa"/>
            <w:tcBorders>
              <w:top w:val="nil"/>
              <w:left w:val="nil"/>
              <w:bottom w:val="nil"/>
              <w:right w:val="nil"/>
            </w:tcBorders>
            <w:shd w:val="clear" w:color="auto" w:fill="auto"/>
            <w:noWrap/>
            <w:vAlign w:val="center"/>
            <w:hideMark/>
          </w:tcPr>
          <w:p w14:paraId="3CD15460"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4</w:t>
            </w:r>
          </w:p>
        </w:tc>
      </w:tr>
      <w:tr w:rsidR="005C5CED" w:rsidRPr="005C5CED" w14:paraId="11732CEA" w14:textId="77777777" w:rsidTr="006D4B41">
        <w:trPr>
          <w:trHeight w:val="377"/>
        </w:trPr>
        <w:tc>
          <w:tcPr>
            <w:tcW w:w="3215" w:type="dxa"/>
            <w:tcBorders>
              <w:top w:val="single" w:sz="4" w:space="0" w:color="auto"/>
              <w:left w:val="nil"/>
              <w:bottom w:val="single" w:sz="4" w:space="0" w:color="auto"/>
              <w:right w:val="nil"/>
            </w:tcBorders>
            <w:shd w:val="clear" w:color="auto" w:fill="auto"/>
            <w:noWrap/>
            <w:vAlign w:val="center"/>
            <w:hideMark/>
          </w:tcPr>
          <w:p w14:paraId="7306E42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remuneration</w:t>
            </w:r>
          </w:p>
        </w:tc>
        <w:tc>
          <w:tcPr>
            <w:tcW w:w="1383" w:type="dxa"/>
            <w:tcBorders>
              <w:top w:val="single" w:sz="4" w:space="0" w:color="auto"/>
              <w:left w:val="nil"/>
              <w:bottom w:val="single" w:sz="4" w:space="0" w:color="auto"/>
              <w:right w:val="nil"/>
            </w:tcBorders>
            <w:shd w:val="clear" w:color="auto" w:fill="auto"/>
            <w:noWrap/>
            <w:vAlign w:val="center"/>
            <w:hideMark/>
          </w:tcPr>
          <w:p w14:paraId="6A6C5BB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1383" w:type="dxa"/>
            <w:tcBorders>
              <w:top w:val="single" w:sz="4" w:space="0" w:color="auto"/>
              <w:left w:val="nil"/>
              <w:bottom w:val="single" w:sz="4" w:space="0" w:color="auto"/>
              <w:right w:val="nil"/>
            </w:tcBorders>
            <w:shd w:val="clear" w:color="auto" w:fill="auto"/>
            <w:noWrap/>
            <w:vAlign w:val="center"/>
            <w:hideMark/>
          </w:tcPr>
          <w:p w14:paraId="5A06DBA2"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76" w:type="dxa"/>
            <w:tcBorders>
              <w:top w:val="single" w:sz="4" w:space="0" w:color="auto"/>
              <w:left w:val="nil"/>
              <w:bottom w:val="single" w:sz="4" w:space="0" w:color="auto"/>
              <w:right w:val="nil"/>
            </w:tcBorders>
            <w:shd w:val="clear" w:color="auto" w:fill="auto"/>
            <w:noWrap/>
            <w:vAlign w:val="center"/>
          </w:tcPr>
          <w:p w14:paraId="5424CE7C"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1,361</w:t>
            </w:r>
          </w:p>
        </w:tc>
        <w:tc>
          <w:tcPr>
            <w:tcW w:w="1376" w:type="dxa"/>
            <w:tcBorders>
              <w:top w:val="single" w:sz="4" w:space="0" w:color="auto"/>
              <w:left w:val="nil"/>
              <w:bottom w:val="single" w:sz="4" w:space="0" w:color="auto"/>
              <w:right w:val="nil"/>
            </w:tcBorders>
            <w:shd w:val="clear" w:color="auto" w:fill="auto"/>
            <w:noWrap/>
            <w:vAlign w:val="center"/>
            <w:hideMark/>
          </w:tcPr>
          <w:p w14:paraId="231255D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1,519</w:t>
            </w:r>
          </w:p>
        </w:tc>
      </w:tr>
      <w:tr w:rsidR="005C5CED" w:rsidRPr="005C5CED" w14:paraId="6E0889A5" w14:textId="77777777" w:rsidTr="006D4B41">
        <w:trPr>
          <w:trHeight w:val="377"/>
        </w:trPr>
        <w:tc>
          <w:tcPr>
            <w:tcW w:w="3215" w:type="dxa"/>
            <w:tcBorders>
              <w:top w:val="nil"/>
              <w:left w:val="nil"/>
              <w:bottom w:val="single" w:sz="4" w:space="0" w:color="auto"/>
              <w:right w:val="nil"/>
            </w:tcBorders>
            <w:shd w:val="clear" w:color="auto" w:fill="auto"/>
            <w:noWrap/>
            <w:vAlign w:val="center"/>
            <w:hideMark/>
          </w:tcPr>
          <w:p w14:paraId="0A8EB566"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number of senior executives</w:t>
            </w:r>
          </w:p>
        </w:tc>
        <w:tc>
          <w:tcPr>
            <w:tcW w:w="1383" w:type="dxa"/>
            <w:tcBorders>
              <w:top w:val="nil"/>
              <w:left w:val="nil"/>
              <w:bottom w:val="single" w:sz="4" w:space="0" w:color="auto"/>
              <w:right w:val="nil"/>
            </w:tcBorders>
            <w:shd w:val="clear" w:color="auto" w:fill="auto"/>
            <w:noWrap/>
            <w:vAlign w:val="center"/>
            <w:hideMark/>
          </w:tcPr>
          <w:p w14:paraId="1FD1B9DC"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83" w:type="dxa"/>
            <w:tcBorders>
              <w:top w:val="nil"/>
              <w:left w:val="nil"/>
              <w:bottom w:val="single" w:sz="4" w:space="0" w:color="auto"/>
              <w:right w:val="nil"/>
            </w:tcBorders>
            <w:shd w:val="clear" w:color="auto" w:fill="auto"/>
            <w:noWrap/>
            <w:vAlign w:val="center"/>
            <w:hideMark/>
          </w:tcPr>
          <w:p w14:paraId="4BD4026A"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76" w:type="dxa"/>
            <w:tcBorders>
              <w:top w:val="nil"/>
              <w:left w:val="nil"/>
              <w:bottom w:val="single" w:sz="4" w:space="0" w:color="auto"/>
              <w:right w:val="nil"/>
            </w:tcBorders>
            <w:shd w:val="clear" w:color="auto" w:fill="auto"/>
            <w:noWrap/>
            <w:vAlign w:val="center"/>
          </w:tcPr>
          <w:p w14:paraId="1F6D8004"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w:t>
            </w:r>
          </w:p>
        </w:tc>
        <w:tc>
          <w:tcPr>
            <w:tcW w:w="1376" w:type="dxa"/>
            <w:tcBorders>
              <w:top w:val="nil"/>
              <w:left w:val="nil"/>
              <w:bottom w:val="single" w:sz="4" w:space="0" w:color="auto"/>
              <w:right w:val="nil"/>
            </w:tcBorders>
            <w:shd w:val="clear" w:color="auto" w:fill="auto"/>
            <w:noWrap/>
            <w:vAlign w:val="center"/>
            <w:hideMark/>
          </w:tcPr>
          <w:p w14:paraId="46D4D55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8</w:t>
            </w:r>
          </w:p>
        </w:tc>
      </w:tr>
      <w:tr w:rsidR="005C5CED" w:rsidRPr="005C5CED" w14:paraId="471EEDB0" w14:textId="77777777" w:rsidTr="006D4B41">
        <w:trPr>
          <w:trHeight w:val="331"/>
        </w:trPr>
        <w:tc>
          <w:tcPr>
            <w:tcW w:w="3215" w:type="dxa"/>
            <w:tcBorders>
              <w:top w:val="nil"/>
              <w:left w:val="nil"/>
              <w:bottom w:val="single" w:sz="4" w:space="0" w:color="auto"/>
              <w:right w:val="nil"/>
            </w:tcBorders>
            <w:shd w:val="clear" w:color="auto" w:fill="auto"/>
            <w:noWrap/>
            <w:vAlign w:val="center"/>
            <w:hideMark/>
          </w:tcPr>
          <w:p w14:paraId="58957D7E"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annualised employee equivalents</w:t>
            </w:r>
          </w:p>
        </w:tc>
        <w:tc>
          <w:tcPr>
            <w:tcW w:w="1383" w:type="dxa"/>
            <w:tcBorders>
              <w:top w:val="nil"/>
              <w:left w:val="nil"/>
              <w:bottom w:val="single" w:sz="4" w:space="0" w:color="auto"/>
              <w:right w:val="nil"/>
            </w:tcBorders>
            <w:shd w:val="clear" w:color="auto" w:fill="auto"/>
            <w:noWrap/>
            <w:vAlign w:val="center"/>
            <w:hideMark/>
          </w:tcPr>
          <w:p w14:paraId="79FC4308" w14:textId="77777777" w:rsidR="005C5CED" w:rsidRPr="005C5CED" w:rsidRDefault="005C5CED" w:rsidP="005C5CED">
            <w:pPr>
              <w:spacing w:after="0" w:line="240" w:lineRule="auto"/>
              <w:jc w:val="center"/>
              <w:rPr>
                <w:rFonts w:eastAsia="Times New Roman" w:cs="Arial"/>
                <w:color w:val="auto"/>
                <w:sz w:val="16"/>
                <w:szCs w:val="16"/>
                <w:lang w:eastAsia="en-AU"/>
              </w:rPr>
            </w:pPr>
            <w:r w:rsidRPr="005C5CED">
              <w:rPr>
                <w:rFonts w:eastAsia="Times New Roman" w:cs="Arial"/>
                <w:color w:val="auto"/>
                <w:sz w:val="16"/>
                <w:szCs w:val="16"/>
                <w:lang w:eastAsia="en-AU"/>
              </w:rPr>
              <w:t>(a)</w:t>
            </w:r>
          </w:p>
        </w:tc>
        <w:tc>
          <w:tcPr>
            <w:tcW w:w="1383" w:type="dxa"/>
            <w:tcBorders>
              <w:top w:val="nil"/>
              <w:left w:val="nil"/>
              <w:bottom w:val="single" w:sz="4" w:space="0" w:color="auto"/>
              <w:right w:val="nil"/>
            </w:tcBorders>
            <w:shd w:val="clear" w:color="auto" w:fill="auto"/>
            <w:noWrap/>
            <w:vAlign w:val="center"/>
            <w:hideMark/>
          </w:tcPr>
          <w:p w14:paraId="5DA47833"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 </w:t>
            </w:r>
          </w:p>
        </w:tc>
        <w:tc>
          <w:tcPr>
            <w:tcW w:w="1376" w:type="dxa"/>
            <w:tcBorders>
              <w:top w:val="nil"/>
              <w:left w:val="nil"/>
              <w:bottom w:val="single" w:sz="4" w:space="0" w:color="auto"/>
              <w:right w:val="nil"/>
            </w:tcBorders>
            <w:shd w:val="clear" w:color="auto" w:fill="auto"/>
            <w:noWrap/>
            <w:vAlign w:val="center"/>
          </w:tcPr>
          <w:p w14:paraId="09A424C2"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w:t>
            </w:r>
          </w:p>
        </w:tc>
        <w:tc>
          <w:tcPr>
            <w:tcW w:w="1376" w:type="dxa"/>
            <w:tcBorders>
              <w:top w:val="nil"/>
              <w:left w:val="nil"/>
              <w:bottom w:val="single" w:sz="4" w:space="0" w:color="auto"/>
              <w:right w:val="nil"/>
            </w:tcBorders>
            <w:shd w:val="clear" w:color="auto" w:fill="auto"/>
            <w:noWrap/>
            <w:vAlign w:val="center"/>
            <w:hideMark/>
          </w:tcPr>
          <w:p w14:paraId="7922CCFD"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6</w:t>
            </w:r>
          </w:p>
        </w:tc>
      </w:tr>
    </w:tbl>
    <w:p w14:paraId="08914272" w14:textId="77777777" w:rsidR="005C5CED" w:rsidRPr="005C5CED" w:rsidRDefault="005C5CED" w:rsidP="005C5CED">
      <w:pPr>
        <w:spacing w:after="60" w:line="259" w:lineRule="auto"/>
        <w:rPr>
          <w:rFonts w:eastAsia="Calibri" w:cs="Arial"/>
          <w:color w:val="auto"/>
          <w:sz w:val="16"/>
          <w:szCs w:val="16"/>
        </w:rPr>
      </w:pPr>
    </w:p>
    <w:p w14:paraId="47AECA28" w14:textId="77777777" w:rsidR="005C5CED" w:rsidRPr="005C5CED" w:rsidRDefault="005C5CED" w:rsidP="005C5CED">
      <w:pPr>
        <w:spacing w:line="259" w:lineRule="auto"/>
        <w:rPr>
          <w:rFonts w:eastAsia="Calibri" w:cs="Arial"/>
          <w:color w:val="auto"/>
          <w:sz w:val="16"/>
          <w:szCs w:val="20"/>
        </w:rPr>
      </w:pPr>
      <w:r w:rsidRPr="005C5CED">
        <w:rPr>
          <w:rFonts w:eastAsia="Calibri" w:cs="Arial"/>
          <w:color w:val="auto"/>
          <w:sz w:val="16"/>
          <w:szCs w:val="20"/>
        </w:rPr>
        <w:t>Note:</w:t>
      </w:r>
    </w:p>
    <w:p w14:paraId="178E49F5" w14:textId="77777777" w:rsidR="005C5CED" w:rsidRPr="005C5CED" w:rsidRDefault="005C5CED" w:rsidP="005C5CED">
      <w:pPr>
        <w:spacing w:line="259" w:lineRule="auto"/>
        <w:rPr>
          <w:rFonts w:eastAsia="Calibri" w:cs="Arial"/>
          <w:color w:val="auto"/>
          <w:sz w:val="16"/>
          <w:szCs w:val="16"/>
        </w:rPr>
      </w:pPr>
      <w:r w:rsidRPr="005C5CED">
        <w:rPr>
          <w:rFonts w:eastAsia="Calibri" w:cs="Arial"/>
          <w:color w:val="auto"/>
          <w:sz w:val="16"/>
          <w:szCs w:val="20"/>
        </w:rPr>
        <w:t>(a) Annualised employee equivalent is based on the time fraction worked over the reporting period.</w:t>
      </w:r>
    </w:p>
    <w:p w14:paraId="48B80549" w14:textId="77777777" w:rsidR="005C5CED" w:rsidRPr="005C5CED" w:rsidRDefault="005C5CED" w:rsidP="005C5CED">
      <w:pPr>
        <w:spacing w:after="60" w:line="259" w:lineRule="auto"/>
        <w:rPr>
          <w:rFonts w:eastAsia="Calibri" w:cs="Arial"/>
          <w:color w:val="auto"/>
          <w:sz w:val="16"/>
          <w:szCs w:val="16"/>
        </w:rPr>
      </w:pPr>
    </w:p>
    <w:p w14:paraId="56AF8DB8"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8.4 Related parties</w:t>
      </w:r>
    </w:p>
    <w:p w14:paraId="27DCC1A2"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 xml:space="preserve">Sustainability Victoria is a wholly owned and controlled entity of the State of Victoria. </w:t>
      </w:r>
    </w:p>
    <w:p w14:paraId="5AFD2C02" w14:textId="77777777" w:rsidR="005C5CED" w:rsidRPr="005C5CED" w:rsidRDefault="005C5CED" w:rsidP="005C5CED">
      <w:pPr>
        <w:spacing w:line="259" w:lineRule="auto"/>
        <w:rPr>
          <w:rFonts w:eastAsia="Calibri" w:cs="Arial"/>
          <w:color w:val="auto"/>
        </w:rPr>
      </w:pPr>
      <w:r w:rsidRPr="005C5CED">
        <w:rPr>
          <w:rFonts w:eastAsia="Calibri" w:cs="Arial"/>
          <w:color w:val="auto"/>
        </w:rPr>
        <w:t>Related parties of Sustainability Victoria include:</w:t>
      </w:r>
    </w:p>
    <w:p w14:paraId="3D8E1F7E" w14:textId="77777777" w:rsidR="005C5CED" w:rsidRPr="005C5CED" w:rsidRDefault="005C5CED" w:rsidP="00196A67">
      <w:pPr>
        <w:numPr>
          <w:ilvl w:val="0"/>
          <w:numId w:val="51"/>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all key management personnel and their close family members and personal business interests</w:t>
      </w:r>
    </w:p>
    <w:p w14:paraId="105B0BA7" w14:textId="77777777" w:rsidR="005C5CED" w:rsidRPr="005C5CED" w:rsidRDefault="005C5CED" w:rsidP="00196A67">
      <w:pPr>
        <w:numPr>
          <w:ilvl w:val="0"/>
          <w:numId w:val="51"/>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all cabinet ministers and their close family members</w:t>
      </w:r>
    </w:p>
    <w:p w14:paraId="0FDAC835" w14:textId="77777777" w:rsidR="005C5CED" w:rsidRPr="005C5CED" w:rsidRDefault="005C5CED" w:rsidP="00196A67">
      <w:pPr>
        <w:numPr>
          <w:ilvl w:val="0"/>
          <w:numId w:val="51"/>
        </w:numPr>
        <w:spacing w:after="0" w:line="240" w:lineRule="auto"/>
        <w:rPr>
          <w:rFonts w:eastAsia="Yu Mincho" w:cs="Calibri"/>
          <w:color w:val="auto"/>
          <w:szCs w:val="24"/>
          <w:shd w:val="clear" w:color="auto" w:fill="FFFFFF"/>
        </w:rPr>
      </w:pPr>
      <w:r w:rsidRPr="005C5CED">
        <w:rPr>
          <w:rFonts w:eastAsia="Yu Mincho" w:cs="Calibri"/>
          <w:color w:val="auto"/>
          <w:szCs w:val="24"/>
          <w:shd w:val="clear" w:color="auto" w:fill="FFFFFF"/>
        </w:rPr>
        <w:t>all departments and public sector entities that are controlled and consolidated into the whole of state consolidated financial statements.</w:t>
      </w:r>
    </w:p>
    <w:p w14:paraId="573F581E" w14:textId="77777777" w:rsidR="005C5CED" w:rsidRPr="005C5CED" w:rsidRDefault="005C5CED" w:rsidP="005C5CED">
      <w:pPr>
        <w:spacing w:line="259" w:lineRule="auto"/>
        <w:rPr>
          <w:rFonts w:eastAsia="Calibri" w:cs="Arial"/>
          <w:color w:val="auto"/>
        </w:rPr>
      </w:pPr>
    </w:p>
    <w:p w14:paraId="34245FF3" w14:textId="77777777" w:rsidR="005C5CED" w:rsidRPr="005C5CED" w:rsidRDefault="005C5CED" w:rsidP="005C5CED">
      <w:pPr>
        <w:spacing w:line="259" w:lineRule="auto"/>
        <w:rPr>
          <w:rFonts w:eastAsia="Calibri" w:cs="Arial"/>
          <w:color w:val="auto"/>
        </w:rPr>
      </w:pPr>
      <w:r w:rsidRPr="005C5CED">
        <w:rPr>
          <w:rFonts w:eastAsia="Calibri" w:cs="Arial"/>
          <w:color w:val="auto"/>
        </w:rPr>
        <w:t>All related party transactions have been entered into on an arm’s length basis.</w:t>
      </w:r>
    </w:p>
    <w:p w14:paraId="7281BA13"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Significant transactions with government-related entities</w:t>
      </w:r>
    </w:p>
    <w:p w14:paraId="75CC7212"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received funding from the former Department of Energy, Environment and Climate Action of $77.7M. $18.9M was in relation to the Municipal and Industrial Waste Levy, $52.6M was received from the Sustainability Fund for project-related activities and $6.2M as a by-pass agreement with the Commonwealth Government.</w:t>
      </w:r>
    </w:p>
    <w:p w14:paraId="3F411074"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Calibri" w:cs="Arial"/>
          <w:color w:val="auto"/>
        </w:rPr>
        <w:t>Key Management Personnel of Sustainability Victoria includes the Ministers, the Hon. Lily D’Ambrosio, The Hon. Ingrid Stitt and the following</w:t>
      </w:r>
      <w:r w:rsidRPr="005C5CED">
        <w:rPr>
          <w:rFonts w:eastAsia="Times New Roman" w:cs="Arial"/>
          <w:color w:val="auto"/>
          <w:sz w:val="16"/>
          <w:szCs w:val="16"/>
          <w:lang w:eastAsia="en-AU"/>
        </w:rPr>
        <w:t>:</w:t>
      </w:r>
    </w:p>
    <w:p w14:paraId="3E210BFB" w14:textId="77777777" w:rsidR="005C5CED" w:rsidRPr="005C5CED" w:rsidRDefault="005C5CED" w:rsidP="005C5CED">
      <w:pPr>
        <w:spacing w:after="60" w:line="259" w:lineRule="auto"/>
        <w:rPr>
          <w:rFonts w:eastAsia="Calibri" w:cs="Arial"/>
          <w:color w:val="auto"/>
          <w:sz w:val="16"/>
          <w:szCs w:val="16"/>
        </w:rPr>
      </w:pPr>
    </w:p>
    <w:tbl>
      <w:tblPr>
        <w:tblW w:w="9250" w:type="dxa"/>
        <w:tblLook w:val="04A0" w:firstRow="1" w:lastRow="0" w:firstColumn="1" w:lastColumn="0" w:noHBand="0" w:noVBand="1"/>
      </w:tblPr>
      <w:tblGrid>
        <w:gridCol w:w="3061"/>
        <w:gridCol w:w="3061"/>
        <w:gridCol w:w="1564"/>
        <w:gridCol w:w="1564"/>
      </w:tblGrid>
      <w:tr w:rsidR="005C5CED" w:rsidRPr="005C5CED" w14:paraId="065A6062" w14:textId="77777777" w:rsidTr="006D4B41">
        <w:trPr>
          <w:trHeight w:val="365"/>
        </w:trPr>
        <w:tc>
          <w:tcPr>
            <w:tcW w:w="3061" w:type="dxa"/>
            <w:tcBorders>
              <w:top w:val="single" w:sz="4" w:space="0" w:color="auto"/>
              <w:left w:val="nil"/>
              <w:bottom w:val="single" w:sz="4" w:space="0" w:color="auto"/>
              <w:right w:val="nil"/>
            </w:tcBorders>
            <w:shd w:val="clear" w:color="auto" w:fill="000000"/>
            <w:noWrap/>
            <w:vAlign w:val="center"/>
            <w:hideMark/>
          </w:tcPr>
          <w:p w14:paraId="14D56DDC"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Name</w:t>
            </w:r>
          </w:p>
        </w:tc>
        <w:tc>
          <w:tcPr>
            <w:tcW w:w="3061" w:type="dxa"/>
            <w:tcBorders>
              <w:top w:val="single" w:sz="4" w:space="0" w:color="auto"/>
              <w:left w:val="nil"/>
              <w:bottom w:val="single" w:sz="4" w:space="0" w:color="auto"/>
              <w:right w:val="nil"/>
            </w:tcBorders>
            <w:shd w:val="clear" w:color="auto" w:fill="000000"/>
            <w:noWrap/>
            <w:vAlign w:val="center"/>
            <w:hideMark/>
          </w:tcPr>
          <w:p w14:paraId="5AE443F2"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Position Title</w:t>
            </w:r>
          </w:p>
        </w:tc>
        <w:tc>
          <w:tcPr>
            <w:tcW w:w="1564" w:type="dxa"/>
            <w:tcBorders>
              <w:top w:val="single" w:sz="4" w:space="0" w:color="auto"/>
              <w:left w:val="nil"/>
              <w:bottom w:val="single" w:sz="4" w:space="0" w:color="auto"/>
              <w:right w:val="nil"/>
            </w:tcBorders>
            <w:shd w:val="clear" w:color="auto" w:fill="000000"/>
            <w:noWrap/>
            <w:vAlign w:val="center"/>
            <w:hideMark/>
          </w:tcPr>
          <w:p w14:paraId="020F8F82"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Start Date</w:t>
            </w:r>
          </w:p>
        </w:tc>
        <w:tc>
          <w:tcPr>
            <w:tcW w:w="1564" w:type="dxa"/>
            <w:tcBorders>
              <w:top w:val="single" w:sz="4" w:space="0" w:color="auto"/>
              <w:left w:val="nil"/>
              <w:bottom w:val="single" w:sz="4" w:space="0" w:color="auto"/>
              <w:right w:val="nil"/>
            </w:tcBorders>
            <w:shd w:val="clear" w:color="auto" w:fill="000000"/>
            <w:noWrap/>
            <w:vAlign w:val="center"/>
            <w:hideMark/>
          </w:tcPr>
          <w:p w14:paraId="2A01139E"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End Date</w:t>
            </w:r>
          </w:p>
        </w:tc>
      </w:tr>
      <w:tr w:rsidR="005C5CED" w:rsidRPr="005C5CED" w14:paraId="337ABC12" w14:textId="77777777" w:rsidTr="006D4B41">
        <w:trPr>
          <w:trHeight w:val="274"/>
        </w:trPr>
        <w:tc>
          <w:tcPr>
            <w:tcW w:w="3061" w:type="dxa"/>
            <w:tcBorders>
              <w:top w:val="nil"/>
              <w:left w:val="nil"/>
              <w:bottom w:val="nil"/>
              <w:right w:val="nil"/>
            </w:tcBorders>
            <w:shd w:val="clear" w:color="auto" w:fill="auto"/>
            <w:noWrap/>
            <w:vAlign w:val="bottom"/>
            <w:hideMark/>
          </w:tcPr>
          <w:p w14:paraId="54303AC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Johan Scheffer</w:t>
            </w:r>
          </w:p>
        </w:tc>
        <w:tc>
          <w:tcPr>
            <w:tcW w:w="3061" w:type="dxa"/>
            <w:tcBorders>
              <w:top w:val="nil"/>
              <w:left w:val="nil"/>
              <w:bottom w:val="nil"/>
              <w:right w:val="nil"/>
            </w:tcBorders>
            <w:shd w:val="clear" w:color="auto" w:fill="auto"/>
            <w:noWrap/>
            <w:vAlign w:val="bottom"/>
            <w:hideMark/>
          </w:tcPr>
          <w:p w14:paraId="594B164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Board Chair </w:t>
            </w:r>
          </w:p>
        </w:tc>
        <w:tc>
          <w:tcPr>
            <w:tcW w:w="1564" w:type="dxa"/>
            <w:tcBorders>
              <w:top w:val="nil"/>
              <w:left w:val="nil"/>
              <w:bottom w:val="nil"/>
              <w:right w:val="nil"/>
            </w:tcBorders>
            <w:shd w:val="clear" w:color="auto" w:fill="auto"/>
            <w:noWrap/>
            <w:vAlign w:val="bottom"/>
            <w:hideMark/>
          </w:tcPr>
          <w:p w14:paraId="30A311B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tcPr>
          <w:p w14:paraId="7AEB647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0A114CAD" w14:textId="77777777" w:rsidTr="006D4B41">
        <w:trPr>
          <w:trHeight w:val="274"/>
        </w:trPr>
        <w:tc>
          <w:tcPr>
            <w:tcW w:w="3061" w:type="dxa"/>
            <w:tcBorders>
              <w:top w:val="nil"/>
              <w:left w:val="nil"/>
              <w:bottom w:val="nil"/>
              <w:right w:val="nil"/>
            </w:tcBorders>
            <w:shd w:val="clear" w:color="auto" w:fill="auto"/>
            <w:noWrap/>
            <w:vAlign w:val="bottom"/>
            <w:hideMark/>
          </w:tcPr>
          <w:p w14:paraId="068DBBE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 xml:space="preserve">Judith Landsberg </w:t>
            </w:r>
          </w:p>
        </w:tc>
        <w:tc>
          <w:tcPr>
            <w:tcW w:w="3061" w:type="dxa"/>
            <w:tcBorders>
              <w:top w:val="nil"/>
              <w:left w:val="nil"/>
              <w:bottom w:val="nil"/>
              <w:right w:val="nil"/>
            </w:tcBorders>
            <w:shd w:val="clear" w:color="auto" w:fill="auto"/>
            <w:noWrap/>
            <w:vAlign w:val="bottom"/>
            <w:hideMark/>
          </w:tcPr>
          <w:p w14:paraId="066E840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Deputy Chair</w:t>
            </w:r>
          </w:p>
        </w:tc>
        <w:tc>
          <w:tcPr>
            <w:tcW w:w="1564" w:type="dxa"/>
            <w:tcBorders>
              <w:top w:val="nil"/>
              <w:left w:val="nil"/>
              <w:bottom w:val="nil"/>
              <w:right w:val="nil"/>
            </w:tcBorders>
            <w:shd w:val="clear" w:color="auto" w:fill="auto"/>
            <w:noWrap/>
            <w:vAlign w:val="bottom"/>
            <w:hideMark/>
          </w:tcPr>
          <w:p w14:paraId="58CCDF9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tcPr>
          <w:p w14:paraId="46AA307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0D820F76" w14:textId="77777777" w:rsidTr="006D4B41">
        <w:trPr>
          <w:trHeight w:val="274"/>
        </w:trPr>
        <w:tc>
          <w:tcPr>
            <w:tcW w:w="3061" w:type="dxa"/>
            <w:tcBorders>
              <w:top w:val="nil"/>
              <w:left w:val="nil"/>
              <w:bottom w:val="nil"/>
              <w:right w:val="nil"/>
            </w:tcBorders>
            <w:shd w:val="clear" w:color="auto" w:fill="auto"/>
            <w:noWrap/>
            <w:vAlign w:val="bottom"/>
            <w:hideMark/>
          </w:tcPr>
          <w:p w14:paraId="54B7325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Judith Harris</w:t>
            </w:r>
          </w:p>
        </w:tc>
        <w:tc>
          <w:tcPr>
            <w:tcW w:w="3061" w:type="dxa"/>
            <w:tcBorders>
              <w:top w:val="nil"/>
              <w:left w:val="nil"/>
              <w:bottom w:val="nil"/>
              <w:right w:val="nil"/>
            </w:tcBorders>
            <w:shd w:val="clear" w:color="auto" w:fill="auto"/>
            <w:noWrap/>
            <w:vAlign w:val="bottom"/>
            <w:hideMark/>
          </w:tcPr>
          <w:p w14:paraId="1313BF0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Board member</w:t>
            </w:r>
          </w:p>
        </w:tc>
        <w:tc>
          <w:tcPr>
            <w:tcW w:w="1564" w:type="dxa"/>
            <w:tcBorders>
              <w:top w:val="nil"/>
              <w:left w:val="nil"/>
              <w:bottom w:val="nil"/>
              <w:right w:val="nil"/>
            </w:tcBorders>
            <w:shd w:val="clear" w:color="auto" w:fill="auto"/>
            <w:noWrap/>
            <w:vAlign w:val="bottom"/>
            <w:hideMark/>
          </w:tcPr>
          <w:p w14:paraId="77942D9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tcPr>
          <w:p w14:paraId="0AA5964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4F6E18E1" w14:textId="77777777" w:rsidTr="006D4B41">
        <w:trPr>
          <w:trHeight w:val="274"/>
        </w:trPr>
        <w:tc>
          <w:tcPr>
            <w:tcW w:w="3061" w:type="dxa"/>
            <w:tcBorders>
              <w:top w:val="nil"/>
              <w:left w:val="nil"/>
              <w:bottom w:val="nil"/>
              <w:right w:val="nil"/>
            </w:tcBorders>
            <w:shd w:val="clear" w:color="auto" w:fill="auto"/>
            <w:noWrap/>
            <w:vAlign w:val="bottom"/>
            <w:hideMark/>
          </w:tcPr>
          <w:p w14:paraId="5197DF2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Kerry Osborne</w:t>
            </w:r>
          </w:p>
        </w:tc>
        <w:tc>
          <w:tcPr>
            <w:tcW w:w="3061" w:type="dxa"/>
            <w:tcBorders>
              <w:top w:val="nil"/>
              <w:left w:val="nil"/>
              <w:bottom w:val="nil"/>
              <w:right w:val="nil"/>
            </w:tcBorders>
            <w:shd w:val="clear" w:color="auto" w:fill="auto"/>
            <w:noWrap/>
            <w:vAlign w:val="bottom"/>
            <w:hideMark/>
          </w:tcPr>
          <w:p w14:paraId="4A58F1B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Board member</w:t>
            </w:r>
          </w:p>
        </w:tc>
        <w:tc>
          <w:tcPr>
            <w:tcW w:w="1564" w:type="dxa"/>
            <w:tcBorders>
              <w:top w:val="nil"/>
              <w:left w:val="nil"/>
              <w:bottom w:val="nil"/>
              <w:right w:val="nil"/>
            </w:tcBorders>
            <w:shd w:val="clear" w:color="auto" w:fill="auto"/>
            <w:noWrap/>
            <w:vAlign w:val="bottom"/>
            <w:hideMark/>
          </w:tcPr>
          <w:p w14:paraId="513D36A5"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tcPr>
          <w:p w14:paraId="346630E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4A3242CB" w14:textId="77777777" w:rsidTr="006D4B41">
        <w:trPr>
          <w:trHeight w:val="274"/>
        </w:trPr>
        <w:tc>
          <w:tcPr>
            <w:tcW w:w="3061" w:type="dxa"/>
            <w:tcBorders>
              <w:top w:val="nil"/>
              <w:left w:val="nil"/>
              <w:bottom w:val="nil"/>
              <w:right w:val="nil"/>
            </w:tcBorders>
            <w:shd w:val="clear" w:color="auto" w:fill="auto"/>
            <w:noWrap/>
            <w:vAlign w:val="bottom"/>
            <w:hideMark/>
          </w:tcPr>
          <w:p w14:paraId="4DBD543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Mark Wakeham</w:t>
            </w:r>
          </w:p>
        </w:tc>
        <w:tc>
          <w:tcPr>
            <w:tcW w:w="3061" w:type="dxa"/>
            <w:tcBorders>
              <w:top w:val="nil"/>
              <w:left w:val="nil"/>
              <w:bottom w:val="nil"/>
              <w:right w:val="nil"/>
            </w:tcBorders>
            <w:shd w:val="clear" w:color="auto" w:fill="auto"/>
            <w:noWrap/>
            <w:vAlign w:val="bottom"/>
            <w:hideMark/>
          </w:tcPr>
          <w:p w14:paraId="7354B212"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Board member</w:t>
            </w:r>
          </w:p>
        </w:tc>
        <w:tc>
          <w:tcPr>
            <w:tcW w:w="1564" w:type="dxa"/>
            <w:tcBorders>
              <w:top w:val="nil"/>
              <w:left w:val="nil"/>
              <w:bottom w:val="nil"/>
              <w:right w:val="nil"/>
            </w:tcBorders>
            <w:shd w:val="clear" w:color="auto" w:fill="auto"/>
            <w:noWrap/>
            <w:vAlign w:val="bottom"/>
            <w:hideMark/>
          </w:tcPr>
          <w:p w14:paraId="1340528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tcPr>
          <w:p w14:paraId="25ABC85C"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3297649C" w14:textId="77777777" w:rsidTr="006D4B41">
        <w:trPr>
          <w:trHeight w:val="274"/>
        </w:trPr>
        <w:tc>
          <w:tcPr>
            <w:tcW w:w="3061" w:type="dxa"/>
            <w:tcBorders>
              <w:top w:val="nil"/>
              <w:left w:val="nil"/>
              <w:bottom w:val="nil"/>
              <w:right w:val="nil"/>
            </w:tcBorders>
            <w:shd w:val="clear" w:color="auto" w:fill="auto"/>
            <w:noWrap/>
            <w:vAlign w:val="bottom"/>
            <w:hideMark/>
          </w:tcPr>
          <w:p w14:paraId="053949A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Meredith Banks</w:t>
            </w:r>
          </w:p>
        </w:tc>
        <w:tc>
          <w:tcPr>
            <w:tcW w:w="3061" w:type="dxa"/>
            <w:tcBorders>
              <w:top w:val="nil"/>
              <w:left w:val="nil"/>
              <w:bottom w:val="nil"/>
              <w:right w:val="nil"/>
            </w:tcBorders>
            <w:shd w:val="clear" w:color="auto" w:fill="auto"/>
            <w:noWrap/>
            <w:vAlign w:val="bottom"/>
            <w:hideMark/>
          </w:tcPr>
          <w:p w14:paraId="01CA5DD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Board member</w:t>
            </w:r>
          </w:p>
        </w:tc>
        <w:tc>
          <w:tcPr>
            <w:tcW w:w="1564" w:type="dxa"/>
            <w:tcBorders>
              <w:top w:val="nil"/>
              <w:left w:val="nil"/>
              <w:bottom w:val="nil"/>
              <w:right w:val="nil"/>
            </w:tcBorders>
            <w:shd w:val="clear" w:color="auto" w:fill="auto"/>
            <w:noWrap/>
            <w:vAlign w:val="bottom"/>
            <w:hideMark/>
          </w:tcPr>
          <w:p w14:paraId="4B7EA4F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tcPr>
          <w:p w14:paraId="548CA4B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04/05/2024</w:t>
            </w:r>
          </w:p>
        </w:tc>
      </w:tr>
      <w:tr w:rsidR="005C5CED" w:rsidRPr="005C5CED" w14:paraId="7F04688D" w14:textId="77777777" w:rsidTr="006D4B41">
        <w:trPr>
          <w:trHeight w:val="274"/>
        </w:trPr>
        <w:tc>
          <w:tcPr>
            <w:tcW w:w="3061" w:type="dxa"/>
            <w:tcBorders>
              <w:top w:val="nil"/>
              <w:left w:val="nil"/>
              <w:bottom w:val="nil"/>
              <w:right w:val="nil"/>
            </w:tcBorders>
            <w:shd w:val="clear" w:color="auto" w:fill="auto"/>
            <w:noWrap/>
            <w:vAlign w:val="bottom"/>
            <w:hideMark/>
          </w:tcPr>
          <w:p w14:paraId="74FB78A1"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Neil Pharaoh</w:t>
            </w:r>
          </w:p>
        </w:tc>
        <w:tc>
          <w:tcPr>
            <w:tcW w:w="3061" w:type="dxa"/>
            <w:tcBorders>
              <w:top w:val="nil"/>
              <w:left w:val="nil"/>
              <w:bottom w:val="nil"/>
              <w:right w:val="nil"/>
            </w:tcBorders>
            <w:shd w:val="clear" w:color="auto" w:fill="auto"/>
            <w:noWrap/>
            <w:vAlign w:val="bottom"/>
            <w:hideMark/>
          </w:tcPr>
          <w:p w14:paraId="6E4FAF0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Board member</w:t>
            </w:r>
          </w:p>
        </w:tc>
        <w:tc>
          <w:tcPr>
            <w:tcW w:w="1564" w:type="dxa"/>
            <w:tcBorders>
              <w:top w:val="nil"/>
              <w:left w:val="nil"/>
              <w:bottom w:val="nil"/>
              <w:right w:val="nil"/>
            </w:tcBorders>
            <w:shd w:val="clear" w:color="auto" w:fill="auto"/>
            <w:noWrap/>
            <w:vAlign w:val="bottom"/>
            <w:hideMark/>
          </w:tcPr>
          <w:p w14:paraId="01FA60C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tcPr>
          <w:p w14:paraId="7D60A0C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7DBFFFBF" w14:textId="77777777" w:rsidTr="006D4B41">
        <w:trPr>
          <w:trHeight w:val="274"/>
        </w:trPr>
        <w:tc>
          <w:tcPr>
            <w:tcW w:w="3061" w:type="dxa"/>
            <w:tcBorders>
              <w:top w:val="nil"/>
              <w:left w:val="nil"/>
              <w:bottom w:val="nil"/>
              <w:right w:val="nil"/>
            </w:tcBorders>
            <w:shd w:val="clear" w:color="auto" w:fill="auto"/>
            <w:noWrap/>
            <w:vAlign w:val="bottom"/>
            <w:hideMark/>
          </w:tcPr>
          <w:p w14:paraId="672BE8F9"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Sarah McDowell</w:t>
            </w:r>
          </w:p>
        </w:tc>
        <w:tc>
          <w:tcPr>
            <w:tcW w:w="3061" w:type="dxa"/>
            <w:tcBorders>
              <w:top w:val="nil"/>
              <w:left w:val="nil"/>
              <w:bottom w:val="nil"/>
              <w:right w:val="nil"/>
            </w:tcBorders>
            <w:shd w:val="clear" w:color="auto" w:fill="auto"/>
            <w:noWrap/>
            <w:vAlign w:val="bottom"/>
            <w:hideMark/>
          </w:tcPr>
          <w:p w14:paraId="1A958D1F"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Board member</w:t>
            </w:r>
          </w:p>
        </w:tc>
        <w:tc>
          <w:tcPr>
            <w:tcW w:w="1564" w:type="dxa"/>
            <w:tcBorders>
              <w:top w:val="nil"/>
              <w:left w:val="nil"/>
              <w:bottom w:val="nil"/>
              <w:right w:val="nil"/>
            </w:tcBorders>
            <w:shd w:val="clear" w:color="auto" w:fill="auto"/>
            <w:noWrap/>
            <w:vAlign w:val="bottom"/>
            <w:hideMark/>
          </w:tcPr>
          <w:p w14:paraId="7653B0FB"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hideMark/>
          </w:tcPr>
          <w:p w14:paraId="03B97B6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0FCC0529" w14:textId="77777777" w:rsidTr="006D4B41">
        <w:trPr>
          <w:trHeight w:val="274"/>
        </w:trPr>
        <w:tc>
          <w:tcPr>
            <w:tcW w:w="3061" w:type="dxa"/>
            <w:tcBorders>
              <w:top w:val="nil"/>
              <w:left w:val="nil"/>
              <w:bottom w:val="nil"/>
              <w:right w:val="nil"/>
            </w:tcBorders>
            <w:shd w:val="clear" w:color="auto" w:fill="auto"/>
            <w:noWrap/>
            <w:vAlign w:val="bottom"/>
            <w:hideMark/>
          </w:tcPr>
          <w:p w14:paraId="49C340B7"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Matthew Genever</w:t>
            </w:r>
          </w:p>
        </w:tc>
        <w:tc>
          <w:tcPr>
            <w:tcW w:w="3061" w:type="dxa"/>
            <w:tcBorders>
              <w:top w:val="nil"/>
              <w:left w:val="nil"/>
              <w:bottom w:val="nil"/>
              <w:right w:val="nil"/>
            </w:tcBorders>
            <w:shd w:val="clear" w:color="auto" w:fill="auto"/>
            <w:noWrap/>
            <w:vAlign w:val="bottom"/>
            <w:hideMark/>
          </w:tcPr>
          <w:p w14:paraId="62968FE9" w14:textId="77777777" w:rsidR="005C5CED" w:rsidRPr="005C5CED" w:rsidRDefault="005C5CED" w:rsidP="005C5CED">
            <w:pPr>
              <w:spacing w:after="0" w:line="240" w:lineRule="auto"/>
              <w:rPr>
                <w:rFonts w:eastAsia="Calibri" w:cs="Arial"/>
                <w:color w:val="auto"/>
                <w:sz w:val="16"/>
                <w:szCs w:val="16"/>
              </w:rPr>
            </w:pPr>
            <w:r w:rsidRPr="005C5CED">
              <w:rPr>
                <w:rFonts w:eastAsia="Calibri" w:cs="Arial"/>
                <w:color w:val="auto"/>
                <w:sz w:val="16"/>
                <w:szCs w:val="16"/>
              </w:rPr>
              <w:t xml:space="preserve">Interim Chief Executive </w:t>
            </w:r>
            <w:r w:rsidRPr="005C5CED" w:rsidDel="00AE59A9">
              <w:rPr>
                <w:rFonts w:eastAsia="Calibri" w:cs="Arial"/>
                <w:color w:val="auto"/>
                <w:sz w:val="16"/>
                <w:szCs w:val="16"/>
              </w:rPr>
              <w:t>Officer</w:t>
            </w:r>
          </w:p>
        </w:tc>
        <w:tc>
          <w:tcPr>
            <w:tcW w:w="1564" w:type="dxa"/>
            <w:tcBorders>
              <w:top w:val="nil"/>
              <w:left w:val="nil"/>
              <w:bottom w:val="nil"/>
              <w:right w:val="nil"/>
            </w:tcBorders>
            <w:shd w:val="clear" w:color="auto" w:fill="auto"/>
            <w:noWrap/>
            <w:vAlign w:val="bottom"/>
            <w:hideMark/>
          </w:tcPr>
          <w:p w14:paraId="451BB8E8"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01/07/2023</w:t>
            </w:r>
          </w:p>
        </w:tc>
        <w:tc>
          <w:tcPr>
            <w:tcW w:w="1564" w:type="dxa"/>
            <w:tcBorders>
              <w:top w:val="nil"/>
              <w:left w:val="nil"/>
              <w:bottom w:val="nil"/>
              <w:right w:val="nil"/>
            </w:tcBorders>
            <w:shd w:val="clear" w:color="auto" w:fill="auto"/>
            <w:noWrap/>
            <w:vAlign w:val="bottom"/>
            <w:hideMark/>
          </w:tcPr>
          <w:p w14:paraId="53917F43"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27/02/2024</w:t>
            </w:r>
          </w:p>
        </w:tc>
      </w:tr>
      <w:tr w:rsidR="005C5CED" w:rsidRPr="005C5CED" w14:paraId="3F0233FD" w14:textId="77777777" w:rsidTr="006D4B41">
        <w:trPr>
          <w:trHeight w:val="274"/>
        </w:trPr>
        <w:tc>
          <w:tcPr>
            <w:tcW w:w="3061" w:type="dxa"/>
            <w:tcBorders>
              <w:top w:val="nil"/>
              <w:left w:val="nil"/>
              <w:bottom w:val="nil"/>
              <w:right w:val="nil"/>
            </w:tcBorders>
            <w:shd w:val="clear" w:color="auto" w:fill="auto"/>
            <w:noWrap/>
            <w:vAlign w:val="bottom"/>
            <w:hideMark/>
          </w:tcPr>
          <w:p w14:paraId="20EEA4E0"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Matthew Genever</w:t>
            </w:r>
          </w:p>
        </w:tc>
        <w:tc>
          <w:tcPr>
            <w:tcW w:w="3061" w:type="dxa"/>
            <w:tcBorders>
              <w:top w:val="nil"/>
              <w:left w:val="nil"/>
              <w:bottom w:val="nil"/>
              <w:right w:val="nil"/>
            </w:tcBorders>
            <w:shd w:val="clear" w:color="auto" w:fill="auto"/>
            <w:noWrap/>
            <w:vAlign w:val="bottom"/>
            <w:hideMark/>
          </w:tcPr>
          <w:p w14:paraId="7E37FAF1" w14:textId="77777777" w:rsidR="005C5CED" w:rsidRPr="005C5CED" w:rsidRDefault="005C5CED" w:rsidP="005C5CED">
            <w:pPr>
              <w:spacing w:after="0" w:line="240" w:lineRule="auto"/>
              <w:rPr>
                <w:rFonts w:eastAsia="Calibri" w:cs="Arial"/>
                <w:color w:val="auto"/>
                <w:sz w:val="16"/>
                <w:szCs w:val="16"/>
              </w:rPr>
            </w:pPr>
            <w:r w:rsidRPr="005C5CED">
              <w:rPr>
                <w:rFonts w:eastAsia="Calibri" w:cs="Arial"/>
                <w:color w:val="auto"/>
                <w:sz w:val="16"/>
                <w:szCs w:val="16"/>
              </w:rPr>
              <w:t>Chief Executive Officer</w:t>
            </w:r>
          </w:p>
        </w:tc>
        <w:tc>
          <w:tcPr>
            <w:tcW w:w="1564" w:type="dxa"/>
            <w:tcBorders>
              <w:top w:val="nil"/>
              <w:left w:val="nil"/>
              <w:bottom w:val="nil"/>
              <w:right w:val="nil"/>
            </w:tcBorders>
            <w:shd w:val="clear" w:color="auto" w:fill="auto"/>
            <w:noWrap/>
            <w:vAlign w:val="bottom"/>
            <w:hideMark/>
          </w:tcPr>
          <w:p w14:paraId="44A2DA0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Calibri" w:cs="Arial"/>
                <w:color w:val="auto"/>
                <w:sz w:val="16"/>
                <w:szCs w:val="16"/>
              </w:rPr>
              <w:t>28/02/2024</w:t>
            </w:r>
          </w:p>
        </w:tc>
        <w:tc>
          <w:tcPr>
            <w:tcW w:w="1564" w:type="dxa"/>
            <w:tcBorders>
              <w:top w:val="nil"/>
              <w:left w:val="nil"/>
              <w:bottom w:val="nil"/>
              <w:right w:val="nil"/>
            </w:tcBorders>
            <w:shd w:val="clear" w:color="auto" w:fill="auto"/>
            <w:noWrap/>
            <w:vAlign w:val="bottom"/>
            <w:hideMark/>
          </w:tcPr>
          <w:p w14:paraId="3692F65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30/06/2024</w:t>
            </w:r>
          </w:p>
        </w:tc>
      </w:tr>
      <w:tr w:rsidR="005C5CED" w:rsidRPr="005C5CED" w14:paraId="001D43B2" w14:textId="77777777" w:rsidTr="006D4B41">
        <w:trPr>
          <w:trHeight w:val="274"/>
        </w:trPr>
        <w:tc>
          <w:tcPr>
            <w:tcW w:w="3061" w:type="dxa"/>
            <w:tcBorders>
              <w:top w:val="nil"/>
              <w:left w:val="nil"/>
              <w:bottom w:val="nil"/>
              <w:right w:val="nil"/>
            </w:tcBorders>
            <w:shd w:val="clear" w:color="auto" w:fill="auto"/>
            <w:noWrap/>
            <w:vAlign w:val="bottom"/>
          </w:tcPr>
          <w:p w14:paraId="52914175" w14:textId="77777777" w:rsidR="005C5CED" w:rsidRPr="005C5CED" w:rsidRDefault="005C5CED" w:rsidP="005C5CED">
            <w:pPr>
              <w:spacing w:after="0" w:line="240" w:lineRule="auto"/>
              <w:rPr>
                <w:rFonts w:eastAsia="Calibri" w:cs="Arial"/>
                <w:color w:val="auto"/>
                <w:sz w:val="16"/>
                <w:szCs w:val="16"/>
              </w:rPr>
            </w:pPr>
            <w:r w:rsidRPr="005C5CED">
              <w:rPr>
                <w:rFonts w:eastAsia="Calibri" w:cs="Arial"/>
                <w:color w:val="auto"/>
                <w:sz w:val="16"/>
                <w:szCs w:val="16"/>
              </w:rPr>
              <w:t>Christine Tipton</w:t>
            </w:r>
          </w:p>
        </w:tc>
        <w:tc>
          <w:tcPr>
            <w:tcW w:w="3061" w:type="dxa"/>
            <w:tcBorders>
              <w:top w:val="nil"/>
              <w:left w:val="nil"/>
              <w:bottom w:val="nil"/>
              <w:right w:val="nil"/>
            </w:tcBorders>
            <w:shd w:val="clear" w:color="auto" w:fill="auto"/>
            <w:noWrap/>
            <w:vAlign w:val="bottom"/>
          </w:tcPr>
          <w:p w14:paraId="29890976" w14:textId="77777777" w:rsidR="005C5CED" w:rsidRPr="005C5CED" w:rsidRDefault="005C5CED" w:rsidP="005C5CED">
            <w:pPr>
              <w:spacing w:after="0" w:line="240" w:lineRule="auto"/>
              <w:rPr>
                <w:rFonts w:eastAsia="Calibri" w:cs="Arial"/>
                <w:color w:val="auto"/>
                <w:sz w:val="16"/>
                <w:szCs w:val="16"/>
              </w:rPr>
            </w:pPr>
            <w:r w:rsidRPr="005C5CED">
              <w:rPr>
                <w:rFonts w:eastAsia="Calibri" w:cs="Arial"/>
                <w:color w:val="auto"/>
                <w:sz w:val="16"/>
                <w:szCs w:val="16"/>
              </w:rPr>
              <w:t>Acting Chief Executive Officer</w:t>
            </w:r>
          </w:p>
        </w:tc>
        <w:tc>
          <w:tcPr>
            <w:tcW w:w="1564" w:type="dxa"/>
            <w:tcBorders>
              <w:top w:val="nil"/>
              <w:left w:val="nil"/>
              <w:bottom w:val="nil"/>
              <w:right w:val="nil"/>
            </w:tcBorders>
            <w:shd w:val="clear" w:color="auto" w:fill="auto"/>
            <w:noWrap/>
            <w:vAlign w:val="bottom"/>
          </w:tcPr>
          <w:p w14:paraId="093CB32F" w14:textId="77777777" w:rsidR="005C5CED" w:rsidRPr="005C5CED" w:rsidRDefault="005C5CED" w:rsidP="005C5CED">
            <w:pPr>
              <w:spacing w:after="0" w:line="240" w:lineRule="auto"/>
              <w:rPr>
                <w:rFonts w:eastAsia="Calibri" w:cs="Arial"/>
                <w:color w:val="auto"/>
                <w:sz w:val="16"/>
                <w:szCs w:val="16"/>
              </w:rPr>
            </w:pPr>
            <w:r w:rsidRPr="005C5CED">
              <w:rPr>
                <w:rFonts w:eastAsia="Calibri" w:cs="Arial"/>
                <w:color w:val="auto"/>
                <w:sz w:val="16"/>
                <w:szCs w:val="16"/>
              </w:rPr>
              <w:t>08/01/2024</w:t>
            </w:r>
          </w:p>
        </w:tc>
        <w:tc>
          <w:tcPr>
            <w:tcW w:w="1564" w:type="dxa"/>
            <w:tcBorders>
              <w:top w:val="nil"/>
              <w:left w:val="nil"/>
              <w:bottom w:val="nil"/>
              <w:right w:val="nil"/>
            </w:tcBorders>
            <w:shd w:val="clear" w:color="auto" w:fill="auto"/>
            <w:noWrap/>
            <w:vAlign w:val="bottom"/>
          </w:tcPr>
          <w:p w14:paraId="78B2D834"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22/01/2024</w:t>
            </w:r>
          </w:p>
        </w:tc>
      </w:tr>
    </w:tbl>
    <w:p w14:paraId="007521B8"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Remuneration of Key Management Personnel</w:t>
      </w:r>
      <w:r w:rsidRPr="005C5CED">
        <w:rPr>
          <w:rFonts w:eastAsia="Yu Gothic Light" w:cs="SegoeUI"/>
          <w:b/>
          <w:bCs/>
          <w:color w:val="595959"/>
        </w:rPr>
        <w:tab/>
      </w:r>
    </w:p>
    <w:p w14:paraId="289B44F8"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The compensation detailed below excludes the salaries and benefits the Portfolio Ministers receive. The Minister’s remuneration and allowances are set by the </w:t>
      </w:r>
      <w:r w:rsidRPr="005C5CED">
        <w:rPr>
          <w:rFonts w:eastAsia="Calibri" w:cs="Arial"/>
          <w:i/>
          <w:iCs/>
          <w:color w:val="auto"/>
        </w:rPr>
        <w:t>Parliamentary Salaries and Superannuation Act 1968</w:t>
      </w:r>
      <w:r w:rsidRPr="005C5CED">
        <w:rPr>
          <w:rFonts w:eastAsia="Calibri" w:cs="Arial"/>
          <w:color w:val="auto"/>
        </w:rPr>
        <w:t xml:space="preserve"> and is reported within the State’s Annual Financial Report.</w:t>
      </w:r>
    </w:p>
    <w:p w14:paraId="67B1AF9D" w14:textId="77777777" w:rsidR="005C5CED" w:rsidRPr="005C5CED" w:rsidRDefault="005C5CED" w:rsidP="005C5CED">
      <w:pPr>
        <w:spacing w:after="60" w:line="259" w:lineRule="auto"/>
        <w:rPr>
          <w:rFonts w:eastAsia="Calibri" w:cs="Arial"/>
          <w:color w:val="auto"/>
          <w:sz w:val="16"/>
          <w:szCs w:val="16"/>
        </w:rPr>
      </w:pPr>
    </w:p>
    <w:tbl>
      <w:tblPr>
        <w:tblW w:w="8070" w:type="dxa"/>
        <w:tblLook w:val="04A0" w:firstRow="1" w:lastRow="0" w:firstColumn="1" w:lastColumn="0" w:noHBand="0" w:noVBand="1"/>
      </w:tblPr>
      <w:tblGrid>
        <w:gridCol w:w="3218"/>
        <w:gridCol w:w="3213"/>
        <w:gridCol w:w="1639"/>
      </w:tblGrid>
      <w:tr w:rsidR="005C5CED" w:rsidRPr="005C5CED" w14:paraId="38748BEE" w14:textId="77777777" w:rsidTr="006D4B41">
        <w:trPr>
          <w:trHeight w:val="259"/>
        </w:trPr>
        <w:tc>
          <w:tcPr>
            <w:tcW w:w="3218" w:type="dxa"/>
            <w:tcBorders>
              <w:top w:val="single" w:sz="4" w:space="0" w:color="auto"/>
              <w:left w:val="nil"/>
              <w:bottom w:val="nil"/>
              <w:right w:val="nil"/>
            </w:tcBorders>
            <w:shd w:val="clear" w:color="000000" w:fill="000000"/>
            <w:noWrap/>
            <w:vAlign w:val="bottom"/>
            <w:hideMark/>
          </w:tcPr>
          <w:p w14:paraId="26AB175B"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4852" w:type="dxa"/>
            <w:gridSpan w:val="2"/>
            <w:tcBorders>
              <w:top w:val="single" w:sz="4" w:space="0" w:color="auto"/>
              <w:left w:val="nil"/>
              <w:bottom w:val="single" w:sz="4" w:space="0" w:color="FFFFFF"/>
            </w:tcBorders>
            <w:shd w:val="clear" w:color="000000" w:fill="000000"/>
            <w:noWrap/>
            <w:vAlign w:val="bottom"/>
            <w:hideMark/>
          </w:tcPr>
          <w:p w14:paraId="0CABBCDA" w14:textId="77777777" w:rsidR="005C5CED" w:rsidRPr="005C5CED" w:rsidRDefault="005C5CED" w:rsidP="005C5CED">
            <w:pPr>
              <w:spacing w:after="0" w:line="240" w:lineRule="auto"/>
              <w:ind w:firstLineChars="300" w:firstLine="482"/>
              <w:jc w:val="center"/>
              <w:rPr>
                <w:rFonts w:eastAsia="Times New Roman" w:cs="Arial"/>
                <w:b/>
                <w:bCs/>
                <w:color w:val="FFFFFF"/>
                <w:sz w:val="16"/>
                <w:szCs w:val="16"/>
                <w:lang w:eastAsia="en-AU"/>
              </w:rPr>
            </w:pPr>
            <w:r w:rsidRPr="005C5CED">
              <w:rPr>
                <w:rFonts w:eastAsia="Times New Roman" w:cs="Arial"/>
                <w:b/>
                <w:bCs/>
                <w:color w:val="FFFFFF"/>
                <w:sz w:val="16"/>
                <w:szCs w:val="16"/>
                <w:lang w:eastAsia="en-AU"/>
              </w:rPr>
              <w:t xml:space="preserve">                                                                Total remuneration</w:t>
            </w:r>
          </w:p>
          <w:p w14:paraId="3378B2EA" w14:textId="77777777" w:rsidR="005C5CED" w:rsidRPr="005C5CED" w:rsidRDefault="005C5CED" w:rsidP="005C5CED">
            <w:pPr>
              <w:spacing w:after="0" w:line="240" w:lineRule="auto"/>
              <w:ind w:firstLineChars="300" w:firstLine="482"/>
              <w:jc w:val="right"/>
              <w:rPr>
                <w:rFonts w:eastAsia="Times New Roman" w:cs="Arial"/>
                <w:b/>
                <w:bCs/>
                <w:color w:val="FFFFFF"/>
                <w:sz w:val="16"/>
                <w:szCs w:val="16"/>
                <w:lang w:eastAsia="en-AU"/>
              </w:rPr>
            </w:pPr>
          </w:p>
        </w:tc>
      </w:tr>
      <w:tr w:rsidR="005C5CED" w:rsidRPr="005C5CED" w14:paraId="6A4105F2" w14:textId="77777777" w:rsidTr="006D4B41">
        <w:trPr>
          <w:trHeight w:val="259"/>
        </w:trPr>
        <w:tc>
          <w:tcPr>
            <w:tcW w:w="3218" w:type="dxa"/>
            <w:tcBorders>
              <w:top w:val="nil"/>
              <w:left w:val="nil"/>
              <w:bottom w:val="single" w:sz="4" w:space="0" w:color="auto"/>
              <w:right w:val="nil"/>
            </w:tcBorders>
            <w:shd w:val="clear" w:color="000000" w:fill="000000"/>
            <w:noWrap/>
            <w:vAlign w:val="bottom"/>
            <w:hideMark/>
          </w:tcPr>
          <w:p w14:paraId="6A2909E4"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3213" w:type="dxa"/>
            <w:tcBorders>
              <w:top w:val="nil"/>
              <w:left w:val="nil"/>
              <w:bottom w:val="single" w:sz="4" w:space="0" w:color="auto"/>
              <w:right w:val="nil"/>
            </w:tcBorders>
            <w:shd w:val="clear" w:color="000000" w:fill="000000"/>
            <w:noWrap/>
            <w:vAlign w:val="bottom"/>
            <w:hideMark/>
          </w:tcPr>
          <w:p w14:paraId="436D6744"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1639" w:type="dxa"/>
            <w:tcBorders>
              <w:top w:val="nil"/>
              <w:left w:val="nil"/>
              <w:bottom w:val="single" w:sz="4" w:space="0" w:color="auto"/>
              <w:right w:val="nil"/>
            </w:tcBorders>
            <w:shd w:val="clear" w:color="000000" w:fill="000000"/>
            <w:noWrap/>
            <w:vAlign w:val="bottom"/>
            <w:hideMark/>
          </w:tcPr>
          <w:p w14:paraId="571F63B5"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0035A709" w14:textId="77777777" w:rsidTr="006D4B41">
        <w:trPr>
          <w:trHeight w:val="259"/>
        </w:trPr>
        <w:tc>
          <w:tcPr>
            <w:tcW w:w="3218" w:type="dxa"/>
            <w:tcBorders>
              <w:top w:val="nil"/>
              <w:left w:val="nil"/>
              <w:bottom w:val="nil"/>
              <w:right w:val="nil"/>
            </w:tcBorders>
            <w:shd w:val="clear" w:color="000000" w:fill="000000"/>
            <w:noWrap/>
            <w:vAlign w:val="bottom"/>
            <w:hideMark/>
          </w:tcPr>
          <w:p w14:paraId="5B8E0408" w14:textId="77777777" w:rsidR="005C5CED" w:rsidRPr="005C5CED" w:rsidRDefault="005C5CED" w:rsidP="005C5CED">
            <w:pPr>
              <w:spacing w:after="0" w:line="240" w:lineRule="auto"/>
              <w:rPr>
                <w:rFonts w:eastAsia="Times New Roman" w:cs="Arial"/>
                <w:color w:val="FFFFFF"/>
                <w:sz w:val="16"/>
                <w:szCs w:val="16"/>
                <w:lang w:eastAsia="en-AU"/>
              </w:rPr>
            </w:pPr>
            <w:r w:rsidRPr="005C5CED">
              <w:rPr>
                <w:rFonts w:eastAsia="Times New Roman" w:cs="Arial"/>
                <w:color w:val="FFFFFF"/>
                <w:sz w:val="16"/>
                <w:szCs w:val="16"/>
                <w:lang w:eastAsia="en-AU"/>
              </w:rPr>
              <w:t> </w:t>
            </w:r>
          </w:p>
        </w:tc>
        <w:tc>
          <w:tcPr>
            <w:tcW w:w="3213" w:type="dxa"/>
            <w:tcBorders>
              <w:top w:val="nil"/>
              <w:left w:val="nil"/>
              <w:bottom w:val="single" w:sz="4" w:space="0" w:color="auto"/>
              <w:right w:val="nil"/>
            </w:tcBorders>
            <w:shd w:val="clear" w:color="000000" w:fill="000000"/>
            <w:noWrap/>
            <w:vAlign w:val="bottom"/>
            <w:hideMark/>
          </w:tcPr>
          <w:p w14:paraId="723D8F0E"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1639" w:type="dxa"/>
            <w:tcBorders>
              <w:top w:val="nil"/>
              <w:left w:val="nil"/>
              <w:bottom w:val="single" w:sz="4" w:space="0" w:color="auto"/>
              <w:right w:val="nil"/>
            </w:tcBorders>
            <w:shd w:val="clear" w:color="000000" w:fill="000000"/>
            <w:noWrap/>
            <w:vAlign w:val="bottom"/>
            <w:hideMark/>
          </w:tcPr>
          <w:p w14:paraId="3EA5F85C"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40EEE6F0" w14:textId="77777777" w:rsidTr="006D4B41">
        <w:trPr>
          <w:trHeight w:val="394"/>
        </w:trPr>
        <w:tc>
          <w:tcPr>
            <w:tcW w:w="3218" w:type="dxa"/>
            <w:tcBorders>
              <w:top w:val="nil"/>
              <w:left w:val="nil"/>
              <w:bottom w:val="nil"/>
              <w:right w:val="nil"/>
            </w:tcBorders>
            <w:shd w:val="clear" w:color="auto" w:fill="auto"/>
            <w:noWrap/>
            <w:vAlign w:val="center"/>
            <w:hideMark/>
          </w:tcPr>
          <w:p w14:paraId="2555ADEE"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Short-term employee benefits</w:t>
            </w:r>
          </w:p>
        </w:tc>
        <w:tc>
          <w:tcPr>
            <w:tcW w:w="3213" w:type="dxa"/>
            <w:tcBorders>
              <w:top w:val="nil"/>
              <w:left w:val="nil"/>
              <w:bottom w:val="nil"/>
              <w:right w:val="nil"/>
            </w:tcBorders>
            <w:shd w:val="clear" w:color="auto" w:fill="auto"/>
            <w:noWrap/>
            <w:vAlign w:val="center"/>
          </w:tcPr>
          <w:p w14:paraId="62FE5D00"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493</w:t>
            </w:r>
          </w:p>
        </w:tc>
        <w:tc>
          <w:tcPr>
            <w:tcW w:w="1639" w:type="dxa"/>
            <w:tcBorders>
              <w:top w:val="nil"/>
              <w:left w:val="nil"/>
              <w:bottom w:val="nil"/>
              <w:right w:val="nil"/>
            </w:tcBorders>
            <w:shd w:val="clear" w:color="auto" w:fill="auto"/>
            <w:noWrap/>
            <w:vAlign w:val="center"/>
            <w:hideMark/>
          </w:tcPr>
          <w:p w14:paraId="5342B38C"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499</w:t>
            </w:r>
          </w:p>
        </w:tc>
      </w:tr>
      <w:tr w:rsidR="005C5CED" w:rsidRPr="005C5CED" w14:paraId="37D8E22F" w14:textId="77777777" w:rsidTr="006D4B41">
        <w:trPr>
          <w:trHeight w:val="394"/>
        </w:trPr>
        <w:tc>
          <w:tcPr>
            <w:tcW w:w="3218" w:type="dxa"/>
            <w:tcBorders>
              <w:top w:val="nil"/>
              <w:left w:val="nil"/>
              <w:bottom w:val="nil"/>
              <w:right w:val="nil"/>
            </w:tcBorders>
            <w:shd w:val="clear" w:color="auto" w:fill="auto"/>
            <w:noWrap/>
            <w:vAlign w:val="center"/>
            <w:hideMark/>
          </w:tcPr>
          <w:p w14:paraId="281E604D"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Post-employment benefits</w:t>
            </w:r>
          </w:p>
        </w:tc>
        <w:tc>
          <w:tcPr>
            <w:tcW w:w="3213" w:type="dxa"/>
            <w:tcBorders>
              <w:top w:val="nil"/>
              <w:left w:val="nil"/>
              <w:bottom w:val="nil"/>
              <w:right w:val="nil"/>
            </w:tcBorders>
            <w:shd w:val="clear" w:color="auto" w:fill="auto"/>
            <w:noWrap/>
            <w:vAlign w:val="center"/>
          </w:tcPr>
          <w:p w14:paraId="30613F04"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40</w:t>
            </w:r>
          </w:p>
        </w:tc>
        <w:tc>
          <w:tcPr>
            <w:tcW w:w="1639" w:type="dxa"/>
            <w:tcBorders>
              <w:top w:val="nil"/>
              <w:left w:val="nil"/>
              <w:bottom w:val="nil"/>
              <w:right w:val="nil"/>
            </w:tcBorders>
            <w:shd w:val="clear" w:color="auto" w:fill="auto"/>
            <w:noWrap/>
            <w:vAlign w:val="center"/>
            <w:hideMark/>
          </w:tcPr>
          <w:p w14:paraId="1DBB5C83"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41</w:t>
            </w:r>
          </w:p>
        </w:tc>
      </w:tr>
      <w:tr w:rsidR="005C5CED" w:rsidRPr="005C5CED" w14:paraId="224B9DD3" w14:textId="77777777" w:rsidTr="006D4B41">
        <w:trPr>
          <w:trHeight w:val="394"/>
        </w:trPr>
        <w:tc>
          <w:tcPr>
            <w:tcW w:w="3218" w:type="dxa"/>
            <w:tcBorders>
              <w:top w:val="nil"/>
              <w:left w:val="nil"/>
              <w:bottom w:val="nil"/>
              <w:right w:val="nil"/>
            </w:tcBorders>
            <w:shd w:val="clear" w:color="auto" w:fill="auto"/>
            <w:noWrap/>
            <w:vAlign w:val="center"/>
            <w:hideMark/>
          </w:tcPr>
          <w:p w14:paraId="166A01B0"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Other long-term benefits</w:t>
            </w:r>
          </w:p>
        </w:tc>
        <w:tc>
          <w:tcPr>
            <w:tcW w:w="3213" w:type="dxa"/>
            <w:tcBorders>
              <w:top w:val="nil"/>
              <w:left w:val="nil"/>
              <w:bottom w:val="nil"/>
              <w:right w:val="nil"/>
            </w:tcBorders>
            <w:shd w:val="clear" w:color="auto" w:fill="auto"/>
            <w:noWrap/>
            <w:vAlign w:val="center"/>
          </w:tcPr>
          <w:p w14:paraId="7BCF83E4"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w:t>
            </w:r>
          </w:p>
        </w:tc>
        <w:tc>
          <w:tcPr>
            <w:tcW w:w="1639" w:type="dxa"/>
            <w:tcBorders>
              <w:top w:val="nil"/>
              <w:left w:val="nil"/>
              <w:bottom w:val="nil"/>
              <w:right w:val="nil"/>
            </w:tcBorders>
            <w:shd w:val="clear" w:color="auto" w:fill="auto"/>
            <w:noWrap/>
            <w:vAlign w:val="center"/>
            <w:hideMark/>
          </w:tcPr>
          <w:p w14:paraId="6303C28E" w14:textId="77777777" w:rsidR="005C5CED" w:rsidRPr="005C5CED" w:rsidRDefault="005C5CED" w:rsidP="005C5CED">
            <w:pPr>
              <w:spacing w:after="0" w:line="240" w:lineRule="auto"/>
              <w:ind w:firstLineChars="100" w:firstLine="160"/>
              <w:jc w:val="right"/>
              <w:rPr>
                <w:rFonts w:eastAsia="Times New Roman" w:cs="Arial"/>
                <w:color w:val="auto"/>
                <w:sz w:val="16"/>
                <w:szCs w:val="16"/>
                <w:lang w:eastAsia="en-AU"/>
              </w:rPr>
            </w:pPr>
            <w:r w:rsidRPr="005C5CED">
              <w:rPr>
                <w:rFonts w:eastAsia="Times New Roman" w:cs="Arial"/>
                <w:color w:val="auto"/>
                <w:sz w:val="16"/>
                <w:szCs w:val="16"/>
                <w:lang w:eastAsia="en-AU"/>
              </w:rPr>
              <w:t>6</w:t>
            </w:r>
          </w:p>
        </w:tc>
      </w:tr>
      <w:tr w:rsidR="005C5CED" w:rsidRPr="005C5CED" w14:paraId="3BD1F97F" w14:textId="77777777" w:rsidTr="006D4B41">
        <w:trPr>
          <w:trHeight w:val="394"/>
        </w:trPr>
        <w:tc>
          <w:tcPr>
            <w:tcW w:w="3218" w:type="dxa"/>
            <w:tcBorders>
              <w:top w:val="single" w:sz="4" w:space="0" w:color="auto"/>
              <w:left w:val="nil"/>
              <w:bottom w:val="single" w:sz="4" w:space="0" w:color="auto"/>
              <w:right w:val="nil"/>
            </w:tcBorders>
            <w:shd w:val="clear" w:color="auto" w:fill="auto"/>
            <w:noWrap/>
            <w:vAlign w:val="center"/>
            <w:hideMark/>
          </w:tcPr>
          <w:p w14:paraId="49F27221"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remuneration</w:t>
            </w:r>
          </w:p>
        </w:tc>
        <w:tc>
          <w:tcPr>
            <w:tcW w:w="3213" w:type="dxa"/>
            <w:tcBorders>
              <w:top w:val="single" w:sz="4" w:space="0" w:color="auto"/>
              <w:left w:val="nil"/>
              <w:bottom w:val="single" w:sz="4" w:space="0" w:color="auto"/>
              <w:right w:val="nil"/>
            </w:tcBorders>
            <w:shd w:val="clear" w:color="auto" w:fill="auto"/>
            <w:noWrap/>
            <w:vAlign w:val="center"/>
          </w:tcPr>
          <w:p w14:paraId="75114AF4" w14:textId="77777777" w:rsidR="005C5CED" w:rsidRPr="005C5CED" w:rsidRDefault="005C5CED" w:rsidP="005C5CED">
            <w:pPr>
              <w:spacing w:after="0" w:line="240" w:lineRule="auto"/>
              <w:ind w:firstLineChars="100" w:firstLine="161"/>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533</w:t>
            </w:r>
          </w:p>
        </w:tc>
        <w:tc>
          <w:tcPr>
            <w:tcW w:w="1639" w:type="dxa"/>
            <w:tcBorders>
              <w:top w:val="single" w:sz="4" w:space="0" w:color="auto"/>
              <w:left w:val="nil"/>
              <w:bottom w:val="single" w:sz="4" w:space="0" w:color="auto"/>
              <w:right w:val="nil"/>
            </w:tcBorders>
            <w:shd w:val="clear" w:color="auto" w:fill="auto"/>
            <w:noWrap/>
            <w:vAlign w:val="center"/>
            <w:hideMark/>
          </w:tcPr>
          <w:p w14:paraId="33757338" w14:textId="77777777" w:rsidR="005C5CED" w:rsidRPr="005C5CED" w:rsidRDefault="005C5CED" w:rsidP="005C5CED">
            <w:pPr>
              <w:spacing w:after="0" w:line="240" w:lineRule="auto"/>
              <w:ind w:firstLineChars="100" w:firstLine="161"/>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546</w:t>
            </w:r>
          </w:p>
        </w:tc>
      </w:tr>
    </w:tbl>
    <w:p w14:paraId="015D41ED" w14:textId="77777777" w:rsidR="005C5CED" w:rsidRPr="005C5CED" w:rsidRDefault="005C5CED" w:rsidP="005C5CED">
      <w:pPr>
        <w:spacing w:after="60" w:line="259" w:lineRule="auto"/>
        <w:rPr>
          <w:rFonts w:eastAsia="Calibri" w:cs="Arial"/>
          <w:color w:val="auto"/>
          <w:sz w:val="16"/>
          <w:szCs w:val="16"/>
        </w:rPr>
      </w:pPr>
    </w:p>
    <w:p w14:paraId="71B6CAD4"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Transactions with Key Management Personnel and other related parties</w:t>
      </w:r>
    </w:p>
    <w:p w14:paraId="0C902DE4"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occurs on terms and conditions consistent with the </w:t>
      </w:r>
      <w:r w:rsidRPr="005C5CED">
        <w:rPr>
          <w:rFonts w:eastAsia="Calibri" w:cs="Arial"/>
          <w:i/>
          <w:iCs/>
          <w:color w:val="auto"/>
        </w:rPr>
        <w:t>Public Administration Act 2004</w:t>
      </w:r>
      <w:r w:rsidRPr="005C5CED">
        <w:rPr>
          <w:rFonts w:eastAsia="Calibri" w:cs="Arial"/>
          <w:color w:val="auto"/>
        </w:rPr>
        <w:t xml:space="preserve"> and Codes of Conduct and Standards issued by the Victorian Public Sector Commission. Procurement processes occur on terms and conditions consistent with the Victorian Government Procurement Board requirements.</w:t>
      </w:r>
    </w:p>
    <w:p w14:paraId="123D410C" w14:textId="77777777" w:rsidR="005C5CED" w:rsidRPr="005C5CED" w:rsidRDefault="005C5CED" w:rsidP="005C5CED">
      <w:pPr>
        <w:spacing w:line="259" w:lineRule="auto"/>
        <w:rPr>
          <w:rFonts w:eastAsia="Calibri" w:cs="Arial"/>
          <w:color w:val="FF0000"/>
        </w:rPr>
      </w:pPr>
      <w:r w:rsidRPr="005C5CED">
        <w:rPr>
          <w:rFonts w:eastAsia="Calibri" w:cs="Arial"/>
          <w:color w:val="auto"/>
        </w:rPr>
        <w:t xml:space="preserve">In 2023-24, Sustainability Victoria paid or accrued $11,650,000 to Visy Recycling (Circular Economy Recycling Modernisation) and $167,145 to Victoria University (Circular Economy Markets). Sustainability Victoria’s board member Meredith Banks was removed from any decision making relating to these payments due to her involvement with the aforementioned. </w:t>
      </w:r>
    </w:p>
    <w:p w14:paraId="52F52C32" w14:textId="77777777" w:rsidR="005C5CED" w:rsidRPr="005C5CED" w:rsidRDefault="005C5CED" w:rsidP="005C5CED">
      <w:pPr>
        <w:keepNext/>
        <w:keepLines/>
        <w:spacing w:before="240" w:after="60" w:line="240" w:lineRule="auto"/>
        <w:outlineLvl w:val="3"/>
        <w:rPr>
          <w:rFonts w:eastAsia="Yu Gothic Light" w:cs="Times New Roman"/>
          <w:color w:val="000000"/>
          <w:szCs w:val="20"/>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8.5 Remuneration of auditors</w:t>
      </w:r>
    </w:p>
    <w:tbl>
      <w:tblPr>
        <w:tblW w:w="7952" w:type="dxa"/>
        <w:tblLook w:val="04A0" w:firstRow="1" w:lastRow="0" w:firstColumn="1" w:lastColumn="0" w:noHBand="0" w:noVBand="1"/>
      </w:tblPr>
      <w:tblGrid>
        <w:gridCol w:w="3416"/>
        <w:gridCol w:w="2348"/>
        <w:gridCol w:w="2188"/>
      </w:tblGrid>
      <w:tr w:rsidR="005C5CED" w:rsidRPr="005C5CED" w14:paraId="5D976A20" w14:textId="77777777" w:rsidTr="0062462F">
        <w:trPr>
          <w:trHeight w:val="225"/>
        </w:trPr>
        <w:tc>
          <w:tcPr>
            <w:tcW w:w="3416" w:type="dxa"/>
            <w:tcBorders>
              <w:top w:val="single" w:sz="4" w:space="0" w:color="auto"/>
              <w:left w:val="nil"/>
              <w:bottom w:val="nil"/>
              <w:right w:val="nil"/>
            </w:tcBorders>
            <w:shd w:val="clear" w:color="000000" w:fill="000000"/>
            <w:noWrap/>
            <w:vAlign w:val="bottom"/>
            <w:hideMark/>
          </w:tcPr>
          <w:p w14:paraId="22AD54E8"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348" w:type="dxa"/>
            <w:tcBorders>
              <w:top w:val="single" w:sz="4" w:space="0" w:color="auto"/>
              <w:left w:val="nil"/>
              <w:bottom w:val="single" w:sz="4" w:space="0" w:color="auto"/>
              <w:right w:val="nil"/>
            </w:tcBorders>
            <w:shd w:val="clear" w:color="000000" w:fill="000000"/>
            <w:noWrap/>
            <w:vAlign w:val="bottom"/>
            <w:hideMark/>
          </w:tcPr>
          <w:p w14:paraId="6E9EFA7B"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2024</w:t>
            </w:r>
          </w:p>
        </w:tc>
        <w:tc>
          <w:tcPr>
            <w:tcW w:w="2188" w:type="dxa"/>
            <w:tcBorders>
              <w:top w:val="single" w:sz="4" w:space="0" w:color="auto"/>
              <w:left w:val="nil"/>
              <w:bottom w:val="single" w:sz="4" w:space="0" w:color="auto"/>
              <w:right w:val="nil"/>
            </w:tcBorders>
            <w:shd w:val="clear" w:color="000000" w:fill="000000"/>
            <w:noWrap/>
            <w:vAlign w:val="bottom"/>
            <w:hideMark/>
          </w:tcPr>
          <w:p w14:paraId="63FC3558"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2023</w:t>
            </w:r>
          </w:p>
        </w:tc>
      </w:tr>
      <w:tr w:rsidR="005C5CED" w:rsidRPr="005C5CED" w14:paraId="63F15315" w14:textId="77777777" w:rsidTr="0062462F">
        <w:trPr>
          <w:trHeight w:val="225"/>
        </w:trPr>
        <w:tc>
          <w:tcPr>
            <w:tcW w:w="3416" w:type="dxa"/>
            <w:tcBorders>
              <w:top w:val="nil"/>
              <w:left w:val="nil"/>
              <w:bottom w:val="single" w:sz="4" w:space="0" w:color="auto"/>
              <w:right w:val="nil"/>
            </w:tcBorders>
            <w:shd w:val="clear" w:color="000000" w:fill="000000"/>
            <w:noWrap/>
            <w:vAlign w:val="bottom"/>
            <w:hideMark/>
          </w:tcPr>
          <w:p w14:paraId="14CF42D1" w14:textId="77777777" w:rsidR="005C5CED" w:rsidRPr="005C5CED" w:rsidRDefault="005C5CED" w:rsidP="005C5CED">
            <w:pPr>
              <w:spacing w:after="0" w:line="240" w:lineRule="auto"/>
              <w:rPr>
                <w:rFonts w:eastAsia="Times New Roman" w:cs="Arial"/>
                <w:b/>
                <w:bCs/>
                <w:color w:val="FFFFFF"/>
                <w:sz w:val="16"/>
                <w:szCs w:val="16"/>
                <w:lang w:eastAsia="en-AU"/>
              </w:rPr>
            </w:pPr>
            <w:r w:rsidRPr="005C5CED">
              <w:rPr>
                <w:rFonts w:eastAsia="Times New Roman" w:cs="Arial"/>
                <w:b/>
                <w:bCs/>
                <w:color w:val="FFFFFF"/>
                <w:sz w:val="16"/>
                <w:szCs w:val="16"/>
                <w:lang w:eastAsia="en-AU"/>
              </w:rPr>
              <w:t> </w:t>
            </w:r>
          </w:p>
        </w:tc>
        <w:tc>
          <w:tcPr>
            <w:tcW w:w="2348" w:type="dxa"/>
            <w:tcBorders>
              <w:top w:val="nil"/>
              <w:left w:val="nil"/>
              <w:bottom w:val="single" w:sz="4" w:space="0" w:color="auto"/>
              <w:right w:val="nil"/>
            </w:tcBorders>
            <w:shd w:val="clear" w:color="000000" w:fill="000000"/>
            <w:noWrap/>
            <w:vAlign w:val="bottom"/>
            <w:hideMark/>
          </w:tcPr>
          <w:p w14:paraId="6E4302B2"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c>
          <w:tcPr>
            <w:tcW w:w="2188" w:type="dxa"/>
            <w:tcBorders>
              <w:top w:val="nil"/>
              <w:left w:val="nil"/>
              <w:bottom w:val="single" w:sz="4" w:space="0" w:color="auto"/>
              <w:right w:val="nil"/>
            </w:tcBorders>
            <w:shd w:val="clear" w:color="000000" w:fill="000000"/>
            <w:noWrap/>
            <w:vAlign w:val="bottom"/>
            <w:hideMark/>
          </w:tcPr>
          <w:p w14:paraId="1BCB5E67" w14:textId="77777777" w:rsidR="005C5CED" w:rsidRPr="005C5CED" w:rsidRDefault="005C5CED" w:rsidP="005C5CED">
            <w:pPr>
              <w:spacing w:after="0" w:line="240" w:lineRule="auto"/>
              <w:ind w:firstLineChars="100" w:firstLine="161"/>
              <w:jc w:val="right"/>
              <w:rPr>
                <w:rFonts w:eastAsia="Times New Roman" w:cs="Arial"/>
                <w:b/>
                <w:bCs/>
                <w:color w:val="FFFFFF"/>
                <w:sz w:val="16"/>
                <w:szCs w:val="16"/>
                <w:lang w:eastAsia="en-AU"/>
              </w:rPr>
            </w:pPr>
            <w:r w:rsidRPr="005C5CED">
              <w:rPr>
                <w:rFonts w:eastAsia="Times New Roman" w:cs="Arial"/>
                <w:b/>
                <w:bCs/>
                <w:color w:val="FFFFFF"/>
                <w:sz w:val="16"/>
                <w:szCs w:val="16"/>
                <w:lang w:eastAsia="en-AU"/>
              </w:rPr>
              <w:t>$’000</w:t>
            </w:r>
          </w:p>
        </w:tc>
      </w:tr>
      <w:tr w:rsidR="005C5CED" w:rsidRPr="005C5CED" w14:paraId="59375ED6" w14:textId="77777777" w:rsidTr="0062462F">
        <w:trPr>
          <w:trHeight w:val="342"/>
        </w:trPr>
        <w:tc>
          <w:tcPr>
            <w:tcW w:w="3416" w:type="dxa"/>
            <w:tcBorders>
              <w:top w:val="nil"/>
              <w:left w:val="nil"/>
              <w:bottom w:val="nil"/>
              <w:right w:val="nil"/>
            </w:tcBorders>
            <w:shd w:val="clear" w:color="auto" w:fill="auto"/>
            <w:noWrap/>
            <w:vAlign w:val="center"/>
            <w:hideMark/>
          </w:tcPr>
          <w:p w14:paraId="3C0D394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Victorian Auditor-General’s Office</w:t>
            </w:r>
          </w:p>
        </w:tc>
        <w:tc>
          <w:tcPr>
            <w:tcW w:w="2348" w:type="dxa"/>
            <w:tcBorders>
              <w:top w:val="nil"/>
              <w:left w:val="nil"/>
              <w:bottom w:val="nil"/>
              <w:right w:val="nil"/>
            </w:tcBorders>
            <w:shd w:val="clear" w:color="auto" w:fill="auto"/>
            <w:noWrap/>
            <w:vAlign w:val="center"/>
            <w:hideMark/>
          </w:tcPr>
          <w:p w14:paraId="625B1ACE"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c>
          <w:tcPr>
            <w:tcW w:w="2188" w:type="dxa"/>
            <w:tcBorders>
              <w:top w:val="nil"/>
              <w:left w:val="nil"/>
              <w:bottom w:val="nil"/>
              <w:right w:val="nil"/>
            </w:tcBorders>
            <w:shd w:val="clear" w:color="auto" w:fill="auto"/>
            <w:noWrap/>
            <w:vAlign w:val="center"/>
            <w:hideMark/>
          </w:tcPr>
          <w:p w14:paraId="5C202BA6" w14:textId="77777777" w:rsidR="005C5CED" w:rsidRPr="005C5CED" w:rsidRDefault="005C5CED" w:rsidP="005C5CED">
            <w:pPr>
              <w:spacing w:after="0" w:line="240" w:lineRule="auto"/>
              <w:rPr>
                <w:rFonts w:eastAsia="Times New Roman" w:cs="Arial"/>
                <w:color w:val="auto"/>
                <w:sz w:val="16"/>
                <w:szCs w:val="16"/>
                <w:lang w:eastAsia="en-AU"/>
              </w:rPr>
            </w:pPr>
            <w:r w:rsidRPr="005C5CED">
              <w:rPr>
                <w:rFonts w:eastAsia="Times New Roman" w:cs="Arial"/>
                <w:color w:val="auto"/>
                <w:sz w:val="16"/>
                <w:szCs w:val="16"/>
                <w:lang w:eastAsia="en-AU"/>
              </w:rPr>
              <w:t> </w:t>
            </w:r>
          </w:p>
        </w:tc>
      </w:tr>
      <w:tr w:rsidR="005C5CED" w:rsidRPr="005C5CED" w14:paraId="6241E8F2" w14:textId="77777777" w:rsidTr="0062462F">
        <w:trPr>
          <w:trHeight w:val="342"/>
        </w:trPr>
        <w:tc>
          <w:tcPr>
            <w:tcW w:w="3416" w:type="dxa"/>
            <w:tcBorders>
              <w:top w:val="nil"/>
              <w:left w:val="nil"/>
              <w:bottom w:val="nil"/>
              <w:right w:val="nil"/>
            </w:tcBorders>
            <w:shd w:val="clear" w:color="auto" w:fill="auto"/>
            <w:noWrap/>
            <w:vAlign w:val="center"/>
            <w:hideMark/>
          </w:tcPr>
          <w:p w14:paraId="3C3E2849" w14:textId="77777777" w:rsidR="005C5CED" w:rsidRPr="005C5CED" w:rsidRDefault="005C5CED" w:rsidP="005C5CED">
            <w:pPr>
              <w:spacing w:after="0" w:line="240" w:lineRule="auto"/>
              <w:ind w:firstLineChars="100" w:firstLine="160"/>
              <w:rPr>
                <w:rFonts w:eastAsia="Times New Roman" w:cs="Arial"/>
                <w:color w:val="auto"/>
                <w:sz w:val="16"/>
                <w:szCs w:val="16"/>
                <w:lang w:eastAsia="en-AU"/>
              </w:rPr>
            </w:pPr>
            <w:r w:rsidRPr="005C5CED">
              <w:rPr>
                <w:rFonts w:eastAsia="Times New Roman" w:cs="Arial"/>
                <w:color w:val="auto"/>
                <w:sz w:val="16"/>
                <w:szCs w:val="16"/>
                <w:lang w:eastAsia="en-AU"/>
              </w:rPr>
              <w:t>Audit of the financial statements</w:t>
            </w:r>
          </w:p>
        </w:tc>
        <w:tc>
          <w:tcPr>
            <w:tcW w:w="2348" w:type="dxa"/>
            <w:tcBorders>
              <w:top w:val="nil"/>
              <w:left w:val="nil"/>
              <w:bottom w:val="nil"/>
              <w:right w:val="nil"/>
            </w:tcBorders>
            <w:shd w:val="clear" w:color="auto" w:fill="auto"/>
            <w:noWrap/>
            <w:vAlign w:val="center"/>
          </w:tcPr>
          <w:p w14:paraId="379C4B9E"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31 </w:t>
            </w:r>
          </w:p>
        </w:tc>
        <w:tc>
          <w:tcPr>
            <w:tcW w:w="2188" w:type="dxa"/>
            <w:tcBorders>
              <w:top w:val="nil"/>
              <w:left w:val="nil"/>
              <w:bottom w:val="nil"/>
              <w:right w:val="nil"/>
            </w:tcBorders>
            <w:shd w:val="clear" w:color="auto" w:fill="auto"/>
            <w:noWrap/>
            <w:vAlign w:val="center"/>
            <w:hideMark/>
          </w:tcPr>
          <w:p w14:paraId="020DB0BD" w14:textId="77777777" w:rsidR="005C5CED" w:rsidRPr="005C5CED" w:rsidRDefault="005C5CED" w:rsidP="005C5CED">
            <w:pPr>
              <w:spacing w:after="0" w:line="240" w:lineRule="auto"/>
              <w:jc w:val="right"/>
              <w:rPr>
                <w:rFonts w:eastAsia="Times New Roman" w:cs="Arial"/>
                <w:color w:val="auto"/>
                <w:sz w:val="16"/>
                <w:szCs w:val="16"/>
                <w:lang w:eastAsia="en-AU"/>
              </w:rPr>
            </w:pPr>
            <w:r w:rsidRPr="005C5CED">
              <w:rPr>
                <w:rFonts w:eastAsia="Times New Roman" w:cs="Arial"/>
                <w:color w:val="auto"/>
                <w:sz w:val="16"/>
                <w:szCs w:val="16"/>
                <w:lang w:eastAsia="en-AU"/>
              </w:rPr>
              <w:t xml:space="preserve">                                             30 </w:t>
            </w:r>
          </w:p>
        </w:tc>
      </w:tr>
      <w:tr w:rsidR="005C5CED" w:rsidRPr="005C5CED" w14:paraId="2FF341C4" w14:textId="77777777" w:rsidTr="0062462F">
        <w:trPr>
          <w:trHeight w:val="342"/>
        </w:trPr>
        <w:tc>
          <w:tcPr>
            <w:tcW w:w="3416" w:type="dxa"/>
            <w:tcBorders>
              <w:top w:val="single" w:sz="4" w:space="0" w:color="auto"/>
              <w:left w:val="nil"/>
              <w:bottom w:val="single" w:sz="4" w:space="0" w:color="auto"/>
              <w:right w:val="nil"/>
            </w:tcBorders>
            <w:shd w:val="clear" w:color="auto" w:fill="auto"/>
            <w:noWrap/>
            <w:vAlign w:val="center"/>
            <w:hideMark/>
          </w:tcPr>
          <w:p w14:paraId="15928527" w14:textId="77777777" w:rsidR="005C5CED" w:rsidRPr="005C5CED" w:rsidRDefault="005C5CED" w:rsidP="005C5CED">
            <w:pPr>
              <w:spacing w:after="0" w:line="240" w:lineRule="auto"/>
              <w:rPr>
                <w:rFonts w:eastAsia="Times New Roman" w:cs="Arial"/>
                <w:b/>
                <w:bCs/>
                <w:color w:val="auto"/>
                <w:sz w:val="16"/>
                <w:szCs w:val="16"/>
                <w:lang w:eastAsia="en-AU"/>
              </w:rPr>
            </w:pPr>
            <w:r w:rsidRPr="005C5CED">
              <w:rPr>
                <w:rFonts w:eastAsia="Times New Roman" w:cs="Arial"/>
                <w:b/>
                <w:bCs/>
                <w:color w:val="auto"/>
                <w:sz w:val="16"/>
                <w:szCs w:val="16"/>
                <w:lang w:eastAsia="en-AU"/>
              </w:rPr>
              <w:t>Total remuneration</w:t>
            </w:r>
          </w:p>
        </w:tc>
        <w:tc>
          <w:tcPr>
            <w:tcW w:w="2348" w:type="dxa"/>
            <w:tcBorders>
              <w:top w:val="single" w:sz="4" w:space="0" w:color="auto"/>
              <w:left w:val="nil"/>
              <w:bottom w:val="single" w:sz="4" w:space="0" w:color="auto"/>
              <w:right w:val="nil"/>
            </w:tcBorders>
            <w:shd w:val="clear" w:color="auto" w:fill="auto"/>
            <w:noWrap/>
            <w:vAlign w:val="center"/>
          </w:tcPr>
          <w:p w14:paraId="310AEF9A"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31 </w:t>
            </w:r>
          </w:p>
        </w:tc>
        <w:tc>
          <w:tcPr>
            <w:tcW w:w="2188" w:type="dxa"/>
            <w:tcBorders>
              <w:top w:val="single" w:sz="4" w:space="0" w:color="auto"/>
              <w:left w:val="nil"/>
              <w:bottom w:val="single" w:sz="4" w:space="0" w:color="auto"/>
              <w:right w:val="nil"/>
            </w:tcBorders>
            <w:shd w:val="clear" w:color="auto" w:fill="auto"/>
            <w:noWrap/>
            <w:vAlign w:val="center"/>
            <w:hideMark/>
          </w:tcPr>
          <w:p w14:paraId="0B96B6E6" w14:textId="77777777" w:rsidR="005C5CED" w:rsidRPr="005C5CED" w:rsidRDefault="005C5CED" w:rsidP="005C5CED">
            <w:pPr>
              <w:spacing w:after="0" w:line="240" w:lineRule="auto"/>
              <w:jc w:val="right"/>
              <w:rPr>
                <w:rFonts w:eastAsia="Times New Roman" w:cs="Arial"/>
                <w:b/>
                <w:bCs/>
                <w:color w:val="auto"/>
                <w:sz w:val="16"/>
                <w:szCs w:val="16"/>
                <w:lang w:eastAsia="en-AU"/>
              </w:rPr>
            </w:pPr>
            <w:r w:rsidRPr="005C5CED">
              <w:rPr>
                <w:rFonts w:eastAsia="Times New Roman" w:cs="Arial"/>
                <w:b/>
                <w:bCs/>
                <w:color w:val="auto"/>
                <w:sz w:val="16"/>
                <w:szCs w:val="16"/>
                <w:lang w:eastAsia="en-AU"/>
              </w:rPr>
              <w:t xml:space="preserve">                                             30 </w:t>
            </w:r>
          </w:p>
        </w:tc>
      </w:tr>
    </w:tbl>
    <w:p w14:paraId="28A98517"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bookmarkStart w:id="324" w:name="_Hlk175830270"/>
      <w:bookmarkStart w:id="325" w:name="_Hlk117080632"/>
      <w:bookmarkStart w:id="326" w:name="_Hlk117080669"/>
      <w:r w:rsidRPr="005C5CED">
        <w:rPr>
          <w:rFonts w:eastAsia="Yu Gothic Light" w:cs="Times New Roman"/>
          <w:color w:val="000000"/>
          <w:sz w:val="24"/>
          <w:szCs w:val="24"/>
          <w14:textFill>
            <w14:solidFill>
              <w14:srgbClr w14:val="000000">
                <w14:lumMod w14:val="65000"/>
                <w14:lumOff w14:val="35000"/>
              </w14:srgbClr>
            </w14:solidFill>
          </w14:textFill>
        </w:rPr>
        <w:t>Note 8.6 Subsequent events</w:t>
      </w:r>
    </w:p>
    <w:p w14:paraId="0A638B84"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8.6.1 Victorian Public Service Enterprise Agreement 2024</w:t>
      </w:r>
    </w:p>
    <w:p w14:paraId="27EBF75C" w14:textId="77777777" w:rsidR="005C5CED" w:rsidRPr="005C5CED" w:rsidRDefault="005C5CED" w:rsidP="005C5CED">
      <w:pPr>
        <w:spacing w:line="259" w:lineRule="auto"/>
        <w:rPr>
          <w:rFonts w:eastAsia="Calibri" w:cs="Arial"/>
          <w:color w:val="auto"/>
        </w:rPr>
      </w:pPr>
      <w:r w:rsidRPr="005C5CED">
        <w:rPr>
          <w:rFonts w:eastAsia="Calibri" w:cs="Arial"/>
          <w:color w:val="auto"/>
        </w:rPr>
        <w:t>On 5th July 2024, the proposed Victorian Public Service Enterprise Agreement (Agreement) 2024 was endorsed by Public Sector employees. The Agreement includes a lump sum payment to all staff employed by the Victorian Public Sector on 28th June 2024. The overall financial impact of the Agreement is $846,337 payable to employees in the 2024-2025 financial year.</w:t>
      </w:r>
    </w:p>
    <w:p w14:paraId="227D44F0" w14:textId="77777777" w:rsidR="005C5CED" w:rsidRPr="005C5CED" w:rsidRDefault="005C5CED" w:rsidP="005C5CED">
      <w:pPr>
        <w:keepNext/>
        <w:keepLines/>
        <w:spacing w:before="200" w:after="40" w:line="259" w:lineRule="auto"/>
        <w:outlineLvl w:val="4"/>
        <w:rPr>
          <w:rFonts w:eastAsia="Yu Gothic Light" w:cs="SegoeUI"/>
          <w:b/>
          <w:bCs/>
          <w:color w:val="595959"/>
        </w:rPr>
      </w:pPr>
      <w:r w:rsidRPr="005C5CED">
        <w:rPr>
          <w:rFonts w:eastAsia="Yu Gothic Light" w:cs="SegoeUI"/>
          <w:b/>
          <w:bCs/>
          <w:color w:val="595959"/>
        </w:rPr>
        <w:t>8.6.2 Licence fees for FirstRate5 certificates</w:t>
      </w:r>
    </w:p>
    <w:p w14:paraId="3ACA6DB9" w14:textId="77777777" w:rsidR="005C5CED" w:rsidRPr="005C5CED" w:rsidRDefault="005C5CED" w:rsidP="005C5CED">
      <w:pPr>
        <w:spacing w:before="100" w:beforeAutospacing="1" w:after="120" w:line="240" w:lineRule="auto"/>
        <w:rPr>
          <w:rFonts w:eastAsia="Calibri" w:cs="Arial"/>
          <w:color w:val="auto"/>
          <w:szCs w:val="20"/>
        </w:rPr>
      </w:pPr>
      <w:r w:rsidRPr="005C5CED">
        <w:rPr>
          <w:rFonts w:eastAsia="Calibri" w:cs="Arial"/>
          <w:color w:val="auto"/>
          <w:szCs w:val="20"/>
        </w:rPr>
        <w:t xml:space="preserve">On the </w:t>
      </w:r>
      <w:proofErr w:type="gramStart"/>
      <w:r w:rsidRPr="005C5CED">
        <w:rPr>
          <w:rFonts w:eastAsia="Calibri" w:cs="Arial"/>
          <w:color w:val="auto"/>
          <w:szCs w:val="20"/>
        </w:rPr>
        <w:t>5</w:t>
      </w:r>
      <w:r w:rsidRPr="005C5CED">
        <w:rPr>
          <w:rFonts w:eastAsia="Calibri" w:cs="Arial"/>
          <w:color w:val="auto"/>
          <w:szCs w:val="20"/>
          <w:vertAlign w:val="superscript"/>
        </w:rPr>
        <w:t>th</w:t>
      </w:r>
      <w:proofErr w:type="gramEnd"/>
      <w:r w:rsidRPr="005C5CED">
        <w:rPr>
          <w:rFonts w:eastAsia="Calibri" w:cs="Arial"/>
          <w:color w:val="auto"/>
          <w:szCs w:val="20"/>
        </w:rPr>
        <w:t xml:space="preserve"> August 2024, The Victorian Government Solicitor's Office (VGSO) advised Sustainability Victoria that revenue from FR5 certificates must be remitted to the Consolidated Fund (CF) to comply with the </w:t>
      </w:r>
      <w:r w:rsidRPr="005C5CED">
        <w:rPr>
          <w:rFonts w:eastAsia="Calibri" w:cs="Arial"/>
          <w:i/>
          <w:iCs/>
          <w:color w:val="auto"/>
          <w:szCs w:val="20"/>
        </w:rPr>
        <w:t>Financial Management Act 1994</w:t>
      </w:r>
      <w:r w:rsidRPr="005C5CED">
        <w:rPr>
          <w:rFonts w:eastAsia="Calibri" w:cs="Arial"/>
          <w:color w:val="auto"/>
          <w:szCs w:val="20"/>
        </w:rPr>
        <w:t> (FMA),</w:t>
      </w:r>
      <w:r w:rsidRPr="005C5CED">
        <w:rPr>
          <w:rFonts w:eastAsia="Calibri" w:cs="Arial"/>
          <w:color w:val="auto"/>
          <w:sz w:val="22"/>
        </w:rPr>
        <w:t xml:space="preserve"> </w:t>
      </w:r>
      <w:r w:rsidRPr="005C5CED">
        <w:rPr>
          <w:rFonts w:eastAsia="Calibri" w:cs="Arial"/>
          <w:color w:val="auto"/>
          <w:szCs w:val="20"/>
        </w:rPr>
        <w:t xml:space="preserve">as SV does not have the statutory power required to retain the monies collected. The current accounting policy is for Sustainability Victoria to recognise FR5 revenue when certificates are provided to customers and retain the monies collected. FR5 has operated on a full cost recovery basis. As the monies collected from FR5 revenue were payable to the CF, Sustainability Victoria would need to seek reimbursement through appropriate government funding channels. This is an inadvertent technical breach of the FMA, </w:t>
      </w:r>
      <w:proofErr w:type="gramStart"/>
      <w:r w:rsidRPr="005C5CED">
        <w:rPr>
          <w:rFonts w:eastAsia="Calibri" w:cs="Arial"/>
          <w:color w:val="auto"/>
          <w:szCs w:val="20"/>
        </w:rPr>
        <w:t>noting that at all times</w:t>
      </w:r>
      <w:proofErr w:type="gramEnd"/>
      <w:r w:rsidRPr="005C5CED">
        <w:rPr>
          <w:rFonts w:eastAsia="Calibri" w:cs="Arial"/>
          <w:color w:val="auto"/>
          <w:szCs w:val="20"/>
        </w:rPr>
        <w:t xml:space="preserve"> SV’s Board and staff made decisions consistent with the legal advice provided at the relevant time and approvals by the relevant Ministers through the Whole of Victorian Government (</w:t>
      </w:r>
      <w:proofErr w:type="spellStart"/>
      <w:r w:rsidRPr="005C5CED">
        <w:rPr>
          <w:rFonts w:eastAsia="Calibri" w:cs="Arial"/>
          <w:color w:val="auto"/>
          <w:szCs w:val="20"/>
        </w:rPr>
        <w:t>WoVG</w:t>
      </w:r>
      <w:proofErr w:type="spellEnd"/>
      <w:r w:rsidRPr="005C5CED">
        <w:rPr>
          <w:rFonts w:eastAsia="Calibri" w:cs="Arial"/>
          <w:color w:val="auto"/>
          <w:szCs w:val="20"/>
        </w:rPr>
        <w:t>) Intellectual Property (IP) Policy. Sustainability Victoria is currently in discussions with relevant parties to remedy the breach, which is expected to be finalised by 30</w:t>
      </w:r>
      <w:r w:rsidRPr="005C5CED">
        <w:rPr>
          <w:rFonts w:eastAsia="Calibri" w:cs="Arial"/>
          <w:color w:val="auto"/>
          <w:szCs w:val="20"/>
          <w:vertAlign w:val="superscript"/>
        </w:rPr>
        <w:t>th</w:t>
      </w:r>
      <w:r w:rsidRPr="005C5CED">
        <w:rPr>
          <w:rFonts w:eastAsia="Calibri" w:cs="Arial"/>
          <w:color w:val="auto"/>
          <w:szCs w:val="20"/>
        </w:rPr>
        <w:t xml:space="preserve"> June 2025. As the matter is in progress and the remedies are not determined, this is a non-adjusting event for the 2024 financial report.</w:t>
      </w:r>
    </w:p>
    <w:p w14:paraId="02E03770"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8.7 Other accounting policies</w:t>
      </w:r>
    </w:p>
    <w:p w14:paraId="6EBB865F"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Consistent with the requirements of AASB 1004 </w:t>
      </w:r>
      <w:r w:rsidRPr="005C5CED">
        <w:rPr>
          <w:rFonts w:eastAsia="Calibri" w:cs="Arial"/>
          <w:i/>
          <w:iCs/>
          <w:color w:val="auto"/>
        </w:rPr>
        <w:t>Contributions</w:t>
      </w:r>
      <w:r w:rsidRPr="005C5CED">
        <w:rPr>
          <w:rFonts w:eastAsia="Calibri" w:cs="Arial"/>
          <w:color w:val="auto"/>
        </w:rPr>
        <w:t>, contributions by owners (that is, contributed capital and its repayment) are treated as equity transactions and, therefore, do not form part of the income and expenses of Sustainability Victoria.</w:t>
      </w:r>
    </w:p>
    <w:bookmarkEnd w:id="324"/>
    <w:p w14:paraId="2B1EDDAE"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Additions to net assets that have been designated as contributions by owners are recognised as contributed capital. Other transfers that are </w:t>
      </w:r>
      <w:proofErr w:type="gramStart"/>
      <w:r w:rsidRPr="005C5CED">
        <w:rPr>
          <w:rFonts w:eastAsia="Calibri" w:cs="Arial"/>
          <w:color w:val="auto"/>
        </w:rPr>
        <w:t>in the nature of contributions</w:t>
      </w:r>
      <w:proofErr w:type="gramEnd"/>
      <w:r w:rsidRPr="005C5CED">
        <w:rPr>
          <w:rFonts w:eastAsia="Calibri" w:cs="Arial"/>
          <w:color w:val="auto"/>
        </w:rPr>
        <w:t xml:space="preserve"> to or distributions by owners have also been designated as contributions by owners.</w:t>
      </w:r>
    </w:p>
    <w:p w14:paraId="5A2B2DA8" w14:textId="77777777" w:rsidR="005C5CED" w:rsidRPr="005C5CED" w:rsidRDefault="005C5CED" w:rsidP="005C5CED">
      <w:pPr>
        <w:spacing w:line="259" w:lineRule="auto"/>
        <w:rPr>
          <w:rFonts w:eastAsia="Calibri" w:cs="Arial"/>
          <w:color w:val="auto"/>
        </w:rPr>
      </w:pPr>
      <w:r w:rsidRPr="005C5CED">
        <w:rPr>
          <w:rFonts w:eastAsia="Calibri" w:cs="Arial"/>
          <w:color w:val="auto"/>
        </w:rPr>
        <w:t>Transfers of net assets arising from administrative restructurings are treated as distributions to or contributions by owners. Transfers of net liabilities arising from administrative restructurings are treated as distributions to owners.</w:t>
      </w:r>
      <w:bookmarkEnd w:id="325"/>
      <w:bookmarkEnd w:id="326"/>
    </w:p>
    <w:p w14:paraId="458370E1"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8.8 Australian Accounting Standards issued that are not yet effective</w:t>
      </w:r>
    </w:p>
    <w:p w14:paraId="5E8E4253" w14:textId="77777777" w:rsidR="005C5CED" w:rsidRPr="005C5CED" w:rsidRDefault="005C5CED" w:rsidP="005C5CED">
      <w:pPr>
        <w:spacing w:line="259" w:lineRule="auto"/>
        <w:rPr>
          <w:rFonts w:eastAsia="Calibri" w:cs="Arial"/>
          <w:color w:val="auto"/>
        </w:rPr>
      </w:pPr>
      <w:r w:rsidRPr="005C5CED">
        <w:rPr>
          <w:rFonts w:eastAsia="Calibri" w:cs="Arial"/>
          <w:color w:val="auto"/>
        </w:rPr>
        <w:t>Certain new and revised accounting standards have been issued but are not effective for the 2023-24 reporting period. These accounting standards have not been applied to the Financial Statements. The State is reviewing its existing policies and assessing the potential implications of these accounting standards which includes:</w:t>
      </w:r>
    </w:p>
    <w:p w14:paraId="12935B26"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 xml:space="preserve">AASB 2022-10 </w:t>
      </w:r>
      <w:r w:rsidRPr="005C5CED">
        <w:rPr>
          <w:rFonts w:eastAsia="Calibri" w:cs="Arial"/>
          <w:b/>
          <w:bCs/>
          <w:i/>
          <w:iCs/>
          <w:color w:val="auto"/>
        </w:rPr>
        <w:t>Amendments to Australian Accounting Standards – Fair Value Measurement of Non-Financial Assets of Not-for-Profit Public Sector Entities</w:t>
      </w:r>
      <w:r w:rsidRPr="005C5CED">
        <w:rPr>
          <w:rFonts w:eastAsia="Calibri" w:cs="Arial"/>
          <w:b/>
          <w:bCs/>
          <w:color w:val="auto"/>
        </w:rPr>
        <w:t>.</w:t>
      </w:r>
      <w:r w:rsidRPr="005C5CED">
        <w:rPr>
          <w:rFonts w:eastAsia="Calibri" w:cs="Arial"/>
          <w:b/>
          <w:bCs/>
          <w:color w:val="auto"/>
        </w:rPr>
        <w:tab/>
      </w:r>
    </w:p>
    <w:p w14:paraId="3A1C70FC"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 xml:space="preserve">AASB 2022-10 amends AASB 13 </w:t>
      </w:r>
      <w:r w:rsidRPr="005C5CED">
        <w:rPr>
          <w:rFonts w:eastAsia="Calibri" w:cs="Arial"/>
          <w:i/>
          <w:iCs/>
          <w:color w:val="auto"/>
        </w:rPr>
        <w:t>Fair Value Measurement</w:t>
      </w:r>
      <w:r w:rsidRPr="005C5CED">
        <w:rPr>
          <w:rFonts w:eastAsia="Calibri" w:cs="Arial"/>
          <w:color w:val="auto"/>
        </w:rPr>
        <w:t xml:space="preserve"> by adding authoritative implementation guidance and illustrative examples for fair value measurements of non-financial assets of not-for-profit public sector entities not held primarily for their ability to generate net cash inflows.</w:t>
      </w:r>
    </w:p>
    <w:p w14:paraId="70274584" w14:textId="77777777" w:rsidR="005C5CED" w:rsidRPr="005C5CED" w:rsidRDefault="005C5CED" w:rsidP="005C5CED">
      <w:pPr>
        <w:spacing w:line="259" w:lineRule="auto"/>
        <w:rPr>
          <w:rFonts w:eastAsia="Calibri" w:cs="Arial"/>
          <w:color w:val="auto"/>
        </w:rPr>
      </w:pPr>
      <w:r w:rsidRPr="005C5CED">
        <w:rPr>
          <w:rFonts w:eastAsia="Calibri" w:cs="Arial"/>
          <w:color w:val="auto"/>
        </w:rPr>
        <w:t>The Standard:</w:t>
      </w:r>
    </w:p>
    <w:p w14:paraId="2DA2CE38" w14:textId="77777777" w:rsidR="005C5CED" w:rsidRPr="005C5CED" w:rsidRDefault="005C5CED" w:rsidP="00196A67">
      <w:pPr>
        <w:numPr>
          <w:ilvl w:val="0"/>
          <w:numId w:val="52"/>
        </w:numPr>
        <w:spacing w:line="259" w:lineRule="auto"/>
        <w:rPr>
          <w:rFonts w:eastAsia="Calibri" w:cs="Arial"/>
          <w:color w:val="auto"/>
        </w:rPr>
      </w:pPr>
      <w:r w:rsidRPr="005C5CED">
        <w:rPr>
          <w:rFonts w:eastAsia="Calibri" w:cs="Arial"/>
          <w:color w:val="auto"/>
        </w:rPr>
        <w:t xml:space="preserve">specifies when entities need to consider if an asset’s highest and best use differs from its current use. It also clarifies when an asset’s use is considered financially </w:t>
      </w:r>
      <w:proofErr w:type="gramStart"/>
      <w:r w:rsidRPr="005C5CED">
        <w:rPr>
          <w:rFonts w:eastAsia="Calibri" w:cs="Arial"/>
          <w:color w:val="auto"/>
        </w:rPr>
        <w:t>feasible;</w:t>
      </w:r>
      <w:proofErr w:type="gramEnd"/>
    </w:p>
    <w:p w14:paraId="59CDF829" w14:textId="77777777" w:rsidR="005C5CED" w:rsidRPr="005C5CED" w:rsidRDefault="005C5CED" w:rsidP="00196A67">
      <w:pPr>
        <w:numPr>
          <w:ilvl w:val="0"/>
          <w:numId w:val="52"/>
        </w:numPr>
        <w:spacing w:line="259" w:lineRule="auto"/>
        <w:rPr>
          <w:rFonts w:eastAsia="Calibri" w:cs="Arial"/>
          <w:color w:val="auto"/>
        </w:rPr>
      </w:pPr>
      <w:r w:rsidRPr="005C5CED">
        <w:rPr>
          <w:rFonts w:eastAsia="Calibri" w:cs="Arial"/>
          <w:color w:val="auto"/>
        </w:rPr>
        <w:t xml:space="preserve">specifies when an entity shall use its own assumptions and data to develop unobservable inputs. It also clarifies when these assumptions and judgements shall be </w:t>
      </w:r>
      <w:proofErr w:type="gramStart"/>
      <w:r w:rsidRPr="005C5CED">
        <w:rPr>
          <w:rFonts w:eastAsia="Calibri" w:cs="Arial"/>
          <w:color w:val="auto"/>
        </w:rPr>
        <w:t>adjusted;</w:t>
      </w:r>
      <w:proofErr w:type="gramEnd"/>
    </w:p>
    <w:p w14:paraId="4DB6111D" w14:textId="77777777" w:rsidR="005C5CED" w:rsidRPr="005C5CED" w:rsidRDefault="005C5CED" w:rsidP="00196A67">
      <w:pPr>
        <w:numPr>
          <w:ilvl w:val="0"/>
          <w:numId w:val="52"/>
        </w:numPr>
        <w:spacing w:line="259" w:lineRule="auto"/>
        <w:rPr>
          <w:rFonts w:eastAsia="Calibri" w:cs="Arial"/>
          <w:color w:val="auto"/>
        </w:rPr>
      </w:pPr>
      <w:r w:rsidRPr="005C5CED">
        <w:rPr>
          <w:rFonts w:eastAsia="Calibri" w:cs="Arial"/>
          <w:color w:val="auto"/>
        </w:rPr>
        <w:t>provides guidance on the application of the cost approach to fair value, including the nature of costs to be included in the reference asset and identification of economic obsolescence.</w:t>
      </w:r>
    </w:p>
    <w:p w14:paraId="5CBB65AB" w14:textId="77777777" w:rsidR="005C5CED" w:rsidRPr="005C5CED" w:rsidRDefault="005C5CED" w:rsidP="005C5CED">
      <w:pPr>
        <w:spacing w:line="259" w:lineRule="auto"/>
        <w:rPr>
          <w:rFonts w:eastAsia="Times New Roman" w:cs="Arial"/>
          <w:color w:val="auto"/>
          <w:lang w:eastAsia="en-AU"/>
        </w:rPr>
      </w:pPr>
      <w:r w:rsidRPr="005C5CED">
        <w:rPr>
          <w:rFonts w:eastAsia="Times New Roman" w:cs="Arial"/>
          <w:color w:val="auto"/>
          <w:lang w:eastAsia="en-AU"/>
        </w:rPr>
        <w:t>This Standard applies prospectively to annual periods beginning on or after 1 January 2024, with earlier application permitted.</w:t>
      </w:r>
    </w:p>
    <w:p w14:paraId="1C382CB0" w14:textId="77777777" w:rsidR="005C5CED" w:rsidRPr="005C5CED" w:rsidRDefault="005C5CED" w:rsidP="005C5CED">
      <w:pPr>
        <w:spacing w:line="259" w:lineRule="auto"/>
        <w:rPr>
          <w:rFonts w:eastAsia="Calibri" w:cs="Arial"/>
          <w:b/>
          <w:bCs/>
          <w:i/>
          <w:iCs/>
          <w:color w:val="auto"/>
        </w:rPr>
      </w:pPr>
      <w:r w:rsidRPr="005C5CED">
        <w:rPr>
          <w:rFonts w:eastAsia="Calibri" w:cs="Arial"/>
          <w:b/>
          <w:bCs/>
          <w:color w:val="auto"/>
        </w:rPr>
        <w:t xml:space="preserve">AASB 17 </w:t>
      </w:r>
      <w:r w:rsidRPr="005C5CED">
        <w:rPr>
          <w:rFonts w:eastAsia="Calibri" w:cs="Arial"/>
          <w:b/>
          <w:bCs/>
          <w:i/>
          <w:iCs/>
          <w:color w:val="auto"/>
        </w:rPr>
        <w:t>Insurance Contracts</w:t>
      </w:r>
      <w:r w:rsidRPr="005C5CED">
        <w:rPr>
          <w:rFonts w:eastAsia="Calibri" w:cs="Arial"/>
          <w:b/>
          <w:bCs/>
          <w:color w:val="auto"/>
        </w:rPr>
        <w:t xml:space="preserve">, AASB 2022-8 </w:t>
      </w:r>
      <w:r w:rsidRPr="005C5CED">
        <w:rPr>
          <w:rFonts w:eastAsia="Calibri" w:cs="Arial"/>
          <w:b/>
          <w:bCs/>
          <w:i/>
          <w:iCs/>
          <w:color w:val="auto"/>
        </w:rPr>
        <w:t>Amendments to Australian Accounting Standards – Insurance Contracts: Consequential Amendments</w:t>
      </w:r>
      <w:r w:rsidRPr="005C5CED">
        <w:rPr>
          <w:rFonts w:eastAsia="Calibri" w:cs="Arial"/>
          <w:b/>
          <w:bCs/>
          <w:color w:val="auto"/>
        </w:rPr>
        <w:t xml:space="preserve"> and AASB 2022-9 </w:t>
      </w:r>
      <w:r w:rsidRPr="005C5CED">
        <w:rPr>
          <w:rFonts w:eastAsia="Calibri" w:cs="Arial"/>
          <w:b/>
          <w:bCs/>
          <w:i/>
          <w:iCs/>
          <w:color w:val="auto"/>
        </w:rPr>
        <w:t>Amendments to Australian Accounting Standards – Insurance Contracts in the Public Sector.</w:t>
      </w:r>
    </w:p>
    <w:p w14:paraId="32170E11"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AASB 17 replaces AASB 4 </w:t>
      </w:r>
      <w:r w:rsidRPr="005C5CED">
        <w:rPr>
          <w:rFonts w:eastAsia="Calibri" w:cs="Arial"/>
          <w:i/>
          <w:iCs/>
          <w:color w:val="auto"/>
        </w:rPr>
        <w:t>Insurance Contracts</w:t>
      </w:r>
      <w:r w:rsidRPr="005C5CED">
        <w:rPr>
          <w:rFonts w:eastAsia="Calibri" w:cs="Arial"/>
          <w:color w:val="auto"/>
        </w:rPr>
        <w:t xml:space="preserve">, AASB 1023 </w:t>
      </w:r>
      <w:r w:rsidRPr="005C5CED">
        <w:rPr>
          <w:rFonts w:eastAsia="Calibri" w:cs="Arial"/>
          <w:i/>
          <w:iCs/>
          <w:color w:val="auto"/>
        </w:rPr>
        <w:t>General Insurance Contracts</w:t>
      </w:r>
      <w:r w:rsidRPr="005C5CED">
        <w:rPr>
          <w:rFonts w:eastAsia="Calibri" w:cs="Arial"/>
          <w:color w:val="auto"/>
        </w:rPr>
        <w:t xml:space="preserve"> and AASB 1038 </w:t>
      </w:r>
      <w:r w:rsidRPr="005C5CED">
        <w:rPr>
          <w:rFonts w:eastAsia="Calibri" w:cs="Arial"/>
          <w:i/>
          <w:iCs/>
          <w:color w:val="auto"/>
        </w:rPr>
        <w:t>Life Insurance Contracts</w:t>
      </w:r>
      <w:r w:rsidRPr="005C5CED">
        <w:rPr>
          <w:rFonts w:eastAsia="Calibri" w:cs="Arial"/>
          <w:color w:val="auto"/>
        </w:rPr>
        <w:t xml:space="preserve"> for not-for-profit public sector entities for annual reporting periods beginning on or after 1 July 2026.</w:t>
      </w:r>
    </w:p>
    <w:p w14:paraId="39836982" w14:textId="77777777" w:rsidR="005C5CED" w:rsidRPr="005C5CED" w:rsidRDefault="005C5CED" w:rsidP="005C5CED">
      <w:pPr>
        <w:spacing w:line="259" w:lineRule="auto"/>
        <w:rPr>
          <w:rFonts w:eastAsia="Calibri" w:cs="Arial"/>
          <w:color w:val="auto"/>
        </w:rPr>
      </w:pPr>
      <w:r w:rsidRPr="005C5CED">
        <w:rPr>
          <w:rFonts w:eastAsia="Calibri" w:cs="Arial"/>
          <w:color w:val="auto"/>
        </w:rPr>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01737713" w14:textId="77777777" w:rsidR="005C5CED" w:rsidRPr="005C5CED" w:rsidRDefault="005C5CED" w:rsidP="005C5CED">
      <w:pPr>
        <w:spacing w:line="259" w:lineRule="auto"/>
        <w:rPr>
          <w:rFonts w:eastAsia="Calibri" w:cs="Arial"/>
          <w:color w:val="auto"/>
        </w:rPr>
      </w:pPr>
      <w:r w:rsidRPr="005C5CED">
        <w:rPr>
          <w:rFonts w:eastAsia="Calibri" w:cs="Arial"/>
          <w:color w:val="auto"/>
        </w:rPr>
        <w:t xml:space="preserve">AASB 2022-8 makes consequential amendments to other Australian Accounting Standards so that public sector entities are permitted to continue to apply AASB 4 and AASB 1023 to annual periods before 1 July 2026. </w:t>
      </w:r>
    </w:p>
    <w:p w14:paraId="45ABB505" w14:textId="77777777" w:rsidR="005C5CED" w:rsidRPr="005C5CED" w:rsidRDefault="005C5CED" w:rsidP="005C5CED">
      <w:pPr>
        <w:spacing w:line="259" w:lineRule="auto"/>
        <w:rPr>
          <w:rFonts w:eastAsia="Calibri" w:cs="Arial"/>
          <w:color w:val="auto"/>
        </w:rPr>
      </w:pPr>
      <w:r w:rsidRPr="005C5CED">
        <w:rPr>
          <w:rFonts w:eastAsia="Calibri" w:cs="Arial"/>
          <w:color w:val="auto"/>
        </w:rPr>
        <w:t>Sustainability Victoria is currently in the process of assessing the potential impact of these standards and amendments.</w:t>
      </w:r>
    </w:p>
    <w:p w14:paraId="674C6598" w14:textId="77777777" w:rsidR="005C5CED" w:rsidRPr="005C5CED" w:rsidRDefault="005C5CED" w:rsidP="005C5CED">
      <w:pPr>
        <w:spacing w:line="259" w:lineRule="auto"/>
        <w:rPr>
          <w:rFonts w:eastAsia="Calibri" w:cs="Arial"/>
          <w:color w:val="auto"/>
        </w:rPr>
      </w:pPr>
      <w:proofErr w:type="gramStart"/>
      <w:r w:rsidRPr="005C5CED">
        <w:rPr>
          <w:rFonts w:eastAsia="Calibri" w:cs="Arial"/>
          <w:color w:val="auto"/>
        </w:rPr>
        <w:t>A number of</w:t>
      </w:r>
      <w:proofErr w:type="gramEnd"/>
      <w:r w:rsidRPr="005C5CED">
        <w:rPr>
          <w:rFonts w:eastAsia="Calibri" w:cs="Arial"/>
          <w:color w:val="auto"/>
        </w:rPr>
        <w:t xml:space="preserve"> other standards and amendments have also been issued that apply to future reporting periods, however they are not expected to have any significant impact on the financial statements in the period of initial application.</w:t>
      </w:r>
    </w:p>
    <w:p w14:paraId="78E26948" w14:textId="77777777" w:rsidR="005C5CED" w:rsidRPr="005C5CED" w:rsidRDefault="005C5CED" w:rsidP="005C5CED">
      <w:pPr>
        <w:keepNext/>
        <w:keepLines/>
        <w:spacing w:before="240" w:after="60" w:line="240" w:lineRule="auto"/>
        <w:outlineLvl w:val="3"/>
        <w:rPr>
          <w:rFonts w:eastAsia="Yu Gothic Light" w:cs="Arial"/>
          <w:color w:val="000000"/>
          <w:sz w:val="16"/>
          <w:szCs w:val="16"/>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8.9 Glossary of technical items</w:t>
      </w:r>
    </w:p>
    <w:p w14:paraId="20EDF308"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Amortisation</w:t>
      </w:r>
      <w:r w:rsidRPr="005C5CED">
        <w:rPr>
          <w:rFonts w:eastAsia="Calibri" w:cs="Arial"/>
          <w:color w:val="auto"/>
        </w:rPr>
        <w:t xml:space="preserve"> is the expense which results from the consumption, extraction or use over time of a </w:t>
      </w:r>
      <w:proofErr w:type="gramStart"/>
      <w:r w:rsidRPr="005C5CED">
        <w:rPr>
          <w:rFonts w:eastAsia="Calibri" w:cs="Arial"/>
          <w:color w:val="auto"/>
        </w:rPr>
        <w:t>non-produced physical or intangible assets</w:t>
      </w:r>
      <w:proofErr w:type="gramEnd"/>
      <w:r w:rsidRPr="005C5CED">
        <w:rPr>
          <w:rFonts w:eastAsia="Calibri" w:cs="Arial"/>
          <w:color w:val="auto"/>
        </w:rPr>
        <w:t>. The expense is classified as another economic flow.</w:t>
      </w:r>
    </w:p>
    <w:p w14:paraId="639147C1"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Borrowings</w:t>
      </w:r>
      <w:r w:rsidRPr="005C5CED">
        <w:rPr>
          <w:rFonts w:eastAsia="Calibri" w:cs="Arial"/>
          <w:color w:val="auto"/>
        </w:rPr>
        <w:t xml:space="preserve"> refers to interest-bearing liabilities mainly raised from public borrowings raised through the Treasury Corporation of Victoria, lease liabilities, service concession arrangements and other interest-bearing arrangements. Borrowings also include </w:t>
      </w:r>
      <w:proofErr w:type="spellStart"/>
      <w:proofErr w:type="gramStart"/>
      <w:r w:rsidRPr="005C5CED">
        <w:rPr>
          <w:rFonts w:eastAsia="Calibri" w:cs="Arial"/>
          <w:color w:val="auto"/>
        </w:rPr>
        <w:t>non interest-bearing</w:t>
      </w:r>
      <w:proofErr w:type="spellEnd"/>
      <w:proofErr w:type="gramEnd"/>
      <w:r w:rsidRPr="005C5CED">
        <w:rPr>
          <w:rFonts w:eastAsia="Calibri" w:cs="Arial"/>
          <w:color w:val="auto"/>
        </w:rPr>
        <w:t xml:space="preserve"> advances from government that are acquired for policy purposes.</w:t>
      </w:r>
    </w:p>
    <w:p w14:paraId="577AACC0"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Commitments</w:t>
      </w:r>
      <w:r w:rsidRPr="005C5CED">
        <w:rPr>
          <w:rFonts w:eastAsia="Calibri" w:cs="Arial"/>
          <w:color w:val="auto"/>
        </w:rPr>
        <w:t xml:space="preserve"> include those operating, capital and other outsourcing commitments arising from non-cancellable contractual or statutory sources</w:t>
      </w:r>
    </w:p>
    <w:p w14:paraId="18422256"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Comprehensive result</w:t>
      </w:r>
      <w:r w:rsidRPr="005C5CED">
        <w:rPr>
          <w:rFonts w:eastAsia="Calibri" w:cs="Arial"/>
          <w:color w:val="auto"/>
        </w:rPr>
        <w:t xml:space="preserve"> amount included in the operating statement representing total change in net worth other than transactions with owners as owners.</w:t>
      </w:r>
    </w:p>
    <w:p w14:paraId="3C2BF5E3"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Depreciation</w:t>
      </w:r>
      <w:r w:rsidRPr="005C5CED">
        <w:rPr>
          <w:rFonts w:eastAsia="Calibri" w:cs="Arial"/>
          <w:color w:val="auto"/>
        </w:rPr>
        <w:t xml:space="preserve"> is an expense that arises from the consumption through wear or time of a produced physical or intangible asset.  This expense is classified as a 'transaction' and so reduces the 'net result from transactions'.</w:t>
      </w:r>
    </w:p>
    <w:p w14:paraId="7D84EB97" w14:textId="77777777" w:rsidR="005C5CED" w:rsidRPr="005C5CED" w:rsidRDefault="005C5CED" w:rsidP="005C5CED">
      <w:pPr>
        <w:spacing w:line="259" w:lineRule="auto"/>
        <w:rPr>
          <w:rFonts w:eastAsia="Times New Roman" w:cs="Arial"/>
          <w:b/>
          <w:bCs/>
          <w:color w:val="auto"/>
          <w:lang w:eastAsia="en-AU"/>
        </w:rPr>
      </w:pPr>
      <w:r w:rsidRPr="005C5CED">
        <w:rPr>
          <w:rFonts w:eastAsia="Calibri" w:cs="Arial"/>
          <w:b/>
          <w:bCs/>
          <w:color w:val="auto"/>
        </w:rPr>
        <w:t>Effective interest method</w:t>
      </w:r>
      <w:r w:rsidRPr="005C5CED">
        <w:rPr>
          <w:rFonts w:eastAsia="Calibri" w:cs="Arial"/>
          <w:color w:val="auto"/>
        </w:rP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6F4EEFCC"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Employee benefits expenses</w:t>
      </w:r>
      <w:r w:rsidRPr="005C5CED">
        <w:rPr>
          <w:rFonts w:eastAsia="Calibri" w:cs="Arial"/>
          <w:color w:val="auto"/>
        </w:rPr>
        <w:t xml:space="preserve"> include all costs related to employment, including wages and salaries, fringe benefits tax, leave entitlements, redundancy payments, defined benefits superannuation plans, and defined contribution superannuation plans.</w:t>
      </w:r>
    </w:p>
    <w:p w14:paraId="42524D56"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Ex-gratia expenses</w:t>
      </w:r>
      <w:r w:rsidRPr="005C5CED">
        <w:rPr>
          <w:rFonts w:eastAsia="Calibri" w:cs="Arial"/>
          <w:color w:val="auto"/>
        </w:rP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6A6DA931"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Financial asset</w:t>
      </w:r>
      <w:r w:rsidRPr="005C5CED">
        <w:rPr>
          <w:rFonts w:eastAsia="Calibri" w:cs="Arial"/>
          <w:color w:val="auto"/>
        </w:rPr>
        <w:t xml:space="preserve"> is any asset that is</w:t>
      </w:r>
    </w:p>
    <w:p w14:paraId="0C00AB8C" w14:textId="77777777" w:rsidR="005C5CED" w:rsidRPr="005C5CED" w:rsidRDefault="005C5CED" w:rsidP="00196A67">
      <w:pPr>
        <w:numPr>
          <w:ilvl w:val="0"/>
          <w:numId w:val="53"/>
        </w:numPr>
        <w:spacing w:line="259" w:lineRule="auto"/>
        <w:rPr>
          <w:rFonts w:eastAsia="Calibri" w:cs="Arial"/>
          <w:color w:val="auto"/>
        </w:rPr>
      </w:pPr>
      <w:proofErr w:type="gramStart"/>
      <w:r w:rsidRPr="005C5CED">
        <w:rPr>
          <w:rFonts w:eastAsia="Calibri" w:cs="Arial"/>
          <w:color w:val="auto"/>
        </w:rPr>
        <w:t>cash;</w:t>
      </w:r>
      <w:proofErr w:type="gramEnd"/>
    </w:p>
    <w:p w14:paraId="10C1DF2C" w14:textId="77777777" w:rsidR="005C5CED" w:rsidRPr="005C5CED" w:rsidRDefault="005C5CED" w:rsidP="00196A67">
      <w:pPr>
        <w:numPr>
          <w:ilvl w:val="0"/>
          <w:numId w:val="53"/>
        </w:numPr>
        <w:spacing w:line="259" w:lineRule="auto"/>
        <w:rPr>
          <w:rFonts w:eastAsia="Calibri" w:cs="Arial"/>
          <w:color w:val="auto"/>
        </w:rPr>
      </w:pPr>
      <w:r w:rsidRPr="005C5CED">
        <w:rPr>
          <w:rFonts w:eastAsia="Calibri" w:cs="Arial"/>
          <w:color w:val="auto"/>
        </w:rPr>
        <w:t xml:space="preserve">an equity instrument of another </w:t>
      </w:r>
      <w:proofErr w:type="gramStart"/>
      <w:r w:rsidRPr="005C5CED">
        <w:rPr>
          <w:rFonts w:eastAsia="Calibri" w:cs="Arial"/>
          <w:color w:val="auto"/>
        </w:rPr>
        <w:t>entity;</w:t>
      </w:r>
      <w:proofErr w:type="gramEnd"/>
    </w:p>
    <w:p w14:paraId="789B4F22" w14:textId="77777777" w:rsidR="005C5CED" w:rsidRPr="005C5CED" w:rsidRDefault="005C5CED" w:rsidP="00196A67">
      <w:pPr>
        <w:numPr>
          <w:ilvl w:val="0"/>
          <w:numId w:val="53"/>
        </w:numPr>
        <w:spacing w:line="259" w:lineRule="auto"/>
        <w:rPr>
          <w:rFonts w:eastAsia="Calibri" w:cs="Arial"/>
          <w:color w:val="auto"/>
        </w:rPr>
      </w:pPr>
      <w:r w:rsidRPr="005C5CED">
        <w:rPr>
          <w:rFonts w:eastAsia="Calibri" w:cs="Arial"/>
          <w:color w:val="auto"/>
        </w:rPr>
        <w:t>a contractual or statutory right:</w:t>
      </w:r>
    </w:p>
    <w:p w14:paraId="7937B55F" w14:textId="77777777" w:rsidR="005C5CED" w:rsidRPr="005C5CED" w:rsidRDefault="005C5CED" w:rsidP="00196A67">
      <w:pPr>
        <w:numPr>
          <w:ilvl w:val="1"/>
          <w:numId w:val="54"/>
        </w:numPr>
        <w:spacing w:line="259" w:lineRule="auto"/>
        <w:rPr>
          <w:rFonts w:eastAsia="Calibri" w:cs="Arial"/>
          <w:color w:val="auto"/>
        </w:rPr>
      </w:pPr>
      <w:r w:rsidRPr="005C5CED">
        <w:rPr>
          <w:rFonts w:eastAsia="Calibri" w:cs="Arial"/>
          <w:color w:val="auto"/>
        </w:rPr>
        <w:t>to receive cash or another financial asset from another entity; or</w:t>
      </w:r>
    </w:p>
    <w:p w14:paraId="6935FE9C" w14:textId="77777777" w:rsidR="005C5CED" w:rsidRPr="005C5CED" w:rsidRDefault="005C5CED" w:rsidP="00196A67">
      <w:pPr>
        <w:numPr>
          <w:ilvl w:val="1"/>
          <w:numId w:val="54"/>
        </w:numPr>
        <w:spacing w:line="259" w:lineRule="auto"/>
        <w:rPr>
          <w:rFonts w:eastAsia="Calibri" w:cs="Arial"/>
          <w:color w:val="auto"/>
        </w:rPr>
      </w:pPr>
      <w:r w:rsidRPr="005C5CED">
        <w:rPr>
          <w:rFonts w:eastAsia="Calibri" w:cs="Arial"/>
          <w:color w:val="auto"/>
        </w:rPr>
        <w:t xml:space="preserve">to exchange financial assets or financial liabilities with another entity under conditions    that are potentially favourable to the entity; or </w:t>
      </w:r>
    </w:p>
    <w:p w14:paraId="5775A5AD" w14:textId="77777777" w:rsidR="005C5CED" w:rsidRPr="005C5CED" w:rsidRDefault="005C5CED" w:rsidP="00196A67">
      <w:pPr>
        <w:numPr>
          <w:ilvl w:val="0"/>
          <w:numId w:val="53"/>
        </w:numPr>
        <w:spacing w:line="259" w:lineRule="auto"/>
        <w:rPr>
          <w:rFonts w:eastAsia="Times New Roman" w:cs="Arial"/>
          <w:color w:val="auto"/>
          <w:lang w:eastAsia="en-AU"/>
        </w:rPr>
      </w:pPr>
      <w:r w:rsidRPr="005C5CED">
        <w:rPr>
          <w:rFonts w:eastAsia="Calibri" w:cs="Arial"/>
          <w:color w:val="auto"/>
        </w:rPr>
        <w:t>a contract that will or may be settled in the entity's own equity instruments and is:</w:t>
      </w:r>
    </w:p>
    <w:p w14:paraId="5761B31D" w14:textId="77777777" w:rsidR="005C5CED" w:rsidRPr="005C5CED" w:rsidRDefault="005C5CED" w:rsidP="005C5CED">
      <w:pPr>
        <w:spacing w:line="259" w:lineRule="auto"/>
        <w:rPr>
          <w:rFonts w:eastAsia="Calibri" w:cs="Arial"/>
          <w:color w:val="auto"/>
        </w:rPr>
      </w:pPr>
    </w:p>
    <w:p w14:paraId="5A21547F" w14:textId="77777777" w:rsidR="005C5CED" w:rsidRPr="005C5CED" w:rsidRDefault="005C5CED" w:rsidP="00196A67">
      <w:pPr>
        <w:numPr>
          <w:ilvl w:val="1"/>
          <w:numId w:val="55"/>
        </w:numPr>
        <w:spacing w:line="259" w:lineRule="auto"/>
        <w:rPr>
          <w:rFonts w:eastAsia="Calibri" w:cs="Arial"/>
          <w:color w:val="auto"/>
        </w:rPr>
      </w:pPr>
      <w:r w:rsidRPr="005C5CED">
        <w:rPr>
          <w:rFonts w:eastAsia="Calibri" w:cs="Arial"/>
          <w:color w:val="auto"/>
        </w:rPr>
        <w:t>a non-derivative for which the entity is or may be obliged to receive a variable number of the entity's own equity instruments; or</w:t>
      </w:r>
      <w:r w:rsidRPr="005C5CED">
        <w:rPr>
          <w:rFonts w:eastAsia="Calibri" w:cs="Arial"/>
          <w:color w:val="auto"/>
        </w:rPr>
        <w:tab/>
      </w:r>
    </w:p>
    <w:p w14:paraId="4BB37ABB" w14:textId="77777777" w:rsidR="005C5CED" w:rsidRPr="005C5CED" w:rsidRDefault="005C5CED" w:rsidP="00196A67">
      <w:pPr>
        <w:numPr>
          <w:ilvl w:val="1"/>
          <w:numId w:val="55"/>
        </w:numPr>
        <w:spacing w:line="259" w:lineRule="auto"/>
        <w:rPr>
          <w:rFonts w:eastAsia="Calibri" w:cs="Arial"/>
          <w:color w:val="auto"/>
        </w:rPr>
      </w:pPr>
      <w:r w:rsidRPr="005C5CED">
        <w:rPr>
          <w:rFonts w:eastAsia="Calibri" w:cs="Arial"/>
          <w:color w:val="auto"/>
        </w:rPr>
        <w:t>a derivative that will or may be settled other than by the exchange of a fixed amount of cash or another financial asset for a fixed number of the entity's own equity instruments.</w:t>
      </w:r>
    </w:p>
    <w:p w14:paraId="3F7835AB"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Financial instrument</w:t>
      </w:r>
      <w:r w:rsidRPr="005C5CED">
        <w:rPr>
          <w:rFonts w:eastAsia="Calibri" w:cs="Arial"/>
          <w:color w:val="auto"/>
        </w:rPr>
        <w:t xml:space="preserve"> is any contract that gives rise to a financial asset of one entity and a financial liability or equity instrument of another entity. Financial assets or liabilities that are not contractual (such as statutory receivables or payables that arise </w:t>
      </w:r>
      <w:proofErr w:type="gramStart"/>
      <w:r w:rsidRPr="005C5CED">
        <w:rPr>
          <w:rFonts w:eastAsia="Calibri" w:cs="Arial"/>
          <w:color w:val="auto"/>
        </w:rPr>
        <w:t>as a result of</w:t>
      </w:r>
      <w:proofErr w:type="gramEnd"/>
      <w:r w:rsidRPr="005C5CED">
        <w:rPr>
          <w:rFonts w:eastAsia="Calibri" w:cs="Arial"/>
          <w:color w:val="auto"/>
        </w:rPr>
        <w:t xml:space="preserve"> statutory requirements imposed by governments) are not financial instruments.</w:t>
      </w:r>
    </w:p>
    <w:p w14:paraId="01AFC3E1"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Financial liability</w:t>
      </w:r>
      <w:r w:rsidRPr="005C5CED">
        <w:rPr>
          <w:rFonts w:eastAsia="Calibri" w:cs="Arial"/>
          <w:color w:val="auto"/>
        </w:rPr>
        <w:t xml:space="preserve"> is any liability that is:</w:t>
      </w:r>
    </w:p>
    <w:p w14:paraId="4EFA51A6" w14:textId="77777777" w:rsidR="005C5CED" w:rsidRPr="005C5CED" w:rsidRDefault="005C5CED" w:rsidP="00196A67">
      <w:pPr>
        <w:numPr>
          <w:ilvl w:val="0"/>
          <w:numId w:val="56"/>
        </w:numPr>
        <w:spacing w:line="259" w:lineRule="auto"/>
        <w:rPr>
          <w:rFonts w:eastAsia="Calibri" w:cs="Arial"/>
          <w:color w:val="auto"/>
        </w:rPr>
      </w:pPr>
      <w:r w:rsidRPr="005C5CED">
        <w:rPr>
          <w:rFonts w:eastAsia="Calibri" w:cs="Arial"/>
          <w:color w:val="auto"/>
        </w:rPr>
        <w:t>a contractual obligation:</w:t>
      </w:r>
    </w:p>
    <w:p w14:paraId="741B2F03" w14:textId="77777777" w:rsidR="005C5CED" w:rsidRPr="005C5CED" w:rsidRDefault="005C5CED" w:rsidP="00196A67">
      <w:pPr>
        <w:numPr>
          <w:ilvl w:val="1"/>
          <w:numId w:val="57"/>
        </w:numPr>
        <w:spacing w:line="259" w:lineRule="auto"/>
        <w:rPr>
          <w:rFonts w:eastAsia="Calibri" w:cs="Arial"/>
          <w:color w:val="auto"/>
        </w:rPr>
      </w:pPr>
      <w:r w:rsidRPr="005C5CED">
        <w:rPr>
          <w:rFonts w:eastAsia="Calibri" w:cs="Arial"/>
          <w:color w:val="auto"/>
        </w:rPr>
        <w:t>to deliver cash or another financial asset to another entity; or</w:t>
      </w:r>
    </w:p>
    <w:p w14:paraId="51E77189" w14:textId="77777777" w:rsidR="005C5CED" w:rsidRPr="005C5CED" w:rsidRDefault="005C5CED" w:rsidP="00196A67">
      <w:pPr>
        <w:numPr>
          <w:ilvl w:val="1"/>
          <w:numId w:val="57"/>
        </w:numPr>
        <w:spacing w:line="259" w:lineRule="auto"/>
        <w:rPr>
          <w:rFonts w:eastAsia="Calibri" w:cs="Arial"/>
          <w:color w:val="auto"/>
        </w:rPr>
      </w:pPr>
      <w:r w:rsidRPr="005C5CED">
        <w:rPr>
          <w:rFonts w:eastAsia="Calibri" w:cs="Arial"/>
          <w:color w:val="auto"/>
        </w:rPr>
        <w:t xml:space="preserve">to exchange financial assets or financial liabilities with another entity under conditions that are potentially unfavourable to the entity; or  </w:t>
      </w:r>
      <w:r w:rsidRPr="005C5CED">
        <w:rPr>
          <w:rFonts w:eastAsia="Calibri" w:cs="Arial"/>
          <w:color w:val="auto"/>
        </w:rPr>
        <w:tab/>
      </w:r>
      <w:r w:rsidRPr="005C5CED">
        <w:rPr>
          <w:rFonts w:eastAsia="Calibri" w:cs="Arial"/>
          <w:color w:val="auto"/>
        </w:rPr>
        <w:tab/>
      </w:r>
      <w:r w:rsidRPr="005C5CED">
        <w:rPr>
          <w:rFonts w:eastAsia="Calibri" w:cs="Arial"/>
          <w:color w:val="auto"/>
        </w:rPr>
        <w:tab/>
      </w:r>
      <w:r w:rsidRPr="005C5CED">
        <w:rPr>
          <w:rFonts w:eastAsia="Calibri" w:cs="Arial"/>
          <w:color w:val="auto"/>
        </w:rPr>
        <w:tab/>
      </w:r>
      <w:r w:rsidRPr="005C5CED">
        <w:rPr>
          <w:rFonts w:eastAsia="Calibri" w:cs="Arial"/>
          <w:color w:val="auto"/>
        </w:rPr>
        <w:tab/>
      </w:r>
      <w:r w:rsidRPr="005C5CED">
        <w:rPr>
          <w:rFonts w:eastAsia="Calibri" w:cs="Arial"/>
          <w:color w:val="auto"/>
        </w:rPr>
        <w:tab/>
      </w:r>
      <w:r w:rsidRPr="005C5CED">
        <w:rPr>
          <w:rFonts w:eastAsia="Calibri" w:cs="Arial"/>
          <w:color w:val="auto"/>
        </w:rPr>
        <w:tab/>
      </w:r>
    </w:p>
    <w:p w14:paraId="36FB80E4" w14:textId="77777777" w:rsidR="005C5CED" w:rsidRPr="005C5CED" w:rsidRDefault="005C5CED" w:rsidP="00196A67">
      <w:pPr>
        <w:numPr>
          <w:ilvl w:val="0"/>
          <w:numId w:val="56"/>
        </w:numPr>
        <w:spacing w:line="259" w:lineRule="auto"/>
        <w:rPr>
          <w:rFonts w:eastAsia="Calibri" w:cs="Arial"/>
          <w:color w:val="auto"/>
        </w:rPr>
      </w:pPr>
      <w:r w:rsidRPr="005C5CED">
        <w:rPr>
          <w:rFonts w:eastAsia="Calibri" w:cs="Arial"/>
          <w:color w:val="auto"/>
        </w:rPr>
        <w:t>a contract that will or may be settled in the entity's own equity instruments and is 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698C88C9" w14:textId="77777777" w:rsidR="005C5CED" w:rsidRPr="005C5CED" w:rsidRDefault="005C5CED" w:rsidP="005C5CED">
      <w:pPr>
        <w:spacing w:line="259" w:lineRule="auto"/>
        <w:rPr>
          <w:rFonts w:eastAsia="Calibri" w:cs="Arial"/>
          <w:b/>
          <w:bCs/>
          <w:color w:val="auto"/>
        </w:rPr>
      </w:pPr>
    </w:p>
    <w:p w14:paraId="4F687EAE" w14:textId="77777777" w:rsidR="005C5CED" w:rsidRPr="005C5CED" w:rsidRDefault="005C5CED" w:rsidP="005C5CED">
      <w:pPr>
        <w:spacing w:line="259" w:lineRule="auto"/>
        <w:rPr>
          <w:rFonts w:eastAsia="Calibri" w:cs="Arial"/>
          <w:b/>
          <w:bCs/>
          <w:color w:val="auto"/>
        </w:rPr>
      </w:pPr>
    </w:p>
    <w:p w14:paraId="76D0B61E" w14:textId="77777777" w:rsidR="005C5CED" w:rsidRPr="005C5CED" w:rsidRDefault="005C5CED" w:rsidP="005C5CED">
      <w:pPr>
        <w:spacing w:line="259" w:lineRule="auto"/>
        <w:rPr>
          <w:rFonts w:eastAsia="Calibri" w:cs="Arial"/>
          <w:b/>
          <w:bCs/>
          <w:color w:val="auto"/>
        </w:rPr>
      </w:pPr>
    </w:p>
    <w:p w14:paraId="3FE7A618" w14:textId="77777777" w:rsidR="005C5CED" w:rsidRPr="005C5CED" w:rsidRDefault="005C5CED" w:rsidP="005C5CED">
      <w:pPr>
        <w:spacing w:line="259" w:lineRule="auto"/>
        <w:rPr>
          <w:rFonts w:eastAsia="Calibri" w:cs="Arial"/>
          <w:b/>
          <w:bCs/>
          <w:color w:val="auto"/>
        </w:rPr>
      </w:pPr>
    </w:p>
    <w:p w14:paraId="34DBB0AD" w14:textId="77777777" w:rsidR="005C5CED" w:rsidRPr="005C5CED" w:rsidRDefault="005C5CED" w:rsidP="005C5CED">
      <w:pPr>
        <w:spacing w:line="259" w:lineRule="auto"/>
        <w:rPr>
          <w:rFonts w:eastAsia="Calibri" w:cs="Arial"/>
          <w:b/>
          <w:bCs/>
          <w:color w:val="auto"/>
        </w:rPr>
      </w:pPr>
    </w:p>
    <w:p w14:paraId="7B0DD232" w14:textId="77777777" w:rsidR="00FF35D9" w:rsidRDefault="00FF35D9">
      <w:pPr>
        <w:spacing w:line="259" w:lineRule="auto"/>
        <w:rPr>
          <w:rFonts w:eastAsia="Calibri" w:cs="Arial"/>
          <w:b/>
          <w:bCs/>
          <w:color w:val="auto"/>
        </w:rPr>
      </w:pPr>
      <w:r>
        <w:rPr>
          <w:rFonts w:eastAsia="Calibri" w:cs="Arial"/>
          <w:b/>
          <w:bCs/>
          <w:color w:val="auto"/>
        </w:rPr>
        <w:br w:type="page"/>
      </w:r>
    </w:p>
    <w:p w14:paraId="6B159B09" w14:textId="12344A29" w:rsidR="005C5CED" w:rsidRPr="005C5CED" w:rsidRDefault="005C5CED" w:rsidP="005C5CED">
      <w:pPr>
        <w:spacing w:line="259" w:lineRule="auto"/>
        <w:rPr>
          <w:rFonts w:eastAsia="Calibri" w:cs="Arial"/>
          <w:color w:val="auto"/>
        </w:rPr>
      </w:pPr>
      <w:r w:rsidRPr="005C5CED">
        <w:rPr>
          <w:rFonts w:eastAsia="Calibri" w:cs="Arial"/>
          <w:b/>
          <w:bCs/>
          <w:color w:val="auto"/>
        </w:rPr>
        <w:t>Financial statements</w:t>
      </w:r>
      <w:r w:rsidRPr="005C5CED">
        <w:rPr>
          <w:rFonts w:eastAsia="Calibri" w:cs="Arial"/>
          <w:color w:val="auto"/>
        </w:rPr>
        <w:t xml:space="preserve"> </w:t>
      </w:r>
    </w:p>
    <w:p w14:paraId="36E99F55" w14:textId="77777777" w:rsidR="005C5CED" w:rsidRPr="005C5CED" w:rsidRDefault="005C5CED" w:rsidP="005C5CED">
      <w:pPr>
        <w:spacing w:line="259" w:lineRule="auto"/>
        <w:rPr>
          <w:rFonts w:eastAsia="Calibri" w:cs="Arial"/>
          <w:b/>
          <w:bCs/>
          <w:color w:val="auto"/>
        </w:rPr>
      </w:pPr>
      <w:r w:rsidRPr="005C5CED">
        <w:rPr>
          <w:rFonts w:eastAsia="Calibri" w:cs="Arial"/>
          <w:color w:val="auto"/>
        </w:rPr>
        <w:t>A complete set of financial statements in the Annual Report comprises:</w:t>
      </w:r>
    </w:p>
    <w:p w14:paraId="3B924B7B" w14:textId="77777777" w:rsidR="005C5CED" w:rsidRPr="005C5CED" w:rsidRDefault="005C5CED" w:rsidP="00196A67">
      <w:pPr>
        <w:numPr>
          <w:ilvl w:val="0"/>
          <w:numId w:val="58"/>
        </w:numPr>
        <w:spacing w:line="259" w:lineRule="auto"/>
        <w:rPr>
          <w:rFonts w:eastAsia="Calibri" w:cs="Arial"/>
          <w:color w:val="auto"/>
        </w:rPr>
      </w:pPr>
      <w:r w:rsidRPr="005C5CED">
        <w:rPr>
          <w:rFonts w:eastAsia="Calibri" w:cs="Arial"/>
          <w:color w:val="auto"/>
        </w:rPr>
        <w:t xml:space="preserve">balance sheet as at the end of the </w:t>
      </w:r>
      <w:proofErr w:type="gramStart"/>
      <w:r w:rsidRPr="005C5CED">
        <w:rPr>
          <w:rFonts w:eastAsia="Calibri" w:cs="Arial"/>
          <w:color w:val="auto"/>
        </w:rPr>
        <w:t>period;</w:t>
      </w:r>
      <w:proofErr w:type="gramEnd"/>
    </w:p>
    <w:p w14:paraId="76669216" w14:textId="77777777" w:rsidR="005C5CED" w:rsidRPr="005C5CED" w:rsidRDefault="005C5CED" w:rsidP="00196A67">
      <w:pPr>
        <w:numPr>
          <w:ilvl w:val="0"/>
          <w:numId w:val="58"/>
        </w:numPr>
        <w:spacing w:line="259" w:lineRule="auto"/>
        <w:rPr>
          <w:rFonts w:eastAsia="Calibri" w:cs="Arial"/>
          <w:color w:val="auto"/>
        </w:rPr>
      </w:pPr>
      <w:r w:rsidRPr="005C5CED">
        <w:rPr>
          <w:rFonts w:eastAsia="Calibri" w:cs="Arial"/>
          <w:color w:val="auto"/>
        </w:rPr>
        <w:t xml:space="preserve">comprehensive operating statement for the </w:t>
      </w:r>
      <w:proofErr w:type="gramStart"/>
      <w:r w:rsidRPr="005C5CED">
        <w:rPr>
          <w:rFonts w:eastAsia="Calibri" w:cs="Arial"/>
          <w:color w:val="auto"/>
        </w:rPr>
        <w:t>period;</w:t>
      </w:r>
      <w:proofErr w:type="gramEnd"/>
    </w:p>
    <w:p w14:paraId="57FF3F1E" w14:textId="77777777" w:rsidR="005C5CED" w:rsidRPr="005C5CED" w:rsidRDefault="005C5CED" w:rsidP="00196A67">
      <w:pPr>
        <w:numPr>
          <w:ilvl w:val="0"/>
          <w:numId w:val="58"/>
        </w:numPr>
        <w:spacing w:line="259" w:lineRule="auto"/>
        <w:rPr>
          <w:rFonts w:eastAsia="Calibri" w:cs="Arial"/>
          <w:color w:val="auto"/>
        </w:rPr>
      </w:pPr>
      <w:r w:rsidRPr="005C5CED">
        <w:rPr>
          <w:rFonts w:eastAsia="Calibri" w:cs="Arial"/>
          <w:color w:val="auto"/>
        </w:rPr>
        <w:t xml:space="preserve">a statement of changes in equity for the </w:t>
      </w:r>
      <w:proofErr w:type="gramStart"/>
      <w:r w:rsidRPr="005C5CED">
        <w:rPr>
          <w:rFonts w:eastAsia="Calibri" w:cs="Arial"/>
          <w:color w:val="auto"/>
        </w:rPr>
        <w:t>period;</w:t>
      </w:r>
      <w:proofErr w:type="gramEnd"/>
    </w:p>
    <w:p w14:paraId="762535BD" w14:textId="77777777" w:rsidR="005C5CED" w:rsidRPr="005C5CED" w:rsidRDefault="005C5CED" w:rsidP="00196A67">
      <w:pPr>
        <w:numPr>
          <w:ilvl w:val="0"/>
          <w:numId w:val="58"/>
        </w:numPr>
        <w:spacing w:line="259" w:lineRule="auto"/>
        <w:rPr>
          <w:rFonts w:eastAsia="Calibri" w:cs="Arial"/>
          <w:color w:val="auto"/>
        </w:rPr>
      </w:pPr>
      <w:r w:rsidRPr="005C5CED">
        <w:rPr>
          <w:rFonts w:eastAsia="Calibri" w:cs="Arial"/>
          <w:color w:val="auto"/>
        </w:rPr>
        <w:t xml:space="preserve">cash flow statement for the </w:t>
      </w:r>
      <w:proofErr w:type="gramStart"/>
      <w:r w:rsidRPr="005C5CED">
        <w:rPr>
          <w:rFonts w:eastAsia="Calibri" w:cs="Arial"/>
          <w:color w:val="auto"/>
        </w:rPr>
        <w:t>period;</w:t>
      </w:r>
      <w:proofErr w:type="gramEnd"/>
      <w:r w:rsidRPr="005C5CED">
        <w:rPr>
          <w:rFonts w:eastAsia="Calibri" w:cs="Arial"/>
          <w:color w:val="auto"/>
        </w:rPr>
        <w:t xml:space="preserve"> </w:t>
      </w:r>
    </w:p>
    <w:p w14:paraId="0C8B9DAE" w14:textId="77777777" w:rsidR="005C5CED" w:rsidRPr="005C5CED" w:rsidRDefault="005C5CED" w:rsidP="00196A67">
      <w:pPr>
        <w:numPr>
          <w:ilvl w:val="0"/>
          <w:numId w:val="58"/>
        </w:numPr>
        <w:spacing w:line="259" w:lineRule="auto"/>
        <w:rPr>
          <w:rFonts w:eastAsia="Calibri" w:cs="Arial"/>
          <w:color w:val="auto"/>
        </w:rPr>
      </w:pPr>
      <w:r w:rsidRPr="005C5CED">
        <w:rPr>
          <w:rFonts w:eastAsia="Calibri" w:cs="Arial"/>
          <w:color w:val="auto"/>
        </w:rPr>
        <w:t xml:space="preserve">notes, comprising a summary of significant accounting policies and other explanatory </w:t>
      </w:r>
      <w:proofErr w:type="gramStart"/>
      <w:r w:rsidRPr="005C5CED">
        <w:rPr>
          <w:rFonts w:eastAsia="Calibri" w:cs="Arial"/>
          <w:color w:val="auto"/>
        </w:rPr>
        <w:t>information;</w:t>
      </w:r>
      <w:proofErr w:type="gramEnd"/>
    </w:p>
    <w:p w14:paraId="632CE62A" w14:textId="77777777" w:rsidR="005C5CED" w:rsidRPr="005C5CED" w:rsidRDefault="005C5CED" w:rsidP="00196A67">
      <w:pPr>
        <w:numPr>
          <w:ilvl w:val="0"/>
          <w:numId w:val="58"/>
        </w:numPr>
        <w:spacing w:line="259" w:lineRule="auto"/>
        <w:rPr>
          <w:rFonts w:eastAsia="Calibri" w:cs="Arial"/>
          <w:color w:val="auto"/>
        </w:rPr>
      </w:pPr>
      <w:r w:rsidRPr="005C5CED">
        <w:rPr>
          <w:rFonts w:eastAsia="Calibri" w:cs="Arial"/>
          <w:color w:val="auto"/>
        </w:rPr>
        <w:t xml:space="preserve">comparative information in respect of the preceding period as specified in paragraphs 38 of </w:t>
      </w:r>
      <w:r w:rsidRPr="005C5CED">
        <w:rPr>
          <w:rFonts w:eastAsia="Calibri" w:cs="Arial"/>
          <w:i/>
          <w:iCs/>
          <w:color w:val="auto"/>
        </w:rPr>
        <w:t>AASB 101 Presentation of Financial Statements</w:t>
      </w:r>
      <w:r w:rsidRPr="005C5CED">
        <w:rPr>
          <w:rFonts w:eastAsia="Calibri" w:cs="Arial"/>
          <w:color w:val="auto"/>
        </w:rPr>
        <w:t>; and</w:t>
      </w:r>
    </w:p>
    <w:p w14:paraId="4C86BDD0" w14:textId="77777777" w:rsidR="005C5CED" w:rsidRPr="005C5CED" w:rsidRDefault="005C5CED" w:rsidP="00196A67">
      <w:pPr>
        <w:numPr>
          <w:ilvl w:val="0"/>
          <w:numId w:val="58"/>
        </w:numPr>
        <w:spacing w:line="259" w:lineRule="auto"/>
        <w:rPr>
          <w:rFonts w:eastAsia="Calibri" w:cs="Arial"/>
          <w:color w:val="auto"/>
        </w:rPr>
      </w:pPr>
      <w:r w:rsidRPr="005C5CED">
        <w:rPr>
          <w:rFonts w:eastAsia="Calibri" w:cs="Arial"/>
          <w:color w:val="auto"/>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682CA542"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Grants and other transfers</w:t>
      </w:r>
      <w:r w:rsidRPr="005C5CED">
        <w:rPr>
          <w:rFonts w:eastAsia="Calibri" w:cs="Arial"/>
          <w:color w:val="auto"/>
        </w:rPr>
        <w:t xml:space="preserve"> transactions in which one unit provides goods, services, assets (or extinguishes a liability) or labour to another unit without receiving approximately equal value in return. Grants can either be operating or capital in nature.</w:t>
      </w:r>
    </w:p>
    <w:p w14:paraId="13CCC6DF" w14:textId="77777777" w:rsidR="005C5CED" w:rsidRPr="005C5CED" w:rsidRDefault="005C5CED" w:rsidP="005C5CED">
      <w:pPr>
        <w:spacing w:line="259" w:lineRule="auto"/>
        <w:rPr>
          <w:rFonts w:eastAsia="Calibri" w:cs="Arial"/>
          <w:color w:val="auto"/>
        </w:rPr>
      </w:pPr>
      <w:r w:rsidRPr="005C5CED">
        <w:rPr>
          <w:rFonts w:eastAsia="Calibri" w:cs="Arial"/>
          <w:color w:val="auto"/>
        </w:rP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taxpayers in return for their taxes.</w:t>
      </w:r>
    </w:p>
    <w:p w14:paraId="31F61016" w14:textId="77777777" w:rsidR="005C5CED" w:rsidRPr="005C5CED" w:rsidRDefault="005C5CED" w:rsidP="005C5CED">
      <w:pPr>
        <w:spacing w:line="259" w:lineRule="auto"/>
        <w:rPr>
          <w:rFonts w:eastAsia="Calibri" w:cs="Arial"/>
          <w:color w:val="auto"/>
        </w:rPr>
      </w:pPr>
      <w:r w:rsidRPr="005C5CED">
        <w:rPr>
          <w:rFonts w:eastAsia="Calibri" w:cs="Arial"/>
          <w:color w:val="auto"/>
        </w:rPr>
        <w:t>Grants can be paid as general-purpose grants which refer to grants that are not subject to conditions regarding their use.  Alternatively, they may be paid as specific purpose grants which are paid for a particular purpose and / or have conditions attached regarding their use.</w:t>
      </w:r>
    </w:p>
    <w:p w14:paraId="47D3E2E0"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 xml:space="preserve">Grants for on-passing </w:t>
      </w:r>
      <w:r w:rsidRPr="005C5CED">
        <w:rPr>
          <w:rFonts w:eastAsia="Calibri" w:cs="Arial"/>
          <w:color w:val="auto"/>
        </w:rPr>
        <w:t>are grants paid to one institutional sector (e.g. a State general government entity) to be passed on to another institutional sector (e.g. local government or a private non-profit institution).</w:t>
      </w:r>
    </w:p>
    <w:p w14:paraId="26B37EC6" w14:textId="77777777" w:rsidR="005C5CED" w:rsidRPr="005C5CED" w:rsidRDefault="005C5CED" w:rsidP="005C5CED">
      <w:pPr>
        <w:spacing w:line="259" w:lineRule="auto"/>
        <w:rPr>
          <w:rFonts w:eastAsia="Times New Roman" w:cs="Arial"/>
          <w:b/>
          <w:bCs/>
          <w:color w:val="auto"/>
          <w:lang w:eastAsia="en-AU"/>
        </w:rPr>
      </w:pPr>
      <w:r w:rsidRPr="005C5CED">
        <w:rPr>
          <w:rFonts w:eastAsia="Calibri" w:cs="Arial"/>
          <w:b/>
          <w:bCs/>
          <w:color w:val="auto"/>
        </w:rPr>
        <w:t>Interest expense</w:t>
      </w:r>
      <w:r w:rsidRPr="005C5CED">
        <w:rPr>
          <w:rFonts w:eastAsia="Calibri" w:cs="Arial"/>
          <w:color w:val="auto"/>
        </w:rPr>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14:paraId="4F132BC6"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Interest income</w:t>
      </w:r>
      <w:r w:rsidRPr="005C5CED">
        <w:rPr>
          <w:rFonts w:eastAsia="Calibri" w:cs="Arial"/>
          <w:color w:val="auto"/>
        </w:rPr>
        <w:t xml:space="preserve"> includes unwinding over time of discounts on financial assets and interest received on bank term deposits and other investments.</w:t>
      </w:r>
    </w:p>
    <w:p w14:paraId="2D832D76"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Leases</w:t>
      </w:r>
      <w:r w:rsidRPr="005C5CED">
        <w:rPr>
          <w:rFonts w:eastAsia="Calibri" w:cs="Arial"/>
          <w:color w:val="auto"/>
        </w:rPr>
        <w:t xml:space="preserve"> are rights conveyed in a contract, or part of a contract, the right to use an asset (the underlying asset) for </w:t>
      </w:r>
      <w:proofErr w:type="gramStart"/>
      <w:r w:rsidRPr="005C5CED">
        <w:rPr>
          <w:rFonts w:eastAsia="Calibri" w:cs="Arial"/>
          <w:color w:val="auto"/>
        </w:rPr>
        <w:t>a period of time</w:t>
      </w:r>
      <w:proofErr w:type="gramEnd"/>
      <w:r w:rsidRPr="005C5CED">
        <w:rPr>
          <w:rFonts w:eastAsia="Calibri" w:cs="Arial"/>
          <w:color w:val="auto"/>
        </w:rPr>
        <w:t xml:space="preserve"> in exchange for consideration.</w:t>
      </w:r>
    </w:p>
    <w:p w14:paraId="1C73DC3D"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Net operating balance or net result from transactions</w:t>
      </w:r>
      <w:r w:rsidRPr="005C5CED">
        <w:rPr>
          <w:rFonts w:eastAsia="Calibri" w:cs="Arial"/>
          <w:color w:val="auto"/>
        </w:rP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23D4D7DE"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 xml:space="preserve">Net result </w:t>
      </w:r>
      <w:r w:rsidRPr="005C5CED">
        <w:rPr>
          <w:rFonts w:eastAsia="Calibri" w:cs="Arial"/>
          <w:color w:val="auto"/>
        </w:rPr>
        <w:t>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376A32F8" w14:textId="77777777" w:rsidR="005C5CED" w:rsidRPr="005C5CED" w:rsidRDefault="005C5CED" w:rsidP="005C5CED">
      <w:pPr>
        <w:spacing w:line="259" w:lineRule="auto"/>
        <w:rPr>
          <w:rFonts w:eastAsia="Times New Roman" w:cs="Arial"/>
          <w:color w:val="auto"/>
          <w:lang w:eastAsia="en-AU"/>
        </w:rPr>
      </w:pPr>
      <w:r w:rsidRPr="005C5CED">
        <w:rPr>
          <w:rFonts w:eastAsia="Times New Roman" w:cs="Arial"/>
          <w:b/>
          <w:bCs/>
          <w:color w:val="auto"/>
          <w:lang w:eastAsia="en-AU"/>
        </w:rPr>
        <w:t xml:space="preserve">Net worth </w:t>
      </w:r>
      <w:r w:rsidRPr="005C5CED">
        <w:rPr>
          <w:rFonts w:eastAsia="Times New Roman" w:cs="Arial"/>
          <w:color w:val="auto"/>
          <w:lang w:eastAsia="en-AU"/>
        </w:rPr>
        <w:t>assets less liabilities, which is an economic measure of wealth.</w:t>
      </w:r>
    </w:p>
    <w:p w14:paraId="00322D56" w14:textId="77777777" w:rsidR="005C5CED" w:rsidRPr="005C5CED" w:rsidRDefault="005C5CED" w:rsidP="005C5CED">
      <w:pPr>
        <w:spacing w:line="259" w:lineRule="auto"/>
        <w:rPr>
          <w:rFonts w:eastAsia="Times New Roman" w:cs="Arial"/>
          <w:color w:val="auto"/>
          <w:lang w:eastAsia="en-AU"/>
        </w:rPr>
      </w:pPr>
      <w:r w:rsidRPr="005C5CED">
        <w:rPr>
          <w:rFonts w:eastAsia="Times New Roman" w:cs="Arial"/>
          <w:b/>
          <w:bCs/>
          <w:color w:val="auto"/>
          <w:lang w:eastAsia="en-AU"/>
        </w:rPr>
        <w:t>Non-financial assets</w:t>
      </w:r>
      <w:r w:rsidRPr="005C5CED">
        <w:rPr>
          <w:rFonts w:eastAsia="Times New Roman" w:cs="Arial"/>
          <w:color w:val="auto"/>
          <w:lang w:eastAsia="en-AU"/>
        </w:rP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001FC88" w14:textId="77777777" w:rsidR="005C5CED" w:rsidRPr="005C5CED" w:rsidRDefault="005C5CED" w:rsidP="005C5CED">
      <w:pPr>
        <w:spacing w:line="259" w:lineRule="auto"/>
        <w:rPr>
          <w:rFonts w:eastAsia="Times New Roman" w:cs="Arial"/>
          <w:b/>
          <w:bCs/>
          <w:color w:val="auto"/>
          <w:lang w:eastAsia="en-AU"/>
        </w:rPr>
      </w:pPr>
      <w:r w:rsidRPr="005C5CED">
        <w:rPr>
          <w:rFonts w:eastAsia="Calibri" w:cs="Arial"/>
          <w:b/>
          <w:bCs/>
          <w:color w:val="auto"/>
        </w:rPr>
        <w:t xml:space="preserve">Other economic flows included in net result </w:t>
      </w:r>
      <w:r w:rsidRPr="005C5CED">
        <w:rPr>
          <w:rFonts w:eastAsia="Calibri" w:cs="Arial"/>
          <w:color w:val="auto"/>
        </w:rPr>
        <w:t>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w:t>
      </w:r>
      <w:proofErr w:type="spellStart"/>
      <w:r w:rsidRPr="005C5CED">
        <w:rPr>
          <w:rFonts w:eastAsia="Calibri" w:cs="Arial"/>
          <w:color w:val="auto"/>
        </w:rPr>
        <w:t>non produced</w:t>
      </w:r>
      <w:proofErr w:type="spellEnd"/>
      <w:r w:rsidRPr="005C5CED">
        <w:rPr>
          <w:rFonts w:eastAsia="Calibri" w:cs="Arial"/>
          <w:color w:val="auto"/>
        </w:rPr>
        <w:t>) from their use or removal.</w:t>
      </w:r>
    </w:p>
    <w:p w14:paraId="0741C168"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 xml:space="preserve">Other economic flows: other comprehensive income </w:t>
      </w:r>
      <w:r w:rsidRPr="005C5CED">
        <w:rPr>
          <w:rFonts w:eastAsia="Calibri" w:cs="Arial"/>
          <w:color w:val="auto"/>
        </w:rPr>
        <w:t>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00A56609" w14:textId="77777777" w:rsidR="005C5CED" w:rsidRPr="005C5CED" w:rsidRDefault="005C5CED" w:rsidP="005C5CED">
      <w:pPr>
        <w:spacing w:line="259" w:lineRule="auto"/>
        <w:rPr>
          <w:rFonts w:eastAsia="Calibri" w:cs="Arial"/>
          <w:b/>
          <w:bCs/>
          <w:color w:val="auto"/>
        </w:rPr>
      </w:pPr>
      <w:r w:rsidRPr="005C5CED">
        <w:rPr>
          <w:rFonts w:eastAsia="Calibri" w:cs="Arial"/>
          <w:b/>
          <w:bCs/>
          <w:color w:val="auto"/>
        </w:rPr>
        <w:t xml:space="preserve">Payables </w:t>
      </w:r>
      <w:r w:rsidRPr="005C5CED">
        <w:rPr>
          <w:rFonts w:eastAsia="Calibri" w:cs="Arial"/>
          <w:color w:val="auto"/>
        </w:rPr>
        <w:t>includes short- and long-term trade debt and accounts payable, grants, taxes, and interest payable.</w:t>
      </w:r>
    </w:p>
    <w:p w14:paraId="64482409"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Receivables</w:t>
      </w:r>
      <w:r w:rsidRPr="005C5CED">
        <w:rPr>
          <w:rFonts w:eastAsia="Calibri" w:cs="Arial"/>
          <w:color w:val="auto"/>
        </w:rPr>
        <w:t xml:space="preserve"> includes amounts owing from government through appropriation receivable, short- and long-term trade credit and accounts receivable, accrued investment income, grants, taxes, and interest receivable.</w:t>
      </w:r>
    </w:p>
    <w:p w14:paraId="3E9B5306"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 xml:space="preserve">Sales of goods and services </w:t>
      </w:r>
      <w:r w:rsidRPr="005C5CED">
        <w:rPr>
          <w:rFonts w:eastAsia="Calibri" w:cs="Arial"/>
          <w:color w:val="auto"/>
        </w:rPr>
        <w:t xml:space="preserve">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entertainment but excludes rent income from the use of non-produced assets such as land. User charges </w:t>
      </w:r>
      <w:proofErr w:type="gramStart"/>
      <w:r w:rsidRPr="005C5CED">
        <w:rPr>
          <w:rFonts w:eastAsia="Calibri" w:cs="Arial"/>
          <w:color w:val="auto"/>
        </w:rPr>
        <w:t>includes</w:t>
      </w:r>
      <w:proofErr w:type="gramEnd"/>
      <w:r w:rsidRPr="005C5CED">
        <w:rPr>
          <w:rFonts w:eastAsia="Calibri" w:cs="Arial"/>
          <w:color w:val="auto"/>
        </w:rPr>
        <w:t xml:space="preserve"> sale of goods and services income.</w:t>
      </w:r>
    </w:p>
    <w:p w14:paraId="67CCE5BE"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Supplies and services</w:t>
      </w:r>
      <w:r w:rsidRPr="005C5CED">
        <w:rPr>
          <w:rFonts w:eastAsia="Calibri" w:cs="Arial"/>
          <w:color w:val="auto"/>
        </w:rPr>
        <w:t xml:space="preserve"> generally, represent cost of goods sold and the day-to-day running costs, including maintenance costs, incurred in the normal operations of Sustainability Victoria.</w:t>
      </w:r>
    </w:p>
    <w:p w14:paraId="3A969EB0" w14:textId="77777777" w:rsidR="005C5CED" w:rsidRPr="005C5CED" w:rsidRDefault="005C5CED" w:rsidP="005C5CED">
      <w:pPr>
        <w:spacing w:line="259" w:lineRule="auto"/>
        <w:rPr>
          <w:rFonts w:eastAsia="Calibri" w:cs="Arial"/>
          <w:color w:val="auto"/>
        </w:rPr>
      </w:pPr>
      <w:r w:rsidRPr="005C5CED">
        <w:rPr>
          <w:rFonts w:eastAsia="Calibri" w:cs="Arial"/>
          <w:b/>
          <w:bCs/>
          <w:color w:val="auto"/>
        </w:rPr>
        <w:t>Transactions</w:t>
      </w:r>
      <w:r w:rsidRPr="005C5CED">
        <w:rPr>
          <w:rFonts w:eastAsia="Calibri" w:cs="Arial"/>
          <w:color w:val="auto"/>
        </w:rPr>
        <w:t xml:space="preserve"> are those economic flows that are considered to arise </w:t>
      </w:r>
      <w:proofErr w:type="gramStart"/>
      <w:r w:rsidRPr="005C5CED">
        <w:rPr>
          <w:rFonts w:eastAsia="Calibri" w:cs="Arial"/>
          <w:color w:val="auto"/>
        </w:rPr>
        <w:t>as a result of</w:t>
      </w:r>
      <w:proofErr w:type="gramEnd"/>
      <w:r w:rsidRPr="005C5CED">
        <w:rPr>
          <w:rFonts w:eastAsia="Calibri" w:cs="Arial"/>
          <w:color w:val="auto"/>
        </w:rPr>
        <w:t xml:space="preserve"> policy decisions, usually an interaction between two entities by mutual agreement. They also include flows 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 </w:t>
      </w:r>
    </w:p>
    <w:p w14:paraId="3F5298A9" w14:textId="77777777" w:rsidR="005C5CED" w:rsidRPr="005C5CED" w:rsidRDefault="005C5CED" w:rsidP="005C5CED">
      <w:pPr>
        <w:keepNext/>
        <w:keepLines/>
        <w:spacing w:before="240" w:after="60" w:line="240" w:lineRule="auto"/>
        <w:outlineLvl w:val="3"/>
        <w:rPr>
          <w:rFonts w:eastAsia="Yu Gothic Light" w:cs="Times New Roman"/>
          <w:color w:val="000000"/>
          <w:sz w:val="24"/>
          <w:szCs w:val="24"/>
          <w14:textFill>
            <w14:solidFill>
              <w14:srgbClr w14:val="000000">
                <w14:lumMod w14:val="65000"/>
                <w14:lumOff w14:val="35000"/>
              </w14:srgbClr>
            </w14:solidFill>
          </w14:textFill>
        </w:rPr>
      </w:pPr>
      <w:r w:rsidRPr="005C5CED">
        <w:rPr>
          <w:rFonts w:eastAsia="Yu Gothic Light" w:cs="Times New Roman"/>
          <w:color w:val="000000"/>
          <w:sz w:val="24"/>
          <w:szCs w:val="24"/>
          <w14:textFill>
            <w14:solidFill>
              <w14:srgbClr w14:val="000000">
                <w14:lumMod w14:val="65000"/>
                <w14:lumOff w14:val="35000"/>
              </w14:srgbClr>
            </w14:solidFill>
          </w14:textFill>
        </w:rPr>
        <w:t>Note 8.10 Style conventions</w:t>
      </w:r>
    </w:p>
    <w:p w14:paraId="5EB75340" w14:textId="77777777" w:rsidR="005C5CED" w:rsidRPr="005C5CED" w:rsidRDefault="005C5CED" w:rsidP="005C5CED">
      <w:pPr>
        <w:spacing w:line="259" w:lineRule="auto"/>
        <w:rPr>
          <w:rFonts w:eastAsia="Calibri" w:cs="Arial"/>
          <w:color w:val="auto"/>
        </w:rPr>
      </w:pPr>
      <w:r w:rsidRPr="005C5CED">
        <w:rPr>
          <w:rFonts w:eastAsia="Calibri" w:cs="Arial"/>
          <w:color w:val="auto"/>
        </w:rPr>
        <w:t>Figures in the tables and in the text have been rounded. Discrepancies in tables between totals and sums of components reflect rounding. Percentage variations in all tables are based on the underlying unrounded amounts.</w:t>
      </w:r>
    </w:p>
    <w:p w14:paraId="3A019F82" w14:textId="77777777" w:rsidR="005C5CED" w:rsidRPr="005C5CED" w:rsidRDefault="005C5CED" w:rsidP="005C5CED">
      <w:pPr>
        <w:spacing w:line="259" w:lineRule="auto"/>
        <w:rPr>
          <w:rFonts w:eastAsia="Calibri" w:cs="Arial"/>
          <w:color w:val="auto"/>
        </w:rPr>
      </w:pPr>
      <w:r w:rsidRPr="005C5CED">
        <w:rPr>
          <w:rFonts w:eastAsia="Calibri" w:cs="Arial"/>
          <w:color w:val="auto"/>
        </w:rPr>
        <w:t>The notation used in the tables is as follows:</w:t>
      </w:r>
    </w:p>
    <w:tbl>
      <w:tblPr>
        <w:tblStyle w:val="TableGrid20"/>
        <w:tblW w:w="0" w:type="auto"/>
        <w:tblLook w:val="04A0" w:firstRow="1" w:lastRow="0" w:firstColumn="1" w:lastColumn="0" w:noHBand="0" w:noVBand="1"/>
      </w:tblPr>
      <w:tblGrid>
        <w:gridCol w:w="1328"/>
        <w:gridCol w:w="2781"/>
      </w:tblGrid>
      <w:tr w:rsidR="005C5CED" w:rsidRPr="005C5CED" w14:paraId="6C7F301F" w14:textId="77777777" w:rsidTr="0062462F">
        <w:tc>
          <w:tcPr>
            <w:tcW w:w="1328" w:type="dxa"/>
          </w:tcPr>
          <w:p w14:paraId="6B510F39" w14:textId="77777777" w:rsidR="005C5CED" w:rsidRPr="005C5CED" w:rsidRDefault="005C5CED" w:rsidP="005C5CED">
            <w:pPr>
              <w:spacing w:line="240" w:lineRule="auto"/>
              <w:rPr>
                <w:rFonts w:eastAsia="Calibri" w:cs="Arial"/>
                <w:color w:val="auto"/>
                <w:sz w:val="22"/>
              </w:rPr>
            </w:pPr>
            <w:r w:rsidRPr="005C5CED">
              <w:rPr>
                <w:rFonts w:eastAsia="Calibri" w:cs="Arial"/>
                <w:color w:val="auto"/>
                <w:sz w:val="22"/>
              </w:rPr>
              <w:t>–</w:t>
            </w:r>
          </w:p>
        </w:tc>
        <w:tc>
          <w:tcPr>
            <w:tcW w:w="2781" w:type="dxa"/>
          </w:tcPr>
          <w:p w14:paraId="1FC1E51C" w14:textId="77777777" w:rsidR="005C5CED" w:rsidRPr="005C5CED" w:rsidRDefault="005C5CED" w:rsidP="005C5CED">
            <w:pPr>
              <w:spacing w:line="240" w:lineRule="auto"/>
              <w:rPr>
                <w:rFonts w:eastAsia="Calibri" w:cs="Arial"/>
                <w:color w:val="auto"/>
                <w:sz w:val="22"/>
              </w:rPr>
            </w:pPr>
            <w:r w:rsidRPr="005C5CED">
              <w:rPr>
                <w:rFonts w:eastAsia="Calibri" w:cs="Arial"/>
                <w:color w:val="auto"/>
                <w:sz w:val="22"/>
              </w:rPr>
              <w:t>zero, or rounded to zero</w:t>
            </w:r>
          </w:p>
        </w:tc>
      </w:tr>
      <w:tr w:rsidR="005C5CED" w:rsidRPr="005C5CED" w14:paraId="128CA187" w14:textId="77777777" w:rsidTr="0062462F">
        <w:tc>
          <w:tcPr>
            <w:tcW w:w="1328" w:type="dxa"/>
          </w:tcPr>
          <w:p w14:paraId="66660401" w14:textId="77777777" w:rsidR="005C5CED" w:rsidRPr="005C5CED" w:rsidRDefault="005C5CED" w:rsidP="005C5CED">
            <w:pPr>
              <w:spacing w:line="240" w:lineRule="auto"/>
              <w:rPr>
                <w:rFonts w:eastAsia="Calibri" w:cs="Arial"/>
                <w:color w:val="auto"/>
                <w:sz w:val="22"/>
              </w:rPr>
            </w:pPr>
            <w:r w:rsidRPr="005C5CED">
              <w:rPr>
                <w:rFonts w:eastAsia="Calibri" w:cs="Arial"/>
                <w:color w:val="auto"/>
                <w:sz w:val="22"/>
              </w:rPr>
              <w:t>(</w:t>
            </w:r>
            <w:proofErr w:type="spellStart"/>
            <w:r w:rsidRPr="005C5CED">
              <w:rPr>
                <w:rFonts w:eastAsia="Calibri" w:cs="Arial"/>
                <w:color w:val="auto"/>
                <w:sz w:val="22"/>
              </w:rPr>
              <w:t>xxx.x</w:t>
            </w:r>
            <w:proofErr w:type="spellEnd"/>
            <w:r w:rsidRPr="005C5CED">
              <w:rPr>
                <w:rFonts w:eastAsia="Calibri" w:cs="Arial"/>
                <w:color w:val="auto"/>
                <w:sz w:val="22"/>
              </w:rPr>
              <w:t>)</w:t>
            </w:r>
          </w:p>
        </w:tc>
        <w:tc>
          <w:tcPr>
            <w:tcW w:w="2781" w:type="dxa"/>
          </w:tcPr>
          <w:p w14:paraId="72B4862F" w14:textId="77777777" w:rsidR="005C5CED" w:rsidRPr="005C5CED" w:rsidRDefault="005C5CED" w:rsidP="005C5CED">
            <w:pPr>
              <w:spacing w:line="240" w:lineRule="auto"/>
              <w:rPr>
                <w:rFonts w:eastAsia="Calibri" w:cs="Arial"/>
                <w:color w:val="auto"/>
                <w:sz w:val="22"/>
              </w:rPr>
            </w:pPr>
            <w:r w:rsidRPr="005C5CED">
              <w:rPr>
                <w:rFonts w:eastAsia="Calibri" w:cs="Arial"/>
                <w:color w:val="auto"/>
                <w:sz w:val="22"/>
              </w:rPr>
              <w:t>negative numbers</w:t>
            </w:r>
          </w:p>
        </w:tc>
      </w:tr>
      <w:tr w:rsidR="005C5CED" w:rsidRPr="005C5CED" w14:paraId="743ED57D" w14:textId="77777777" w:rsidTr="0062462F">
        <w:tc>
          <w:tcPr>
            <w:tcW w:w="1328" w:type="dxa"/>
          </w:tcPr>
          <w:p w14:paraId="381D739D" w14:textId="77777777" w:rsidR="005C5CED" w:rsidRPr="005C5CED" w:rsidRDefault="005C5CED" w:rsidP="005C5CED">
            <w:pPr>
              <w:spacing w:line="240" w:lineRule="auto"/>
              <w:rPr>
                <w:rFonts w:eastAsia="Calibri" w:cs="Arial"/>
                <w:color w:val="auto"/>
                <w:sz w:val="22"/>
              </w:rPr>
            </w:pPr>
            <w:r w:rsidRPr="005C5CED">
              <w:rPr>
                <w:rFonts w:eastAsia="Calibri" w:cs="Arial"/>
                <w:color w:val="auto"/>
                <w:sz w:val="22"/>
              </w:rPr>
              <w:t>200x</w:t>
            </w:r>
          </w:p>
        </w:tc>
        <w:tc>
          <w:tcPr>
            <w:tcW w:w="2781" w:type="dxa"/>
          </w:tcPr>
          <w:p w14:paraId="5CE91105" w14:textId="77777777" w:rsidR="005C5CED" w:rsidRPr="005C5CED" w:rsidRDefault="005C5CED" w:rsidP="005C5CED">
            <w:pPr>
              <w:spacing w:line="240" w:lineRule="auto"/>
              <w:rPr>
                <w:rFonts w:eastAsia="Calibri" w:cs="Arial"/>
                <w:color w:val="auto"/>
                <w:sz w:val="22"/>
              </w:rPr>
            </w:pPr>
            <w:r w:rsidRPr="005C5CED">
              <w:rPr>
                <w:rFonts w:eastAsia="Calibri" w:cs="Arial"/>
                <w:color w:val="auto"/>
                <w:sz w:val="22"/>
              </w:rPr>
              <w:t>year period</w:t>
            </w:r>
          </w:p>
        </w:tc>
      </w:tr>
      <w:tr w:rsidR="005C5CED" w:rsidRPr="005C5CED" w14:paraId="50186507" w14:textId="77777777" w:rsidTr="0062462F">
        <w:tc>
          <w:tcPr>
            <w:tcW w:w="1328" w:type="dxa"/>
          </w:tcPr>
          <w:p w14:paraId="29911319" w14:textId="77777777" w:rsidR="005C5CED" w:rsidRPr="005C5CED" w:rsidRDefault="005C5CED" w:rsidP="005C5CED">
            <w:pPr>
              <w:spacing w:line="240" w:lineRule="auto"/>
              <w:rPr>
                <w:rFonts w:eastAsia="Calibri" w:cs="Arial"/>
                <w:color w:val="auto"/>
                <w:sz w:val="16"/>
                <w:szCs w:val="16"/>
              </w:rPr>
            </w:pPr>
            <w:r w:rsidRPr="005C5CED">
              <w:rPr>
                <w:rFonts w:eastAsia="Calibri" w:cs="Arial"/>
                <w:color w:val="auto"/>
                <w:sz w:val="22"/>
              </w:rPr>
              <w:t>200x–0x</w:t>
            </w:r>
          </w:p>
        </w:tc>
        <w:tc>
          <w:tcPr>
            <w:tcW w:w="2781" w:type="dxa"/>
          </w:tcPr>
          <w:p w14:paraId="3D967522" w14:textId="77777777" w:rsidR="005C5CED" w:rsidRPr="005C5CED" w:rsidRDefault="005C5CED" w:rsidP="005C5CED">
            <w:pPr>
              <w:spacing w:line="240" w:lineRule="auto"/>
              <w:rPr>
                <w:rFonts w:eastAsia="Calibri" w:cs="Arial"/>
                <w:color w:val="auto"/>
                <w:sz w:val="16"/>
                <w:szCs w:val="16"/>
              </w:rPr>
            </w:pPr>
            <w:r w:rsidRPr="005C5CED">
              <w:rPr>
                <w:rFonts w:eastAsia="Calibri" w:cs="Arial"/>
                <w:color w:val="auto"/>
                <w:sz w:val="22"/>
              </w:rPr>
              <w:t>year period</w:t>
            </w:r>
          </w:p>
        </w:tc>
      </w:tr>
    </w:tbl>
    <w:p w14:paraId="52E8A8EA" w14:textId="77777777" w:rsidR="005C5CED" w:rsidRPr="005C5CED" w:rsidRDefault="005C5CED" w:rsidP="005C5CED">
      <w:pPr>
        <w:spacing w:line="259" w:lineRule="auto"/>
        <w:rPr>
          <w:rFonts w:eastAsia="Calibri" w:cs="Arial"/>
          <w:color w:val="FF0000"/>
        </w:rPr>
      </w:pPr>
    </w:p>
    <w:p w14:paraId="42A4FE03" w14:textId="77777777" w:rsidR="005C5CED" w:rsidRPr="005C5CED" w:rsidRDefault="005C5CED" w:rsidP="005C5CED">
      <w:pPr>
        <w:spacing w:line="259" w:lineRule="auto"/>
        <w:rPr>
          <w:rFonts w:eastAsia="Calibri" w:cs="Arial"/>
          <w:color w:val="auto"/>
        </w:rPr>
      </w:pPr>
      <w:r w:rsidRPr="005C5CED">
        <w:rPr>
          <w:rFonts w:eastAsia="Calibri" w:cs="Arial"/>
          <w:color w:val="auto"/>
        </w:rPr>
        <w:t>The financial statements and notes are presented based on the 2023-24 Model Report for Victorian Government Departments.</w:t>
      </w:r>
    </w:p>
    <w:p w14:paraId="4EB18D3C" w14:textId="77777777" w:rsidR="005C5CED" w:rsidRPr="005C5CED" w:rsidRDefault="005C5CED" w:rsidP="005C5CED">
      <w:pPr>
        <w:spacing w:line="259" w:lineRule="auto"/>
        <w:rPr>
          <w:rFonts w:eastAsia="Calibri" w:cs="Arial"/>
          <w:color w:val="auto"/>
        </w:rPr>
      </w:pPr>
      <w:r w:rsidRPr="005C5CED">
        <w:rPr>
          <w:rFonts w:eastAsia="Calibri" w:cs="Arial"/>
          <w:color w:val="auto"/>
        </w:rPr>
        <w:t>The presentation of other disclosures is generally consistent with the other disclosures made in earlier publications of Sustainability Victoria’s annual reports.</w:t>
      </w:r>
      <w:r w:rsidRPr="005C5CED">
        <w:rPr>
          <w:rFonts w:eastAsia="Calibri" w:cs="Arial"/>
          <w:color w:val="auto"/>
        </w:rPr>
        <w:tab/>
      </w:r>
    </w:p>
    <w:p w14:paraId="5089ED14" w14:textId="77777777" w:rsidR="00C1154B" w:rsidRDefault="00C1154B" w:rsidP="00C1154B"/>
    <w:p w14:paraId="0D37A0CD" w14:textId="77777777" w:rsidR="00B0627A" w:rsidRDefault="00B0627A" w:rsidP="00C1154B"/>
    <w:p w14:paraId="27730AAB" w14:textId="77777777" w:rsidR="002C739A" w:rsidRDefault="002C739A" w:rsidP="00C1154B"/>
    <w:p w14:paraId="1A6F8EEC" w14:textId="77777777" w:rsidR="002C739A" w:rsidRDefault="002C739A" w:rsidP="00C1154B"/>
    <w:p w14:paraId="30B80617" w14:textId="77777777" w:rsidR="00B0627A" w:rsidRDefault="00B0627A" w:rsidP="00C1154B"/>
    <w:p w14:paraId="0C71C11B" w14:textId="77777777" w:rsidR="00B0627A" w:rsidRDefault="00B0627A" w:rsidP="00C1154B"/>
    <w:p w14:paraId="3DDA2BC6" w14:textId="77777777" w:rsidR="00BD2B8E" w:rsidRDefault="00BD2B8E" w:rsidP="00C1154B"/>
    <w:p w14:paraId="7E90E051" w14:textId="77777777" w:rsidR="00BD2B8E" w:rsidRDefault="00BD2B8E" w:rsidP="00C1154B"/>
    <w:p w14:paraId="6CE47DE0" w14:textId="77777777" w:rsidR="00BD2B8E" w:rsidRDefault="00BD2B8E" w:rsidP="00C1154B"/>
    <w:p w14:paraId="1E1FEE96" w14:textId="77777777" w:rsidR="00BD2B8E" w:rsidRDefault="00BD2B8E" w:rsidP="00C1154B"/>
    <w:p w14:paraId="38008005" w14:textId="77777777" w:rsidR="00BD2B8E" w:rsidRDefault="00BD2B8E" w:rsidP="00C1154B"/>
    <w:p w14:paraId="02D2C4AA" w14:textId="77777777" w:rsidR="00BD2B8E" w:rsidRDefault="00BD2B8E" w:rsidP="00C1154B"/>
    <w:p w14:paraId="62D5275A" w14:textId="77777777" w:rsidR="00BD2B8E" w:rsidRDefault="00BD2B8E" w:rsidP="00C1154B"/>
    <w:p w14:paraId="4CD80FED" w14:textId="77777777" w:rsidR="00BD2B8E" w:rsidRDefault="00BD2B8E" w:rsidP="00C1154B"/>
    <w:p w14:paraId="23BC4246" w14:textId="77777777" w:rsidR="00BD2B8E" w:rsidRDefault="00BD2B8E" w:rsidP="00C1154B"/>
    <w:p w14:paraId="6641525A" w14:textId="77777777" w:rsidR="00BD2B8E" w:rsidRDefault="00BD2B8E" w:rsidP="00C1154B"/>
    <w:p w14:paraId="3B10E77E" w14:textId="77777777" w:rsidR="00BD2B8E" w:rsidRDefault="00BD2B8E" w:rsidP="00C1154B"/>
    <w:p w14:paraId="01FFE9D0" w14:textId="77777777" w:rsidR="00BD2B8E" w:rsidRDefault="00BD2B8E" w:rsidP="00C1154B"/>
    <w:p w14:paraId="63D3328C" w14:textId="77777777" w:rsidR="00BD2B8E" w:rsidRDefault="00BD2B8E" w:rsidP="00C1154B"/>
    <w:p w14:paraId="3BA246B3" w14:textId="77777777" w:rsidR="00BD2B8E" w:rsidRDefault="00BD2B8E" w:rsidP="00C1154B"/>
    <w:p w14:paraId="46FC2146" w14:textId="77777777" w:rsidR="00BD2B8E" w:rsidRDefault="00BD2B8E" w:rsidP="00C1154B"/>
    <w:p w14:paraId="05892B8E" w14:textId="77777777" w:rsidR="00BD2B8E" w:rsidRDefault="00BD2B8E" w:rsidP="00C1154B"/>
    <w:p w14:paraId="00BEC24B" w14:textId="77777777" w:rsidR="00BD2B8E" w:rsidRDefault="00BD2B8E" w:rsidP="00C1154B"/>
    <w:p w14:paraId="49F898EA" w14:textId="77777777" w:rsidR="00BD2B8E" w:rsidRDefault="00BD2B8E" w:rsidP="00C1154B"/>
    <w:p w14:paraId="16F55BEE" w14:textId="77777777" w:rsidR="00BD2B8E" w:rsidRDefault="00BD2B8E" w:rsidP="00C1154B"/>
    <w:p w14:paraId="4F36A601" w14:textId="77777777" w:rsidR="00BD2B8E" w:rsidRDefault="00BD2B8E" w:rsidP="00C1154B"/>
    <w:p w14:paraId="723EA61E" w14:textId="77777777" w:rsidR="00BD2B8E" w:rsidRDefault="00BD2B8E" w:rsidP="00C1154B"/>
    <w:p w14:paraId="249346B6" w14:textId="77777777" w:rsidR="00BD2B8E" w:rsidRDefault="00BD2B8E" w:rsidP="00C1154B"/>
    <w:p w14:paraId="1B97222B" w14:textId="77777777" w:rsidR="00BD2B8E" w:rsidRPr="00C1154B" w:rsidRDefault="00BD2B8E" w:rsidP="00C1154B"/>
    <w:p w14:paraId="55BF339C" w14:textId="767DA7BD" w:rsidR="009E4CF2" w:rsidRPr="0012521E" w:rsidRDefault="009E4CF2" w:rsidP="009E4CF2">
      <w:pPr>
        <w:pStyle w:val="Heading1"/>
        <w:rPr>
          <w:rFonts w:asciiTheme="majorHAnsi" w:hAnsiTheme="majorHAnsi" w:cstheme="majorHAnsi"/>
        </w:rPr>
      </w:pPr>
      <w:bookmarkStart w:id="327" w:name="_Toc147395362"/>
      <w:bookmarkStart w:id="328" w:name="_Toc166585778"/>
      <w:bookmarkStart w:id="329" w:name="_Toc179469484"/>
      <w:r w:rsidRPr="0012521E">
        <w:rPr>
          <w:rFonts w:asciiTheme="majorHAnsi" w:hAnsiTheme="majorHAnsi" w:cstheme="majorHAnsi"/>
        </w:rPr>
        <w:t>Appendix 1: Disclosure index</w:t>
      </w:r>
      <w:bookmarkEnd w:id="327"/>
      <w:bookmarkEnd w:id="328"/>
      <w:bookmarkEnd w:id="329"/>
    </w:p>
    <w:p w14:paraId="232BCF99" w14:textId="009A7963" w:rsidR="009E4CF2" w:rsidRPr="0012521E" w:rsidRDefault="009E4CF2" w:rsidP="009E4CF2">
      <w:pPr>
        <w:rPr>
          <w:rFonts w:asciiTheme="majorHAnsi" w:hAnsiTheme="majorHAnsi" w:cstheme="majorBidi"/>
        </w:rPr>
      </w:pPr>
      <w:r w:rsidRPr="6B8A8730">
        <w:rPr>
          <w:rFonts w:asciiTheme="majorHAnsi" w:hAnsiTheme="majorHAnsi" w:cstheme="majorBidi"/>
        </w:rPr>
        <w:t xml:space="preserve">SV’s annual report is prepared in accordance with all relevant Victorian legislations and pronouncements. This index has been prepared to </w:t>
      </w:r>
      <w:r w:rsidR="75EB7F2E" w:rsidRPr="6B8A8730">
        <w:rPr>
          <w:rFonts w:asciiTheme="majorHAnsi" w:hAnsiTheme="majorHAnsi" w:cstheme="majorBidi"/>
        </w:rPr>
        <w:t xml:space="preserve">help identify </w:t>
      </w:r>
      <w:r w:rsidRPr="6B8A8730">
        <w:rPr>
          <w:rFonts w:asciiTheme="majorHAnsi" w:hAnsiTheme="majorHAnsi" w:cstheme="majorBidi"/>
        </w:rPr>
        <w:t>SV’s compliance with statutory disclosure requirements.</w:t>
      </w:r>
    </w:p>
    <w:p w14:paraId="62C7F7F2" w14:textId="77777777" w:rsidR="009E4CF2" w:rsidRPr="0012521E" w:rsidRDefault="009E4CF2" w:rsidP="00126908">
      <w:pPr>
        <w:pStyle w:val="Heading3"/>
      </w:pPr>
      <w:bookmarkStart w:id="330" w:name="_Toc144884490"/>
      <w:bookmarkStart w:id="331" w:name="_Toc166585779"/>
      <w:r w:rsidRPr="0012521E">
        <w:t>Report of operations</w:t>
      </w:r>
      <w:bookmarkEnd w:id="330"/>
      <w:bookmarkEnd w:id="331"/>
    </w:p>
    <w:p w14:paraId="2C7FF72D" w14:textId="77777777" w:rsidR="009E4CF2" w:rsidRPr="0012521E" w:rsidRDefault="009E4CF2" w:rsidP="0074499F">
      <w:pPr>
        <w:pStyle w:val="Heading4"/>
      </w:pPr>
      <w:bookmarkStart w:id="332" w:name="_Toc166585780"/>
      <w:r w:rsidRPr="0012521E">
        <w:t>Charter and purpose</w:t>
      </w:r>
      <w:bookmarkEnd w:id="332"/>
    </w:p>
    <w:tbl>
      <w:tblPr>
        <w:tblStyle w:val="TableGrid"/>
        <w:tblW w:w="8756" w:type="dxa"/>
        <w:tblLayout w:type="fixed"/>
        <w:tblLook w:val="0020" w:firstRow="1" w:lastRow="0" w:firstColumn="0" w:lastColumn="0" w:noHBand="0" w:noVBand="0"/>
      </w:tblPr>
      <w:tblGrid>
        <w:gridCol w:w="1814"/>
        <w:gridCol w:w="5751"/>
        <w:gridCol w:w="1191"/>
      </w:tblGrid>
      <w:tr w:rsidR="009E4CF2" w:rsidRPr="00242FF6" w14:paraId="789F7B13" w14:textId="77777777" w:rsidTr="00E159ED">
        <w:trPr>
          <w:trHeight w:val="60"/>
          <w:tblHeader/>
        </w:trPr>
        <w:tc>
          <w:tcPr>
            <w:tcW w:w="1814" w:type="dxa"/>
            <w:shd w:val="clear" w:color="auto" w:fill="D4DFA0" w:themeFill="accent3"/>
          </w:tcPr>
          <w:p w14:paraId="443A4147"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Legislation</w:t>
            </w:r>
          </w:p>
        </w:tc>
        <w:tc>
          <w:tcPr>
            <w:tcW w:w="5751" w:type="dxa"/>
            <w:shd w:val="clear" w:color="auto" w:fill="D4DFA0" w:themeFill="accent3"/>
          </w:tcPr>
          <w:p w14:paraId="09E72906"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Requirement</w:t>
            </w:r>
          </w:p>
        </w:tc>
        <w:tc>
          <w:tcPr>
            <w:tcW w:w="1191" w:type="dxa"/>
            <w:shd w:val="clear" w:color="auto" w:fill="D4DFA0" w:themeFill="accent3"/>
          </w:tcPr>
          <w:p w14:paraId="041D71B2" w14:textId="77777777" w:rsidR="009E4CF2" w:rsidRPr="00242FF6" w:rsidRDefault="009E4CF2" w:rsidP="00EC78E4">
            <w:pPr>
              <w:pStyle w:val="TableheadingleftTables"/>
              <w:jc w:val="center"/>
              <w:rPr>
                <w:rFonts w:asciiTheme="majorHAnsi" w:hAnsiTheme="majorHAnsi" w:cstheme="majorHAnsi"/>
                <w:sz w:val="20"/>
                <w:szCs w:val="20"/>
              </w:rPr>
            </w:pPr>
            <w:r w:rsidRPr="00242FF6">
              <w:rPr>
                <w:rFonts w:asciiTheme="majorHAnsi" w:hAnsiTheme="majorHAnsi" w:cstheme="majorHAnsi"/>
                <w:sz w:val="20"/>
                <w:szCs w:val="20"/>
              </w:rPr>
              <w:t>Page reference</w:t>
            </w:r>
          </w:p>
        </w:tc>
      </w:tr>
      <w:tr w:rsidR="009E4CF2" w:rsidRPr="00242FF6" w14:paraId="26C25FE0" w14:textId="77777777" w:rsidTr="00692247">
        <w:trPr>
          <w:trHeight w:val="358"/>
        </w:trPr>
        <w:tc>
          <w:tcPr>
            <w:tcW w:w="1814" w:type="dxa"/>
          </w:tcPr>
          <w:p w14:paraId="194177B3" w14:textId="77777777" w:rsidR="009E4CF2" w:rsidRPr="00242FF6" w:rsidRDefault="009E4CF2" w:rsidP="00EC78E4">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7F99C1CD" w14:textId="77777777" w:rsidR="009E4CF2" w:rsidRPr="00242FF6" w:rsidRDefault="009E4CF2" w:rsidP="00EC78E4">
            <w:pPr>
              <w:pStyle w:val="TableText"/>
              <w:rPr>
                <w:rFonts w:asciiTheme="majorHAnsi" w:hAnsiTheme="majorHAnsi" w:cstheme="majorHAnsi"/>
                <w:sz w:val="20"/>
                <w:szCs w:val="20"/>
              </w:rPr>
            </w:pPr>
            <w:r w:rsidRPr="00242FF6">
              <w:rPr>
                <w:rFonts w:asciiTheme="majorHAnsi" w:hAnsiTheme="majorHAnsi" w:cstheme="majorHAnsi"/>
                <w:sz w:val="20"/>
                <w:szCs w:val="20"/>
              </w:rPr>
              <w:t>Manner of establishment and the relevant Ministers</w:t>
            </w:r>
          </w:p>
        </w:tc>
        <w:tc>
          <w:tcPr>
            <w:tcW w:w="1191" w:type="dxa"/>
            <w:shd w:val="clear" w:color="auto" w:fill="auto"/>
            <w:vAlign w:val="center"/>
          </w:tcPr>
          <w:p w14:paraId="48ACC305" w14:textId="29CE749B" w:rsidR="009E4CF2" w:rsidRPr="003832D3" w:rsidRDefault="00F50609" w:rsidP="00EC78E4">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w:t>
            </w:r>
          </w:p>
        </w:tc>
      </w:tr>
      <w:tr w:rsidR="00692247" w:rsidRPr="00242FF6" w14:paraId="5CA96D33" w14:textId="77777777" w:rsidTr="00EC78E4">
        <w:trPr>
          <w:trHeight w:val="358"/>
        </w:trPr>
        <w:tc>
          <w:tcPr>
            <w:tcW w:w="1814" w:type="dxa"/>
          </w:tcPr>
          <w:p w14:paraId="09E4CBAD"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29666146"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Purpose, functions, powers and duties</w:t>
            </w:r>
          </w:p>
        </w:tc>
        <w:tc>
          <w:tcPr>
            <w:tcW w:w="1191" w:type="dxa"/>
            <w:vAlign w:val="center"/>
          </w:tcPr>
          <w:p w14:paraId="57AE8176" w14:textId="145840A3" w:rsidR="00692247" w:rsidRPr="003832D3" w:rsidRDefault="001B6FC5"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4</w:t>
            </w:r>
          </w:p>
        </w:tc>
      </w:tr>
      <w:tr w:rsidR="00692247" w:rsidRPr="00242FF6" w14:paraId="0E832B3E" w14:textId="77777777" w:rsidTr="00EC78E4">
        <w:trPr>
          <w:trHeight w:val="358"/>
        </w:trPr>
        <w:tc>
          <w:tcPr>
            <w:tcW w:w="1814" w:type="dxa"/>
          </w:tcPr>
          <w:p w14:paraId="6ACF157E"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8</w:t>
            </w:r>
          </w:p>
        </w:tc>
        <w:tc>
          <w:tcPr>
            <w:tcW w:w="5751" w:type="dxa"/>
          </w:tcPr>
          <w:p w14:paraId="2578660E"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Departmental objectives, indicators and outputs</w:t>
            </w:r>
          </w:p>
        </w:tc>
        <w:tc>
          <w:tcPr>
            <w:tcW w:w="1191" w:type="dxa"/>
            <w:vAlign w:val="center"/>
          </w:tcPr>
          <w:p w14:paraId="16EFF47D" w14:textId="7169A7C2" w:rsidR="00692247" w:rsidRPr="003832D3" w:rsidRDefault="00020B7A"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4</w:t>
            </w:r>
          </w:p>
        </w:tc>
      </w:tr>
      <w:tr w:rsidR="00692247" w:rsidRPr="00242FF6" w14:paraId="360179F2" w14:textId="77777777" w:rsidTr="00EC78E4">
        <w:trPr>
          <w:trHeight w:val="358"/>
        </w:trPr>
        <w:tc>
          <w:tcPr>
            <w:tcW w:w="1814" w:type="dxa"/>
          </w:tcPr>
          <w:p w14:paraId="591E961B"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05716693"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Key initiatives and projects</w:t>
            </w:r>
          </w:p>
        </w:tc>
        <w:tc>
          <w:tcPr>
            <w:tcW w:w="1191" w:type="dxa"/>
            <w:vAlign w:val="center"/>
          </w:tcPr>
          <w:p w14:paraId="6A78C3EE" w14:textId="11B287EC" w:rsidR="00692247" w:rsidRPr="003832D3" w:rsidRDefault="00F4365B"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24-29</w:t>
            </w:r>
          </w:p>
        </w:tc>
      </w:tr>
      <w:tr w:rsidR="00692247" w:rsidRPr="00242FF6" w14:paraId="2249A939" w14:textId="77777777" w:rsidTr="00EC78E4">
        <w:trPr>
          <w:trHeight w:val="358"/>
        </w:trPr>
        <w:tc>
          <w:tcPr>
            <w:tcW w:w="1814" w:type="dxa"/>
          </w:tcPr>
          <w:p w14:paraId="71B015BF"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0B3F429E"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Nature and range of services provided</w:t>
            </w:r>
          </w:p>
        </w:tc>
        <w:tc>
          <w:tcPr>
            <w:tcW w:w="1191" w:type="dxa"/>
            <w:vAlign w:val="center"/>
          </w:tcPr>
          <w:p w14:paraId="14EB4F30" w14:textId="76A10B71" w:rsidR="00692247" w:rsidRPr="003832D3" w:rsidRDefault="006425D5"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w:t>
            </w:r>
          </w:p>
        </w:tc>
      </w:tr>
    </w:tbl>
    <w:p w14:paraId="7EEDBFCD" w14:textId="77777777" w:rsidR="009E4CF2" w:rsidRPr="0012521E" w:rsidRDefault="009E4CF2" w:rsidP="0074499F">
      <w:pPr>
        <w:pStyle w:val="Heading4"/>
      </w:pPr>
      <w:bookmarkStart w:id="333" w:name="_Toc166585781"/>
      <w:r w:rsidRPr="0012521E">
        <w:t>Management and structure</w:t>
      </w:r>
      <w:bookmarkEnd w:id="333"/>
    </w:p>
    <w:tbl>
      <w:tblPr>
        <w:tblStyle w:val="TableGrid"/>
        <w:tblW w:w="8756" w:type="dxa"/>
        <w:tblLayout w:type="fixed"/>
        <w:tblLook w:val="0020" w:firstRow="1" w:lastRow="0" w:firstColumn="0" w:lastColumn="0" w:noHBand="0" w:noVBand="0"/>
      </w:tblPr>
      <w:tblGrid>
        <w:gridCol w:w="1814"/>
        <w:gridCol w:w="5751"/>
        <w:gridCol w:w="1191"/>
      </w:tblGrid>
      <w:tr w:rsidR="009E4CF2" w:rsidRPr="00242FF6" w14:paraId="265FE708" w14:textId="77777777" w:rsidTr="00E159ED">
        <w:trPr>
          <w:trHeight w:val="60"/>
          <w:tblHeader/>
        </w:trPr>
        <w:tc>
          <w:tcPr>
            <w:tcW w:w="1814" w:type="dxa"/>
            <w:shd w:val="clear" w:color="auto" w:fill="D4DFA0" w:themeFill="accent3"/>
          </w:tcPr>
          <w:p w14:paraId="01E42259"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Legislation</w:t>
            </w:r>
          </w:p>
        </w:tc>
        <w:tc>
          <w:tcPr>
            <w:tcW w:w="5751" w:type="dxa"/>
            <w:shd w:val="clear" w:color="auto" w:fill="D4DFA0" w:themeFill="accent3"/>
          </w:tcPr>
          <w:p w14:paraId="28066203"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Requirement</w:t>
            </w:r>
          </w:p>
        </w:tc>
        <w:tc>
          <w:tcPr>
            <w:tcW w:w="1191" w:type="dxa"/>
            <w:shd w:val="clear" w:color="auto" w:fill="D4DFA0" w:themeFill="accent3"/>
          </w:tcPr>
          <w:p w14:paraId="17EAD0FB" w14:textId="77777777" w:rsidR="009E4CF2" w:rsidRPr="00242FF6" w:rsidRDefault="009E4CF2" w:rsidP="00EC78E4">
            <w:pPr>
              <w:pStyle w:val="TableheadingleftTables"/>
              <w:jc w:val="center"/>
              <w:rPr>
                <w:rFonts w:asciiTheme="majorHAnsi" w:hAnsiTheme="majorHAnsi" w:cstheme="majorHAnsi"/>
                <w:sz w:val="20"/>
                <w:szCs w:val="20"/>
              </w:rPr>
            </w:pPr>
            <w:r w:rsidRPr="00242FF6">
              <w:rPr>
                <w:rFonts w:asciiTheme="majorHAnsi" w:hAnsiTheme="majorHAnsi" w:cstheme="majorHAnsi"/>
                <w:sz w:val="20"/>
                <w:szCs w:val="20"/>
              </w:rPr>
              <w:t>Page reference</w:t>
            </w:r>
          </w:p>
        </w:tc>
      </w:tr>
      <w:tr w:rsidR="00692247" w:rsidRPr="00242FF6" w14:paraId="7D063A08" w14:textId="77777777">
        <w:trPr>
          <w:trHeight w:val="358"/>
        </w:trPr>
        <w:tc>
          <w:tcPr>
            <w:tcW w:w="1814" w:type="dxa"/>
          </w:tcPr>
          <w:p w14:paraId="482EDA13"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4870DF4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Organisational structure</w:t>
            </w:r>
          </w:p>
        </w:tc>
        <w:tc>
          <w:tcPr>
            <w:tcW w:w="1191" w:type="dxa"/>
            <w:vAlign w:val="center"/>
          </w:tcPr>
          <w:p w14:paraId="2D324823" w14:textId="79A3718B" w:rsidR="00692247" w:rsidRPr="00242FF6" w:rsidRDefault="006D0B86" w:rsidP="00692247">
            <w:pPr>
              <w:pStyle w:val="Tablerightlarge"/>
              <w:rPr>
                <w:rFonts w:asciiTheme="majorHAnsi" w:hAnsiTheme="majorHAnsi" w:cstheme="majorHAnsi"/>
                <w:sz w:val="20"/>
                <w:szCs w:val="20"/>
              </w:rPr>
            </w:pPr>
            <w:r w:rsidRPr="003832D3">
              <w:rPr>
                <w:rFonts w:asciiTheme="majorHAnsi" w:hAnsiTheme="majorHAnsi" w:cstheme="majorHAnsi"/>
                <w:sz w:val="20"/>
                <w:szCs w:val="20"/>
                <w:highlight w:val="yellow"/>
              </w:rPr>
              <w:t>10</w:t>
            </w:r>
          </w:p>
        </w:tc>
      </w:tr>
    </w:tbl>
    <w:p w14:paraId="72ED4482" w14:textId="77777777" w:rsidR="009E4CF2" w:rsidRPr="0012521E" w:rsidRDefault="009E4CF2" w:rsidP="0074499F">
      <w:pPr>
        <w:pStyle w:val="Heading4"/>
      </w:pPr>
      <w:bookmarkStart w:id="334" w:name="_Toc166585782"/>
      <w:r w:rsidRPr="0012521E">
        <w:t>Financial and other information</w:t>
      </w:r>
      <w:bookmarkEnd w:id="334"/>
    </w:p>
    <w:tbl>
      <w:tblPr>
        <w:tblStyle w:val="TableGrid"/>
        <w:tblW w:w="8756" w:type="dxa"/>
        <w:tblLayout w:type="fixed"/>
        <w:tblLook w:val="0020" w:firstRow="1" w:lastRow="0" w:firstColumn="0" w:lastColumn="0" w:noHBand="0" w:noVBand="0"/>
      </w:tblPr>
      <w:tblGrid>
        <w:gridCol w:w="1814"/>
        <w:gridCol w:w="5751"/>
        <w:gridCol w:w="1191"/>
      </w:tblGrid>
      <w:tr w:rsidR="009E4CF2" w:rsidRPr="00242FF6" w14:paraId="78E3FDB2" w14:textId="77777777" w:rsidTr="00E159ED">
        <w:trPr>
          <w:tblHeader/>
        </w:trPr>
        <w:tc>
          <w:tcPr>
            <w:tcW w:w="1814" w:type="dxa"/>
            <w:shd w:val="clear" w:color="auto" w:fill="D4DFA0" w:themeFill="accent3"/>
          </w:tcPr>
          <w:p w14:paraId="136A15F5"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Legislation</w:t>
            </w:r>
          </w:p>
        </w:tc>
        <w:tc>
          <w:tcPr>
            <w:tcW w:w="5751" w:type="dxa"/>
            <w:shd w:val="clear" w:color="auto" w:fill="D4DFA0" w:themeFill="accent3"/>
          </w:tcPr>
          <w:p w14:paraId="67D90CAD"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Requirement</w:t>
            </w:r>
          </w:p>
        </w:tc>
        <w:tc>
          <w:tcPr>
            <w:tcW w:w="1191" w:type="dxa"/>
            <w:shd w:val="clear" w:color="auto" w:fill="D4DFA0" w:themeFill="accent3"/>
          </w:tcPr>
          <w:p w14:paraId="0CC83D4A" w14:textId="77777777" w:rsidR="009E4CF2" w:rsidRPr="00242FF6" w:rsidRDefault="009E4CF2" w:rsidP="00EC78E4">
            <w:pPr>
              <w:pStyle w:val="TableheadingleftTables"/>
              <w:jc w:val="center"/>
              <w:rPr>
                <w:rFonts w:asciiTheme="majorHAnsi" w:hAnsiTheme="majorHAnsi" w:cstheme="majorHAnsi"/>
                <w:sz w:val="20"/>
                <w:szCs w:val="20"/>
              </w:rPr>
            </w:pPr>
            <w:r w:rsidRPr="00242FF6">
              <w:rPr>
                <w:rFonts w:asciiTheme="majorHAnsi" w:hAnsiTheme="majorHAnsi" w:cstheme="majorHAnsi"/>
                <w:sz w:val="20"/>
                <w:szCs w:val="20"/>
              </w:rPr>
              <w:t>Page reference</w:t>
            </w:r>
          </w:p>
        </w:tc>
      </w:tr>
      <w:tr w:rsidR="00692247" w:rsidRPr="00242FF6" w14:paraId="558C19BA" w14:textId="77777777">
        <w:tc>
          <w:tcPr>
            <w:tcW w:w="1814" w:type="dxa"/>
          </w:tcPr>
          <w:p w14:paraId="5D88903F"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8</w:t>
            </w:r>
          </w:p>
        </w:tc>
        <w:tc>
          <w:tcPr>
            <w:tcW w:w="5751" w:type="dxa"/>
          </w:tcPr>
          <w:p w14:paraId="5B12A10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Performance against output performance measures</w:t>
            </w:r>
          </w:p>
        </w:tc>
        <w:tc>
          <w:tcPr>
            <w:tcW w:w="1191" w:type="dxa"/>
            <w:vAlign w:val="center"/>
          </w:tcPr>
          <w:p w14:paraId="74B81860" w14:textId="36163507" w:rsidR="00692247" w:rsidRPr="003832D3" w:rsidRDefault="006F3CBC"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22-23</w:t>
            </w:r>
          </w:p>
        </w:tc>
      </w:tr>
      <w:tr w:rsidR="00692247" w:rsidRPr="00242FF6" w14:paraId="2F18A197" w14:textId="77777777">
        <w:tc>
          <w:tcPr>
            <w:tcW w:w="1814" w:type="dxa"/>
          </w:tcPr>
          <w:p w14:paraId="7AC3E256"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8</w:t>
            </w:r>
          </w:p>
        </w:tc>
        <w:tc>
          <w:tcPr>
            <w:tcW w:w="5751" w:type="dxa"/>
          </w:tcPr>
          <w:p w14:paraId="47CF016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Budget portfolio outcomes</w:t>
            </w:r>
          </w:p>
        </w:tc>
        <w:tc>
          <w:tcPr>
            <w:tcW w:w="1191" w:type="dxa"/>
            <w:vAlign w:val="center"/>
          </w:tcPr>
          <w:p w14:paraId="6B76293B" w14:textId="54B6150D" w:rsidR="00692247" w:rsidRPr="003832D3" w:rsidRDefault="000A08C9"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30</w:t>
            </w:r>
          </w:p>
        </w:tc>
      </w:tr>
      <w:tr w:rsidR="00692247" w:rsidRPr="00242FF6" w14:paraId="6314D10B" w14:textId="77777777" w:rsidTr="00EC78E4">
        <w:tc>
          <w:tcPr>
            <w:tcW w:w="1814" w:type="dxa"/>
          </w:tcPr>
          <w:p w14:paraId="5EFBD9B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10</w:t>
            </w:r>
          </w:p>
        </w:tc>
        <w:tc>
          <w:tcPr>
            <w:tcW w:w="5751" w:type="dxa"/>
          </w:tcPr>
          <w:p w14:paraId="7EDC6D10"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Disclosure index</w:t>
            </w:r>
          </w:p>
        </w:tc>
        <w:tc>
          <w:tcPr>
            <w:tcW w:w="1191" w:type="dxa"/>
            <w:vAlign w:val="center"/>
          </w:tcPr>
          <w:p w14:paraId="6950FD5D" w14:textId="3C4DBA4C" w:rsidR="00692247" w:rsidRPr="003832D3" w:rsidRDefault="00D205DB"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62-66</w:t>
            </w:r>
          </w:p>
        </w:tc>
      </w:tr>
      <w:tr w:rsidR="00692247" w:rsidRPr="00242FF6" w14:paraId="7F2E1322" w14:textId="77777777" w:rsidTr="00EC78E4">
        <w:tc>
          <w:tcPr>
            <w:tcW w:w="1814" w:type="dxa"/>
          </w:tcPr>
          <w:p w14:paraId="30A4814B"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12</w:t>
            </w:r>
          </w:p>
        </w:tc>
        <w:tc>
          <w:tcPr>
            <w:tcW w:w="5751" w:type="dxa"/>
          </w:tcPr>
          <w:p w14:paraId="3200DC1C"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Disclosure of major contracts</w:t>
            </w:r>
          </w:p>
        </w:tc>
        <w:tc>
          <w:tcPr>
            <w:tcW w:w="1191" w:type="dxa"/>
            <w:vAlign w:val="center"/>
          </w:tcPr>
          <w:p w14:paraId="6608EB0C" w14:textId="020DF3FB" w:rsidR="00692247" w:rsidRPr="003832D3" w:rsidRDefault="00B31EE0"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54</w:t>
            </w:r>
          </w:p>
        </w:tc>
      </w:tr>
      <w:tr w:rsidR="00692247" w:rsidRPr="00242FF6" w14:paraId="51BA8CF8" w14:textId="77777777" w:rsidTr="00EC78E4">
        <w:tc>
          <w:tcPr>
            <w:tcW w:w="1814" w:type="dxa"/>
          </w:tcPr>
          <w:p w14:paraId="25A0EF26"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15</w:t>
            </w:r>
          </w:p>
        </w:tc>
        <w:tc>
          <w:tcPr>
            <w:tcW w:w="5751" w:type="dxa"/>
          </w:tcPr>
          <w:p w14:paraId="2A03389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Executive disclosures</w:t>
            </w:r>
          </w:p>
        </w:tc>
        <w:tc>
          <w:tcPr>
            <w:tcW w:w="1191" w:type="dxa"/>
            <w:vAlign w:val="center"/>
          </w:tcPr>
          <w:p w14:paraId="589E734F" w14:textId="6D163F47" w:rsidR="00692247" w:rsidRPr="003832D3" w:rsidRDefault="00F57A66"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46-47</w:t>
            </w:r>
          </w:p>
        </w:tc>
      </w:tr>
      <w:tr w:rsidR="00692247" w:rsidRPr="00242FF6" w14:paraId="6D9BE7C3" w14:textId="77777777" w:rsidTr="00EC78E4">
        <w:tc>
          <w:tcPr>
            <w:tcW w:w="1814" w:type="dxa"/>
          </w:tcPr>
          <w:p w14:paraId="7CBED5D0"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401D96F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Employment and conduct principles</w:t>
            </w:r>
          </w:p>
        </w:tc>
        <w:tc>
          <w:tcPr>
            <w:tcW w:w="1191" w:type="dxa"/>
            <w:vAlign w:val="center"/>
          </w:tcPr>
          <w:p w14:paraId="4A34FB5C" w14:textId="63631568" w:rsidR="00692247" w:rsidRPr="003832D3" w:rsidRDefault="006417DD"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38</w:t>
            </w:r>
          </w:p>
        </w:tc>
      </w:tr>
      <w:tr w:rsidR="00692247" w:rsidRPr="00242FF6" w14:paraId="5C9BC930" w14:textId="77777777" w:rsidTr="00EC78E4">
        <w:tc>
          <w:tcPr>
            <w:tcW w:w="1814" w:type="dxa"/>
          </w:tcPr>
          <w:p w14:paraId="111720E6"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3F55D12D"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Occupational health and safety policy</w:t>
            </w:r>
          </w:p>
        </w:tc>
        <w:tc>
          <w:tcPr>
            <w:tcW w:w="1191" w:type="dxa"/>
            <w:vAlign w:val="center"/>
          </w:tcPr>
          <w:p w14:paraId="5A4678F9" w14:textId="3DE43729" w:rsidR="00692247" w:rsidRPr="003832D3" w:rsidRDefault="00FA1032"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38-40</w:t>
            </w:r>
          </w:p>
        </w:tc>
      </w:tr>
      <w:tr w:rsidR="00692247" w:rsidRPr="00242FF6" w14:paraId="57F7E8B1" w14:textId="77777777" w:rsidTr="00EC78E4">
        <w:tc>
          <w:tcPr>
            <w:tcW w:w="1814" w:type="dxa"/>
          </w:tcPr>
          <w:p w14:paraId="5F822362"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1E94447D"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Summary of the financial results for the year</w:t>
            </w:r>
          </w:p>
        </w:tc>
        <w:tc>
          <w:tcPr>
            <w:tcW w:w="1191" w:type="dxa"/>
            <w:vAlign w:val="center"/>
          </w:tcPr>
          <w:p w14:paraId="391439BD" w14:textId="60B63F37" w:rsidR="00692247" w:rsidRPr="003832D3" w:rsidRDefault="000A0AD0"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30</w:t>
            </w:r>
          </w:p>
        </w:tc>
      </w:tr>
      <w:tr w:rsidR="00692247" w:rsidRPr="00242FF6" w14:paraId="19BEABA0" w14:textId="77777777" w:rsidTr="00EC78E4">
        <w:tc>
          <w:tcPr>
            <w:tcW w:w="1814" w:type="dxa"/>
          </w:tcPr>
          <w:p w14:paraId="5CA6B0C1"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01D7CFE2"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Significant changes in financial position during the year</w:t>
            </w:r>
          </w:p>
        </w:tc>
        <w:tc>
          <w:tcPr>
            <w:tcW w:w="1191" w:type="dxa"/>
            <w:vAlign w:val="center"/>
          </w:tcPr>
          <w:p w14:paraId="4F4EB691" w14:textId="32DF7933" w:rsidR="00692247" w:rsidRPr="003832D3" w:rsidRDefault="000A0AD0"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31</w:t>
            </w:r>
          </w:p>
        </w:tc>
      </w:tr>
      <w:tr w:rsidR="00692247" w:rsidRPr="00242FF6" w14:paraId="640DF0D7" w14:textId="77777777">
        <w:tc>
          <w:tcPr>
            <w:tcW w:w="1814" w:type="dxa"/>
          </w:tcPr>
          <w:p w14:paraId="42CAE687"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7CFA94DE"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Major changes or factors affecting performance</w:t>
            </w:r>
          </w:p>
        </w:tc>
        <w:tc>
          <w:tcPr>
            <w:tcW w:w="1191" w:type="dxa"/>
            <w:vAlign w:val="center"/>
          </w:tcPr>
          <w:p w14:paraId="342E01F5" w14:textId="742C4BF4" w:rsidR="00692247" w:rsidRPr="003832D3" w:rsidRDefault="000A0AD0"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31</w:t>
            </w:r>
          </w:p>
        </w:tc>
      </w:tr>
      <w:tr w:rsidR="00692247" w:rsidRPr="00242FF6" w14:paraId="5A870ACD" w14:textId="77777777">
        <w:tc>
          <w:tcPr>
            <w:tcW w:w="1814" w:type="dxa"/>
          </w:tcPr>
          <w:p w14:paraId="05DD43F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14854F1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Subsequent events</w:t>
            </w:r>
          </w:p>
        </w:tc>
        <w:tc>
          <w:tcPr>
            <w:tcW w:w="1191" w:type="dxa"/>
            <w:vAlign w:val="center"/>
          </w:tcPr>
          <w:p w14:paraId="593828EE" w14:textId="4C88B178" w:rsidR="00692247" w:rsidRPr="003832D3" w:rsidRDefault="00C54BDC"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31</w:t>
            </w:r>
          </w:p>
        </w:tc>
      </w:tr>
      <w:tr w:rsidR="00692247" w:rsidRPr="00242FF6" w14:paraId="4217812E" w14:textId="77777777" w:rsidTr="00EC78E4">
        <w:tc>
          <w:tcPr>
            <w:tcW w:w="1814" w:type="dxa"/>
          </w:tcPr>
          <w:p w14:paraId="09B63A3C"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2EE4C88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Application and operation of Freedom of Information Act 1982</w:t>
            </w:r>
          </w:p>
        </w:tc>
        <w:tc>
          <w:tcPr>
            <w:tcW w:w="1191" w:type="dxa"/>
            <w:vAlign w:val="center"/>
          </w:tcPr>
          <w:p w14:paraId="19ED5D0D" w14:textId="66EA391B" w:rsidR="00692247" w:rsidRPr="003832D3" w:rsidRDefault="008B3AAF"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54-56</w:t>
            </w:r>
          </w:p>
        </w:tc>
      </w:tr>
      <w:tr w:rsidR="00692247" w:rsidRPr="00242FF6" w14:paraId="01DD84E6" w14:textId="77777777" w:rsidTr="00EC78E4">
        <w:tc>
          <w:tcPr>
            <w:tcW w:w="1814" w:type="dxa"/>
          </w:tcPr>
          <w:p w14:paraId="1AC3AA2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5F63C8AD"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 xml:space="preserve">Compliance with building and maintenance provisions of </w:t>
            </w:r>
            <w:r w:rsidRPr="00242FF6">
              <w:rPr>
                <w:rFonts w:asciiTheme="majorHAnsi" w:hAnsiTheme="majorHAnsi" w:cstheme="majorHAnsi"/>
                <w:i/>
                <w:iCs/>
                <w:sz w:val="20"/>
                <w:szCs w:val="20"/>
              </w:rPr>
              <w:t>Building Act 1993</w:t>
            </w:r>
          </w:p>
        </w:tc>
        <w:tc>
          <w:tcPr>
            <w:tcW w:w="1191" w:type="dxa"/>
            <w:vAlign w:val="center"/>
          </w:tcPr>
          <w:p w14:paraId="12167043" w14:textId="14D878C5" w:rsidR="00692247" w:rsidRPr="003832D3" w:rsidRDefault="00521110"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57</w:t>
            </w:r>
          </w:p>
        </w:tc>
      </w:tr>
      <w:tr w:rsidR="00692247" w:rsidRPr="00242FF6" w14:paraId="74DFA359" w14:textId="77777777" w:rsidTr="00EC78E4">
        <w:tc>
          <w:tcPr>
            <w:tcW w:w="1814" w:type="dxa"/>
          </w:tcPr>
          <w:p w14:paraId="2A4014C4"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7769794C"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Statement on National Competition Policy</w:t>
            </w:r>
          </w:p>
        </w:tc>
        <w:tc>
          <w:tcPr>
            <w:tcW w:w="1191" w:type="dxa"/>
            <w:vAlign w:val="center"/>
          </w:tcPr>
          <w:p w14:paraId="245F3E24" w14:textId="6EEF20DF" w:rsidR="00692247" w:rsidRPr="003832D3" w:rsidRDefault="006807FA"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57</w:t>
            </w:r>
          </w:p>
        </w:tc>
      </w:tr>
      <w:tr w:rsidR="00692247" w:rsidRPr="00242FF6" w14:paraId="71328E06" w14:textId="77777777" w:rsidTr="00EC78E4">
        <w:tc>
          <w:tcPr>
            <w:tcW w:w="1814" w:type="dxa"/>
          </w:tcPr>
          <w:p w14:paraId="428A76FB"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55035984"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Application and operation of the Public Interest Disclosure Act 2012</w:t>
            </w:r>
          </w:p>
        </w:tc>
        <w:tc>
          <w:tcPr>
            <w:tcW w:w="1191" w:type="dxa"/>
            <w:vAlign w:val="center"/>
          </w:tcPr>
          <w:p w14:paraId="7C8E1117" w14:textId="34C2B114" w:rsidR="00692247" w:rsidRPr="003832D3" w:rsidRDefault="00B167D4"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57</w:t>
            </w:r>
          </w:p>
        </w:tc>
      </w:tr>
      <w:tr w:rsidR="00692247" w:rsidRPr="00242FF6" w14:paraId="7D02D965" w14:textId="77777777" w:rsidTr="00EC78E4">
        <w:tc>
          <w:tcPr>
            <w:tcW w:w="1814" w:type="dxa"/>
          </w:tcPr>
          <w:p w14:paraId="750CAFD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02C3437F"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Details of consultancies over $10,000</w:t>
            </w:r>
          </w:p>
        </w:tc>
        <w:tc>
          <w:tcPr>
            <w:tcW w:w="1191" w:type="dxa"/>
            <w:vAlign w:val="center"/>
          </w:tcPr>
          <w:p w14:paraId="18011803" w14:textId="574CF484" w:rsidR="00692247" w:rsidRPr="003832D3" w:rsidRDefault="00F80AD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50</w:t>
            </w:r>
          </w:p>
        </w:tc>
      </w:tr>
      <w:tr w:rsidR="00692247" w:rsidRPr="00242FF6" w14:paraId="35055BBD" w14:textId="77777777" w:rsidTr="00EC78E4">
        <w:tc>
          <w:tcPr>
            <w:tcW w:w="1814" w:type="dxa"/>
          </w:tcPr>
          <w:p w14:paraId="715AF24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490D4790"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Details of consultancies under $10,000</w:t>
            </w:r>
          </w:p>
        </w:tc>
        <w:tc>
          <w:tcPr>
            <w:tcW w:w="1191" w:type="dxa"/>
            <w:vAlign w:val="center"/>
          </w:tcPr>
          <w:p w14:paraId="1D7F3AF4" w14:textId="51D4A462" w:rsidR="00692247" w:rsidRPr="003832D3" w:rsidRDefault="00F80AD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50-51</w:t>
            </w:r>
          </w:p>
        </w:tc>
      </w:tr>
      <w:tr w:rsidR="00692247" w:rsidRPr="00242FF6" w14:paraId="2334C7DE" w14:textId="77777777" w:rsidTr="00EC78E4">
        <w:tc>
          <w:tcPr>
            <w:tcW w:w="1814" w:type="dxa"/>
          </w:tcPr>
          <w:p w14:paraId="299D24DF"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22</w:t>
            </w:r>
          </w:p>
        </w:tc>
        <w:tc>
          <w:tcPr>
            <w:tcW w:w="5751" w:type="dxa"/>
          </w:tcPr>
          <w:p w14:paraId="0C9C563B"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Disclosure of government advertising expenditure</w:t>
            </w:r>
          </w:p>
        </w:tc>
        <w:tc>
          <w:tcPr>
            <w:tcW w:w="1191" w:type="dxa"/>
            <w:vAlign w:val="center"/>
          </w:tcPr>
          <w:p w14:paraId="64A4D964" w14:textId="17AF5A80" w:rsidR="00692247" w:rsidRPr="003832D3" w:rsidRDefault="000B21AB"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49</w:t>
            </w:r>
          </w:p>
        </w:tc>
      </w:tr>
      <w:tr w:rsidR="00FF4989" w:rsidRPr="00242FF6" w14:paraId="757D9C30" w14:textId="77777777" w:rsidTr="00EC78E4">
        <w:tc>
          <w:tcPr>
            <w:tcW w:w="1814" w:type="dxa"/>
          </w:tcPr>
          <w:p w14:paraId="449702B5" w14:textId="64103836" w:rsidR="00FF4989" w:rsidRPr="0012197B" w:rsidRDefault="00FF4989"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FRD 22</w:t>
            </w:r>
          </w:p>
        </w:tc>
        <w:tc>
          <w:tcPr>
            <w:tcW w:w="5751" w:type="dxa"/>
          </w:tcPr>
          <w:p w14:paraId="704FC20D" w14:textId="6112F3A1" w:rsidR="00FF4989" w:rsidRPr="0012197B" w:rsidRDefault="00FF4989"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Disclosure of review and study expenses</w:t>
            </w:r>
          </w:p>
        </w:tc>
        <w:tc>
          <w:tcPr>
            <w:tcW w:w="1191" w:type="dxa"/>
            <w:vAlign w:val="center"/>
          </w:tcPr>
          <w:p w14:paraId="3ED466EE" w14:textId="17FBC80D" w:rsidR="00FF4989" w:rsidRPr="003832D3" w:rsidRDefault="00286A11"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52-53</w:t>
            </w:r>
          </w:p>
        </w:tc>
      </w:tr>
      <w:tr w:rsidR="00692247" w:rsidRPr="00242FF6" w14:paraId="7CB49020" w14:textId="77777777" w:rsidTr="00EC78E4">
        <w:tc>
          <w:tcPr>
            <w:tcW w:w="1814" w:type="dxa"/>
          </w:tcPr>
          <w:p w14:paraId="3AE450C3" w14:textId="77777777"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FRD 22</w:t>
            </w:r>
          </w:p>
        </w:tc>
        <w:tc>
          <w:tcPr>
            <w:tcW w:w="5751" w:type="dxa"/>
          </w:tcPr>
          <w:p w14:paraId="63FB1CC2" w14:textId="77777777"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Disclosure of ICT expenditure</w:t>
            </w:r>
          </w:p>
        </w:tc>
        <w:tc>
          <w:tcPr>
            <w:tcW w:w="1191" w:type="dxa"/>
            <w:vAlign w:val="center"/>
          </w:tcPr>
          <w:p w14:paraId="338B291A" w14:textId="0E1095F3" w:rsidR="00692247" w:rsidRPr="003832D3" w:rsidRDefault="005E7F91"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54</w:t>
            </w:r>
          </w:p>
        </w:tc>
      </w:tr>
      <w:tr w:rsidR="00692247" w:rsidRPr="00242FF6" w14:paraId="1ACBE8EE" w14:textId="77777777" w:rsidTr="00EC78E4">
        <w:tc>
          <w:tcPr>
            <w:tcW w:w="1814" w:type="dxa"/>
          </w:tcPr>
          <w:p w14:paraId="360A18FB" w14:textId="77777777"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FRD 22</w:t>
            </w:r>
          </w:p>
        </w:tc>
        <w:tc>
          <w:tcPr>
            <w:tcW w:w="5751" w:type="dxa"/>
          </w:tcPr>
          <w:p w14:paraId="3C6D2AAD" w14:textId="77777777"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Statement of availability of other information</w:t>
            </w:r>
          </w:p>
        </w:tc>
        <w:tc>
          <w:tcPr>
            <w:tcW w:w="1191" w:type="dxa"/>
            <w:vAlign w:val="center"/>
          </w:tcPr>
          <w:p w14:paraId="430B125A" w14:textId="6D156276" w:rsidR="00692247" w:rsidRPr="003832D3" w:rsidRDefault="006A176C"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56</w:t>
            </w:r>
          </w:p>
        </w:tc>
      </w:tr>
      <w:tr w:rsidR="00692247" w:rsidRPr="00242FF6" w14:paraId="1C1BF6E0" w14:textId="77777777" w:rsidTr="00EC78E4">
        <w:tc>
          <w:tcPr>
            <w:tcW w:w="1814" w:type="dxa"/>
          </w:tcPr>
          <w:p w14:paraId="1BB3AAF6" w14:textId="77777777"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FRD 22</w:t>
            </w:r>
          </w:p>
        </w:tc>
        <w:tc>
          <w:tcPr>
            <w:tcW w:w="5751" w:type="dxa"/>
          </w:tcPr>
          <w:p w14:paraId="56B25132" w14:textId="55439009"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Asset Management Accountability Framework maturity assessment</w:t>
            </w:r>
          </w:p>
        </w:tc>
        <w:tc>
          <w:tcPr>
            <w:tcW w:w="1191" w:type="dxa"/>
            <w:vAlign w:val="center"/>
          </w:tcPr>
          <w:p w14:paraId="11E1BCFD" w14:textId="660AD9C6" w:rsidR="00692247" w:rsidRPr="003832D3" w:rsidRDefault="00246711"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60</w:t>
            </w:r>
          </w:p>
        </w:tc>
      </w:tr>
      <w:tr w:rsidR="00692247" w:rsidRPr="00242FF6" w14:paraId="1CFEFBD0" w14:textId="77777777" w:rsidTr="00EC78E4">
        <w:tc>
          <w:tcPr>
            <w:tcW w:w="1814" w:type="dxa"/>
          </w:tcPr>
          <w:p w14:paraId="77DAB55B" w14:textId="77777777"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FRD 22</w:t>
            </w:r>
          </w:p>
        </w:tc>
        <w:tc>
          <w:tcPr>
            <w:tcW w:w="5751" w:type="dxa"/>
          </w:tcPr>
          <w:p w14:paraId="1C6C56ED" w14:textId="77777777" w:rsidR="00692247" w:rsidRPr="0012197B" w:rsidRDefault="00692247"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Disclosure of emergency procurement</w:t>
            </w:r>
          </w:p>
        </w:tc>
        <w:tc>
          <w:tcPr>
            <w:tcW w:w="1191" w:type="dxa"/>
            <w:vAlign w:val="center"/>
          </w:tcPr>
          <w:p w14:paraId="034F871C" w14:textId="5A5E51E5" w:rsidR="00692247" w:rsidRPr="003832D3" w:rsidRDefault="00EC1449"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58</w:t>
            </w:r>
          </w:p>
        </w:tc>
      </w:tr>
      <w:tr w:rsidR="00C77D93" w:rsidRPr="00242FF6" w14:paraId="1123F1E7" w14:textId="77777777" w:rsidTr="00EC78E4">
        <w:tc>
          <w:tcPr>
            <w:tcW w:w="1814" w:type="dxa"/>
          </w:tcPr>
          <w:p w14:paraId="61A34E3B" w14:textId="79CA565A" w:rsidR="00C77D93" w:rsidRPr="0012197B" w:rsidRDefault="00C77D93"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FRD 22</w:t>
            </w:r>
          </w:p>
        </w:tc>
        <w:tc>
          <w:tcPr>
            <w:tcW w:w="5751" w:type="dxa"/>
          </w:tcPr>
          <w:p w14:paraId="50FD2611" w14:textId="2315C98D" w:rsidR="00C77D93" w:rsidRPr="0012197B" w:rsidRDefault="00C77D93" w:rsidP="00692247">
            <w:pPr>
              <w:pStyle w:val="TableText"/>
              <w:rPr>
                <w:rFonts w:asciiTheme="majorHAnsi" w:hAnsiTheme="majorHAnsi" w:cstheme="majorHAnsi"/>
                <w:sz w:val="20"/>
                <w:szCs w:val="20"/>
              </w:rPr>
            </w:pPr>
            <w:r w:rsidRPr="0012197B">
              <w:rPr>
                <w:rFonts w:asciiTheme="majorHAnsi" w:hAnsiTheme="majorHAnsi" w:cstheme="majorHAnsi"/>
                <w:sz w:val="20"/>
                <w:szCs w:val="20"/>
              </w:rPr>
              <w:t>Disclo</w:t>
            </w:r>
            <w:r w:rsidR="007955D8" w:rsidRPr="0012197B">
              <w:rPr>
                <w:rFonts w:asciiTheme="majorHAnsi" w:hAnsiTheme="majorHAnsi" w:cstheme="majorHAnsi"/>
                <w:sz w:val="20"/>
                <w:szCs w:val="20"/>
              </w:rPr>
              <w:t>sure of procurement complaints</w:t>
            </w:r>
          </w:p>
        </w:tc>
        <w:tc>
          <w:tcPr>
            <w:tcW w:w="1191" w:type="dxa"/>
            <w:vAlign w:val="center"/>
          </w:tcPr>
          <w:p w14:paraId="1AAA44F4" w14:textId="10D49EDF" w:rsidR="00C77D93" w:rsidRPr="003832D3" w:rsidRDefault="008A2DE1"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58</w:t>
            </w:r>
          </w:p>
        </w:tc>
      </w:tr>
      <w:tr w:rsidR="00692247" w:rsidRPr="00242FF6" w14:paraId="711AC681" w14:textId="77777777" w:rsidTr="00EC78E4">
        <w:tc>
          <w:tcPr>
            <w:tcW w:w="1814" w:type="dxa"/>
          </w:tcPr>
          <w:p w14:paraId="7D0F2EB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24</w:t>
            </w:r>
          </w:p>
        </w:tc>
        <w:tc>
          <w:tcPr>
            <w:tcW w:w="5751" w:type="dxa"/>
          </w:tcPr>
          <w:p w14:paraId="4A7FC5EC"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Environmental reporting</w:t>
            </w:r>
          </w:p>
        </w:tc>
        <w:tc>
          <w:tcPr>
            <w:tcW w:w="1191" w:type="dxa"/>
            <w:vAlign w:val="center"/>
          </w:tcPr>
          <w:p w14:paraId="22D8C56E" w14:textId="1CF2DBC6" w:rsidR="00692247" w:rsidRPr="003832D3" w:rsidRDefault="00536FAC"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65-70</w:t>
            </w:r>
          </w:p>
        </w:tc>
      </w:tr>
      <w:tr w:rsidR="00692247" w:rsidRPr="00242FF6" w14:paraId="07C308EB" w14:textId="77777777" w:rsidTr="00EC78E4">
        <w:tc>
          <w:tcPr>
            <w:tcW w:w="1814" w:type="dxa"/>
          </w:tcPr>
          <w:p w14:paraId="2B3E2FE3"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25</w:t>
            </w:r>
          </w:p>
        </w:tc>
        <w:tc>
          <w:tcPr>
            <w:tcW w:w="5751" w:type="dxa"/>
          </w:tcPr>
          <w:p w14:paraId="0BBFD60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Local Jobs First</w:t>
            </w:r>
          </w:p>
        </w:tc>
        <w:tc>
          <w:tcPr>
            <w:tcW w:w="1191" w:type="dxa"/>
            <w:vAlign w:val="center"/>
          </w:tcPr>
          <w:p w14:paraId="5982BE15" w14:textId="6071FE1B" w:rsidR="00692247" w:rsidRPr="003832D3" w:rsidRDefault="00373D9E"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48</w:t>
            </w:r>
          </w:p>
        </w:tc>
      </w:tr>
      <w:tr w:rsidR="00692247" w:rsidRPr="00242FF6" w14:paraId="49A5C0A4" w14:textId="77777777" w:rsidTr="00EC78E4">
        <w:tc>
          <w:tcPr>
            <w:tcW w:w="1814" w:type="dxa"/>
          </w:tcPr>
          <w:p w14:paraId="6039D851"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29</w:t>
            </w:r>
          </w:p>
        </w:tc>
        <w:tc>
          <w:tcPr>
            <w:tcW w:w="5751" w:type="dxa"/>
          </w:tcPr>
          <w:p w14:paraId="262C7711"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Workforce Data disclosures</w:t>
            </w:r>
          </w:p>
        </w:tc>
        <w:tc>
          <w:tcPr>
            <w:tcW w:w="1191" w:type="dxa"/>
            <w:vAlign w:val="center"/>
          </w:tcPr>
          <w:p w14:paraId="12E08046" w14:textId="0E607ACF" w:rsidR="00692247" w:rsidRPr="003832D3" w:rsidRDefault="00E11F32" w:rsidP="00E11F32">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38-47</w:t>
            </w:r>
          </w:p>
        </w:tc>
      </w:tr>
      <w:tr w:rsidR="00692247" w:rsidRPr="00242FF6" w14:paraId="2BBA9F8A" w14:textId="77777777" w:rsidTr="00EC78E4">
        <w:tc>
          <w:tcPr>
            <w:tcW w:w="1814" w:type="dxa"/>
          </w:tcPr>
          <w:p w14:paraId="76DC2ACB"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SD 5.2</w:t>
            </w:r>
          </w:p>
        </w:tc>
        <w:tc>
          <w:tcPr>
            <w:tcW w:w="5751" w:type="dxa"/>
          </w:tcPr>
          <w:p w14:paraId="77629811"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Specific requirements under Standing Direction 5.2</w:t>
            </w:r>
          </w:p>
        </w:tc>
        <w:tc>
          <w:tcPr>
            <w:tcW w:w="1191" w:type="dxa"/>
            <w:vAlign w:val="center"/>
          </w:tcPr>
          <w:p w14:paraId="1C70BACA" w14:textId="1C3B8759"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bl>
    <w:p w14:paraId="318747E7" w14:textId="77777777" w:rsidR="009E4CF2" w:rsidRPr="0012521E" w:rsidRDefault="009E4CF2" w:rsidP="0074499F">
      <w:pPr>
        <w:pStyle w:val="Heading4"/>
      </w:pPr>
      <w:bookmarkStart w:id="335" w:name="_Toc166585783"/>
      <w:r w:rsidRPr="0012521E">
        <w:t>Compliance attestation and declaration</w:t>
      </w:r>
      <w:bookmarkEnd w:id="335"/>
    </w:p>
    <w:tbl>
      <w:tblPr>
        <w:tblStyle w:val="TableGrid"/>
        <w:tblW w:w="8756" w:type="dxa"/>
        <w:tblLayout w:type="fixed"/>
        <w:tblLook w:val="0020" w:firstRow="1" w:lastRow="0" w:firstColumn="0" w:lastColumn="0" w:noHBand="0" w:noVBand="0"/>
      </w:tblPr>
      <w:tblGrid>
        <w:gridCol w:w="1814"/>
        <w:gridCol w:w="5751"/>
        <w:gridCol w:w="1191"/>
      </w:tblGrid>
      <w:tr w:rsidR="009E4CF2" w:rsidRPr="00242FF6" w14:paraId="22D034DB" w14:textId="77777777" w:rsidTr="00E159ED">
        <w:trPr>
          <w:tblHeader/>
        </w:trPr>
        <w:tc>
          <w:tcPr>
            <w:tcW w:w="1814" w:type="dxa"/>
            <w:shd w:val="clear" w:color="auto" w:fill="D4DFA0" w:themeFill="accent3"/>
          </w:tcPr>
          <w:p w14:paraId="2DDE296F"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Legislation</w:t>
            </w:r>
          </w:p>
        </w:tc>
        <w:tc>
          <w:tcPr>
            <w:tcW w:w="5751" w:type="dxa"/>
            <w:shd w:val="clear" w:color="auto" w:fill="D4DFA0" w:themeFill="accent3"/>
          </w:tcPr>
          <w:p w14:paraId="3EE849DC"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Requirement</w:t>
            </w:r>
          </w:p>
        </w:tc>
        <w:tc>
          <w:tcPr>
            <w:tcW w:w="1191" w:type="dxa"/>
            <w:shd w:val="clear" w:color="auto" w:fill="D4DFA0" w:themeFill="accent3"/>
          </w:tcPr>
          <w:p w14:paraId="70666226" w14:textId="77777777" w:rsidR="009E4CF2" w:rsidRPr="00242FF6" w:rsidRDefault="009E4CF2" w:rsidP="00EC78E4">
            <w:pPr>
              <w:pStyle w:val="TableheadingleftTables"/>
              <w:jc w:val="center"/>
              <w:rPr>
                <w:rFonts w:asciiTheme="majorHAnsi" w:hAnsiTheme="majorHAnsi" w:cstheme="majorHAnsi"/>
                <w:sz w:val="20"/>
                <w:szCs w:val="20"/>
              </w:rPr>
            </w:pPr>
            <w:r w:rsidRPr="00242FF6">
              <w:rPr>
                <w:rFonts w:asciiTheme="majorHAnsi" w:hAnsiTheme="majorHAnsi" w:cstheme="majorHAnsi"/>
                <w:sz w:val="20"/>
                <w:szCs w:val="20"/>
              </w:rPr>
              <w:t>Page reference</w:t>
            </w:r>
          </w:p>
        </w:tc>
      </w:tr>
      <w:tr w:rsidR="00692247" w:rsidRPr="00242FF6" w14:paraId="12ABD5B8" w14:textId="77777777" w:rsidTr="00EC78E4">
        <w:tc>
          <w:tcPr>
            <w:tcW w:w="1814" w:type="dxa"/>
          </w:tcPr>
          <w:p w14:paraId="28888283"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SD 5.4.1</w:t>
            </w:r>
          </w:p>
        </w:tc>
        <w:tc>
          <w:tcPr>
            <w:tcW w:w="5751" w:type="dxa"/>
          </w:tcPr>
          <w:p w14:paraId="1803A3F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Attestation for compliance with Ministerial Standing Direction</w:t>
            </w:r>
          </w:p>
        </w:tc>
        <w:tc>
          <w:tcPr>
            <w:tcW w:w="1191" w:type="dxa"/>
            <w:vAlign w:val="center"/>
          </w:tcPr>
          <w:p w14:paraId="5EB64CC4" w14:textId="516C63F2" w:rsidR="00692247" w:rsidRPr="003832D3" w:rsidRDefault="002D2AB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84</w:t>
            </w:r>
          </w:p>
        </w:tc>
      </w:tr>
      <w:tr w:rsidR="00692247" w:rsidRPr="00242FF6" w14:paraId="6BDC3BFF" w14:textId="77777777" w:rsidTr="00EC78E4">
        <w:tc>
          <w:tcPr>
            <w:tcW w:w="1814" w:type="dxa"/>
          </w:tcPr>
          <w:p w14:paraId="6532B781"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SD 5.2.3</w:t>
            </w:r>
          </w:p>
        </w:tc>
        <w:tc>
          <w:tcPr>
            <w:tcW w:w="5751" w:type="dxa"/>
          </w:tcPr>
          <w:p w14:paraId="65B6AA86"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Declaration in report of operations</w:t>
            </w:r>
          </w:p>
        </w:tc>
        <w:tc>
          <w:tcPr>
            <w:tcW w:w="1191" w:type="dxa"/>
            <w:vAlign w:val="center"/>
          </w:tcPr>
          <w:p w14:paraId="2BB8CEA4" w14:textId="0695A059" w:rsidR="00692247" w:rsidRPr="003832D3" w:rsidRDefault="003115B9"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2</w:t>
            </w:r>
          </w:p>
        </w:tc>
      </w:tr>
    </w:tbl>
    <w:p w14:paraId="7AF69E58" w14:textId="77777777" w:rsidR="009E4CF2" w:rsidRPr="0012521E" w:rsidRDefault="009E4CF2" w:rsidP="009E4CF2">
      <w:pPr>
        <w:rPr>
          <w:rFonts w:asciiTheme="majorHAnsi" w:eastAsiaTheme="majorEastAsia" w:hAnsiTheme="majorHAnsi" w:cstheme="majorHAnsi"/>
          <w:color w:val="19FFBC" w:themeColor="accent2" w:themeTint="A6"/>
          <w:sz w:val="28"/>
          <w:szCs w:val="28"/>
        </w:rPr>
      </w:pPr>
      <w:r w:rsidRPr="0012521E">
        <w:rPr>
          <w:rFonts w:asciiTheme="majorHAnsi" w:hAnsiTheme="majorHAnsi" w:cstheme="majorHAnsi"/>
        </w:rPr>
        <w:br w:type="page"/>
      </w:r>
    </w:p>
    <w:p w14:paraId="622587C8" w14:textId="77777777" w:rsidR="009E4CF2" w:rsidRPr="0012521E" w:rsidRDefault="009E4CF2" w:rsidP="00126908">
      <w:pPr>
        <w:pStyle w:val="Heading3"/>
      </w:pPr>
      <w:bookmarkStart w:id="336" w:name="_Toc144884491"/>
      <w:bookmarkStart w:id="337" w:name="_Toc166585784"/>
      <w:r w:rsidRPr="0012521E">
        <w:t>Financial statements</w:t>
      </w:r>
      <w:bookmarkEnd w:id="336"/>
      <w:bookmarkEnd w:id="337"/>
    </w:p>
    <w:p w14:paraId="54D70090" w14:textId="77777777" w:rsidR="009E4CF2" w:rsidRPr="0012521E" w:rsidRDefault="009E4CF2" w:rsidP="0074499F">
      <w:pPr>
        <w:pStyle w:val="Heading4"/>
      </w:pPr>
      <w:bookmarkStart w:id="338" w:name="_Toc166585785"/>
      <w:r w:rsidRPr="0012521E">
        <w:t>Declaration</w:t>
      </w:r>
      <w:bookmarkEnd w:id="338"/>
    </w:p>
    <w:tbl>
      <w:tblPr>
        <w:tblStyle w:val="TableGrid"/>
        <w:tblW w:w="8756" w:type="dxa"/>
        <w:tblLayout w:type="fixed"/>
        <w:tblLook w:val="0020" w:firstRow="1" w:lastRow="0" w:firstColumn="0" w:lastColumn="0" w:noHBand="0" w:noVBand="0"/>
      </w:tblPr>
      <w:tblGrid>
        <w:gridCol w:w="1814"/>
        <w:gridCol w:w="5751"/>
        <w:gridCol w:w="1191"/>
      </w:tblGrid>
      <w:tr w:rsidR="009E4CF2" w:rsidRPr="00242FF6" w14:paraId="4C46F512" w14:textId="77777777" w:rsidTr="00E159ED">
        <w:trPr>
          <w:tblHeader/>
        </w:trPr>
        <w:tc>
          <w:tcPr>
            <w:tcW w:w="1814" w:type="dxa"/>
            <w:shd w:val="clear" w:color="auto" w:fill="D4DFA0" w:themeFill="accent3"/>
          </w:tcPr>
          <w:p w14:paraId="573D6648"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Legislation</w:t>
            </w:r>
          </w:p>
        </w:tc>
        <w:tc>
          <w:tcPr>
            <w:tcW w:w="5751" w:type="dxa"/>
            <w:shd w:val="clear" w:color="auto" w:fill="D4DFA0" w:themeFill="accent3"/>
          </w:tcPr>
          <w:p w14:paraId="6989CD6B"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Requirement</w:t>
            </w:r>
          </w:p>
        </w:tc>
        <w:tc>
          <w:tcPr>
            <w:tcW w:w="1191" w:type="dxa"/>
            <w:shd w:val="clear" w:color="auto" w:fill="D4DFA0" w:themeFill="accent3"/>
          </w:tcPr>
          <w:p w14:paraId="669A65F9" w14:textId="77777777" w:rsidR="009E4CF2" w:rsidRPr="00242FF6" w:rsidRDefault="009E4CF2" w:rsidP="00EC78E4">
            <w:pPr>
              <w:pStyle w:val="TableheadingleftTables"/>
              <w:jc w:val="center"/>
              <w:rPr>
                <w:rFonts w:asciiTheme="majorHAnsi" w:hAnsiTheme="majorHAnsi" w:cstheme="majorHAnsi"/>
                <w:sz w:val="20"/>
                <w:szCs w:val="20"/>
              </w:rPr>
            </w:pPr>
            <w:r w:rsidRPr="00242FF6">
              <w:rPr>
                <w:rFonts w:asciiTheme="majorHAnsi" w:hAnsiTheme="majorHAnsi" w:cstheme="majorHAnsi"/>
                <w:sz w:val="20"/>
                <w:szCs w:val="20"/>
              </w:rPr>
              <w:t>Page reference</w:t>
            </w:r>
          </w:p>
        </w:tc>
      </w:tr>
      <w:tr w:rsidR="00692247" w:rsidRPr="00242FF6" w14:paraId="000A52AF" w14:textId="77777777">
        <w:tc>
          <w:tcPr>
            <w:tcW w:w="1814" w:type="dxa"/>
          </w:tcPr>
          <w:p w14:paraId="593497CB"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SD 5.2.2</w:t>
            </w:r>
          </w:p>
        </w:tc>
        <w:tc>
          <w:tcPr>
            <w:tcW w:w="5751" w:type="dxa"/>
          </w:tcPr>
          <w:p w14:paraId="51B021EF"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Declaration in financial statements</w:t>
            </w:r>
          </w:p>
        </w:tc>
        <w:tc>
          <w:tcPr>
            <w:tcW w:w="1191" w:type="dxa"/>
            <w:vAlign w:val="center"/>
          </w:tcPr>
          <w:p w14:paraId="6D12A9D5" w14:textId="432472CE" w:rsidR="00692247" w:rsidRPr="00242FF6" w:rsidRDefault="00692247" w:rsidP="00692247">
            <w:pPr>
              <w:pStyle w:val="Tablerightlarge"/>
              <w:rPr>
                <w:rFonts w:asciiTheme="majorHAnsi" w:hAnsiTheme="majorHAnsi" w:cstheme="majorHAnsi"/>
                <w:sz w:val="20"/>
                <w:szCs w:val="20"/>
              </w:rPr>
            </w:pPr>
            <w:r w:rsidRPr="003832D3">
              <w:rPr>
                <w:rFonts w:asciiTheme="majorHAnsi" w:hAnsiTheme="majorHAnsi" w:cstheme="majorHAnsi"/>
                <w:sz w:val="20"/>
                <w:szCs w:val="20"/>
                <w:highlight w:val="yellow"/>
              </w:rPr>
              <w:t>TBD</w:t>
            </w:r>
          </w:p>
        </w:tc>
      </w:tr>
    </w:tbl>
    <w:p w14:paraId="2712B242" w14:textId="77777777" w:rsidR="009E4CF2" w:rsidRPr="0012521E" w:rsidRDefault="009E4CF2" w:rsidP="0074499F">
      <w:pPr>
        <w:pStyle w:val="Heading4"/>
      </w:pPr>
      <w:bookmarkStart w:id="339" w:name="_Toc166585786"/>
      <w:r w:rsidRPr="0012521E">
        <w:t>Other requirements under Standing Directions 5.2</w:t>
      </w:r>
      <w:bookmarkEnd w:id="339"/>
    </w:p>
    <w:tbl>
      <w:tblPr>
        <w:tblStyle w:val="TableGrid"/>
        <w:tblW w:w="8756" w:type="dxa"/>
        <w:tblLayout w:type="fixed"/>
        <w:tblLook w:val="0020" w:firstRow="1" w:lastRow="0" w:firstColumn="0" w:lastColumn="0" w:noHBand="0" w:noVBand="0"/>
      </w:tblPr>
      <w:tblGrid>
        <w:gridCol w:w="1814"/>
        <w:gridCol w:w="5751"/>
        <w:gridCol w:w="1191"/>
      </w:tblGrid>
      <w:tr w:rsidR="009E4CF2" w:rsidRPr="00242FF6" w14:paraId="6C3B6BCB" w14:textId="77777777" w:rsidTr="00E159ED">
        <w:trPr>
          <w:tblHeader/>
        </w:trPr>
        <w:tc>
          <w:tcPr>
            <w:tcW w:w="1814" w:type="dxa"/>
            <w:shd w:val="clear" w:color="auto" w:fill="D4DFA0" w:themeFill="accent3"/>
          </w:tcPr>
          <w:p w14:paraId="134D47AD"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Legislation</w:t>
            </w:r>
          </w:p>
        </w:tc>
        <w:tc>
          <w:tcPr>
            <w:tcW w:w="5751" w:type="dxa"/>
            <w:shd w:val="clear" w:color="auto" w:fill="D4DFA0" w:themeFill="accent3"/>
          </w:tcPr>
          <w:p w14:paraId="16C373B8"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Requirement</w:t>
            </w:r>
          </w:p>
        </w:tc>
        <w:tc>
          <w:tcPr>
            <w:tcW w:w="1191" w:type="dxa"/>
            <w:shd w:val="clear" w:color="auto" w:fill="D4DFA0" w:themeFill="accent3"/>
          </w:tcPr>
          <w:p w14:paraId="633B1256" w14:textId="77777777" w:rsidR="009E4CF2" w:rsidRPr="00242FF6" w:rsidRDefault="009E4CF2" w:rsidP="00EC78E4">
            <w:pPr>
              <w:pStyle w:val="TableheadingleftTables"/>
              <w:jc w:val="center"/>
              <w:rPr>
                <w:rFonts w:asciiTheme="majorHAnsi" w:hAnsiTheme="majorHAnsi" w:cstheme="majorHAnsi"/>
                <w:sz w:val="20"/>
                <w:szCs w:val="20"/>
              </w:rPr>
            </w:pPr>
            <w:r w:rsidRPr="00242FF6">
              <w:rPr>
                <w:rFonts w:asciiTheme="majorHAnsi" w:hAnsiTheme="majorHAnsi" w:cstheme="majorHAnsi"/>
                <w:sz w:val="20"/>
                <w:szCs w:val="20"/>
              </w:rPr>
              <w:t>Page reference</w:t>
            </w:r>
          </w:p>
        </w:tc>
      </w:tr>
      <w:tr w:rsidR="00692247" w:rsidRPr="00242FF6" w14:paraId="6B4F04A6" w14:textId="77777777">
        <w:tc>
          <w:tcPr>
            <w:tcW w:w="1814" w:type="dxa"/>
          </w:tcPr>
          <w:p w14:paraId="3EA342EE"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SD 5.2.1(a)</w:t>
            </w:r>
          </w:p>
        </w:tc>
        <w:tc>
          <w:tcPr>
            <w:tcW w:w="5751" w:type="dxa"/>
          </w:tcPr>
          <w:p w14:paraId="184B8BC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Compliance with Australian accounting standards and other authoritative pronouncements</w:t>
            </w:r>
          </w:p>
        </w:tc>
        <w:tc>
          <w:tcPr>
            <w:tcW w:w="1191" w:type="dxa"/>
            <w:vAlign w:val="center"/>
          </w:tcPr>
          <w:p w14:paraId="253E8A5E" w14:textId="3CEF9199"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66690991" w14:textId="77777777">
        <w:tc>
          <w:tcPr>
            <w:tcW w:w="1814" w:type="dxa"/>
          </w:tcPr>
          <w:p w14:paraId="51723F9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SD 5.2.1(a)</w:t>
            </w:r>
          </w:p>
        </w:tc>
        <w:tc>
          <w:tcPr>
            <w:tcW w:w="5751" w:type="dxa"/>
          </w:tcPr>
          <w:p w14:paraId="26FED4FB"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Compliance with Standing Directions</w:t>
            </w:r>
          </w:p>
        </w:tc>
        <w:tc>
          <w:tcPr>
            <w:tcW w:w="1191" w:type="dxa"/>
            <w:vAlign w:val="center"/>
          </w:tcPr>
          <w:p w14:paraId="193D7974" w14:textId="512E79B6"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154FC487" w14:textId="77777777">
        <w:tc>
          <w:tcPr>
            <w:tcW w:w="1814" w:type="dxa"/>
          </w:tcPr>
          <w:p w14:paraId="66A0E2E1"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SD 5.2.1(b)</w:t>
            </w:r>
          </w:p>
        </w:tc>
        <w:tc>
          <w:tcPr>
            <w:tcW w:w="5751" w:type="dxa"/>
          </w:tcPr>
          <w:p w14:paraId="452CBE76"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Compliance with Model Financial Report</w:t>
            </w:r>
          </w:p>
        </w:tc>
        <w:tc>
          <w:tcPr>
            <w:tcW w:w="1191" w:type="dxa"/>
            <w:vAlign w:val="center"/>
          </w:tcPr>
          <w:p w14:paraId="60937DD8" w14:textId="5C84EBFB"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bl>
    <w:p w14:paraId="30332897" w14:textId="77777777" w:rsidR="009E4CF2" w:rsidRPr="0012521E" w:rsidRDefault="009E4CF2" w:rsidP="0074499F">
      <w:pPr>
        <w:pStyle w:val="Heading4"/>
      </w:pPr>
      <w:bookmarkStart w:id="340" w:name="_Toc166585787"/>
      <w:r w:rsidRPr="0012521E">
        <w:t>Other disclosures as required by FRDs in notes to the financial statements (a)</w:t>
      </w:r>
      <w:bookmarkEnd w:id="340"/>
    </w:p>
    <w:tbl>
      <w:tblPr>
        <w:tblStyle w:val="TableGrid"/>
        <w:tblW w:w="8756" w:type="dxa"/>
        <w:tblLayout w:type="fixed"/>
        <w:tblLook w:val="0020" w:firstRow="1" w:lastRow="0" w:firstColumn="0" w:lastColumn="0" w:noHBand="0" w:noVBand="0"/>
      </w:tblPr>
      <w:tblGrid>
        <w:gridCol w:w="1814"/>
        <w:gridCol w:w="5751"/>
        <w:gridCol w:w="1191"/>
      </w:tblGrid>
      <w:tr w:rsidR="009E4CF2" w:rsidRPr="00242FF6" w14:paraId="30FB252B" w14:textId="77777777" w:rsidTr="00E159ED">
        <w:trPr>
          <w:tblHeader/>
        </w:trPr>
        <w:tc>
          <w:tcPr>
            <w:tcW w:w="1814" w:type="dxa"/>
            <w:shd w:val="clear" w:color="auto" w:fill="D4DFA0" w:themeFill="accent3"/>
          </w:tcPr>
          <w:p w14:paraId="35A8EF84"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Legislation</w:t>
            </w:r>
          </w:p>
        </w:tc>
        <w:tc>
          <w:tcPr>
            <w:tcW w:w="5751" w:type="dxa"/>
            <w:shd w:val="clear" w:color="auto" w:fill="D4DFA0" w:themeFill="accent3"/>
          </w:tcPr>
          <w:p w14:paraId="2CF95972" w14:textId="77777777" w:rsidR="009E4CF2" w:rsidRPr="00242FF6" w:rsidRDefault="009E4CF2" w:rsidP="00EC78E4">
            <w:pPr>
              <w:pStyle w:val="TableheadingleftTables"/>
              <w:rPr>
                <w:rFonts w:asciiTheme="majorHAnsi" w:hAnsiTheme="majorHAnsi" w:cstheme="majorHAnsi"/>
                <w:sz w:val="20"/>
                <w:szCs w:val="20"/>
              </w:rPr>
            </w:pPr>
            <w:r w:rsidRPr="00242FF6">
              <w:rPr>
                <w:rFonts w:asciiTheme="majorHAnsi" w:hAnsiTheme="majorHAnsi" w:cstheme="majorHAnsi"/>
                <w:sz w:val="20"/>
                <w:szCs w:val="20"/>
              </w:rPr>
              <w:t>Requirement</w:t>
            </w:r>
          </w:p>
        </w:tc>
        <w:tc>
          <w:tcPr>
            <w:tcW w:w="1191" w:type="dxa"/>
            <w:shd w:val="clear" w:color="auto" w:fill="D4DFA0" w:themeFill="accent3"/>
          </w:tcPr>
          <w:p w14:paraId="74E9309E" w14:textId="77777777" w:rsidR="009E4CF2" w:rsidRPr="00242FF6" w:rsidRDefault="009E4CF2" w:rsidP="00EC78E4">
            <w:pPr>
              <w:pStyle w:val="TableheadingleftTables"/>
              <w:jc w:val="center"/>
              <w:rPr>
                <w:rFonts w:asciiTheme="majorHAnsi" w:hAnsiTheme="majorHAnsi" w:cstheme="majorHAnsi"/>
                <w:sz w:val="20"/>
                <w:szCs w:val="20"/>
              </w:rPr>
            </w:pPr>
            <w:r w:rsidRPr="00242FF6">
              <w:rPr>
                <w:rFonts w:asciiTheme="majorHAnsi" w:hAnsiTheme="majorHAnsi" w:cstheme="majorHAnsi"/>
                <w:sz w:val="20"/>
                <w:szCs w:val="20"/>
              </w:rPr>
              <w:t>Page reference</w:t>
            </w:r>
          </w:p>
        </w:tc>
      </w:tr>
      <w:tr w:rsidR="00692247" w:rsidRPr="00242FF6" w14:paraId="33F567B2" w14:textId="77777777" w:rsidTr="00EC78E4">
        <w:tc>
          <w:tcPr>
            <w:tcW w:w="1814" w:type="dxa"/>
          </w:tcPr>
          <w:p w14:paraId="2DCDC18F"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9</w:t>
            </w:r>
          </w:p>
        </w:tc>
        <w:tc>
          <w:tcPr>
            <w:tcW w:w="5751" w:type="dxa"/>
          </w:tcPr>
          <w:p w14:paraId="498743BF"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Departmental Disclosure of Administered Assets and Liabilities by Activity</w:t>
            </w:r>
          </w:p>
        </w:tc>
        <w:tc>
          <w:tcPr>
            <w:tcW w:w="1191" w:type="dxa"/>
            <w:vAlign w:val="center"/>
          </w:tcPr>
          <w:p w14:paraId="653EC416" w14:textId="5B2558BC"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2A22FBDC" w14:textId="77777777">
        <w:tc>
          <w:tcPr>
            <w:tcW w:w="1814" w:type="dxa"/>
          </w:tcPr>
          <w:p w14:paraId="6897DA20"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11</w:t>
            </w:r>
          </w:p>
        </w:tc>
        <w:tc>
          <w:tcPr>
            <w:tcW w:w="5751" w:type="dxa"/>
          </w:tcPr>
          <w:p w14:paraId="2497DBE3"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Disclosure of Ex Gratia Expenses</w:t>
            </w:r>
          </w:p>
        </w:tc>
        <w:tc>
          <w:tcPr>
            <w:tcW w:w="1191" w:type="dxa"/>
            <w:vAlign w:val="center"/>
          </w:tcPr>
          <w:p w14:paraId="70DB5A45" w14:textId="52D240B6"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40530C0E" w14:textId="77777777">
        <w:tc>
          <w:tcPr>
            <w:tcW w:w="1814" w:type="dxa"/>
          </w:tcPr>
          <w:p w14:paraId="1B24E4E4"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21</w:t>
            </w:r>
          </w:p>
        </w:tc>
        <w:tc>
          <w:tcPr>
            <w:tcW w:w="5751" w:type="dxa"/>
          </w:tcPr>
          <w:p w14:paraId="716DBA9E"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Disclosures of Responsible Persons, SES and other Personnel (Contractors with Significant Management Responsibilities) in the Financial Report</w:t>
            </w:r>
          </w:p>
        </w:tc>
        <w:tc>
          <w:tcPr>
            <w:tcW w:w="1191" w:type="dxa"/>
            <w:vAlign w:val="center"/>
          </w:tcPr>
          <w:p w14:paraId="199D3DA8" w14:textId="5C48F1F7"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0F8EFA88" w14:textId="77777777">
        <w:tc>
          <w:tcPr>
            <w:tcW w:w="1814" w:type="dxa"/>
          </w:tcPr>
          <w:p w14:paraId="4D024D80"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103</w:t>
            </w:r>
          </w:p>
        </w:tc>
        <w:tc>
          <w:tcPr>
            <w:tcW w:w="5751" w:type="dxa"/>
          </w:tcPr>
          <w:p w14:paraId="6C640E3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Non-Financial Physical Assets</w:t>
            </w:r>
          </w:p>
        </w:tc>
        <w:tc>
          <w:tcPr>
            <w:tcW w:w="1191" w:type="dxa"/>
            <w:vAlign w:val="center"/>
          </w:tcPr>
          <w:p w14:paraId="5582A208" w14:textId="3E4D52D6"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481682EB" w14:textId="77777777">
        <w:tc>
          <w:tcPr>
            <w:tcW w:w="1814" w:type="dxa"/>
          </w:tcPr>
          <w:p w14:paraId="7B2DDCE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110</w:t>
            </w:r>
          </w:p>
        </w:tc>
        <w:tc>
          <w:tcPr>
            <w:tcW w:w="5751" w:type="dxa"/>
          </w:tcPr>
          <w:p w14:paraId="2980EEF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Cash Flow Statements</w:t>
            </w:r>
          </w:p>
        </w:tc>
        <w:tc>
          <w:tcPr>
            <w:tcW w:w="1191" w:type="dxa"/>
            <w:vAlign w:val="center"/>
          </w:tcPr>
          <w:p w14:paraId="525CAAEF" w14:textId="36BA6552"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0B354815" w14:textId="77777777">
        <w:tc>
          <w:tcPr>
            <w:tcW w:w="1814" w:type="dxa"/>
          </w:tcPr>
          <w:p w14:paraId="22A94106"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112</w:t>
            </w:r>
          </w:p>
        </w:tc>
        <w:tc>
          <w:tcPr>
            <w:tcW w:w="5751" w:type="dxa"/>
          </w:tcPr>
          <w:p w14:paraId="523039E0"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Defined Benefit Superannuation Obligations</w:t>
            </w:r>
          </w:p>
        </w:tc>
        <w:tc>
          <w:tcPr>
            <w:tcW w:w="1191" w:type="dxa"/>
            <w:vAlign w:val="center"/>
          </w:tcPr>
          <w:p w14:paraId="1F293725" w14:textId="7DFF1E70"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r w:rsidR="00692247" w:rsidRPr="00242FF6" w14:paraId="50B5254B" w14:textId="77777777">
        <w:tc>
          <w:tcPr>
            <w:tcW w:w="1814" w:type="dxa"/>
          </w:tcPr>
          <w:p w14:paraId="161B059A"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FRD 114</w:t>
            </w:r>
          </w:p>
        </w:tc>
        <w:tc>
          <w:tcPr>
            <w:tcW w:w="5751" w:type="dxa"/>
          </w:tcPr>
          <w:p w14:paraId="25B2B2B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Financial Instruments – general government entities and public non-financial corporations</w:t>
            </w:r>
          </w:p>
        </w:tc>
        <w:tc>
          <w:tcPr>
            <w:tcW w:w="1191" w:type="dxa"/>
            <w:vAlign w:val="center"/>
          </w:tcPr>
          <w:p w14:paraId="537F2B83" w14:textId="47528750" w:rsidR="00692247" w:rsidRPr="003832D3" w:rsidRDefault="0069224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TBD</w:t>
            </w:r>
          </w:p>
        </w:tc>
      </w:tr>
    </w:tbl>
    <w:p w14:paraId="50648CE1" w14:textId="77777777" w:rsidR="009E4CF2" w:rsidRPr="0012521E" w:rsidRDefault="009E4CF2" w:rsidP="00105389">
      <w:pPr>
        <w:pStyle w:val="Body"/>
      </w:pPr>
      <w:r w:rsidRPr="0012521E">
        <w:t>Note:</w:t>
      </w:r>
    </w:p>
    <w:p w14:paraId="3C7D7D63" w14:textId="77777777" w:rsidR="009E4CF2" w:rsidRPr="0012521E" w:rsidRDefault="009E4CF2" w:rsidP="00105389">
      <w:pPr>
        <w:pStyle w:val="Body"/>
      </w:pPr>
      <w:r w:rsidRPr="0012521E">
        <w:t xml:space="preserve">(a) References to FRDs have been removed from the Disclosure Index if the specific FRDs do not contain requirements that are </w:t>
      </w:r>
      <w:proofErr w:type="gramStart"/>
      <w:r w:rsidRPr="0012521E">
        <w:t>in the nature of disclosure</w:t>
      </w:r>
      <w:proofErr w:type="gramEnd"/>
      <w:r w:rsidRPr="0012521E">
        <w:t>.</w:t>
      </w:r>
    </w:p>
    <w:tbl>
      <w:tblPr>
        <w:tblStyle w:val="TableGrid"/>
        <w:tblW w:w="8756" w:type="dxa"/>
        <w:tblLayout w:type="fixed"/>
        <w:tblLook w:val="0020" w:firstRow="1" w:lastRow="0" w:firstColumn="0" w:lastColumn="0" w:noHBand="0" w:noVBand="0"/>
      </w:tblPr>
      <w:tblGrid>
        <w:gridCol w:w="7565"/>
        <w:gridCol w:w="1191"/>
      </w:tblGrid>
      <w:tr w:rsidR="00EE5C22" w:rsidRPr="00242FF6" w14:paraId="7B1E1A45" w14:textId="77777777" w:rsidTr="00E159ED">
        <w:trPr>
          <w:trHeight w:val="60"/>
        </w:trPr>
        <w:tc>
          <w:tcPr>
            <w:tcW w:w="7565" w:type="dxa"/>
            <w:shd w:val="clear" w:color="auto" w:fill="D4DFA0" w:themeFill="accent3"/>
          </w:tcPr>
          <w:p w14:paraId="35401D27" w14:textId="77777777" w:rsidR="00EE5C22" w:rsidRPr="00242FF6" w:rsidRDefault="00EE5C22" w:rsidP="00EE5C22">
            <w:pPr>
              <w:pStyle w:val="TableText"/>
              <w:rPr>
                <w:rStyle w:val="Strong"/>
                <w:rFonts w:asciiTheme="majorHAnsi" w:hAnsiTheme="majorHAnsi" w:cstheme="majorHAnsi"/>
                <w:sz w:val="20"/>
                <w:szCs w:val="20"/>
              </w:rPr>
            </w:pPr>
            <w:r w:rsidRPr="00242FF6">
              <w:rPr>
                <w:rStyle w:val="Strong"/>
                <w:rFonts w:asciiTheme="majorHAnsi" w:hAnsiTheme="majorHAnsi" w:cstheme="majorHAnsi"/>
                <w:sz w:val="20"/>
                <w:szCs w:val="20"/>
              </w:rPr>
              <w:t>Legislation</w:t>
            </w:r>
          </w:p>
        </w:tc>
        <w:tc>
          <w:tcPr>
            <w:tcW w:w="1191" w:type="dxa"/>
            <w:shd w:val="clear" w:color="auto" w:fill="D4DFA0" w:themeFill="accent3"/>
          </w:tcPr>
          <w:p w14:paraId="77AB2101" w14:textId="63AAED7D" w:rsidR="00EE5C22" w:rsidRPr="00242FF6" w:rsidRDefault="00EE5C22" w:rsidP="00EE5C22">
            <w:pPr>
              <w:pStyle w:val="TableText"/>
              <w:jc w:val="center"/>
              <w:rPr>
                <w:rStyle w:val="Strong"/>
                <w:rFonts w:asciiTheme="majorHAnsi" w:hAnsiTheme="majorHAnsi" w:cstheme="majorHAnsi"/>
                <w:b w:val="0"/>
                <w:bCs/>
                <w:sz w:val="20"/>
                <w:szCs w:val="20"/>
              </w:rPr>
            </w:pPr>
            <w:r w:rsidRPr="00242FF6">
              <w:rPr>
                <w:rFonts w:asciiTheme="majorHAnsi" w:hAnsiTheme="majorHAnsi" w:cstheme="majorHAnsi"/>
                <w:b/>
                <w:bCs w:val="0"/>
                <w:sz w:val="20"/>
                <w:szCs w:val="20"/>
              </w:rPr>
              <w:t>Page reference</w:t>
            </w:r>
          </w:p>
        </w:tc>
      </w:tr>
      <w:tr w:rsidR="00692247" w:rsidRPr="00242FF6" w14:paraId="3B62A60D" w14:textId="77777777" w:rsidTr="00EC78E4">
        <w:trPr>
          <w:trHeight w:val="60"/>
        </w:trPr>
        <w:tc>
          <w:tcPr>
            <w:tcW w:w="7565" w:type="dxa"/>
          </w:tcPr>
          <w:p w14:paraId="4CE2D37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Building Act 1993</w:t>
            </w:r>
          </w:p>
        </w:tc>
        <w:tc>
          <w:tcPr>
            <w:tcW w:w="1191" w:type="dxa"/>
            <w:vAlign w:val="center"/>
          </w:tcPr>
          <w:p w14:paraId="34D71C3A" w14:textId="2A589D3F" w:rsidR="00692247" w:rsidRPr="003832D3" w:rsidRDefault="00C67B22"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57</w:t>
            </w:r>
          </w:p>
        </w:tc>
      </w:tr>
      <w:tr w:rsidR="00692247" w:rsidRPr="00242FF6" w14:paraId="212ABC24" w14:textId="77777777" w:rsidTr="00EC78E4">
        <w:trPr>
          <w:trHeight w:val="60"/>
        </w:trPr>
        <w:tc>
          <w:tcPr>
            <w:tcW w:w="7565" w:type="dxa"/>
          </w:tcPr>
          <w:p w14:paraId="29C617F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Disability Act 2006</w:t>
            </w:r>
          </w:p>
        </w:tc>
        <w:tc>
          <w:tcPr>
            <w:tcW w:w="1191" w:type="dxa"/>
            <w:vAlign w:val="center"/>
          </w:tcPr>
          <w:p w14:paraId="2F9278A2" w14:textId="0D8C9961" w:rsidR="00692247" w:rsidRPr="003832D3" w:rsidRDefault="00CC2316"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58</w:t>
            </w:r>
          </w:p>
        </w:tc>
      </w:tr>
      <w:tr w:rsidR="00692247" w:rsidRPr="00242FF6" w14:paraId="79E68875" w14:textId="77777777" w:rsidTr="00C2649A">
        <w:trPr>
          <w:trHeight w:val="259"/>
        </w:trPr>
        <w:tc>
          <w:tcPr>
            <w:tcW w:w="7565" w:type="dxa"/>
          </w:tcPr>
          <w:p w14:paraId="7F806A05"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Financial Management Act 1994</w:t>
            </w:r>
          </w:p>
        </w:tc>
        <w:tc>
          <w:tcPr>
            <w:tcW w:w="1191" w:type="dxa"/>
            <w:vAlign w:val="center"/>
          </w:tcPr>
          <w:p w14:paraId="7C7043D0" w14:textId="23692CBB" w:rsidR="00692247" w:rsidRPr="003832D3" w:rsidRDefault="00421F93"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56</w:t>
            </w:r>
          </w:p>
        </w:tc>
      </w:tr>
      <w:tr w:rsidR="00692247" w:rsidRPr="00242FF6" w14:paraId="2E54029A" w14:textId="77777777" w:rsidTr="00EC78E4">
        <w:trPr>
          <w:trHeight w:val="60"/>
        </w:trPr>
        <w:tc>
          <w:tcPr>
            <w:tcW w:w="7565" w:type="dxa"/>
          </w:tcPr>
          <w:p w14:paraId="1C0DE120"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Freedom of Information Act 1982</w:t>
            </w:r>
          </w:p>
        </w:tc>
        <w:tc>
          <w:tcPr>
            <w:tcW w:w="1191" w:type="dxa"/>
            <w:vAlign w:val="center"/>
          </w:tcPr>
          <w:p w14:paraId="5B823C66" w14:textId="74E8FB01" w:rsidR="00692247" w:rsidRPr="003832D3" w:rsidRDefault="002E6EDA"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54-56</w:t>
            </w:r>
          </w:p>
        </w:tc>
      </w:tr>
      <w:tr w:rsidR="00692247" w:rsidRPr="00242FF6" w14:paraId="56993366" w14:textId="77777777" w:rsidTr="00EC78E4">
        <w:trPr>
          <w:trHeight w:val="60"/>
        </w:trPr>
        <w:tc>
          <w:tcPr>
            <w:tcW w:w="7565" w:type="dxa"/>
          </w:tcPr>
          <w:p w14:paraId="67F496D9"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Local Jobs Act 2003</w:t>
            </w:r>
          </w:p>
        </w:tc>
        <w:tc>
          <w:tcPr>
            <w:tcW w:w="1191" w:type="dxa"/>
            <w:vAlign w:val="center"/>
          </w:tcPr>
          <w:p w14:paraId="2D4BF8EC" w14:textId="7A8A0E82" w:rsidR="00692247" w:rsidRPr="003832D3" w:rsidRDefault="00A87DC3"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48</w:t>
            </w:r>
          </w:p>
        </w:tc>
      </w:tr>
      <w:tr w:rsidR="00692247" w:rsidRPr="00242FF6" w14:paraId="6F69D53A" w14:textId="77777777" w:rsidTr="00EC78E4">
        <w:trPr>
          <w:trHeight w:val="60"/>
        </w:trPr>
        <w:tc>
          <w:tcPr>
            <w:tcW w:w="7565" w:type="dxa"/>
          </w:tcPr>
          <w:p w14:paraId="4E55BCB3" w14:textId="77777777" w:rsidR="00692247" w:rsidRPr="00242FF6" w:rsidRDefault="00692247" w:rsidP="00692247">
            <w:pPr>
              <w:pStyle w:val="TableText"/>
              <w:rPr>
                <w:rFonts w:asciiTheme="majorHAnsi" w:hAnsiTheme="majorHAnsi" w:cstheme="majorHAnsi"/>
                <w:sz w:val="20"/>
                <w:szCs w:val="20"/>
              </w:rPr>
            </w:pPr>
            <w:r w:rsidRPr="00242FF6">
              <w:rPr>
                <w:rFonts w:asciiTheme="majorHAnsi" w:hAnsiTheme="majorHAnsi" w:cstheme="majorHAnsi"/>
                <w:sz w:val="20"/>
                <w:szCs w:val="20"/>
              </w:rPr>
              <w:t>Public Interest Disclosure Act 2012</w:t>
            </w:r>
          </w:p>
        </w:tc>
        <w:tc>
          <w:tcPr>
            <w:tcW w:w="1191" w:type="dxa"/>
            <w:vAlign w:val="center"/>
          </w:tcPr>
          <w:p w14:paraId="4A350767" w14:textId="2A1B25EA" w:rsidR="00692247" w:rsidRPr="003832D3" w:rsidRDefault="00F42BF7" w:rsidP="00692247">
            <w:pPr>
              <w:pStyle w:val="Tablerightlarge"/>
              <w:rPr>
                <w:rFonts w:asciiTheme="majorHAnsi" w:hAnsiTheme="majorHAnsi" w:cstheme="majorHAnsi"/>
                <w:sz w:val="20"/>
                <w:szCs w:val="20"/>
                <w:highlight w:val="yellow"/>
              </w:rPr>
            </w:pPr>
            <w:r w:rsidRPr="003832D3">
              <w:rPr>
                <w:rFonts w:asciiTheme="majorHAnsi" w:hAnsiTheme="majorHAnsi" w:cstheme="majorHAnsi"/>
                <w:sz w:val="20"/>
                <w:szCs w:val="20"/>
                <w:highlight w:val="yellow"/>
              </w:rPr>
              <w:t>57</w:t>
            </w:r>
          </w:p>
        </w:tc>
      </w:tr>
    </w:tbl>
    <w:p w14:paraId="7E3D2729" w14:textId="77777777" w:rsidR="004F7061" w:rsidRPr="00DC7801" w:rsidRDefault="004F7061" w:rsidP="004F7061">
      <w:pPr>
        <w:keepNext/>
        <w:keepLines/>
        <w:spacing w:before="480" w:after="20"/>
        <w:contextualSpacing/>
        <w:outlineLvl w:val="0"/>
        <w:rPr>
          <w:rFonts w:eastAsia="SimHei" w:cs="Arial"/>
          <w:b/>
          <w:color w:val="174F37"/>
          <w:sz w:val="40"/>
          <w:szCs w:val="32"/>
        </w:rPr>
      </w:pPr>
      <w:bookmarkStart w:id="341" w:name="_Toc56627370"/>
      <w:bookmarkStart w:id="342" w:name="_Toc57039897"/>
      <w:bookmarkStart w:id="343" w:name="_Ref85009972"/>
      <w:bookmarkStart w:id="344" w:name="_Toc144883459"/>
      <w:bookmarkStart w:id="345" w:name="_Toc144884492"/>
      <w:bookmarkStart w:id="346" w:name="_Toc147395363"/>
      <w:bookmarkStart w:id="347" w:name="_Toc166585788"/>
      <w:bookmarkStart w:id="348" w:name="_Toc179469485"/>
      <w:r w:rsidRPr="00DC7801">
        <w:rPr>
          <w:rFonts w:eastAsia="SimHei" w:cs="Arial"/>
          <w:b/>
          <w:color w:val="174F37"/>
          <w:sz w:val="40"/>
          <w:szCs w:val="32"/>
        </w:rPr>
        <w:t xml:space="preserve">Appendix 2: </w:t>
      </w:r>
      <w:bookmarkEnd w:id="341"/>
      <w:bookmarkEnd w:id="342"/>
      <w:bookmarkEnd w:id="343"/>
      <w:bookmarkEnd w:id="344"/>
      <w:bookmarkEnd w:id="345"/>
      <w:bookmarkEnd w:id="346"/>
      <w:bookmarkEnd w:id="347"/>
      <w:r>
        <w:rPr>
          <w:rFonts w:eastAsia="SimHei" w:cs="Arial"/>
          <w:b/>
          <w:color w:val="174F37"/>
          <w:sz w:val="40"/>
          <w:szCs w:val="32"/>
        </w:rPr>
        <w:t>Environmental reporting</w:t>
      </w:r>
      <w:bookmarkEnd w:id="348"/>
    </w:p>
    <w:p w14:paraId="0B145D4A" w14:textId="77777777" w:rsidR="004F7061" w:rsidRPr="00DC7801" w:rsidRDefault="004F7061" w:rsidP="004F7061">
      <w:pPr>
        <w:keepNext/>
        <w:keepLines/>
        <w:spacing w:before="300" w:after="20"/>
        <w:contextualSpacing/>
        <w:outlineLvl w:val="1"/>
        <w:rPr>
          <w:rFonts w:eastAsia="SimHei" w:cs="Arial"/>
          <w:b/>
          <w:color w:val="595959"/>
          <w:sz w:val="32"/>
          <w:szCs w:val="26"/>
        </w:rPr>
      </w:pPr>
      <w:bookmarkStart w:id="349" w:name="_Toc144884493"/>
      <w:bookmarkStart w:id="350" w:name="_Toc166585789"/>
      <w:r>
        <w:rPr>
          <w:rFonts w:eastAsia="SimHei" w:cs="Arial"/>
          <w:b/>
          <w:color w:val="595959"/>
          <w:sz w:val="32"/>
          <w:szCs w:val="26"/>
        </w:rPr>
        <w:t>E</w:t>
      </w:r>
      <w:r w:rsidRPr="00DC7801">
        <w:rPr>
          <w:rFonts w:eastAsia="SimHei" w:cs="Arial"/>
          <w:b/>
          <w:color w:val="595959"/>
          <w:sz w:val="32"/>
          <w:szCs w:val="26"/>
        </w:rPr>
        <w:t>nvironmental performance summary</w:t>
      </w:r>
      <w:bookmarkEnd w:id="349"/>
      <w:bookmarkEnd w:id="350"/>
    </w:p>
    <w:p w14:paraId="274B8A12" w14:textId="77777777" w:rsidR="004F7061" w:rsidRPr="00DC7801" w:rsidRDefault="004F7061" w:rsidP="004F7061">
      <w:pPr>
        <w:spacing w:after="120" w:line="259" w:lineRule="auto"/>
        <w:rPr>
          <w:rFonts w:eastAsia="SimHei" w:cs="Arial"/>
          <w:szCs w:val="20"/>
          <w:lang w:eastAsia="en-AU"/>
        </w:rPr>
      </w:pPr>
      <w:r w:rsidRPr="00DC7801">
        <w:rPr>
          <w:rFonts w:eastAsia="SimHei" w:cs="Arial"/>
          <w:szCs w:val="20"/>
          <w:lang w:eastAsia="en-AU"/>
        </w:rPr>
        <w:t>Financial Reporting Directive 24 (FRD 24) specifies the environmental performance indicators that must be reported by relevant entities across the Victorian Government in annual reports.</w:t>
      </w:r>
    </w:p>
    <w:p w14:paraId="17FC9222" w14:textId="77777777" w:rsidR="004F7061" w:rsidRPr="00DC7801" w:rsidRDefault="004F7061" w:rsidP="004F7061">
      <w:pPr>
        <w:spacing w:after="120" w:line="259" w:lineRule="auto"/>
        <w:rPr>
          <w:rFonts w:eastAsia="SimHei" w:cs="Arial"/>
          <w:szCs w:val="20"/>
          <w:lang w:eastAsia="en-AU"/>
        </w:rPr>
      </w:pPr>
      <w:r w:rsidRPr="00DC7801">
        <w:rPr>
          <w:rFonts w:eastAsia="SimHei" w:cs="Arial"/>
          <w:szCs w:val="20"/>
          <w:lang w:eastAsia="en-AU"/>
        </w:rPr>
        <w:t>SV’s Environmental Management System (EMS) is a structured approach to managing the organisation's environmental impacts and improving its environmental performance. SV's EMS is modelled on the national standard AS/NZS ISO 14001:2016 Environmental Management Systems. SV’s EMS was last audited in 2023 with no significant findings. It is due to be audited again in 2025.</w:t>
      </w:r>
    </w:p>
    <w:p w14:paraId="4F7EE1AA" w14:textId="77777777" w:rsidR="004F7061" w:rsidRPr="00DC7801" w:rsidRDefault="004F7061" w:rsidP="004F7061">
      <w:pPr>
        <w:spacing w:after="120" w:line="259" w:lineRule="auto"/>
        <w:contextualSpacing/>
        <w:rPr>
          <w:rFonts w:eastAsia="Arial" w:cs="Arial"/>
          <w:color w:val="000000"/>
        </w:rPr>
      </w:pPr>
    </w:p>
    <w:p w14:paraId="51A42341" w14:textId="77777777" w:rsidR="004F7061" w:rsidRPr="005A5946" w:rsidRDefault="004F7061" w:rsidP="004F7061">
      <w:pPr>
        <w:keepNext/>
        <w:keepLines/>
        <w:spacing w:before="300" w:after="20"/>
        <w:contextualSpacing/>
        <w:outlineLvl w:val="1"/>
        <w:rPr>
          <w:rFonts w:eastAsia="SimHei" w:cs="Arial"/>
          <w:b/>
          <w:color w:val="595959"/>
          <w:sz w:val="32"/>
          <w:szCs w:val="26"/>
        </w:rPr>
      </w:pPr>
      <w:r w:rsidRPr="005A5946">
        <w:rPr>
          <w:rFonts w:eastAsia="SimHei" w:cs="Arial"/>
          <w:b/>
          <w:color w:val="595959"/>
          <w:sz w:val="32"/>
          <w:szCs w:val="26"/>
        </w:rPr>
        <w:t>Greenhouse gas emissions</w:t>
      </w:r>
    </w:p>
    <w:p w14:paraId="20E94F0E" w14:textId="77777777" w:rsidR="004F7061" w:rsidRDefault="004F7061" w:rsidP="004F7061">
      <w:pPr>
        <w:spacing w:after="120" w:line="259" w:lineRule="auto"/>
        <w:rPr>
          <w:rFonts w:eastAsia="SimHei" w:cs="Arial"/>
          <w:szCs w:val="20"/>
          <w:lang w:eastAsia="en-AU"/>
        </w:rPr>
      </w:pPr>
      <w:r w:rsidRPr="00DC7801">
        <w:rPr>
          <w:rFonts w:eastAsia="SimHei" w:cs="Arial"/>
          <w:szCs w:val="20"/>
          <w:lang w:eastAsia="en-AU"/>
        </w:rPr>
        <w:t>SV reports its greenhouse gas emissions broken down into emissions ‘scopes’ consistent with national and international reporting standards.</w:t>
      </w:r>
    </w:p>
    <w:p w14:paraId="318A88C7" w14:textId="77777777" w:rsidR="004F7061" w:rsidRPr="00DC7801" w:rsidRDefault="004F7061" w:rsidP="004F7061">
      <w:pPr>
        <w:spacing w:after="200" w:line="240" w:lineRule="auto"/>
        <w:rPr>
          <w:rFonts w:eastAsia="Arial" w:cs="Arial"/>
          <w:i/>
          <w:iCs/>
          <w:color w:val="164F36"/>
          <w:szCs w:val="18"/>
          <w:vertAlign w:val="superscript"/>
        </w:rPr>
      </w:pPr>
      <w:r w:rsidRPr="00DC7801">
        <w:rPr>
          <w:rFonts w:eastAsia="Arial" w:cs="Arial"/>
          <w:i/>
          <w:iCs/>
          <w:color w:val="164F36"/>
          <w:szCs w:val="18"/>
        </w:rPr>
        <w:t xml:space="preserve">Table </w:t>
      </w:r>
      <w:r w:rsidRPr="00DC7801">
        <w:rPr>
          <w:rFonts w:eastAsia="Arial" w:cs="Arial"/>
          <w:i/>
          <w:iCs/>
          <w:color w:val="164F36"/>
          <w:szCs w:val="18"/>
        </w:rPr>
        <w:fldChar w:fldCharType="begin"/>
      </w:r>
      <w:r w:rsidRPr="00DC7801">
        <w:rPr>
          <w:rFonts w:eastAsia="Arial" w:cs="Arial"/>
          <w:i/>
          <w:iCs/>
          <w:color w:val="164F36"/>
          <w:szCs w:val="18"/>
        </w:rPr>
        <w:instrText>SEQ Table \* ARABIC</w:instrText>
      </w:r>
      <w:r w:rsidRPr="00DC7801">
        <w:rPr>
          <w:rFonts w:eastAsia="Arial" w:cs="Arial"/>
          <w:i/>
          <w:iCs/>
          <w:color w:val="164F36"/>
          <w:szCs w:val="18"/>
        </w:rPr>
        <w:fldChar w:fldCharType="separate"/>
      </w:r>
      <w:r>
        <w:rPr>
          <w:rFonts w:eastAsia="Arial" w:cs="Arial"/>
          <w:i/>
          <w:iCs/>
          <w:noProof/>
          <w:color w:val="164F36"/>
          <w:szCs w:val="18"/>
        </w:rPr>
        <w:t>1</w:t>
      </w:r>
      <w:r w:rsidRPr="00DC7801">
        <w:rPr>
          <w:rFonts w:eastAsia="Arial" w:cs="Arial"/>
          <w:i/>
          <w:iCs/>
          <w:color w:val="164F36"/>
          <w:szCs w:val="18"/>
        </w:rPr>
        <w:fldChar w:fldCharType="end"/>
      </w:r>
      <w:r w:rsidRPr="00DC7801">
        <w:rPr>
          <w:rFonts w:eastAsia="Arial" w:cs="Arial"/>
          <w:i/>
          <w:iCs/>
          <w:color w:val="164F36"/>
          <w:szCs w:val="18"/>
        </w:rPr>
        <w:t xml:space="preserve">: </w:t>
      </w:r>
      <w:r>
        <w:rPr>
          <w:rFonts w:eastAsia="Arial" w:cs="Arial"/>
          <w:i/>
          <w:iCs/>
          <w:color w:val="164F36"/>
          <w:szCs w:val="18"/>
        </w:rPr>
        <w:t>Greenhouse gas emissions</w:t>
      </w:r>
    </w:p>
    <w:tbl>
      <w:tblPr>
        <w:tblStyle w:val="TableGrid10"/>
        <w:tblW w:w="9189" w:type="dxa"/>
        <w:tblLook w:val="04A0" w:firstRow="1" w:lastRow="0" w:firstColumn="1" w:lastColumn="0" w:noHBand="0" w:noVBand="1"/>
      </w:tblPr>
      <w:tblGrid>
        <w:gridCol w:w="1938"/>
        <w:gridCol w:w="2026"/>
        <w:gridCol w:w="1843"/>
        <w:gridCol w:w="1843"/>
        <w:gridCol w:w="1539"/>
      </w:tblGrid>
      <w:tr w:rsidR="004F7061" w:rsidRPr="00FB495F" w14:paraId="21101A12" w14:textId="77777777" w:rsidTr="0062462F">
        <w:trPr>
          <w:trHeight w:val="373"/>
          <w:tblHeader/>
        </w:trPr>
        <w:tc>
          <w:tcPr>
            <w:tcW w:w="1938" w:type="dxa"/>
            <w:shd w:val="clear" w:color="auto" w:fill="D4DFA0"/>
            <w:hideMark/>
          </w:tcPr>
          <w:p w14:paraId="2AAE1914"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Description</w:t>
            </w:r>
          </w:p>
        </w:tc>
        <w:tc>
          <w:tcPr>
            <w:tcW w:w="2026" w:type="dxa"/>
            <w:shd w:val="clear" w:color="auto" w:fill="D4DFA0"/>
            <w:hideMark/>
          </w:tcPr>
          <w:p w14:paraId="7404E57C"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Unit of Measure</w:t>
            </w:r>
          </w:p>
        </w:tc>
        <w:tc>
          <w:tcPr>
            <w:tcW w:w="1843" w:type="dxa"/>
            <w:shd w:val="clear" w:color="auto" w:fill="D4DFA0"/>
            <w:hideMark/>
          </w:tcPr>
          <w:p w14:paraId="7AE4C25A"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2021–22</w:t>
            </w:r>
          </w:p>
        </w:tc>
        <w:tc>
          <w:tcPr>
            <w:tcW w:w="1843" w:type="dxa"/>
            <w:shd w:val="clear" w:color="auto" w:fill="D4DFA0"/>
            <w:hideMark/>
          </w:tcPr>
          <w:p w14:paraId="3500DDB9"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2022–23</w:t>
            </w:r>
          </w:p>
        </w:tc>
        <w:tc>
          <w:tcPr>
            <w:tcW w:w="1539" w:type="dxa"/>
            <w:shd w:val="clear" w:color="auto" w:fill="D4DFA0"/>
            <w:hideMark/>
          </w:tcPr>
          <w:p w14:paraId="7D46D2C0"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2023–24</w:t>
            </w:r>
          </w:p>
        </w:tc>
      </w:tr>
      <w:tr w:rsidR="004F7061" w:rsidRPr="00FB495F" w14:paraId="644DAE52" w14:textId="77777777" w:rsidTr="0062462F">
        <w:trPr>
          <w:trHeight w:val="219"/>
        </w:trPr>
        <w:tc>
          <w:tcPr>
            <w:tcW w:w="1938" w:type="dxa"/>
          </w:tcPr>
          <w:p w14:paraId="01C4E402"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Scope 1 greenhouse gas emissions [Indicator G1]</w:t>
            </w:r>
          </w:p>
        </w:tc>
        <w:tc>
          <w:tcPr>
            <w:tcW w:w="2026" w:type="dxa"/>
          </w:tcPr>
          <w:p w14:paraId="796BCE6E"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Tonnes CO2-e</w:t>
            </w:r>
          </w:p>
        </w:tc>
        <w:tc>
          <w:tcPr>
            <w:tcW w:w="1843" w:type="dxa"/>
            <w:noWrap/>
          </w:tcPr>
          <w:p w14:paraId="37DB4A86"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8</w:t>
            </w:r>
          </w:p>
        </w:tc>
        <w:tc>
          <w:tcPr>
            <w:tcW w:w="1843" w:type="dxa"/>
            <w:noWrap/>
          </w:tcPr>
          <w:p w14:paraId="72C6CB1F"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9</w:t>
            </w:r>
          </w:p>
        </w:tc>
        <w:tc>
          <w:tcPr>
            <w:tcW w:w="1539" w:type="dxa"/>
            <w:noWrap/>
          </w:tcPr>
          <w:p w14:paraId="4F6B594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12</w:t>
            </w:r>
          </w:p>
        </w:tc>
      </w:tr>
      <w:tr w:rsidR="004F7061" w:rsidRPr="00FB495F" w14:paraId="1249FEF0" w14:textId="77777777" w:rsidTr="0062462F">
        <w:trPr>
          <w:trHeight w:val="219"/>
        </w:trPr>
        <w:tc>
          <w:tcPr>
            <w:tcW w:w="1938" w:type="dxa"/>
          </w:tcPr>
          <w:p w14:paraId="13256758"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Scope 2 greenhouse gas emissions [Indicator G2]</w:t>
            </w:r>
          </w:p>
        </w:tc>
        <w:tc>
          <w:tcPr>
            <w:tcW w:w="2026" w:type="dxa"/>
          </w:tcPr>
          <w:p w14:paraId="1CFA4F7F"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Tonnes CO2-e</w:t>
            </w:r>
          </w:p>
        </w:tc>
        <w:tc>
          <w:tcPr>
            <w:tcW w:w="1843" w:type="dxa"/>
            <w:noWrap/>
          </w:tcPr>
          <w:p w14:paraId="49C87B46"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109</w:t>
            </w:r>
          </w:p>
        </w:tc>
        <w:tc>
          <w:tcPr>
            <w:tcW w:w="1843" w:type="dxa"/>
            <w:noWrap/>
          </w:tcPr>
          <w:p w14:paraId="2B2E18D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103</w:t>
            </w:r>
          </w:p>
        </w:tc>
        <w:tc>
          <w:tcPr>
            <w:tcW w:w="1539" w:type="dxa"/>
            <w:noWrap/>
          </w:tcPr>
          <w:p w14:paraId="227C36AB"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91</w:t>
            </w:r>
          </w:p>
        </w:tc>
      </w:tr>
      <w:tr w:rsidR="004F7061" w:rsidRPr="00FB495F" w14:paraId="29F57258" w14:textId="77777777" w:rsidTr="0062462F">
        <w:trPr>
          <w:trHeight w:val="219"/>
        </w:trPr>
        <w:tc>
          <w:tcPr>
            <w:tcW w:w="1938" w:type="dxa"/>
          </w:tcPr>
          <w:p w14:paraId="3BC5F53C"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 xml:space="preserve">Total Scope 3 greenhouse gas emissions from commercial air travel and </w:t>
            </w:r>
          </w:p>
          <w:p w14:paraId="345DD38B"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waste disposal [Indicator G3]</w:t>
            </w:r>
          </w:p>
        </w:tc>
        <w:tc>
          <w:tcPr>
            <w:tcW w:w="2026" w:type="dxa"/>
          </w:tcPr>
          <w:p w14:paraId="0E893FAF"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Tonnes CO2-e</w:t>
            </w:r>
          </w:p>
        </w:tc>
        <w:tc>
          <w:tcPr>
            <w:tcW w:w="1843" w:type="dxa"/>
            <w:noWrap/>
          </w:tcPr>
          <w:p w14:paraId="425CDB4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76</w:t>
            </w:r>
          </w:p>
        </w:tc>
        <w:tc>
          <w:tcPr>
            <w:tcW w:w="1843" w:type="dxa"/>
            <w:noWrap/>
          </w:tcPr>
          <w:p w14:paraId="7F5580FE"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186</w:t>
            </w:r>
          </w:p>
        </w:tc>
        <w:tc>
          <w:tcPr>
            <w:tcW w:w="1539" w:type="dxa"/>
            <w:noWrap/>
          </w:tcPr>
          <w:p w14:paraId="0E428BAF"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203</w:t>
            </w:r>
          </w:p>
        </w:tc>
      </w:tr>
    </w:tbl>
    <w:p w14:paraId="48307588" w14:textId="77777777" w:rsidR="004F7061" w:rsidRPr="00DC7801" w:rsidRDefault="004F7061" w:rsidP="004F7061">
      <w:pPr>
        <w:spacing w:after="120" w:line="259" w:lineRule="auto"/>
        <w:rPr>
          <w:rFonts w:eastAsia="SimHei" w:cs="Arial"/>
          <w:color w:val="000000"/>
          <w:sz w:val="22"/>
          <w:lang w:eastAsia="en-AU"/>
        </w:rPr>
      </w:pPr>
    </w:p>
    <w:p w14:paraId="0619BAE7" w14:textId="77777777" w:rsidR="004F7061" w:rsidRPr="00DC7801" w:rsidRDefault="004F7061" w:rsidP="004F7061">
      <w:pPr>
        <w:keepNext/>
        <w:keepLines/>
        <w:spacing w:before="300" w:after="20"/>
        <w:contextualSpacing/>
        <w:outlineLvl w:val="1"/>
        <w:rPr>
          <w:rFonts w:eastAsia="SimHei" w:cs="Arial"/>
          <w:b/>
          <w:color w:val="595959"/>
          <w:sz w:val="32"/>
          <w:szCs w:val="26"/>
        </w:rPr>
      </w:pPr>
      <w:bookmarkStart w:id="351" w:name="_Toc166585790"/>
      <w:r w:rsidRPr="00DC7801">
        <w:rPr>
          <w:rFonts w:eastAsia="SimHei" w:cs="Arial"/>
          <w:b/>
          <w:color w:val="595959"/>
          <w:sz w:val="32"/>
          <w:szCs w:val="26"/>
        </w:rPr>
        <w:t>Energy</w:t>
      </w:r>
      <w:bookmarkEnd w:id="351"/>
    </w:p>
    <w:p w14:paraId="2423D0E3" w14:textId="77777777" w:rsidR="004F7061" w:rsidRPr="00DC7801" w:rsidRDefault="004F7061" w:rsidP="004F7061">
      <w:pPr>
        <w:spacing w:after="200" w:line="240" w:lineRule="auto"/>
        <w:rPr>
          <w:rFonts w:eastAsia="Arial" w:cs="Arial"/>
          <w:i/>
          <w:iCs/>
          <w:color w:val="164F36"/>
          <w:szCs w:val="18"/>
          <w:vertAlign w:val="superscript"/>
        </w:rPr>
      </w:pPr>
      <w:r w:rsidRPr="00DC7801">
        <w:rPr>
          <w:rFonts w:eastAsia="Arial" w:cs="Arial"/>
          <w:i/>
          <w:iCs/>
          <w:color w:val="164F36"/>
          <w:szCs w:val="18"/>
        </w:rPr>
        <w:t xml:space="preserve">Table </w:t>
      </w:r>
      <w:r>
        <w:rPr>
          <w:rFonts w:eastAsia="Arial" w:cs="Arial"/>
          <w:i/>
          <w:iCs/>
          <w:color w:val="164F36"/>
          <w:szCs w:val="18"/>
        </w:rPr>
        <w:t>20</w:t>
      </w:r>
      <w:r w:rsidRPr="00DC7801">
        <w:rPr>
          <w:rFonts w:eastAsia="Arial" w:cs="Arial"/>
          <w:i/>
          <w:iCs/>
          <w:color w:val="164F36"/>
          <w:szCs w:val="18"/>
        </w:rPr>
        <w:t xml:space="preserve">: </w:t>
      </w:r>
      <w:r>
        <w:rPr>
          <w:rFonts w:eastAsia="Arial" w:cs="Arial"/>
          <w:i/>
          <w:iCs/>
          <w:color w:val="164F36"/>
          <w:szCs w:val="18"/>
        </w:rPr>
        <w:t>E</w:t>
      </w:r>
      <w:r w:rsidRPr="00DC7801">
        <w:rPr>
          <w:rFonts w:eastAsia="Arial" w:cs="Arial"/>
          <w:i/>
          <w:iCs/>
          <w:color w:val="164F36"/>
          <w:szCs w:val="18"/>
        </w:rPr>
        <w:t>nvironmental impacts – energy (see Note 1)</w:t>
      </w:r>
    </w:p>
    <w:tbl>
      <w:tblPr>
        <w:tblStyle w:val="TableGrid10"/>
        <w:tblW w:w="9170" w:type="dxa"/>
        <w:tblLook w:val="04A0" w:firstRow="1" w:lastRow="0" w:firstColumn="1" w:lastColumn="0" w:noHBand="0" w:noVBand="1"/>
      </w:tblPr>
      <w:tblGrid>
        <w:gridCol w:w="1934"/>
        <w:gridCol w:w="2030"/>
        <w:gridCol w:w="1843"/>
        <w:gridCol w:w="1843"/>
        <w:gridCol w:w="1520"/>
      </w:tblGrid>
      <w:tr w:rsidR="004F7061" w:rsidRPr="00FB495F" w14:paraId="28D050DA" w14:textId="77777777" w:rsidTr="0062462F">
        <w:trPr>
          <w:trHeight w:val="485"/>
          <w:tblHeader/>
        </w:trPr>
        <w:tc>
          <w:tcPr>
            <w:tcW w:w="1934" w:type="dxa"/>
            <w:shd w:val="clear" w:color="auto" w:fill="D4DFA0"/>
            <w:hideMark/>
          </w:tcPr>
          <w:p w14:paraId="0D116B4F"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Description</w:t>
            </w:r>
          </w:p>
        </w:tc>
        <w:tc>
          <w:tcPr>
            <w:tcW w:w="2030" w:type="dxa"/>
            <w:shd w:val="clear" w:color="auto" w:fill="D4DFA0"/>
            <w:hideMark/>
          </w:tcPr>
          <w:p w14:paraId="704E7D2E"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Unit of Measure</w:t>
            </w:r>
          </w:p>
        </w:tc>
        <w:tc>
          <w:tcPr>
            <w:tcW w:w="1843" w:type="dxa"/>
            <w:shd w:val="clear" w:color="auto" w:fill="D4DFA0"/>
            <w:hideMark/>
          </w:tcPr>
          <w:p w14:paraId="0E25327E"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2021–22</w:t>
            </w:r>
          </w:p>
        </w:tc>
        <w:tc>
          <w:tcPr>
            <w:tcW w:w="1843" w:type="dxa"/>
            <w:shd w:val="clear" w:color="auto" w:fill="D4DFA0"/>
            <w:hideMark/>
          </w:tcPr>
          <w:p w14:paraId="440ECB17"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2022–23</w:t>
            </w:r>
          </w:p>
        </w:tc>
        <w:tc>
          <w:tcPr>
            <w:tcW w:w="1520" w:type="dxa"/>
            <w:shd w:val="clear" w:color="auto" w:fill="D4DFA0"/>
            <w:hideMark/>
          </w:tcPr>
          <w:p w14:paraId="0691F77E"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2023–24</w:t>
            </w:r>
          </w:p>
        </w:tc>
      </w:tr>
      <w:tr w:rsidR="004F7061" w:rsidRPr="00FB495F" w14:paraId="7344DFBA" w14:textId="77777777" w:rsidTr="0062462F">
        <w:trPr>
          <w:trHeight w:val="287"/>
        </w:trPr>
        <w:tc>
          <w:tcPr>
            <w:tcW w:w="1934" w:type="dxa"/>
            <w:hideMark/>
          </w:tcPr>
          <w:p w14:paraId="5ABA77E3"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Office tenant light and power (OTLP) use per THC (see Note 2)</w:t>
            </w:r>
          </w:p>
        </w:tc>
        <w:tc>
          <w:tcPr>
            <w:tcW w:w="2030" w:type="dxa"/>
            <w:hideMark/>
          </w:tcPr>
          <w:p w14:paraId="3E961E40"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Megajoules per THC</w:t>
            </w:r>
          </w:p>
        </w:tc>
        <w:tc>
          <w:tcPr>
            <w:tcW w:w="1843" w:type="dxa"/>
            <w:noWrap/>
          </w:tcPr>
          <w:p w14:paraId="20134E79"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1,975</w:t>
            </w:r>
          </w:p>
        </w:tc>
        <w:tc>
          <w:tcPr>
            <w:tcW w:w="1843" w:type="dxa"/>
            <w:noWrap/>
          </w:tcPr>
          <w:p w14:paraId="1FB64DE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2,112</w:t>
            </w:r>
          </w:p>
        </w:tc>
        <w:tc>
          <w:tcPr>
            <w:tcW w:w="1520" w:type="dxa"/>
            <w:noWrap/>
          </w:tcPr>
          <w:p w14:paraId="2FD75782"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1,851</w:t>
            </w:r>
          </w:p>
        </w:tc>
      </w:tr>
      <w:tr w:rsidR="004F7061" w:rsidRPr="001D21DA" w14:paraId="65C5A83B" w14:textId="77777777" w:rsidTr="0062462F">
        <w:trPr>
          <w:trHeight w:val="287"/>
        </w:trPr>
        <w:tc>
          <w:tcPr>
            <w:tcW w:w="1934" w:type="dxa"/>
          </w:tcPr>
          <w:p w14:paraId="3447EA0B" w14:textId="77777777" w:rsidR="004F7061" w:rsidRPr="00F3603E" w:rsidRDefault="004F7061" w:rsidP="0062462F">
            <w:pPr>
              <w:spacing w:before="20" w:after="30" w:line="220" w:lineRule="atLeast"/>
              <w:rPr>
                <w:rFonts w:eastAsia="SimHei" w:cs="Arial"/>
                <w:bCs/>
                <w:color w:val="auto"/>
                <w:szCs w:val="20"/>
                <w:lang w:eastAsia="en-AU"/>
              </w:rPr>
            </w:pPr>
            <w:r w:rsidRPr="00F3603E">
              <w:rPr>
                <w:rFonts w:eastAsia="SimHei" w:cs="Arial"/>
                <w:bCs/>
                <w:color w:val="auto"/>
                <w:szCs w:val="20"/>
                <w:lang w:eastAsia="en-AU"/>
              </w:rPr>
              <w:t>Total electricity consumption [Indicator EL1]</w:t>
            </w:r>
          </w:p>
        </w:tc>
        <w:tc>
          <w:tcPr>
            <w:tcW w:w="2030" w:type="dxa"/>
          </w:tcPr>
          <w:p w14:paraId="45EA6B0F" w14:textId="77777777" w:rsidR="004F7061" w:rsidRPr="00F3603E" w:rsidRDefault="004F7061" w:rsidP="0062462F">
            <w:pPr>
              <w:spacing w:before="20" w:after="30" w:line="220" w:lineRule="atLeast"/>
              <w:rPr>
                <w:rFonts w:eastAsia="SimHei" w:cs="Arial"/>
                <w:bCs/>
                <w:color w:val="auto"/>
                <w:szCs w:val="20"/>
                <w:lang w:eastAsia="en-AU"/>
              </w:rPr>
            </w:pPr>
            <w:r w:rsidRPr="00F3603E">
              <w:rPr>
                <w:rFonts w:eastAsia="SimHei" w:cs="Arial"/>
                <w:bCs/>
                <w:color w:val="auto"/>
                <w:szCs w:val="20"/>
                <w:lang w:eastAsia="en-AU"/>
              </w:rPr>
              <w:t>Megawatt hours</w:t>
            </w:r>
          </w:p>
        </w:tc>
        <w:tc>
          <w:tcPr>
            <w:tcW w:w="1843" w:type="dxa"/>
            <w:noWrap/>
          </w:tcPr>
          <w:p w14:paraId="4D19E7BB" w14:textId="77777777" w:rsidR="004F7061" w:rsidRPr="00E258FC"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110</w:t>
            </w:r>
          </w:p>
        </w:tc>
        <w:tc>
          <w:tcPr>
            <w:tcW w:w="1843" w:type="dxa"/>
            <w:noWrap/>
          </w:tcPr>
          <w:p w14:paraId="75DBBD22" w14:textId="77777777" w:rsidR="004F7061" w:rsidRPr="00E258FC"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103</w:t>
            </w:r>
          </w:p>
        </w:tc>
        <w:tc>
          <w:tcPr>
            <w:tcW w:w="1520" w:type="dxa"/>
            <w:noWrap/>
          </w:tcPr>
          <w:p w14:paraId="09F3B724" w14:textId="77777777" w:rsidR="004F7061" w:rsidRPr="00E258FC"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91</w:t>
            </w:r>
          </w:p>
        </w:tc>
      </w:tr>
      <w:tr w:rsidR="004F7061" w:rsidRPr="001D21DA" w14:paraId="2A7362F3" w14:textId="77777777" w:rsidTr="0062462F">
        <w:trPr>
          <w:trHeight w:val="287"/>
        </w:trPr>
        <w:tc>
          <w:tcPr>
            <w:tcW w:w="1934" w:type="dxa"/>
            <w:hideMark/>
          </w:tcPr>
          <w:p w14:paraId="6AD3DC90" w14:textId="77777777" w:rsidR="004F7061" w:rsidRPr="001D21DA" w:rsidRDefault="004F7061" w:rsidP="0062462F">
            <w:pPr>
              <w:spacing w:before="20" w:after="30" w:line="220" w:lineRule="atLeast"/>
              <w:rPr>
                <w:rFonts w:eastAsia="SimHei" w:cs="Arial"/>
                <w:bCs/>
                <w:color w:val="auto"/>
                <w:szCs w:val="20"/>
                <w:lang w:eastAsia="en-AU"/>
              </w:rPr>
            </w:pPr>
            <w:r w:rsidRPr="001D21DA">
              <w:rPr>
                <w:rFonts w:eastAsia="SimHei" w:cs="Arial"/>
                <w:bCs/>
                <w:color w:val="auto"/>
                <w:szCs w:val="20"/>
                <w:lang w:eastAsia="en-AU"/>
              </w:rPr>
              <w:t>Total energy use from OTLP</w:t>
            </w:r>
          </w:p>
        </w:tc>
        <w:tc>
          <w:tcPr>
            <w:tcW w:w="2030" w:type="dxa"/>
            <w:hideMark/>
          </w:tcPr>
          <w:p w14:paraId="5CC16730" w14:textId="77777777" w:rsidR="004F7061" w:rsidRPr="001D21DA" w:rsidRDefault="004F7061" w:rsidP="0062462F">
            <w:pPr>
              <w:spacing w:before="20" w:after="30" w:line="220" w:lineRule="atLeast"/>
              <w:rPr>
                <w:rFonts w:eastAsia="SimHei" w:cs="Arial"/>
                <w:bCs/>
                <w:color w:val="auto"/>
                <w:szCs w:val="20"/>
                <w:lang w:eastAsia="en-AU"/>
              </w:rPr>
            </w:pPr>
            <w:r w:rsidRPr="001D21DA">
              <w:rPr>
                <w:rFonts w:eastAsia="SimHei" w:cs="Arial"/>
                <w:bCs/>
                <w:color w:val="auto"/>
                <w:szCs w:val="20"/>
                <w:lang w:eastAsia="en-AU"/>
              </w:rPr>
              <w:t>Megajoules</w:t>
            </w:r>
          </w:p>
        </w:tc>
        <w:tc>
          <w:tcPr>
            <w:tcW w:w="1843" w:type="dxa"/>
            <w:noWrap/>
          </w:tcPr>
          <w:p w14:paraId="02A0856B" w14:textId="77777777" w:rsidR="004F7061" w:rsidRPr="00E258FC"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408,773</w:t>
            </w:r>
          </w:p>
        </w:tc>
        <w:tc>
          <w:tcPr>
            <w:tcW w:w="1843" w:type="dxa"/>
            <w:noWrap/>
          </w:tcPr>
          <w:p w14:paraId="632AF957" w14:textId="77777777" w:rsidR="004F7061" w:rsidRPr="00E258FC"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436,223</w:t>
            </w:r>
          </w:p>
        </w:tc>
        <w:tc>
          <w:tcPr>
            <w:tcW w:w="1520" w:type="dxa"/>
            <w:noWrap/>
          </w:tcPr>
          <w:p w14:paraId="02AC638A" w14:textId="77777777" w:rsidR="004F7061" w:rsidRPr="00E258FC"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415,199</w:t>
            </w:r>
          </w:p>
        </w:tc>
      </w:tr>
      <w:tr w:rsidR="004F7061" w:rsidRPr="001D21DA" w14:paraId="1C7C94D7" w14:textId="77777777" w:rsidTr="0062462F">
        <w:trPr>
          <w:trHeight w:val="287"/>
        </w:trPr>
        <w:tc>
          <w:tcPr>
            <w:tcW w:w="1934" w:type="dxa"/>
          </w:tcPr>
          <w:p w14:paraId="27A7D880" w14:textId="77777777" w:rsidR="004F7061" w:rsidRPr="001D21DA" w:rsidRDefault="004F7061" w:rsidP="0062462F">
            <w:pPr>
              <w:spacing w:before="20" w:after="30" w:line="220" w:lineRule="atLeast"/>
              <w:rPr>
                <w:rFonts w:eastAsia="SimHei" w:cs="Arial"/>
                <w:bCs/>
                <w:color w:val="auto"/>
                <w:szCs w:val="20"/>
                <w:lang w:eastAsia="en-AU"/>
              </w:rPr>
            </w:pPr>
            <w:r w:rsidRPr="001D21DA">
              <w:rPr>
                <w:rFonts w:eastAsia="SimHei" w:cs="Arial"/>
                <w:bCs/>
                <w:color w:val="auto"/>
                <w:szCs w:val="20"/>
                <w:lang w:eastAsia="en-AU"/>
              </w:rPr>
              <w:t>On-site installed generation capacity [Indicator EL3]</w:t>
            </w:r>
          </w:p>
        </w:tc>
        <w:tc>
          <w:tcPr>
            <w:tcW w:w="2030" w:type="dxa"/>
          </w:tcPr>
          <w:p w14:paraId="6D297745" w14:textId="77777777" w:rsidR="004F7061" w:rsidRPr="001D21DA" w:rsidRDefault="004F7061" w:rsidP="0062462F">
            <w:pPr>
              <w:spacing w:before="20" w:after="30" w:line="220" w:lineRule="atLeast"/>
              <w:rPr>
                <w:rFonts w:eastAsia="SimHei" w:cs="Arial"/>
                <w:bCs/>
                <w:color w:val="auto"/>
                <w:szCs w:val="20"/>
                <w:lang w:eastAsia="en-AU"/>
              </w:rPr>
            </w:pPr>
            <w:r w:rsidRPr="001D21DA">
              <w:rPr>
                <w:rFonts w:eastAsia="SimHei" w:cs="Arial"/>
                <w:bCs/>
                <w:color w:val="auto"/>
                <w:szCs w:val="20"/>
                <w:lang w:eastAsia="en-AU"/>
              </w:rPr>
              <w:t>Megawatts</w:t>
            </w:r>
          </w:p>
        </w:tc>
        <w:tc>
          <w:tcPr>
            <w:tcW w:w="1843" w:type="dxa"/>
            <w:noWrap/>
          </w:tcPr>
          <w:p w14:paraId="6AD18AEC" w14:textId="77777777" w:rsidR="004F7061" w:rsidRPr="001D21DA" w:rsidRDefault="004F7061" w:rsidP="0062462F">
            <w:pPr>
              <w:widowControl w:val="0"/>
              <w:spacing w:before="20" w:after="20" w:line="260" w:lineRule="atLeast"/>
              <w:jc w:val="right"/>
              <w:rPr>
                <w:rFonts w:eastAsia="SimHei" w:cs="Arial"/>
                <w:color w:val="auto"/>
                <w:szCs w:val="20"/>
                <w:lang w:eastAsia="en-AU"/>
              </w:rPr>
            </w:pPr>
            <w:r w:rsidRPr="001D21DA">
              <w:rPr>
                <w:rFonts w:eastAsia="SimHei" w:cs="Arial"/>
                <w:color w:val="auto"/>
                <w:szCs w:val="20"/>
                <w:lang w:eastAsia="en-AU"/>
              </w:rPr>
              <w:t>0</w:t>
            </w:r>
          </w:p>
        </w:tc>
        <w:tc>
          <w:tcPr>
            <w:tcW w:w="1843" w:type="dxa"/>
            <w:noWrap/>
          </w:tcPr>
          <w:p w14:paraId="03CB7F7E" w14:textId="77777777" w:rsidR="004F7061" w:rsidRPr="001D21DA" w:rsidRDefault="004F7061" w:rsidP="0062462F">
            <w:pPr>
              <w:widowControl w:val="0"/>
              <w:spacing w:before="20" w:after="20" w:line="260" w:lineRule="atLeast"/>
              <w:jc w:val="right"/>
              <w:rPr>
                <w:rFonts w:eastAsia="SimHei" w:cs="Arial"/>
                <w:color w:val="auto"/>
                <w:szCs w:val="20"/>
                <w:lang w:eastAsia="en-AU"/>
              </w:rPr>
            </w:pPr>
            <w:r w:rsidRPr="001D21DA">
              <w:rPr>
                <w:rFonts w:eastAsia="SimHei" w:cs="Arial"/>
                <w:color w:val="auto"/>
                <w:szCs w:val="20"/>
                <w:lang w:eastAsia="en-AU"/>
              </w:rPr>
              <w:t>0</w:t>
            </w:r>
          </w:p>
        </w:tc>
        <w:tc>
          <w:tcPr>
            <w:tcW w:w="1520" w:type="dxa"/>
            <w:noWrap/>
          </w:tcPr>
          <w:p w14:paraId="30E6ACB6" w14:textId="77777777" w:rsidR="004F7061" w:rsidRPr="001D21DA" w:rsidRDefault="004F7061" w:rsidP="0062462F">
            <w:pPr>
              <w:widowControl w:val="0"/>
              <w:spacing w:before="20" w:after="20" w:line="260" w:lineRule="atLeast"/>
              <w:jc w:val="right"/>
              <w:rPr>
                <w:rFonts w:eastAsia="SimHei" w:cs="Arial"/>
                <w:color w:val="auto"/>
                <w:szCs w:val="20"/>
                <w:lang w:eastAsia="en-AU"/>
              </w:rPr>
            </w:pPr>
            <w:r w:rsidRPr="001D21DA">
              <w:rPr>
                <w:rFonts w:eastAsia="SimHei" w:cs="Arial"/>
                <w:color w:val="auto"/>
                <w:szCs w:val="20"/>
                <w:lang w:eastAsia="en-AU"/>
              </w:rPr>
              <w:t>0</w:t>
            </w:r>
          </w:p>
        </w:tc>
      </w:tr>
      <w:tr w:rsidR="004F7061" w:rsidRPr="00FB495F" w14:paraId="3D2A0ECC" w14:textId="77777777" w:rsidTr="0062462F">
        <w:trPr>
          <w:trHeight w:val="287"/>
        </w:trPr>
        <w:tc>
          <w:tcPr>
            <w:tcW w:w="1934" w:type="dxa"/>
            <w:hideMark/>
          </w:tcPr>
          <w:p w14:paraId="7266C3F5"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OTLP use per FTE (see Note 3) [Indicator EL4]</w:t>
            </w:r>
          </w:p>
        </w:tc>
        <w:tc>
          <w:tcPr>
            <w:tcW w:w="2030" w:type="dxa"/>
            <w:hideMark/>
          </w:tcPr>
          <w:p w14:paraId="6B78959F"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Megajoules per FTE</w:t>
            </w:r>
          </w:p>
        </w:tc>
        <w:tc>
          <w:tcPr>
            <w:tcW w:w="1843" w:type="dxa"/>
            <w:noWrap/>
          </w:tcPr>
          <w:p w14:paraId="0C10EC4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2,086</w:t>
            </w:r>
          </w:p>
        </w:tc>
        <w:tc>
          <w:tcPr>
            <w:tcW w:w="1843" w:type="dxa"/>
            <w:noWrap/>
          </w:tcPr>
          <w:p w14:paraId="0045087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2,276</w:t>
            </w:r>
          </w:p>
        </w:tc>
        <w:tc>
          <w:tcPr>
            <w:tcW w:w="1520" w:type="dxa"/>
            <w:noWrap/>
          </w:tcPr>
          <w:p w14:paraId="7363225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1,979</w:t>
            </w:r>
          </w:p>
        </w:tc>
      </w:tr>
      <w:tr w:rsidR="004F7061" w:rsidRPr="00FB495F" w14:paraId="3ED8B2C4" w14:textId="77777777" w:rsidTr="0062462F">
        <w:trPr>
          <w:trHeight w:val="287"/>
        </w:trPr>
        <w:tc>
          <w:tcPr>
            <w:tcW w:w="1934" w:type="dxa"/>
            <w:hideMark/>
          </w:tcPr>
          <w:p w14:paraId="11867537"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Use per square metre of office space</w:t>
            </w:r>
          </w:p>
        </w:tc>
        <w:tc>
          <w:tcPr>
            <w:tcW w:w="2030" w:type="dxa"/>
            <w:hideMark/>
          </w:tcPr>
          <w:p w14:paraId="6E4B6EEF"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Megajoules per m</w:t>
            </w:r>
            <w:r w:rsidRPr="005A5946">
              <w:rPr>
                <w:rFonts w:eastAsia="SimHei" w:cs="Arial"/>
                <w:bCs/>
                <w:color w:val="auto"/>
                <w:szCs w:val="20"/>
                <w:vertAlign w:val="superscript"/>
                <w:lang w:eastAsia="en-AU"/>
              </w:rPr>
              <w:t>2</w:t>
            </w:r>
          </w:p>
        </w:tc>
        <w:tc>
          <w:tcPr>
            <w:tcW w:w="1843" w:type="dxa"/>
            <w:noWrap/>
          </w:tcPr>
          <w:p w14:paraId="5EEBAA41"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150</w:t>
            </w:r>
          </w:p>
        </w:tc>
        <w:tc>
          <w:tcPr>
            <w:tcW w:w="1843" w:type="dxa"/>
            <w:noWrap/>
          </w:tcPr>
          <w:p w14:paraId="11EF5AF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144</w:t>
            </w:r>
          </w:p>
        </w:tc>
        <w:tc>
          <w:tcPr>
            <w:tcW w:w="1520" w:type="dxa"/>
            <w:noWrap/>
          </w:tcPr>
          <w:p w14:paraId="2681063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137</w:t>
            </w:r>
          </w:p>
        </w:tc>
      </w:tr>
      <w:tr w:rsidR="004F7061" w:rsidRPr="00FB495F" w14:paraId="35A1DA56" w14:textId="77777777" w:rsidTr="0062462F">
        <w:trPr>
          <w:trHeight w:val="287"/>
        </w:trPr>
        <w:tc>
          <w:tcPr>
            <w:tcW w:w="1934" w:type="dxa"/>
            <w:hideMark/>
          </w:tcPr>
          <w:p w14:paraId="1A4EDEEC"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Green Power</w:t>
            </w:r>
          </w:p>
        </w:tc>
        <w:tc>
          <w:tcPr>
            <w:tcW w:w="2030" w:type="dxa"/>
            <w:hideMark/>
          </w:tcPr>
          <w:p w14:paraId="5ECAD5C8"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Percentage</w:t>
            </w:r>
          </w:p>
        </w:tc>
        <w:tc>
          <w:tcPr>
            <w:tcW w:w="1843" w:type="dxa"/>
            <w:noWrap/>
          </w:tcPr>
          <w:p w14:paraId="26782F8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16</w:t>
            </w:r>
          </w:p>
        </w:tc>
        <w:tc>
          <w:tcPr>
            <w:tcW w:w="1843" w:type="dxa"/>
            <w:noWrap/>
          </w:tcPr>
          <w:p w14:paraId="6BC407A9"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520" w:type="dxa"/>
            <w:noWrap/>
          </w:tcPr>
          <w:p w14:paraId="5A66D262"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r>
      <w:tr w:rsidR="004F7061" w:rsidRPr="00FB495F" w14:paraId="090904CB" w14:textId="77777777" w:rsidTr="0062462F">
        <w:trPr>
          <w:trHeight w:val="287"/>
        </w:trPr>
        <w:tc>
          <w:tcPr>
            <w:tcW w:w="1934" w:type="dxa"/>
          </w:tcPr>
          <w:p w14:paraId="1D41DBD4"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energy usage from fuels [Indicator E1]</w:t>
            </w:r>
            <w:r>
              <w:rPr>
                <w:rFonts w:eastAsia="SimHei" w:cs="Arial"/>
                <w:bCs/>
                <w:color w:val="auto"/>
                <w:szCs w:val="20"/>
                <w:lang w:eastAsia="en-AU"/>
              </w:rPr>
              <w:t xml:space="preserve"> (see Note 1)</w:t>
            </w:r>
          </w:p>
        </w:tc>
        <w:tc>
          <w:tcPr>
            <w:tcW w:w="2030" w:type="dxa"/>
          </w:tcPr>
          <w:p w14:paraId="029B0B8B"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Megajoules</w:t>
            </w:r>
          </w:p>
        </w:tc>
        <w:tc>
          <w:tcPr>
            <w:tcW w:w="1843" w:type="dxa"/>
            <w:noWrap/>
          </w:tcPr>
          <w:p w14:paraId="1116777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113,325</w:t>
            </w:r>
          </w:p>
        </w:tc>
        <w:tc>
          <w:tcPr>
            <w:tcW w:w="1843" w:type="dxa"/>
            <w:noWrap/>
          </w:tcPr>
          <w:p w14:paraId="25F1CAE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314,158</w:t>
            </w:r>
          </w:p>
        </w:tc>
        <w:tc>
          <w:tcPr>
            <w:tcW w:w="1520" w:type="dxa"/>
            <w:noWrap/>
          </w:tcPr>
          <w:p w14:paraId="4801D303"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218,974</w:t>
            </w:r>
          </w:p>
        </w:tc>
      </w:tr>
      <w:tr w:rsidR="004F7061" w:rsidRPr="00FB495F" w14:paraId="63C71D3D" w14:textId="77777777" w:rsidTr="0062462F">
        <w:trPr>
          <w:trHeight w:val="287"/>
        </w:trPr>
        <w:tc>
          <w:tcPr>
            <w:tcW w:w="1934" w:type="dxa"/>
          </w:tcPr>
          <w:p w14:paraId="3A098609"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energy usage from electricity [Indicator E2]</w:t>
            </w:r>
            <w:r w:rsidRPr="00E545EE">
              <w:rPr>
                <w:rFonts w:eastAsia="SimHei" w:cs="Arial"/>
                <w:bCs/>
                <w:color w:val="auto"/>
                <w:szCs w:val="20"/>
                <w:lang w:eastAsia="en-AU"/>
              </w:rPr>
              <w:t xml:space="preserve"> (see Note 1)</w:t>
            </w:r>
          </w:p>
        </w:tc>
        <w:tc>
          <w:tcPr>
            <w:tcW w:w="2030" w:type="dxa"/>
          </w:tcPr>
          <w:p w14:paraId="1A67DA25"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Megajoules</w:t>
            </w:r>
          </w:p>
        </w:tc>
        <w:tc>
          <w:tcPr>
            <w:tcW w:w="1843" w:type="dxa"/>
            <w:noWrap/>
          </w:tcPr>
          <w:p w14:paraId="1D286CE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187,544</w:t>
            </w:r>
          </w:p>
        </w:tc>
        <w:tc>
          <w:tcPr>
            <w:tcW w:w="1843" w:type="dxa"/>
            <w:noWrap/>
          </w:tcPr>
          <w:p w14:paraId="32E5800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279,382</w:t>
            </w:r>
          </w:p>
        </w:tc>
        <w:tc>
          <w:tcPr>
            <w:tcW w:w="1520" w:type="dxa"/>
            <w:noWrap/>
          </w:tcPr>
          <w:p w14:paraId="296D5E4B"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293,656</w:t>
            </w:r>
          </w:p>
        </w:tc>
      </w:tr>
      <w:tr w:rsidR="004F7061" w:rsidRPr="00FB495F" w14:paraId="3AE4DDD3" w14:textId="77777777" w:rsidTr="0062462F">
        <w:trPr>
          <w:trHeight w:val="287"/>
        </w:trPr>
        <w:tc>
          <w:tcPr>
            <w:tcW w:w="1934" w:type="dxa"/>
            <w:shd w:val="clear" w:color="auto" w:fill="auto"/>
          </w:tcPr>
          <w:p w14:paraId="68B99DA0"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 xml:space="preserve">Total energy usage </w:t>
            </w:r>
            <w:r w:rsidRPr="005A5946">
              <w:rPr>
                <w:rFonts w:eastAsia="SimHei" w:cs="Arial"/>
                <w:bCs/>
                <w:szCs w:val="20"/>
                <w:lang w:eastAsia="en-AU"/>
              </w:rPr>
              <w:t>– renewable energy usage</w:t>
            </w:r>
            <w:r w:rsidRPr="005A5946">
              <w:rPr>
                <w:rFonts w:eastAsia="SimHei" w:cs="Arial"/>
                <w:bCs/>
                <w:color w:val="auto"/>
                <w:szCs w:val="20"/>
                <w:lang w:eastAsia="en-AU"/>
              </w:rPr>
              <w:t xml:space="preserve"> [Indicator E3]</w:t>
            </w:r>
          </w:p>
        </w:tc>
        <w:tc>
          <w:tcPr>
            <w:tcW w:w="2030" w:type="dxa"/>
            <w:shd w:val="clear" w:color="auto" w:fill="auto"/>
          </w:tcPr>
          <w:p w14:paraId="33E0F59E"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Megajoules</w:t>
            </w:r>
          </w:p>
        </w:tc>
        <w:tc>
          <w:tcPr>
            <w:tcW w:w="1843" w:type="dxa"/>
            <w:shd w:val="clear" w:color="auto" w:fill="auto"/>
            <w:noWrap/>
          </w:tcPr>
          <w:p w14:paraId="583B76D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5A5946">
              <w:rPr>
                <w:rFonts w:eastAsia="SimHei" w:cs="Arial"/>
                <w:szCs w:val="20"/>
                <w:lang w:eastAsia="en-AU"/>
              </w:rPr>
              <w:t>Not measured</w:t>
            </w:r>
          </w:p>
        </w:tc>
        <w:tc>
          <w:tcPr>
            <w:tcW w:w="1843" w:type="dxa"/>
            <w:shd w:val="clear" w:color="auto" w:fill="auto"/>
            <w:noWrap/>
          </w:tcPr>
          <w:p w14:paraId="7C4B7BD5"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0</w:t>
            </w:r>
          </w:p>
        </w:tc>
        <w:tc>
          <w:tcPr>
            <w:tcW w:w="1520" w:type="dxa"/>
            <w:shd w:val="clear" w:color="auto" w:fill="auto"/>
            <w:noWrap/>
          </w:tcPr>
          <w:p w14:paraId="76DA9722"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0</w:t>
            </w:r>
          </w:p>
        </w:tc>
      </w:tr>
      <w:tr w:rsidR="004F7061" w:rsidRPr="00FB495F" w14:paraId="7DC286F7" w14:textId="77777777" w:rsidTr="0062462F">
        <w:trPr>
          <w:trHeight w:val="287"/>
        </w:trPr>
        <w:tc>
          <w:tcPr>
            <w:tcW w:w="1934" w:type="dxa"/>
            <w:shd w:val="clear" w:color="auto" w:fill="auto"/>
          </w:tcPr>
          <w:p w14:paraId="791EC5D6"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szCs w:val="20"/>
                <w:lang w:eastAsia="en-AU"/>
              </w:rPr>
              <w:t>Total energy usage – non-renewable energy usage [Indicator E3]</w:t>
            </w:r>
          </w:p>
        </w:tc>
        <w:tc>
          <w:tcPr>
            <w:tcW w:w="2030" w:type="dxa"/>
            <w:shd w:val="clear" w:color="auto" w:fill="auto"/>
          </w:tcPr>
          <w:p w14:paraId="2C9888F2"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szCs w:val="20"/>
                <w:lang w:eastAsia="en-AU"/>
              </w:rPr>
              <w:t>Megajoules</w:t>
            </w:r>
          </w:p>
        </w:tc>
        <w:tc>
          <w:tcPr>
            <w:tcW w:w="1843" w:type="dxa"/>
            <w:shd w:val="clear" w:color="auto" w:fill="auto"/>
            <w:noWrap/>
          </w:tcPr>
          <w:p w14:paraId="72CA7C76"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187,544</w:t>
            </w:r>
          </w:p>
        </w:tc>
        <w:tc>
          <w:tcPr>
            <w:tcW w:w="1843" w:type="dxa"/>
            <w:shd w:val="clear" w:color="auto" w:fill="auto"/>
            <w:noWrap/>
          </w:tcPr>
          <w:p w14:paraId="5D159ED2" w14:textId="77777777" w:rsidR="004F7061" w:rsidRPr="005A5946" w:rsidRDefault="004F7061" w:rsidP="0062462F">
            <w:pPr>
              <w:widowControl w:val="0"/>
              <w:spacing w:before="20" w:after="20" w:line="260" w:lineRule="atLeast"/>
              <w:jc w:val="right"/>
              <w:rPr>
                <w:rFonts w:eastAsia="SimHei" w:cs="Arial"/>
                <w:color w:val="auto"/>
                <w:szCs w:val="20"/>
                <w:highlight w:val="yellow"/>
                <w:lang w:eastAsia="en-AU"/>
              </w:rPr>
            </w:pPr>
            <w:r w:rsidRPr="00E258FC">
              <w:rPr>
                <w:rFonts w:eastAsia="SimHei" w:cs="Arial"/>
                <w:color w:val="auto"/>
                <w:szCs w:val="20"/>
                <w:lang w:eastAsia="en-AU"/>
              </w:rPr>
              <w:t>279,382</w:t>
            </w:r>
          </w:p>
        </w:tc>
        <w:tc>
          <w:tcPr>
            <w:tcW w:w="1520" w:type="dxa"/>
            <w:shd w:val="clear" w:color="auto" w:fill="auto"/>
            <w:noWrap/>
          </w:tcPr>
          <w:p w14:paraId="217AC41E" w14:textId="77777777" w:rsidR="004F7061" w:rsidRPr="005A5946" w:rsidRDefault="004F7061" w:rsidP="0062462F">
            <w:pPr>
              <w:widowControl w:val="0"/>
              <w:spacing w:before="20" w:after="20" w:line="260" w:lineRule="atLeast"/>
              <w:jc w:val="right"/>
              <w:rPr>
                <w:rFonts w:eastAsia="SimHei" w:cs="Arial"/>
                <w:color w:val="auto"/>
                <w:szCs w:val="20"/>
                <w:highlight w:val="yellow"/>
                <w:lang w:eastAsia="en-AU"/>
              </w:rPr>
            </w:pPr>
            <w:r w:rsidRPr="00E258FC">
              <w:rPr>
                <w:rFonts w:eastAsia="SimHei" w:cs="Arial"/>
                <w:color w:val="auto"/>
                <w:szCs w:val="20"/>
                <w:lang w:eastAsia="en-AU"/>
              </w:rPr>
              <w:t>293,656</w:t>
            </w:r>
          </w:p>
        </w:tc>
      </w:tr>
      <w:tr w:rsidR="004F7061" w:rsidRPr="00FB495F" w14:paraId="41C0622E" w14:textId="77777777" w:rsidTr="0062462F">
        <w:trPr>
          <w:trHeight w:val="287"/>
        </w:trPr>
        <w:tc>
          <w:tcPr>
            <w:tcW w:w="1934" w:type="dxa"/>
            <w:shd w:val="clear" w:color="auto" w:fill="auto"/>
          </w:tcPr>
          <w:p w14:paraId="2AC0AA4B"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szCs w:val="20"/>
                <w:lang w:eastAsia="en-AU"/>
              </w:rPr>
              <w:t>Total energy usage renewable and non-renewable sources [Indicator E3]</w:t>
            </w:r>
          </w:p>
        </w:tc>
        <w:tc>
          <w:tcPr>
            <w:tcW w:w="2030" w:type="dxa"/>
            <w:shd w:val="clear" w:color="auto" w:fill="auto"/>
          </w:tcPr>
          <w:p w14:paraId="3C51BCC3"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szCs w:val="20"/>
                <w:lang w:eastAsia="en-AU"/>
              </w:rPr>
              <w:t>Megajoules</w:t>
            </w:r>
          </w:p>
        </w:tc>
        <w:tc>
          <w:tcPr>
            <w:tcW w:w="1843" w:type="dxa"/>
            <w:noWrap/>
          </w:tcPr>
          <w:p w14:paraId="26C3638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5A5946">
              <w:rPr>
                <w:rFonts w:eastAsia="SimHei" w:cs="Arial"/>
                <w:szCs w:val="20"/>
                <w:lang w:eastAsia="en-AU"/>
              </w:rPr>
              <w:t>Not measured</w:t>
            </w:r>
          </w:p>
        </w:tc>
        <w:tc>
          <w:tcPr>
            <w:tcW w:w="1843" w:type="dxa"/>
            <w:noWrap/>
          </w:tcPr>
          <w:p w14:paraId="30CEE27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5A5946">
              <w:rPr>
                <w:rFonts w:eastAsia="SimHei" w:cs="Arial"/>
                <w:szCs w:val="20"/>
                <w:lang w:eastAsia="en-AU"/>
              </w:rPr>
              <w:t>593,540</w:t>
            </w:r>
          </w:p>
        </w:tc>
        <w:tc>
          <w:tcPr>
            <w:tcW w:w="1520" w:type="dxa"/>
            <w:noWrap/>
          </w:tcPr>
          <w:p w14:paraId="0BD33C63"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5A5946">
              <w:rPr>
                <w:rFonts w:eastAsia="SimHei" w:cs="Arial"/>
                <w:szCs w:val="20"/>
                <w:lang w:eastAsia="en-AU"/>
              </w:rPr>
              <w:t>512,630</w:t>
            </w:r>
          </w:p>
        </w:tc>
      </w:tr>
      <w:tr w:rsidR="004F7061" w:rsidRPr="00FB495F" w14:paraId="0883CA8B" w14:textId="77777777" w:rsidTr="0062462F">
        <w:trPr>
          <w:trHeight w:val="287"/>
        </w:trPr>
        <w:tc>
          <w:tcPr>
            <w:tcW w:w="1934" w:type="dxa"/>
          </w:tcPr>
          <w:p w14:paraId="0C834BBE"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 xml:space="preserve">Units of energy used </w:t>
            </w:r>
            <w:r w:rsidRPr="00E545EE">
              <w:rPr>
                <w:rFonts w:eastAsia="SimHei" w:cs="Arial"/>
                <w:bCs/>
                <w:color w:val="auto"/>
                <w:szCs w:val="20"/>
                <w:lang w:eastAsia="en-AU"/>
              </w:rPr>
              <w:t>per FTE</w:t>
            </w:r>
            <w:r w:rsidRPr="005A5946">
              <w:rPr>
                <w:rFonts w:eastAsia="SimHei" w:cs="Arial"/>
                <w:bCs/>
                <w:color w:val="auto"/>
                <w:szCs w:val="20"/>
                <w:lang w:eastAsia="en-AU"/>
              </w:rPr>
              <w:t xml:space="preserve"> [Indicator E4]</w:t>
            </w:r>
          </w:p>
        </w:tc>
        <w:tc>
          <w:tcPr>
            <w:tcW w:w="2030" w:type="dxa"/>
          </w:tcPr>
          <w:p w14:paraId="23FD6103"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Megajoules per FTE</w:t>
            </w:r>
          </w:p>
        </w:tc>
        <w:tc>
          <w:tcPr>
            <w:tcW w:w="1843" w:type="dxa"/>
            <w:noWrap/>
          </w:tcPr>
          <w:p w14:paraId="4A7F714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1,958</w:t>
            </w:r>
          </w:p>
        </w:tc>
        <w:tc>
          <w:tcPr>
            <w:tcW w:w="1843" w:type="dxa"/>
            <w:noWrap/>
          </w:tcPr>
          <w:p w14:paraId="16298BAF"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2,276</w:t>
            </w:r>
          </w:p>
        </w:tc>
        <w:tc>
          <w:tcPr>
            <w:tcW w:w="1520" w:type="dxa"/>
            <w:noWrap/>
          </w:tcPr>
          <w:p w14:paraId="52E078B6"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1,979</w:t>
            </w:r>
          </w:p>
        </w:tc>
      </w:tr>
      <w:tr w:rsidR="004F7061" w:rsidRPr="00FB495F" w14:paraId="108A35A1" w14:textId="77777777" w:rsidTr="0062462F">
        <w:trPr>
          <w:trHeight w:val="330"/>
        </w:trPr>
        <w:tc>
          <w:tcPr>
            <w:tcW w:w="1934" w:type="dxa"/>
            <w:hideMark/>
          </w:tcPr>
          <w:p w14:paraId="42FDE39A"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GHG emissions associated with apportioned electricity use</w:t>
            </w:r>
          </w:p>
        </w:tc>
        <w:tc>
          <w:tcPr>
            <w:tcW w:w="2030" w:type="dxa"/>
            <w:hideMark/>
          </w:tcPr>
          <w:p w14:paraId="21117220"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Tonnes of CO</w:t>
            </w:r>
            <w:r w:rsidRPr="005A5946">
              <w:rPr>
                <w:rFonts w:eastAsia="SimHei" w:cs="Arial"/>
                <w:bCs/>
                <w:color w:val="auto"/>
                <w:szCs w:val="20"/>
                <w:vertAlign w:val="subscript"/>
                <w:lang w:eastAsia="en-AU"/>
              </w:rPr>
              <w:t>2</w:t>
            </w:r>
            <w:r w:rsidRPr="005A5946">
              <w:rPr>
                <w:rFonts w:eastAsia="SimHei" w:cs="Arial"/>
                <w:bCs/>
                <w:color w:val="auto"/>
                <w:szCs w:val="20"/>
                <w:lang w:eastAsia="en-AU"/>
              </w:rPr>
              <w:t xml:space="preserve"> –e </w:t>
            </w:r>
          </w:p>
        </w:tc>
        <w:tc>
          <w:tcPr>
            <w:tcW w:w="1843" w:type="dxa"/>
            <w:noWrap/>
          </w:tcPr>
          <w:p w14:paraId="3553EDA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55</w:t>
            </w:r>
          </w:p>
        </w:tc>
        <w:tc>
          <w:tcPr>
            <w:tcW w:w="1843" w:type="dxa"/>
            <w:noWrap/>
          </w:tcPr>
          <w:p w14:paraId="6FD1B43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5</w:t>
            </w:r>
          </w:p>
        </w:tc>
        <w:tc>
          <w:tcPr>
            <w:tcW w:w="1520" w:type="dxa"/>
            <w:noWrap/>
          </w:tcPr>
          <w:p w14:paraId="5AFBFF9E"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70</w:t>
            </w:r>
          </w:p>
        </w:tc>
      </w:tr>
      <w:tr w:rsidR="004F7061" w:rsidRPr="00FB495F" w14:paraId="311847FA" w14:textId="77777777" w:rsidTr="0062462F">
        <w:trPr>
          <w:trHeight w:val="301"/>
        </w:trPr>
        <w:tc>
          <w:tcPr>
            <w:tcW w:w="1934" w:type="dxa"/>
            <w:hideMark/>
          </w:tcPr>
          <w:p w14:paraId="2138242D"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GHG emissions associated with apportioned gas use</w:t>
            </w:r>
          </w:p>
        </w:tc>
        <w:tc>
          <w:tcPr>
            <w:tcW w:w="2030" w:type="dxa"/>
            <w:hideMark/>
          </w:tcPr>
          <w:p w14:paraId="01D09F27"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Tonnes of CO</w:t>
            </w:r>
            <w:r w:rsidRPr="005A5946">
              <w:rPr>
                <w:rFonts w:eastAsia="SimHei" w:cs="Arial"/>
                <w:bCs/>
                <w:color w:val="auto"/>
                <w:szCs w:val="20"/>
                <w:vertAlign w:val="subscript"/>
                <w:lang w:eastAsia="en-AU"/>
              </w:rPr>
              <w:t>2</w:t>
            </w:r>
            <w:r w:rsidRPr="005A5946">
              <w:rPr>
                <w:rFonts w:eastAsia="SimHei" w:cs="Arial"/>
                <w:bCs/>
                <w:color w:val="auto"/>
                <w:szCs w:val="20"/>
                <w:lang w:eastAsia="en-AU"/>
              </w:rPr>
              <w:t xml:space="preserve"> –e </w:t>
            </w:r>
          </w:p>
        </w:tc>
        <w:tc>
          <w:tcPr>
            <w:tcW w:w="1843" w:type="dxa"/>
            <w:noWrap/>
          </w:tcPr>
          <w:p w14:paraId="3B76559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6</w:t>
            </w:r>
          </w:p>
        </w:tc>
        <w:tc>
          <w:tcPr>
            <w:tcW w:w="1843" w:type="dxa"/>
            <w:noWrap/>
          </w:tcPr>
          <w:p w14:paraId="45BF359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w:t>
            </w:r>
          </w:p>
        </w:tc>
        <w:tc>
          <w:tcPr>
            <w:tcW w:w="1520" w:type="dxa"/>
            <w:noWrap/>
          </w:tcPr>
          <w:p w14:paraId="5377AC42"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12</w:t>
            </w:r>
          </w:p>
        </w:tc>
      </w:tr>
    </w:tbl>
    <w:p w14:paraId="0B8E2029" w14:textId="77777777" w:rsidR="004F7061" w:rsidRPr="00DC7801" w:rsidRDefault="004F7061" w:rsidP="004F7061">
      <w:pPr>
        <w:keepNext/>
        <w:keepLines/>
        <w:spacing w:before="300" w:after="20"/>
        <w:contextualSpacing/>
        <w:outlineLvl w:val="1"/>
        <w:rPr>
          <w:rFonts w:eastAsia="SimHei" w:cs="Arial"/>
          <w:b/>
          <w:color w:val="595959"/>
          <w:sz w:val="32"/>
          <w:szCs w:val="26"/>
        </w:rPr>
      </w:pPr>
      <w:bookmarkStart w:id="352" w:name="_Toc144884495"/>
      <w:bookmarkStart w:id="353" w:name="_Toc166585791"/>
      <w:r w:rsidRPr="00DC7801">
        <w:rPr>
          <w:rFonts w:eastAsia="SimHei" w:cs="Arial"/>
          <w:b/>
          <w:color w:val="595959"/>
          <w:sz w:val="32"/>
          <w:szCs w:val="26"/>
        </w:rPr>
        <w:t>Waste</w:t>
      </w:r>
      <w:bookmarkEnd w:id="352"/>
      <w:r w:rsidRPr="00DC7801">
        <w:rPr>
          <w:rFonts w:eastAsia="SimHei" w:cs="Arial"/>
          <w:b/>
          <w:color w:val="595959"/>
          <w:sz w:val="32"/>
          <w:szCs w:val="26"/>
        </w:rPr>
        <w:t xml:space="preserve"> and recycling</w:t>
      </w:r>
      <w:bookmarkEnd w:id="353"/>
    </w:p>
    <w:p w14:paraId="66746C4E" w14:textId="77777777" w:rsidR="004F7061" w:rsidRPr="00DC7801" w:rsidRDefault="004F7061" w:rsidP="004F7061">
      <w:pPr>
        <w:spacing w:after="200" w:line="240" w:lineRule="auto"/>
        <w:rPr>
          <w:rFonts w:eastAsia="Arial" w:cs="Arial"/>
          <w:i/>
          <w:iCs/>
          <w:color w:val="164F36"/>
          <w:szCs w:val="18"/>
          <w:vertAlign w:val="superscript"/>
        </w:rPr>
      </w:pPr>
      <w:r w:rsidRPr="00DC7801">
        <w:rPr>
          <w:rFonts w:eastAsia="Arial" w:cs="Arial"/>
          <w:i/>
          <w:iCs/>
          <w:color w:val="164F36"/>
          <w:szCs w:val="18"/>
        </w:rPr>
        <w:t xml:space="preserve">Table </w:t>
      </w:r>
      <w:r>
        <w:rPr>
          <w:rFonts w:eastAsia="Arial" w:cs="Arial"/>
          <w:i/>
          <w:iCs/>
          <w:color w:val="164F36"/>
          <w:szCs w:val="18"/>
        </w:rPr>
        <w:t>21</w:t>
      </w:r>
      <w:r w:rsidRPr="00DC7801">
        <w:rPr>
          <w:rFonts w:eastAsia="Arial" w:cs="Arial"/>
          <w:i/>
          <w:iCs/>
          <w:color w:val="164F36"/>
          <w:szCs w:val="18"/>
        </w:rPr>
        <w:t xml:space="preserve">: </w:t>
      </w:r>
      <w:r>
        <w:rPr>
          <w:rFonts w:eastAsia="Arial" w:cs="Arial"/>
          <w:i/>
          <w:iCs/>
          <w:color w:val="164F36"/>
          <w:szCs w:val="18"/>
        </w:rPr>
        <w:t>E</w:t>
      </w:r>
      <w:r w:rsidRPr="00DC7801">
        <w:rPr>
          <w:rFonts w:eastAsia="Arial" w:cs="Arial"/>
          <w:i/>
          <w:iCs/>
          <w:color w:val="164F36"/>
          <w:szCs w:val="18"/>
        </w:rPr>
        <w:t>nvironmental impacts – waste</w:t>
      </w:r>
      <w:r w:rsidRPr="00DC7801">
        <w:rPr>
          <w:rFonts w:eastAsia="Arial" w:cs="Arial"/>
          <w:i/>
          <w:iCs/>
          <w:color w:val="164F36"/>
          <w:szCs w:val="18"/>
          <w:vertAlign w:val="superscript"/>
        </w:rPr>
        <w:t xml:space="preserve"> </w:t>
      </w:r>
      <w:r w:rsidRPr="00DC7801">
        <w:rPr>
          <w:rFonts w:eastAsia="Arial" w:cs="Arial"/>
          <w:i/>
          <w:iCs/>
          <w:color w:val="164F36"/>
          <w:szCs w:val="18"/>
        </w:rPr>
        <w:t>(see Note 4)</w:t>
      </w:r>
    </w:p>
    <w:tbl>
      <w:tblPr>
        <w:tblStyle w:val="TableGrid10"/>
        <w:tblW w:w="9177" w:type="dxa"/>
        <w:tblLook w:val="04A0" w:firstRow="1" w:lastRow="0" w:firstColumn="1" w:lastColumn="0" w:noHBand="0" w:noVBand="1"/>
      </w:tblPr>
      <w:tblGrid>
        <w:gridCol w:w="2029"/>
        <w:gridCol w:w="1908"/>
        <w:gridCol w:w="1814"/>
        <w:gridCol w:w="1814"/>
        <w:gridCol w:w="1612"/>
      </w:tblGrid>
      <w:tr w:rsidR="004F7061" w:rsidRPr="00FB495F" w14:paraId="2453E066" w14:textId="77777777" w:rsidTr="0062462F">
        <w:trPr>
          <w:trHeight w:val="20"/>
          <w:tblHeader/>
        </w:trPr>
        <w:tc>
          <w:tcPr>
            <w:tcW w:w="2029" w:type="dxa"/>
            <w:shd w:val="clear" w:color="auto" w:fill="D4DFA0"/>
          </w:tcPr>
          <w:p w14:paraId="1B6BDB02"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Description</w:t>
            </w:r>
          </w:p>
        </w:tc>
        <w:tc>
          <w:tcPr>
            <w:tcW w:w="1908" w:type="dxa"/>
            <w:shd w:val="clear" w:color="auto" w:fill="D4DFA0"/>
          </w:tcPr>
          <w:p w14:paraId="13BD9A12"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Unit of Measure</w:t>
            </w:r>
          </w:p>
        </w:tc>
        <w:tc>
          <w:tcPr>
            <w:tcW w:w="1814" w:type="dxa"/>
            <w:shd w:val="clear" w:color="auto" w:fill="D4DFA0"/>
          </w:tcPr>
          <w:p w14:paraId="6BCC5CCF"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2021–22</w:t>
            </w:r>
          </w:p>
        </w:tc>
        <w:tc>
          <w:tcPr>
            <w:tcW w:w="1814" w:type="dxa"/>
            <w:shd w:val="clear" w:color="auto" w:fill="D4DFA0"/>
          </w:tcPr>
          <w:p w14:paraId="1A115ADA"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2022–23</w:t>
            </w:r>
          </w:p>
        </w:tc>
        <w:tc>
          <w:tcPr>
            <w:tcW w:w="1612" w:type="dxa"/>
            <w:shd w:val="clear" w:color="auto" w:fill="D4DFA0"/>
          </w:tcPr>
          <w:p w14:paraId="26D7152B" w14:textId="77777777" w:rsidR="004F7061" w:rsidRPr="005A5946" w:rsidRDefault="004F7061" w:rsidP="0062462F">
            <w:pPr>
              <w:spacing w:before="80" w:after="80" w:line="220" w:lineRule="atLeast"/>
              <w:rPr>
                <w:rFonts w:eastAsia="SimHei" w:cs="Arial"/>
                <w:b/>
                <w:bCs/>
                <w:color w:val="auto"/>
                <w:szCs w:val="20"/>
                <w:lang w:eastAsia="en-AU"/>
              </w:rPr>
            </w:pPr>
            <w:r w:rsidRPr="00FB495F">
              <w:rPr>
                <w:rFonts w:eastAsia="SimHei" w:cs="Arial"/>
                <w:b/>
                <w:bCs/>
                <w:szCs w:val="20"/>
                <w:lang w:eastAsia="en-AU"/>
              </w:rPr>
              <w:t>2023–24</w:t>
            </w:r>
          </w:p>
        </w:tc>
      </w:tr>
      <w:tr w:rsidR="004F7061" w:rsidRPr="00FB495F" w14:paraId="616BE6A4" w14:textId="77777777" w:rsidTr="0062462F">
        <w:trPr>
          <w:trHeight w:val="209"/>
        </w:trPr>
        <w:tc>
          <w:tcPr>
            <w:tcW w:w="2029" w:type="dxa"/>
            <w:hideMark/>
          </w:tcPr>
          <w:p w14:paraId="40D4715C"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Generated per THC</w:t>
            </w:r>
          </w:p>
        </w:tc>
        <w:tc>
          <w:tcPr>
            <w:tcW w:w="1908" w:type="dxa"/>
            <w:hideMark/>
          </w:tcPr>
          <w:p w14:paraId="310DBB20"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Kilograms per THC</w:t>
            </w:r>
          </w:p>
        </w:tc>
        <w:tc>
          <w:tcPr>
            <w:tcW w:w="1814" w:type="dxa"/>
          </w:tcPr>
          <w:p w14:paraId="76D09942"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3B9462A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w:t>
            </w:r>
          </w:p>
        </w:tc>
        <w:tc>
          <w:tcPr>
            <w:tcW w:w="1612" w:type="dxa"/>
          </w:tcPr>
          <w:p w14:paraId="46987276"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6</w:t>
            </w:r>
          </w:p>
        </w:tc>
      </w:tr>
      <w:tr w:rsidR="004F7061" w:rsidRPr="00FB495F" w14:paraId="508CF30E" w14:textId="77777777" w:rsidTr="0062462F">
        <w:trPr>
          <w:trHeight w:val="209"/>
        </w:trPr>
        <w:tc>
          <w:tcPr>
            <w:tcW w:w="2029" w:type="dxa"/>
            <w:hideMark/>
          </w:tcPr>
          <w:p w14:paraId="037C1040"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Generated per FTE [Indicator WR1]</w:t>
            </w:r>
          </w:p>
        </w:tc>
        <w:tc>
          <w:tcPr>
            <w:tcW w:w="1908" w:type="dxa"/>
            <w:hideMark/>
          </w:tcPr>
          <w:p w14:paraId="49882597"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Kilograms per FTE</w:t>
            </w:r>
          </w:p>
        </w:tc>
        <w:tc>
          <w:tcPr>
            <w:tcW w:w="1814" w:type="dxa"/>
          </w:tcPr>
          <w:p w14:paraId="0716F07E"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1614D51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w:t>
            </w:r>
          </w:p>
        </w:tc>
        <w:tc>
          <w:tcPr>
            <w:tcW w:w="1612" w:type="dxa"/>
          </w:tcPr>
          <w:p w14:paraId="383E7EA3"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7</w:t>
            </w:r>
          </w:p>
        </w:tc>
      </w:tr>
      <w:tr w:rsidR="004F7061" w:rsidRPr="00FB495F" w14:paraId="3F5A3904" w14:textId="77777777" w:rsidTr="0062462F">
        <w:trPr>
          <w:trHeight w:val="12"/>
        </w:trPr>
        <w:tc>
          <w:tcPr>
            <w:tcW w:w="2029" w:type="dxa"/>
            <w:hideMark/>
          </w:tcPr>
          <w:p w14:paraId="4A5530A2"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Organics per FTE</w:t>
            </w:r>
          </w:p>
        </w:tc>
        <w:tc>
          <w:tcPr>
            <w:tcW w:w="1908" w:type="dxa"/>
            <w:hideMark/>
          </w:tcPr>
          <w:p w14:paraId="41379ACE"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Kilograms per FTE</w:t>
            </w:r>
          </w:p>
        </w:tc>
        <w:tc>
          <w:tcPr>
            <w:tcW w:w="1814" w:type="dxa"/>
          </w:tcPr>
          <w:p w14:paraId="0D3AB68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2078AC1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0.35</w:t>
            </w:r>
          </w:p>
        </w:tc>
        <w:tc>
          <w:tcPr>
            <w:tcW w:w="1612" w:type="dxa"/>
          </w:tcPr>
          <w:p w14:paraId="506EA26E"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w:t>
            </w:r>
          </w:p>
        </w:tc>
      </w:tr>
      <w:tr w:rsidR="004F7061" w:rsidRPr="00FB495F" w14:paraId="356292B3" w14:textId="77777777" w:rsidTr="0062462F">
        <w:trPr>
          <w:trHeight w:val="209"/>
        </w:trPr>
        <w:tc>
          <w:tcPr>
            <w:tcW w:w="2029" w:type="dxa"/>
            <w:hideMark/>
          </w:tcPr>
          <w:p w14:paraId="034A2D3E"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Recyclables per FTE</w:t>
            </w:r>
          </w:p>
        </w:tc>
        <w:tc>
          <w:tcPr>
            <w:tcW w:w="1908" w:type="dxa"/>
            <w:hideMark/>
          </w:tcPr>
          <w:p w14:paraId="4FB64E62"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Kilograms per FTE</w:t>
            </w:r>
          </w:p>
        </w:tc>
        <w:tc>
          <w:tcPr>
            <w:tcW w:w="1814" w:type="dxa"/>
          </w:tcPr>
          <w:p w14:paraId="1FE9DB8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69986173"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w:t>
            </w:r>
          </w:p>
        </w:tc>
        <w:tc>
          <w:tcPr>
            <w:tcW w:w="1612" w:type="dxa"/>
          </w:tcPr>
          <w:p w14:paraId="15DF5F95"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3</w:t>
            </w:r>
          </w:p>
        </w:tc>
      </w:tr>
      <w:tr w:rsidR="004F7061" w:rsidRPr="00FB495F" w14:paraId="66589210" w14:textId="77777777" w:rsidTr="0062462F">
        <w:trPr>
          <w:trHeight w:val="209"/>
        </w:trPr>
        <w:tc>
          <w:tcPr>
            <w:tcW w:w="2029" w:type="dxa"/>
            <w:hideMark/>
          </w:tcPr>
          <w:p w14:paraId="21A2A004"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Landfill per FTE</w:t>
            </w:r>
          </w:p>
        </w:tc>
        <w:tc>
          <w:tcPr>
            <w:tcW w:w="1908" w:type="dxa"/>
            <w:hideMark/>
          </w:tcPr>
          <w:p w14:paraId="76E17BC3"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Kilograms per FTE</w:t>
            </w:r>
          </w:p>
        </w:tc>
        <w:tc>
          <w:tcPr>
            <w:tcW w:w="1814" w:type="dxa"/>
          </w:tcPr>
          <w:p w14:paraId="4355DE8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5046B01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w:t>
            </w:r>
          </w:p>
        </w:tc>
        <w:tc>
          <w:tcPr>
            <w:tcW w:w="1612" w:type="dxa"/>
          </w:tcPr>
          <w:p w14:paraId="42DE5465"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w:t>
            </w:r>
          </w:p>
        </w:tc>
      </w:tr>
      <w:tr w:rsidR="004F7061" w:rsidRPr="00FB495F" w14:paraId="3DD209F3" w14:textId="77777777" w:rsidTr="0062462F">
        <w:trPr>
          <w:trHeight w:val="209"/>
        </w:trPr>
        <w:tc>
          <w:tcPr>
            <w:tcW w:w="2029" w:type="dxa"/>
            <w:hideMark/>
          </w:tcPr>
          <w:p w14:paraId="6EE854D0"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Organics</w:t>
            </w:r>
          </w:p>
        </w:tc>
        <w:tc>
          <w:tcPr>
            <w:tcW w:w="1908" w:type="dxa"/>
            <w:hideMark/>
          </w:tcPr>
          <w:p w14:paraId="620AAA12"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kg to processor</w:t>
            </w:r>
          </w:p>
        </w:tc>
        <w:tc>
          <w:tcPr>
            <w:tcW w:w="1814" w:type="dxa"/>
          </w:tcPr>
          <w:p w14:paraId="4E2B4DC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0</w:t>
            </w:r>
          </w:p>
        </w:tc>
        <w:tc>
          <w:tcPr>
            <w:tcW w:w="1814" w:type="dxa"/>
          </w:tcPr>
          <w:p w14:paraId="6E53B1F1"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66</w:t>
            </w:r>
          </w:p>
        </w:tc>
        <w:tc>
          <w:tcPr>
            <w:tcW w:w="1612" w:type="dxa"/>
          </w:tcPr>
          <w:p w14:paraId="1BDE64E9"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324</w:t>
            </w:r>
          </w:p>
        </w:tc>
      </w:tr>
      <w:tr w:rsidR="004F7061" w:rsidRPr="00FB495F" w14:paraId="2BEE8E64" w14:textId="77777777" w:rsidTr="0062462F">
        <w:trPr>
          <w:trHeight w:val="209"/>
        </w:trPr>
        <w:tc>
          <w:tcPr>
            <w:tcW w:w="2029" w:type="dxa"/>
            <w:hideMark/>
          </w:tcPr>
          <w:p w14:paraId="3DD477CF"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Recyclable materials</w:t>
            </w:r>
          </w:p>
        </w:tc>
        <w:tc>
          <w:tcPr>
            <w:tcW w:w="1908" w:type="dxa"/>
            <w:hideMark/>
          </w:tcPr>
          <w:p w14:paraId="1B051372"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kg to processors</w:t>
            </w:r>
          </w:p>
        </w:tc>
        <w:tc>
          <w:tcPr>
            <w:tcW w:w="1814" w:type="dxa"/>
          </w:tcPr>
          <w:p w14:paraId="2CC7CEB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0850FA5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416</w:t>
            </w:r>
          </w:p>
        </w:tc>
        <w:tc>
          <w:tcPr>
            <w:tcW w:w="1612" w:type="dxa"/>
          </w:tcPr>
          <w:p w14:paraId="25A0FBF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619</w:t>
            </w:r>
          </w:p>
        </w:tc>
      </w:tr>
      <w:tr w:rsidR="004F7061" w:rsidRPr="00FB495F" w14:paraId="6F082E99" w14:textId="77777777" w:rsidTr="0062462F">
        <w:trPr>
          <w:trHeight w:val="209"/>
        </w:trPr>
        <w:tc>
          <w:tcPr>
            <w:tcW w:w="2029" w:type="dxa"/>
            <w:hideMark/>
          </w:tcPr>
          <w:p w14:paraId="79D9687E"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Landfill</w:t>
            </w:r>
          </w:p>
        </w:tc>
        <w:tc>
          <w:tcPr>
            <w:tcW w:w="1908" w:type="dxa"/>
            <w:hideMark/>
          </w:tcPr>
          <w:p w14:paraId="248AA5A2"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Total kg to landfill</w:t>
            </w:r>
          </w:p>
        </w:tc>
        <w:tc>
          <w:tcPr>
            <w:tcW w:w="1814" w:type="dxa"/>
          </w:tcPr>
          <w:p w14:paraId="7600F511"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1DC67661"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281</w:t>
            </w:r>
          </w:p>
        </w:tc>
        <w:tc>
          <w:tcPr>
            <w:tcW w:w="1612" w:type="dxa"/>
          </w:tcPr>
          <w:p w14:paraId="61B81B9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503</w:t>
            </w:r>
          </w:p>
        </w:tc>
      </w:tr>
      <w:tr w:rsidR="004F7061" w:rsidRPr="00FB495F" w14:paraId="6425CA03" w14:textId="77777777" w:rsidTr="0062462F">
        <w:trPr>
          <w:trHeight w:val="209"/>
        </w:trPr>
        <w:tc>
          <w:tcPr>
            <w:tcW w:w="2029" w:type="dxa"/>
          </w:tcPr>
          <w:p w14:paraId="27F0983F"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Dedicated collection services provided in offices for printer cartridges, batteries, and soft plastics % of office locations [Indicator WR2]</w:t>
            </w:r>
          </w:p>
        </w:tc>
        <w:tc>
          <w:tcPr>
            <w:tcW w:w="1908" w:type="dxa"/>
          </w:tcPr>
          <w:p w14:paraId="540D7BAE"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Percentage</w:t>
            </w:r>
          </w:p>
        </w:tc>
        <w:tc>
          <w:tcPr>
            <w:tcW w:w="1814" w:type="dxa"/>
          </w:tcPr>
          <w:p w14:paraId="244EB76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tcPr>
          <w:p w14:paraId="7ADEA13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612" w:type="dxa"/>
          </w:tcPr>
          <w:p w14:paraId="49DAA62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r>
      <w:tr w:rsidR="004F7061" w:rsidRPr="00FB495F" w14:paraId="4F0348DB" w14:textId="77777777" w:rsidTr="0062462F">
        <w:trPr>
          <w:trHeight w:val="209"/>
        </w:trPr>
        <w:tc>
          <w:tcPr>
            <w:tcW w:w="2029" w:type="dxa"/>
          </w:tcPr>
          <w:p w14:paraId="18C3C1BD" w14:textId="77777777" w:rsidR="004F7061" w:rsidRPr="004621D4" w:rsidRDefault="004F7061" w:rsidP="0062462F">
            <w:pPr>
              <w:spacing w:before="20" w:after="30" w:line="220" w:lineRule="atLeast"/>
              <w:rPr>
                <w:rFonts w:eastAsia="SimHei" w:cs="Arial"/>
                <w:bCs/>
                <w:szCs w:val="20"/>
                <w:lang w:eastAsia="en-AU"/>
              </w:rPr>
            </w:pPr>
            <w:r w:rsidRPr="001D21DA">
              <w:rPr>
                <w:rFonts w:eastAsia="SimHei" w:cs="Arial"/>
                <w:bCs/>
                <w:color w:val="auto"/>
                <w:szCs w:val="20"/>
                <w:lang w:eastAsia="en-AU"/>
              </w:rPr>
              <w:t>Waste GHG emissions [Indicator WR3]</w:t>
            </w:r>
          </w:p>
        </w:tc>
        <w:tc>
          <w:tcPr>
            <w:tcW w:w="1908" w:type="dxa"/>
          </w:tcPr>
          <w:p w14:paraId="28EC31AC" w14:textId="77777777" w:rsidR="004F7061" w:rsidRPr="004621D4" w:rsidRDefault="004F7061" w:rsidP="0062462F">
            <w:pPr>
              <w:spacing w:before="20" w:after="30" w:line="220" w:lineRule="atLeast"/>
              <w:rPr>
                <w:rFonts w:eastAsia="SimHei" w:cs="Arial"/>
                <w:bCs/>
                <w:szCs w:val="20"/>
                <w:lang w:eastAsia="en-AU"/>
              </w:rPr>
            </w:pPr>
            <w:r w:rsidRPr="001D21DA">
              <w:rPr>
                <w:rFonts w:eastAsia="SimHei" w:cs="Arial"/>
                <w:bCs/>
                <w:color w:val="auto"/>
                <w:szCs w:val="20"/>
                <w:lang w:eastAsia="en-AU"/>
              </w:rPr>
              <w:t>Kilograms</w:t>
            </w:r>
          </w:p>
        </w:tc>
        <w:tc>
          <w:tcPr>
            <w:tcW w:w="1814" w:type="dxa"/>
          </w:tcPr>
          <w:p w14:paraId="083A6E4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0</w:t>
            </w:r>
          </w:p>
        </w:tc>
        <w:tc>
          <w:tcPr>
            <w:tcW w:w="1814" w:type="dxa"/>
          </w:tcPr>
          <w:p w14:paraId="44A63925"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450</w:t>
            </w:r>
          </w:p>
        </w:tc>
        <w:tc>
          <w:tcPr>
            <w:tcW w:w="1612" w:type="dxa"/>
          </w:tcPr>
          <w:p w14:paraId="37EB0A9F"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color w:val="auto"/>
                <w:szCs w:val="20"/>
                <w:lang w:eastAsia="en-AU"/>
              </w:rPr>
              <w:t>804</w:t>
            </w:r>
          </w:p>
        </w:tc>
      </w:tr>
      <w:tr w:rsidR="004F7061" w:rsidRPr="00FB495F" w14:paraId="3E16342A" w14:textId="77777777" w:rsidTr="0062462F">
        <w:trPr>
          <w:trHeight w:val="209"/>
        </w:trPr>
        <w:tc>
          <w:tcPr>
            <w:tcW w:w="2029" w:type="dxa"/>
            <w:hideMark/>
          </w:tcPr>
          <w:p w14:paraId="4C0EE442" w14:textId="77777777" w:rsidR="004F7061" w:rsidRPr="005A5946" w:rsidRDefault="004F7061" w:rsidP="0062462F">
            <w:pPr>
              <w:spacing w:before="20" w:after="30" w:line="220" w:lineRule="atLeast"/>
              <w:rPr>
                <w:rFonts w:eastAsia="SimHei" w:cs="Arial"/>
                <w:bCs/>
                <w:color w:val="auto"/>
                <w:szCs w:val="20"/>
                <w:lang w:eastAsia="en-AU"/>
              </w:rPr>
            </w:pPr>
            <w:r w:rsidRPr="00A536D5">
              <w:rPr>
                <w:rFonts w:eastAsia="SimHei" w:cs="Arial"/>
                <w:bCs/>
                <w:color w:val="000000"/>
                <w:szCs w:val="20"/>
                <w:lang w:eastAsia="en-AU"/>
              </w:rPr>
              <w:t>Recycling rate % of total waste by weight [Indicator W</w:t>
            </w:r>
            <w:r>
              <w:rPr>
                <w:rFonts w:eastAsia="SimHei" w:cs="Arial"/>
                <w:bCs/>
                <w:color w:val="000000"/>
                <w:szCs w:val="20"/>
                <w:lang w:eastAsia="en-AU"/>
              </w:rPr>
              <w:t>R</w:t>
            </w:r>
            <w:r w:rsidRPr="00A536D5">
              <w:rPr>
                <w:rFonts w:eastAsia="SimHei" w:cs="Arial"/>
                <w:bCs/>
                <w:color w:val="000000"/>
                <w:szCs w:val="20"/>
                <w:lang w:eastAsia="en-AU"/>
              </w:rPr>
              <w:t>4]</w:t>
            </w:r>
          </w:p>
        </w:tc>
        <w:tc>
          <w:tcPr>
            <w:tcW w:w="1908" w:type="dxa"/>
            <w:hideMark/>
          </w:tcPr>
          <w:p w14:paraId="725784A0" w14:textId="77777777" w:rsidR="004F7061" w:rsidRPr="005A5946" w:rsidRDefault="004F7061" w:rsidP="0062462F">
            <w:pPr>
              <w:spacing w:before="20" w:after="30" w:line="220" w:lineRule="atLeast"/>
              <w:rPr>
                <w:rFonts w:eastAsia="SimHei" w:cs="Arial"/>
                <w:bCs/>
                <w:color w:val="auto"/>
                <w:szCs w:val="20"/>
                <w:lang w:eastAsia="en-AU"/>
              </w:rPr>
            </w:pPr>
            <w:r w:rsidRPr="005A5946">
              <w:rPr>
                <w:rFonts w:eastAsia="SimHei" w:cs="Arial"/>
                <w:bCs/>
                <w:color w:val="auto"/>
                <w:szCs w:val="20"/>
                <w:lang w:eastAsia="en-AU"/>
              </w:rPr>
              <w:t>Percentage</w:t>
            </w:r>
          </w:p>
        </w:tc>
        <w:tc>
          <w:tcPr>
            <w:tcW w:w="1814" w:type="dxa"/>
            <w:noWrap/>
          </w:tcPr>
          <w:p w14:paraId="2287E75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5A5946">
              <w:rPr>
                <w:rFonts w:eastAsia="SimHei" w:cs="Arial"/>
                <w:szCs w:val="20"/>
                <w:lang w:eastAsia="en-AU"/>
              </w:rPr>
              <w:t>0</w:t>
            </w:r>
          </w:p>
        </w:tc>
        <w:tc>
          <w:tcPr>
            <w:tcW w:w="1814" w:type="dxa"/>
            <w:noWrap/>
          </w:tcPr>
          <w:p w14:paraId="52C38A5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5A5946">
              <w:rPr>
                <w:rFonts w:eastAsia="SimHei" w:cs="Arial"/>
                <w:szCs w:val="20"/>
                <w:lang w:eastAsia="en-AU"/>
              </w:rPr>
              <w:t>63</w:t>
            </w:r>
          </w:p>
        </w:tc>
        <w:tc>
          <w:tcPr>
            <w:tcW w:w="1612" w:type="dxa"/>
            <w:noWrap/>
          </w:tcPr>
          <w:p w14:paraId="329FF8BD"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5A5946">
              <w:rPr>
                <w:rFonts w:eastAsia="SimHei" w:cs="Arial"/>
                <w:szCs w:val="20"/>
                <w:lang w:eastAsia="en-AU"/>
              </w:rPr>
              <w:t>65</w:t>
            </w:r>
          </w:p>
        </w:tc>
      </w:tr>
      <w:tr w:rsidR="004F7061" w:rsidRPr="00FB495F" w14:paraId="1DC8675B" w14:textId="77777777" w:rsidTr="0062462F">
        <w:trPr>
          <w:trHeight w:val="209"/>
        </w:trPr>
        <w:tc>
          <w:tcPr>
            <w:tcW w:w="2029" w:type="dxa"/>
          </w:tcPr>
          <w:p w14:paraId="74DC105D" w14:textId="77777777" w:rsidR="004F7061" w:rsidRPr="00583BA6" w:rsidRDefault="004F7061" w:rsidP="0062462F">
            <w:pPr>
              <w:spacing w:before="20" w:after="30" w:line="220" w:lineRule="atLeast"/>
              <w:rPr>
                <w:rFonts w:eastAsia="SimHei" w:cs="Arial"/>
                <w:bCs/>
                <w:szCs w:val="20"/>
                <w:lang w:eastAsia="en-AU"/>
              </w:rPr>
            </w:pPr>
            <w:r w:rsidRPr="00A536D5">
              <w:rPr>
                <w:rFonts w:eastAsia="SimHei" w:cs="Arial"/>
                <w:bCs/>
                <w:color w:val="000000"/>
                <w:szCs w:val="20"/>
                <w:lang w:eastAsia="en-AU"/>
              </w:rPr>
              <w:t>Greenhouse gas emissions associated with waste disposal [Indicator W</w:t>
            </w:r>
            <w:r>
              <w:rPr>
                <w:rFonts w:eastAsia="SimHei" w:cs="Arial"/>
                <w:bCs/>
                <w:color w:val="000000"/>
                <w:szCs w:val="20"/>
                <w:lang w:eastAsia="en-AU"/>
              </w:rPr>
              <w:t>R</w:t>
            </w:r>
            <w:r w:rsidRPr="00A536D5">
              <w:rPr>
                <w:rFonts w:eastAsia="SimHei" w:cs="Arial"/>
                <w:bCs/>
                <w:color w:val="000000"/>
                <w:szCs w:val="20"/>
                <w:lang w:eastAsia="en-AU"/>
              </w:rPr>
              <w:t>5]</w:t>
            </w:r>
          </w:p>
        </w:tc>
        <w:tc>
          <w:tcPr>
            <w:tcW w:w="1908" w:type="dxa"/>
          </w:tcPr>
          <w:p w14:paraId="396CA936" w14:textId="77777777" w:rsidR="004F7061" w:rsidRPr="00583BA6" w:rsidRDefault="004F7061" w:rsidP="0062462F">
            <w:pPr>
              <w:spacing w:before="20" w:after="30" w:line="220" w:lineRule="atLeast"/>
              <w:rPr>
                <w:rFonts w:eastAsia="SimHei" w:cs="Arial"/>
                <w:bCs/>
                <w:szCs w:val="20"/>
                <w:lang w:eastAsia="en-AU"/>
              </w:rPr>
            </w:pPr>
            <w:r w:rsidRPr="00A536D5">
              <w:rPr>
                <w:rFonts w:eastAsia="SimHei" w:cs="Arial"/>
                <w:bCs/>
                <w:color w:val="000000"/>
                <w:szCs w:val="20"/>
                <w:lang w:eastAsia="en-AU"/>
              </w:rPr>
              <w:t>Tonnes CO2-e</w:t>
            </w:r>
          </w:p>
        </w:tc>
        <w:tc>
          <w:tcPr>
            <w:tcW w:w="1814" w:type="dxa"/>
            <w:noWrap/>
          </w:tcPr>
          <w:p w14:paraId="18A445F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814" w:type="dxa"/>
            <w:noWrap/>
          </w:tcPr>
          <w:p w14:paraId="711D34A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450</w:t>
            </w:r>
          </w:p>
        </w:tc>
        <w:tc>
          <w:tcPr>
            <w:tcW w:w="1612" w:type="dxa"/>
            <w:noWrap/>
          </w:tcPr>
          <w:p w14:paraId="0878CFC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804</w:t>
            </w:r>
          </w:p>
        </w:tc>
      </w:tr>
    </w:tbl>
    <w:p w14:paraId="2C31C1E9" w14:textId="77777777" w:rsidR="004F7061" w:rsidRPr="00DC7801" w:rsidRDefault="004F7061" w:rsidP="004F7061">
      <w:pPr>
        <w:keepNext/>
        <w:keepLines/>
        <w:spacing w:before="300" w:after="20"/>
        <w:contextualSpacing/>
        <w:outlineLvl w:val="1"/>
        <w:rPr>
          <w:rFonts w:eastAsia="SimHei" w:cs="Arial"/>
          <w:b/>
          <w:color w:val="595959"/>
          <w:sz w:val="32"/>
          <w:szCs w:val="26"/>
        </w:rPr>
      </w:pPr>
      <w:bookmarkStart w:id="354" w:name="_Toc144884496"/>
      <w:bookmarkStart w:id="355" w:name="_Toc166585792"/>
      <w:r w:rsidRPr="00DC7801">
        <w:rPr>
          <w:rFonts w:eastAsia="SimHei" w:cs="Arial"/>
          <w:b/>
          <w:color w:val="595959"/>
          <w:sz w:val="32"/>
          <w:szCs w:val="26"/>
        </w:rPr>
        <w:t>Water</w:t>
      </w:r>
      <w:bookmarkEnd w:id="354"/>
      <w:bookmarkEnd w:id="355"/>
    </w:p>
    <w:p w14:paraId="0BE8D5CC" w14:textId="77777777" w:rsidR="004F7061" w:rsidRPr="00DC7801" w:rsidRDefault="004F7061" w:rsidP="004F7061">
      <w:pPr>
        <w:spacing w:after="200" w:line="240" w:lineRule="auto"/>
        <w:rPr>
          <w:rFonts w:eastAsia="Arial" w:cs="Arial"/>
          <w:i/>
          <w:iCs/>
          <w:color w:val="164F36"/>
          <w:szCs w:val="18"/>
          <w:vertAlign w:val="superscript"/>
        </w:rPr>
      </w:pPr>
      <w:r w:rsidRPr="00DC7801">
        <w:rPr>
          <w:rFonts w:eastAsia="Arial" w:cs="Arial"/>
          <w:i/>
          <w:iCs/>
          <w:color w:val="164F36"/>
          <w:szCs w:val="18"/>
        </w:rPr>
        <w:t xml:space="preserve">Table </w:t>
      </w:r>
      <w:r>
        <w:rPr>
          <w:rFonts w:eastAsia="Arial" w:cs="Arial"/>
          <w:i/>
          <w:iCs/>
          <w:color w:val="164F36"/>
          <w:szCs w:val="18"/>
        </w:rPr>
        <w:t>22:</w:t>
      </w:r>
      <w:r w:rsidRPr="00DC7801">
        <w:rPr>
          <w:rFonts w:eastAsia="Arial" w:cs="Arial"/>
          <w:i/>
          <w:iCs/>
          <w:color w:val="164F36"/>
          <w:szCs w:val="18"/>
        </w:rPr>
        <w:t xml:space="preserve"> </w:t>
      </w:r>
      <w:r>
        <w:rPr>
          <w:rFonts w:eastAsia="Arial" w:cs="Arial"/>
          <w:i/>
          <w:iCs/>
          <w:color w:val="164F36"/>
          <w:szCs w:val="18"/>
        </w:rPr>
        <w:t>E</w:t>
      </w:r>
      <w:r w:rsidRPr="00DC7801">
        <w:rPr>
          <w:rFonts w:eastAsia="Arial" w:cs="Arial"/>
          <w:i/>
          <w:iCs/>
          <w:color w:val="164F36"/>
          <w:szCs w:val="18"/>
        </w:rPr>
        <w:t>nvironmental impacts – water (see Note 5)</w:t>
      </w:r>
    </w:p>
    <w:tbl>
      <w:tblPr>
        <w:tblStyle w:val="TableGrid10"/>
        <w:tblW w:w="9187" w:type="dxa"/>
        <w:tblLook w:val="04A0" w:firstRow="1" w:lastRow="0" w:firstColumn="1" w:lastColumn="0" w:noHBand="0" w:noVBand="1"/>
      </w:tblPr>
      <w:tblGrid>
        <w:gridCol w:w="1975"/>
        <w:gridCol w:w="1980"/>
        <w:gridCol w:w="1800"/>
        <w:gridCol w:w="1834"/>
        <w:gridCol w:w="1598"/>
      </w:tblGrid>
      <w:tr w:rsidR="004F7061" w:rsidRPr="00A536D5" w14:paraId="04D90577" w14:textId="77777777" w:rsidTr="0062462F">
        <w:trPr>
          <w:trHeight w:val="439"/>
          <w:tblHeader/>
        </w:trPr>
        <w:tc>
          <w:tcPr>
            <w:tcW w:w="1975" w:type="dxa"/>
            <w:shd w:val="clear" w:color="auto" w:fill="D4DFA0"/>
            <w:hideMark/>
          </w:tcPr>
          <w:p w14:paraId="7E5EB7E4" w14:textId="77777777" w:rsidR="004F7061" w:rsidRPr="005A5946" w:rsidRDefault="004F7061" w:rsidP="0062462F">
            <w:pPr>
              <w:spacing w:before="80" w:after="80" w:line="220" w:lineRule="atLeast"/>
              <w:rPr>
                <w:rFonts w:eastAsia="SimHei" w:cs="Arial"/>
                <w:b/>
                <w:bCs/>
                <w:szCs w:val="20"/>
                <w:lang w:eastAsia="en-AU"/>
              </w:rPr>
            </w:pPr>
            <w:r w:rsidRPr="005A5946">
              <w:rPr>
                <w:rFonts w:eastAsia="SimHei" w:cs="Arial"/>
                <w:b/>
                <w:bCs/>
                <w:szCs w:val="20"/>
                <w:lang w:eastAsia="en-AU"/>
              </w:rPr>
              <w:t>Description</w:t>
            </w:r>
          </w:p>
        </w:tc>
        <w:tc>
          <w:tcPr>
            <w:tcW w:w="1980" w:type="dxa"/>
            <w:shd w:val="clear" w:color="auto" w:fill="D4DFA0"/>
            <w:hideMark/>
          </w:tcPr>
          <w:p w14:paraId="12C19C4B" w14:textId="77777777" w:rsidR="004F7061" w:rsidRPr="005A5946" w:rsidRDefault="004F7061" w:rsidP="0062462F">
            <w:pPr>
              <w:spacing w:before="80" w:after="80" w:line="220" w:lineRule="atLeast"/>
              <w:rPr>
                <w:rFonts w:eastAsia="SimHei" w:cs="Arial"/>
                <w:b/>
                <w:bCs/>
                <w:szCs w:val="20"/>
                <w:lang w:eastAsia="en-AU"/>
              </w:rPr>
            </w:pPr>
            <w:r w:rsidRPr="005A5946">
              <w:rPr>
                <w:rFonts w:eastAsia="SimHei" w:cs="Arial"/>
                <w:b/>
                <w:bCs/>
                <w:szCs w:val="20"/>
                <w:lang w:eastAsia="en-AU"/>
              </w:rPr>
              <w:t>Unit of Measure</w:t>
            </w:r>
          </w:p>
        </w:tc>
        <w:tc>
          <w:tcPr>
            <w:tcW w:w="1800" w:type="dxa"/>
            <w:shd w:val="clear" w:color="auto" w:fill="D4DFA0"/>
            <w:hideMark/>
          </w:tcPr>
          <w:p w14:paraId="2895A378" w14:textId="77777777" w:rsidR="004F7061" w:rsidRPr="005A5946" w:rsidRDefault="004F7061" w:rsidP="0062462F">
            <w:pPr>
              <w:spacing w:before="80" w:after="80" w:line="220" w:lineRule="atLeast"/>
              <w:rPr>
                <w:rFonts w:eastAsia="SimHei" w:cs="Arial"/>
                <w:b/>
                <w:bCs/>
                <w:szCs w:val="20"/>
                <w:lang w:eastAsia="en-AU"/>
              </w:rPr>
            </w:pPr>
            <w:r w:rsidRPr="005A5946">
              <w:rPr>
                <w:rFonts w:eastAsia="SimHei" w:cs="Arial"/>
                <w:b/>
                <w:bCs/>
                <w:szCs w:val="20"/>
                <w:lang w:eastAsia="en-AU"/>
              </w:rPr>
              <w:t>2021–22</w:t>
            </w:r>
          </w:p>
        </w:tc>
        <w:tc>
          <w:tcPr>
            <w:tcW w:w="1834" w:type="dxa"/>
            <w:shd w:val="clear" w:color="auto" w:fill="D4DFA0"/>
            <w:hideMark/>
          </w:tcPr>
          <w:p w14:paraId="0FACEB3E" w14:textId="77777777" w:rsidR="004F7061" w:rsidRPr="005A5946" w:rsidRDefault="004F7061" w:rsidP="0062462F">
            <w:pPr>
              <w:spacing w:before="80" w:after="80" w:line="220" w:lineRule="atLeast"/>
              <w:rPr>
                <w:rFonts w:eastAsia="SimHei" w:cs="Arial"/>
                <w:b/>
                <w:bCs/>
                <w:szCs w:val="20"/>
                <w:lang w:eastAsia="en-AU"/>
              </w:rPr>
            </w:pPr>
            <w:r w:rsidRPr="005A5946">
              <w:rPr>
                <w:rFonts w:eastAsia="SimHei" w:cs="Arial"/>
                <w:b/>
                <w:bCs/>
                <w:szCs w:val="20"/>
                <w:lang w:eastAsia="en-AU"/>
              </w:rPr>
              <w:t>2022–23</w:t>
            </w:r>
          </w:p>
        </w:tc>
        <w:tc>
          <w:tcPr>
            <w:tcW w:w="1598" w:type="dxa"/>
            <w:shd w:val="clear" w:color="auto" w:fill="D4DFA0"/>
            <w:hideMark/>
          </w:tcPr>
          <w:p w14:paraId="77C96949" w14:textId="77777777" w:rsidR="004F7061" w:rsidRPr="005A5946" w:rsidRDefault="004F7061" w:rsidP="0062462F">
            <w:pPr>
              <w:spacing w:before="80" w:after="80" w:line="220" w:lineRule="atLeast"/>
              <w:rPr>
                <w:rFonts w:eastAsia="SimHei" w:cs="Arial"/>
                <w:b/>
                <w:bCs/>
                <w:szCs w:val="20"/>
                <w:lang w:eastAsia="en-AU"/>
              </w:rPr>
            </w:pPr>
            <w:r w:rsidRPr="005A5946">
              <w:rPr>
                <w:rFonts w:eastAsia="SimHei" w:cs="Arial"/>
                <w:b/>
                <w:bCs/>
                <w:szCs w:val="20"/>
                <w:lang w:eastAsia="en-AU"/>
              </w:rPr>
              <w:t>2023–24</w:t>
            </w:r>
          </w:p>
        </w:tc>
      </w:tr>
      <w:tr w:rsidR="004F7061" w:rsidRPr="00A536D5" w14:paraId="77FF1B9B" w14:textId="77777777" w:rsidTr="0062462F">
        <w:trPr>
          <w:trHeight w:val="277"/>
        </w:trPr>
        <w:tc>
          <w:tcPr>
            <w:tcW w:w="1975" w:type="dxa"/>
            <w:hideMark/>
          </w:tcPr>
          <w:p w14:paraId="14B36818" w14:textId="77777777" w:rsidR="004F7061" w:rsidRPr="00A536D5" w:rsidRDefault="004F7061" w:rsidP="0062462F">
            <w:pPr>
              <w:spacing w:before="20" w:after="30" w:line="220" w:lineRule="atLeast"/>
              <w:rPr>
                <w:rFonts w:eastAsia="SimHei" w:cs="Arial"/>
                <w:bCs/>
                <w:color w:val="000000"/>
                <w:szCs w:val="20"/>
                <w:lang w:eastAsia="en-AU"/>
              </w:rPr>
            </w:pPr>
            <w:r w:rsidRPr="00A536D5">
              <w:rPr>
                <w:rFonts w:eastAsia="SimHei" w:cs="Arial"/>
                <w:bCs/>
                <w:color w:val="000000"/>
                <w:szCs w:val="20"/>
                <w:lang w:eastAsia="en-AU"/>
              </w:rPr>
              <w:t>Total apportioned water consumption (see Note 6) [Indicator W1]</w:t>
            </w:r>
          </w:p>
        </w:tc>
        <w:tc>
          <w:tcPr>
            <w:tcW w:w="1980" w:type="dxa"/>
            <w:hideMark/>
          </w:tcPr>
          <w:p w14:paraId="41AD2D98" w14:textId="77777777" w:rsidR="004F7061" w:rsidRPr="00A536D5" w:rsidRDefault="004F7061" w:rsidP="0062462F">
            <w:pPr>
              <w:spacing w:before="20" w:after="30" w:line="220" w:lineRule="atLeast"/>
              <w:rPr>
                <w:rFonts w:eastAsia="SimHei" w:cs="Arial"/>
                <w:bCs/>
                <w:color w:val="000000"/>
                <w:szCs w:val="20"/>
                <w:lang w:eastAsia="en-AU"/>
              </w:rPr>
            </w:pPr>
            <w:r w:rsidRPr="00A536D5">
              <w:rPr>
                <w:rFonts w:eastAsia="SimHei" w:cs="Arial"/>
                <w:bCs/>
                <w:color w:val="000000"/>
                <w:szCs w:val="20"/>
                <w:lang w:eastAsia="en-AU"/>
              </w:rPr>
              <w:t>Kilolitres</w:t>
            </w:r>
          </w:p>
        </w:tc>
        <w:tc>
          <w:tcPr>
            <w:tcW w:w="1800" w:type="dxa"/>
            <w:noWrap/>
          </w:tcPr>
          <w:p w14:paraId="2BBB07FF"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298</w:t>
            </w:r>
          </w:p>
        </w:tc>
        <w:tc>
          <w:tcPr>
            <w:tcW w:w="1834" w:type="dxa"/>
            <w:noWrap/>
          </w:tcPr>
          <w:p w14:paraId="412E8B11"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450</w:t>
            </w:r>
          </w:p>
        </w:tc>
        <w:tc>
          <w:tcPr>
            <w:tcW w:w="1598" w:type="dxa"/>
            <w:noWrap/>
          </w:tcPr>
          <w:p w14:paraId="3199E551"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620</w:t>
            </w:r>
          </w:p>
        </w:tc>
      </w:tr>
      <w:tr w:rsidR="004F7061" w:rsidRPr="00A536D5" w14:paraId="421BBDCC" w14:textId="77777777" w:rsidTr="0062462F">
        <w:trPr>
          <w:trHeight w:val="277"/>
        </w:trPr>
        <w:tc>
          <w:tcPr>
            <w:tcW w:w="1975" w:type="dxa"/>
            <w:hideMark/>
          </w:tcPr>
          <w:p w14:paraId="10D2F895" w14:textId="77777777" w:rsidR="004F7061" w:rsidRPr="00A536D5" w:rsidRDefault="004F7061" w:rsidP="0062462F">
            <w:pPr>
              <w:spacing w:before="20" w:after="30" w:line="220" w:lineRule="atLeast"/>
              <w:rPr>
                <w:rFonts w:eastAsia="SimHei" w:cs="Arial"/>
                <w:bCs/>
                <w:color w:val="000000"/>
                <w:szCs w:val="20"/>
                <w:lang w:eastAsia="en-AU"/>
              </w:rPr>
            </w:pPr>
            <w:r w:rsidRPr="00A536D5">
              <w:rPr>
                <w:rFonts w:eastAsia="SimHei" w:cs="Arial"/>
                <w:bCs/>
                <w:color w:val="000000"/>
                <w:szCs w:val="20"/>
                <w:lang w:eastAsia="en-AU"/>
              </w:rPr>
              <w:t>Apportioned water consumption per THC</w:t>
            </w:r>
          </w:p>
        </w:tc>
        <w:tc>
          <w:tcPr>
            <w:tcW w:w="1980" w:type="dxa"/>
            <w:hideMark/>
          </w:tcPr>
          <w:p w14:paraId="08971591" w14:textId="77777777" w:rsidR="004F7061" w:rsidRPr="00A536D5" w:rsidRDefault="004F7061" w:rsidP="0062462F">
            <w:pPr>
              <w:spacing w:before="20" w:after="30" w:line="220" w:lineRule="atLeast"/>
              <w:rPr>
                <w:rFonts w:eastAsia="SimHei" w:cs="Arial"/>
                <w:bCs/>
                <w:color w:val="000000"/>
                <w:szCs w:val="20"/>
                <w:lang w:eastAsia="en-AU"/>
              </w:rPr>
            </w:pPr>
            <w:r w:rsidRPr="00A536D5">
              <w:rPr>
                <w:rFonts w:eastAsia="SimHei" w:cs="Arial"/>
                <w:bCs/>
                <w:color w:val="000000"/>
                <w:szCs w:val="20"/>
                <w:lang w:eastAsia="en-AU"/>
              </w:rPr>
              <w:t>Kilolitres per THC</w:t>
            </w:r>
          </w:p>
        </w:tc>
        <w:tc>
          <w:tcPr>
            <w:tcW w:w="1800" w:type="dxa"/>
            <w:noWrap/>
          </w:tcPr>
          <w:p w14:paraId="2723205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1.44</w:t>
            </w:r>
          </w:p>
        </w:tc>
        <w:tc>
          <w:tcPr>
            <w:tcW w:w="1834" w:type="dxa"/>
            <w:noWrap/>
          </w:tcPr>
          <w:p w14:paraId="099B5F3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2.18</w:t>
            </w:r>
          </w:p>
        </w:tc>
        <w:tc>
          <w:tcPr>
            <w:tcW w:w="1598" w:type="dxa"/>
            <w:noWrap/>
          </w:tcPr>
          <w:p w14:paraId="28A0F675"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2.76</w:t>
            </w:r>
          </w:p>
        </w:tc>
      </w:tr>
      <w:tr w:rsidR="004F7061" w:rsidRPr="00A536D5" w14:paraId="61C6CB96" w14:textId="77777777" w:rsidTr="0062462F">
        <w:trPr>
          <w:trHeight w:val="291"/>
        </w:trPr>
        <w:tc>
          <w:tcPr>
            <w:tcW w:w="1975" w:type="dxa"/>
            <w:hideMark/>
          </w:tcPr>
          <w:p w14:paraId="3D4D060A" w14:textId="77777777" w:rsidR="004F7061" w:rsidRPr="00A536D5" w:rsidRDefault="004F7061" w:rsidP="0062462F">
            <w:pPr>
              <w:spacing w:before="20" w:after="30" w:line="220" w:lineRule="atLeast"/>
              <w:rPr>
                <w:rFonts w:eastAsia="SimHei" w:cs="Arial"/>
                <w:bCs/>
                <w:color w:val="000000"/>
                <w:szCs w:val="20"/>
                <w:lang w:eastAsia="en-AU"/>
              </w:rPr>
            </w:pPr>
            <w:r w:rsidRPr="00A536D5">
              <w:rPr>
                <w:rFonts w:eastAsia="SimHei" w:cs="Arial"/>
                <w:bCs/>
                <w:color w:val="000000"/>
                <w:szCs w:val="20"/>
                <w:lang w:eastAsia="en-AU"/>
              </w:rPr>
              <w:t>Apportioned water consumption per FTE [Indicator W2]</w:t>
            </w:r>
          </w:p>
        </w:tc>
        <w:tc>
          <w:tcPr>
            <w:tcW w:w="1980" w:type="dxa"/>
            <w:hideMark/>
          </w:tcPr>
          <w:p w14:paraId="4EED79AF" w14:textId="77777777" w:rsidR="004F7061" w:rsidRPr="00A536D5" w:rsidRDefault="004F7061" w:rsidP="0062462F">
            <w:pPr>
              <w:spacing w:before="20" w:after="30" w:line="220" w:lineRule="atLeast"/>
              <w:rPr>
                <w:rFonts w:eastAsia="SimHei" w:cs="Arial"/>
                <w:bCs/>
                <w:color w:val="000000"/>
                <w:szCs w:val="20"/>
                <w:lang w:eastAsia="en-AU"/>
              </w:rPr>
            </w:pPr>
            <w:r w:rsidRPr="00A536D5">
              <w:rPr>
                <w:rFonts w:eastAsia="SimHei" w:cs="Arial"/>
                <w:bCs/>
                <w:color w:val="000000"/>
                <w:szCs w:val="20"/>
                <w:lang w:eastAsia="en-AU"/>
              </w:rPr>
              <w:t>Kilolitres per FTE</w:t>
            </w:r>
          </w:p>
        </w:tc>
        <w:tc>
          <w:tcPr>
            <w:tcW w:w="1800" w:type="dxa"/>
            <w:noWrap/>
          </w:tcPr>
          <w:p w14:paraId="0762166E"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1.52</w:t>
            </w:r>
          </w:p>
        </w:tc>
        <w:tc>
          <w:tcPr>
            <w:tcW w:w="1834" w:type="dxa"/>
            <w:noWrap/>
          </w:tcPr>
          <w:p w14:paraId="590323FF"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2.35</w:t>
            </w:r>
          </w:p>
        </w:tc>
        <w:tc>
          <w:tcPr>
            <w:tcW w:w="1598" w:type="dxa"/>
            <w:noWrap/>
          </w:tcPr>
          <w:p w14:paraId="6888C3A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2.96</w:t>
            </w:r>
          </w:p>
        </w:tc>
      </w:tr>
    </w:tbl>
    <w:p w14:paraId="227D253E" w14:textId="77777777" w:rsidR="004F7061" w:rsidRDefault="004F7061" w:rsidP="004F7061">
      <w:pPr>
        <w:spacing w:line="278" w:lineRule="auto"/>
      </w:pPr>
      <w:bookmarkStart w:id="356" w:name="_Toc144884497"/>
      <w:bookmarkStart w:id="357" w:name="_Toc166585793"/>
    </w:p>
    <w:p w14:paraId="360A76A5" w14:textId="77777777" w:rsidR="004F7061" w:rsidRPr="00DC7801" w:rsidRDefault="004F7061" w:rsidP="004F7061">
      <w:pPr>
        <w:keepNext/>
        <w:keepLines/>
        <w:spacing w:before="300" w:after="20"/>
        <w:contextualSpacing/>
        <w:outlineLvl w:val="1"/>
        <w:rPr>
          <w:rFonts w:eastAsia="SimHei" w:cs="Arial"/>
          <w:b/>
          <w:color w:val="595959"/>
          <w:sz w:val="32"/>
          <w:szCs w:val="26"/>
        </w:rPr>
      </w:pPr>
      <w:r w:rsidRPr="00DC7801">
        <w:rPr>
          <w:rFonts w:eastAsia="SimHei" w:cs="Arial"/>
          <w:b/>
          <w:color w:val="595959"/>
          <w:sz w:val="32"/>
          <w:szCs w:val="26"/>
        </w:rPr>
        <w:t>Transport</w:t>
      </w:r>
      <w:bookmarkEnd w:id="356"/>
      <w:bookmarkEnd w:id="357"/>
    </w:p>
    <w:p w14:paraId="4A76577B" w14:textId="77777777" w:rsidR="004F7061" w:rsidRPr="00DC7801" w:rsidRDefault="004F7061" w:rsidP="004F7061">
      <w:pPr>
        <w:spacing w:after="200" w:line="240" w:lineRule="auto"/>
        <w:rPr>
          <w:rFonts w:eastAsia="Arial" w:cs="Arial"/>
          <w:i/>
          <w:iCs/>
          <w:color w:val="164F36"/>
          <w:szCs w:val="18"/>
          <w:vertAlign w:val="superscript"/>
        </w:rPr>
      </w:pPr>
      <w:r w:rsidRPr="00DC7801">
        <w:rPr>
          <w:rFonts w:eastAsia="Arial" w:cs="Arial"/>
          <w:i/>
          <w:iCs/>
          <w:color w:val="164F36"/>
          <w:szCs w:val="18"/>
        </w:rPr>
        <w:t xml:space="preserve">Table </w:t>
      </w:r>
      <w:r>
        <w:rPr>
          <w:rFonts w:eastAsia="Arial" w:cs="Arial"/>
          <w:i/>
          <w:iCs/>
          <w:color w:val="164F36"/>
          <w:szCs w:val="18"/>
        </w:rPr>
        <w:t>23</w:t>
      </w:r>
      <w:r w:rsidRPr="00DC7801">
        <w:rPr>
          <w:rFonts w:eastAsia="Arial" w:cs="Arial"/>
          <w:i/>
          <w:iCs/>
          <w:color w:val="164F36"/>
          <w:szCs w:val="18"/>
        </w:rPr>
        <w:t xml:space="preserve">: </w:t>
      </w:r>
      <w:r>
        <w:rPr>
          <w:rFonts w:eastAsia="Arial" w:cs="Arial"/>
          <w:i/>
          <w:iCs/>
          <w:color w:val="164F36"/>
          <w:szCs w:val="18"/>
        </w:rPr>
        <w:t>E</w:t>
      </w:r>
      <w:r w:rsidRPr="00DC7801">
        <w:rPr>
          <w:rFonts w:eastAsia="Arial" w:cs="Arial"/>
          <w:i/>
          <w:iCs/>
          <w:color w:val="164F36"/>
          <w:szCs w:val="18"/>
        </w:rPr>
        <w:t>nvironmental impacts – transport (see Notes 7,8,9,10)</w:t>
      </w:r>
    </w:p>
    <w:tbl>
      <w:tblPr>
        <w:tblStyle w:val="TableGrid10"/>
        <w:tblW w:w="9179" w:type="dxa"/>
        <w:tblLook w:val="04A0" w:firstRow="1" w:lastRow="0" w:firstColumn="1" w:lastColumn="0" w:noHBand="0" w:noVBand="1"/>
      </w:tblPr>
      <w:tblGrid>
        <w:gridCol w:w="1980"/>
        <w:gridCol w:w="1984"/>
        <w:gridCol w:w="1843"/>
        <w:gridCol w:w="1793"/>
        <w:gridCol w:w="1579"/>
      </w:tblGrid>
      <w:tr w:rsidR="004F7061" w:rsidRPr="00DC7801" w14:paraId="694B2E8F" w14:textId="77777777" w:rsidTr="0062462F">
        <w:trPr>
          <w:trHeight w:val="487"/>
          <w:tblHeader/>
        </w:trPr>
        <w:tc>
          <w:tcPr>
            <w:tcW w:w="1980" w:type="dxa"/>
            <w:shd w:val="clear" w:color="auto" w:fill="D4DFA0"/>
            <w:hideMark/>
          </w:tcPr>
          <w:p w14:paraId="3906E4B9" w14:textId="77777777" w:rsidR="004F7061" w:rsidRPr="00DC7801" w:rsidRDefault="004F7061" w:rsidP="0062462F">
            <w:pPr>
              <w:spacing w:before="80" w:after="80" w:line="220" w:lineRule="atLeast"/>
              <w:rPr>
                <w:rFonts w:eastAsia="SimHei" w:cs="Arial"/>
                <w:b/>
                <w:bCs/>
                <w:szCs w:val="20"/>
                <w:lang w:eastAsia="en-AU"/>
              </w:rPr>
            </w:pPr>
            <w:r w:rsidRPr="00DC7801">
              <w:rPr>
                <w:rFonts w:eastAsia="SimHei" w:cs="Arial"/>
                <w:b/>
                <w:bCs/>
                <w:szCs w:val="20"/>
                <w:lang w:eastAsia="en-AU"/>
              </w:rPr>
              <w:t>Description</w:t>
            </w:r>
          </w:p>
        </w:tc>
        <w:tc>
          <w:tcPr>
            <w:tcW w:w="1984" w:type="dxa"/>
            <w:shd w:val="clear" w:color="auto" w:fill="D4DFA0"/>
            <w:hideMark/>
          </w:tcPr>
          <w:p w14:paraId="58815B48" w14:textId="77777777" w:rsidR="004F7061" w:rsidRPr="00DC7801" w:rsidRDefault="004F7061" w:rsidP="0062462F">
            <w:pPr>
              <w:spacing w:before="80" w:after="80" w:line="220" w:lineRule="atLeast"/>
              <w:rPr>
                <w:rFonts w:eastAsia="SimHei" w:cs="Arial"/>
                <w:b/>
                <w:bCs/>
                <w:szCs w:val="20"/>
                <w:lang w:eastAsia="en-AU"/>
              </w:rPr>
            </w:pPr>
            <w:r w:rsidRPr="00DC7801">
              <w:rPr>
                <w:rFonts w:eastAsia="SimHei" w:cs="Arial"/>
                <w:b/>
                <w:bCs/>
                <w:szCs w:val="20"/>
                <w:lang w:eastAsia="en-AU"/>
              </w:rPr>
              <w:t>Unit of Measure</w:t>
            </w:r>
          </w:p>
        </w:tc>
        <w:tc>
          <w:tcPr>
            <w:tcW w:w="1843" w:type="dxa"/>
            <w:shd w:val="clear" w:color="auto" w:fill="D4DFA0"/>
            <w:hideMark/>
          </w:tcPr>
          <w:p w14:paraId="7597BD55" w14:textId="77777777" w:rsidR="004F7061" w:rsidRPr="00DC7801" w:rsidRDefault="004F7061" w:rsidP="0062462F">
            <w:pPr>
              <w:spacing w:before="80" w:after="80" w:line="220" w:lineRule="atLeast"/>
              <w:rPr>
                <w:rFonts w:eastAsia="SimHei" w:cs="Arial"/>
                <w:b/>
                <w:bCs/>
                <w:szCs w:val="20"/>
                <w:lang w:eastAsia="en-AU"/>
              </w:rPr>
            </w:pPr>
            <w:r w:rsidRPr="00DC7801">
              <w:rPr>
                <w:rFonts w:eastAsia="SimHei" w:cs="Arial"/>
                <w:b/>
                <w:bCs/>
                <w:szCs w:val="20"/>
                <w:lang w:eastAsia="en-AU"/>
              </w:rPr>
              <w:t>2021–22</w:t>
            </w:r>
          </w:p>
        </w:tc>
        <w:tc>
          <w:tcPr>
            <w:tcW w:w="1793" w:type="dxa"/>
            <w:shd w:val="clear" w:color="auto" w:fill="D4DFA0"/>
            <w:hideMark/>
          </w:tcPr>
          <w:p w14:paraId="59476076" w14:textId="77777777" w:rsidR="004F7061" w:rsidRPr="00DC7801" w:rsidRDefault="004F7061" w:rsidP="0062462F">
            <w:pPr>
              <w:spacing w:before="80" w:after="80" w:line="220" w:lineRule="atLeast"/>
              <w:rPr>
                <w:rFonts w:eastAsia="SimHei" w:cs="Arial"/>
                <w:b/>
                <w:bCs/>
                <w:szCs w:val="20"/>
                <w:lang w:eastAsia="en-AU"/>
              </w:rPr>
            </w:pPr>
            <w:r w:rsidRPr="00DC7801">
              <w:rPr>
                <w:rFonts w:eastAsia="SimHei" w:cs="Arial"/>
                <w:b/>
                <w:bCs/>
                <w:szCs w:val="20"/>
                <w:lang w:eastAsia="en-AU"/>
              </w:rPr>
              <w:t>2022–23</w:t>
            </w:r>
          </w:p>
        </w:tc>
        <w:tc>
          <w:tcPr>
            <w:tcW w:w="1579" w:type="dxa"/>
            <w:shd w:val="clear" w:color="auto" w:fill="D4DFA0"/>
            <w:hideMark/>
          </w:tcPr>
          <w:p w14:paraId="224C6F01" w14:textId="77777777" w:rsidR="004F7061" w:rsidRPr="00DC7801" w:rsidRDefault="004F7061" w:rsidP="0062462F">
            <w:pPr>
              <w:spacing w:before="80" w:after="80" w:line="220" w:lineRule="atLeast"/>
              <w:rPr>
                <w:rFonts w:eastAsia="SimHei" w:cs="Arial"/>
                <w:b/>
                <w:bCs/>
                <w:szCs w:val="20"/>
                <w:lang w:eastAsia="en-AU"/>
              </w:rPr>
            </w:pPr>
            <w:r w:rsidRPr="00DC7801">
              <w:rPr>
                <w:rFonts w:eastAsia="SimHei" w:cs="Arial"/>
                <w:b/>
                <w:bCs/>
                <w:szCs w:val="20"/>
                <w:lang w:eastAsia="en-AU"/>
              </w:rPr>
              <w:t>2023–24</w:t>
            </w:r>
          </w:p>
        </w:tc>
      </w:tr>
      <w:tr w:rsidR="004F7061" w:rsidRPr="00DC7801" w14:paraId="372F1C89" w14:textId="77777777" w:rsidTr="0062462F">
        <w:trPr>
          <w:trHeight w:val="272"/>
        </w:trPr>
        <w:tc>
          <w:tcPr>
            <w:tcW w:w="1980" w:type="dxa"/>
            <w:hideMark/>
          </w:tcPr>
          <w:p w14:paraId="044622CF"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Energy consumption per THC</w:t>
            </w:r>
          </w:p>
        </w:tc>
        <w:tc>
          <w:tcPr>
            <w:tcW w:w="1984" w:type="dxa"/>
            <w:hideMark/>
          </w:tcPr>
          <w:p w14:paraId="11B2002C"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Gigajoules per THC</w:t>
            </w:r>
          </w:p>
        </w:tc>
        <w:tc>
          <w:tcPr>
            <w:tcW w:w="1843" w:type="dxa"/>
            <w:noWrap/>
          </w:tcPr>
          <w:p w14:paraId="74BD4876"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0.23</w:t>
            </w:r>
          </w:p>
        </w:tc>
        <w:tc>
          <w:tcPr>
            <w:tcW w:w="1793" w:type="dxa"/>
            <w:noWrap/>
          </w:tcPr>
          <w:p w14:paraId="1C91C4B7"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0.38</w:t>
            </w:r>
          </w:p>
        </w:tc>
        <w:tc>
          <w:tcPr>
            <w:tcW w:w="1579" w:type="dxa"/>
            <w:noWrap/>
          </w:tcPr>
          <w:p w14:paraId="1F345F0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0.76</w:t>
            </w:r>
          </w:p>
        </w:tc>
      </w:tr>
      <w:tr w:rsidR="004F7061" w:rsidRPr="00DC7801" w14:paraId="19FCEDE3" w14:textId="77777777" w:rsidTr="0062462F">
        <w:trPr>
          <w:trHeight w:val="272"/>
        </w:trPr>
        <w:tc>
          <w:tcPr>
            <w:tcW w:w="1980" w:type="dxa"/>
            <w:hideMark/>
          </w:tcPr>
          <w:p w14:paraId="2566910F"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Energy consumption per FTE</w:t>
            </w:r>
          </w:p>
        </w:tc>
        <w:tc>
          <w:tcPr>
            <w:tcW w:w="1984" w:type="dxa"/>
            <w:hideMark/>
          </w:tcPr>
          <w:p w14:paraId="6AD7A564"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Gigajoules per FTE</w:t>
            </w:r>
          </w:p>
        </w:tc>
        <w:tc>
          <w:tcPr>
            <w:tcW w:w="1843" w:type="dxa"/>
            <w:noWrap/>
          </w:tcPr>
          <w:p w14:paraId="6DF0EF5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0.24</w:t>
            </w:r>
          </w:p>
        </w:tc>
        <w:tc>
          <w:tcPr>
            <w:tcW w:w="1793" w:type="dxa"/>
            <w:noWrap/>
          </w:tcPr>
          <w:p w14:paraId="4F1A490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0.41</w:t>
            </w:r>
          </w:p>
        </w:tc>
        <w:tc>
          <w:tcPr>
            <w:tcW w:w="1579" w:type="dxa"/>
            <w:noWrap/>
          </w:tcPr>
          <w:p w14:paraId="3E7141F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0.82</w:t>
            </w:r>
          </w:p>
        </w:tc>
      </w:tr>
      <w:tr w:rsidR="004F7061" w:rsidRPr="00DC7801" w14:paraId="4CAACE36" w14:textId="77777777" w:rsidTr="0062462F">
        <w:trPr>
          <w:trHeight w:val="272"/>
        </w:trPr>
        <w:tc>
          <w:tcPr>
            <w:tcW w:w="1980" w:type="dxa"/>
            <w:hideMark/>
          </w:tcPr>
          <w:p w14:paraId="173EDDAE"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Total energy consumption [Indicator T1]</w:t>
            </w:r>
          </w:p>
        </w:tc>
        <w:tc>
          <w:tcPr>
            <w:tcW w:w="1984" w:type="dxa"/>
            <w:hideMark/>
          </w:tcPr>
          <w:p w14:paraId="61CB293C"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Gigajoules</w:t>
            </w:r>
          </w:p>
        </w:tc>
        <w:tc>
          <w:tcPr>
            <w:tcW w:w="1843" w:type="dxa"/>
            <w:noWrap/>
          </w:tcPr>
          <w:p w14:paraId="49F9D882"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48</w:t>
            </w:r>
          </w:p>
        </w:tc>
        <w:tc>
          <w:tcPr>
            <w:tcW w:w="1793" w:type="dxa"/>
            <w:noWrap/>
          </w:tcPr>
          <w:p w14:paraId="10F3DAC8"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79</w:t>
            </w:r>
          </w:p>
        </w:tc>
        <w:tc>
          <w:tcPr>
            <w:tcW w:w="1579" w:type="dxa"/>
            <w:noWrap/>
          </w:tcPr>
          <w:p w14:paraId="761CDF2E"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171</w:t>
            </w:r>
          </w:p>
        </w:tc>
      </w:tr>
      <w:tr w:rsidR="004F7061" w:rsidRPr="00DC7801" w14:paraId="10B65932" w14:textId="77777777" w:rsidTr="0062462F">
        <w:trPr>
          <w:trHeight w:val="272"/>
        </w:trPr>
        <w:tc>
          <w:tcPr>
            <w:tcW w:w="1980" w:type="dxa"/>
            <w:hideMark/>
          </w:tcPr>
          <w:p w14:paraId="4FB5DA0A"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Total vehicle travel by vehicle type (see Note 9) Petrol/Electric, Petrol</w:t>
            </w:r>
            <w:r>
              <w:rPr>
                <w:rFonts w:eastAsia="SimHei" w:cs="Arial"/>
                <w:bCs/>
                <w:color w:val="000000"/>
                <w:szCs w:val="20"/>
                <w:lang w:eastAsia="en-AU"/>
              </w:rPr>
              <w:t xml:space="preserve"> [Indicator T2]</w:t>
            </w:r>
          </w:p>
        </w:tc>
        <w:tc>
          <w:tcPr>
            <w:tcW w:w="1984" w:type="dxa"/>
            <w:hideMark/>
          </w:tcPr>
          <w:p w14:paraId="0E7A851B"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Kilometres</w:t>
            </w:r>
          </w:p>
        </w:tc>
        <w:tc>
          <w:tcPr>
            <w:tcW w:w="1843" w:type="dxa"/>
            <w:noWrap/>
          </w:tcPr>
          <w:p w14:paraId="0D511DA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18,647</w:t>
            </w:r>
          </w:p>
        </w:tc>
        <w:tc>
          <w:tcPr>
            <w:tcW w:w="1793" w:type="dxa"/>
            <w:noWrap/>
          </w:tcPr>
          <w:p w14:paraId="7BEA3B2B"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21,198</w:t>
            </w:r>
          </w:p>
        </w:tc>
        <w:tc>
          <w:tcPr>
            <w:tcW w:w="1579" w:type="dxa"/>
            <w:noWrap/>
          </w:tcPr>
          <w:p w14:paraId="63ECDBBA"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44,908</w:t>
            </w:r>
          </w:p>
        </w:tc>
      </w:tr>
      <w:tr w:rsidR="004F7061" w:rsidRPr="00DC7801" w14:paraId="652A8D19" w14:textId="77777777" w:rsidTr="0062462F">
        <w:trPr>
          <w:trHeight w:val="272"/>
        </w:trPr>
        <w:tc>
          <w:tcPr>
            <w:tcW w:w="1980" w:type="dxa"/>
            <w:hideMark/>
          </w:tcPr>
          <w:p w14:paraId="3E8898D9"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Total vehicle travel by vehicle type Diesel</w:t>
            </w:r>
            <w:r>
              <w:rPr>
                <w:rFonts w:eastAsia="SimHei" w:cs="Arial"/>
                <w:bCs/>
                <w:color w:val="000000"/>
                <w:szCs w:val="20"/>
                <w:lang w:eastAsia="en-AU"/>
              </w:rPr>
              <w:t xml:space="preserve"> [Indicator T2]</w:t>
            </w:r>
          </w:p>
        </w:tc>
        <w:tc>
          <w:tcPr>
            <w:tcW w:w="1984" w:type="dxa"/>
            <w:hideMark/>
          </w:tcPr>
          <w:p w14:paraId="195C93D4"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Kilometres</w:t>
            </w:r>
          </w:p>
        </w:tc>
        <w:tc>
          <w:tcPr>
            <w:tcW w:w="1843" w:type="dxa"/>
            <w:noWrap/>
          </w:tcPr>
          <w:p w14:paraId="0F9FDB13"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0</w:t>
            </w:r>
          </w:p>
        </w:tc>
        <w:tc>
          <w:tcPr>
            <w:tcW w:w="1793" w:type="dxa"/>
            <w:noWrap/>
          </w:tcPr>
          <w:p w14:paraId="02A41E1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445</w:t>
            </w:r>
          </w:p>
        </w:tc>
        <w:tc>
          <w:tcPr>
            <w:tcW w:w="1579" w:type="dxa"/>
            <w:noWrap/>
          </w:tcPr>
          <w:p w14:paraId="6D22A541"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95</w:t>
            </w:r>
          </w:p>
        </w:tc>
      </w:tr>
      <w:tr w:rsidR="004F7061" w:rsidRPr="00DC7801" w14:paraId="000EAB31" w14:textId="77777777" w:rsidTr="0062462F">
        <w:trPr>
          <w:trHeight w:val="272"/>
        </w:trPr>
        <w:tc>
          <w:tcPr>
            <w:tcW w:w="1980" w:type="dxa"/>
            <w:hideMark/>
          </w:tcPr>
          <w:p w14:paraId="2C73EACC"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Total associated GHG emissions [Indicator T3]</w:t>
            </w:r>
          </w:p>
        </w:tc>
        <w:tc>
          <w:tcPr>
            <w:tcW w:w="1984" w:type="dxa"/>
            <w:hideMark/>
          </w:tcPr>
          <w:p w14:paraId="76037178"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Kilograms of CO</w:t>
            </w:r>
            <w:r w:rsidRPr="00DC7801">
              <w:rPr>
                <w:rFonts w:eastAsia="SimHei" w:cs="Arial"/>
                <w:bCs/>
                <w:color w:val="000000"/>
                <w:szCs w:val="20"/>
                <w:vertAlign w:val="subscript"/>
                <w:lang w:eastAsia="en-AU"/>
              </w:rPr>
              <w:t>2-</w:t>
            </w:r>
            <w:r w:rsidRPr="00DC7801">
              <w:rPr>
                <w:rFonts w:eastAsia="SimHei" w:cs="Arial"/>
                <w:bCs/>
                <w:color w:val="000000"/>
                <w:szCs w:val="20"/>
                <w:lang w:eastAsia="en-AU"/>
              </w:rPr>
              <w:t>e</w:t>
            </w:r>
          </w:p>
        </w:tc>
        <w:tc>
          <w:tcPr>
            <w:tcW w:w="1843" w:type="dxa"/>
            <w:noWrap/>
          </w:tcPr>
          <w:p w14:paraId="7D24EEDE"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3,232</w:t>
            </w:r>
          </w:p>
        </w:tc>
        <w:tc>
          <w:tcPr>
            <w:tcW w:w="1793" w:type="dxa"/>
            <w:noWrap/>
          </w:tcPr>
          <w:p w14:paraId="0CECB89B"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6,409</w:t>
            </w:r>
          </w:p>
        </w:tc>
        <w:tc>
          <w:tcPr>
            <w:tcW w:w="1579" w:type="dxa"/>
            <w:noWrap/>
          </w:tcPr>
          <w:p w14:paraId="7072D2D2"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14,307</w:t>
            </w:r>
          </w:p>
        </w:tc>
      </w:tr>
      <w:tr w:rsidR="004F7061" w:rsidRPr="00DC7801" w14:paraId="70CBFB7D" w14:textId="77777777" w:rsidTr="0062462F">
        <w:trPr>
          <w:trHeight w:val="272"/>
        </w:trPr>
        <w:tc>
          <w:tcPr>
            <w:tcW w:w="1980" w:type="dxa"/>
            <w:hideMark/>
          </w:tcPr>
          <w:p w14:paraId="4DCA35AA"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GHG emissions / 1,000 km travelled</w:t>
            </w:r>
          </w:p>
        </w:tc>
        <w:tc>
          <w:tcPr>
            <w:tcW w:w="1984" w:type="dxa"/>
            <w:hideMark/>
          </w:tcPr>
          <w:p w14:paraId="6179A3CF"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Kilograms of CO</w:t>
            </w:r>
            <w:r w:rsidRPr="00DC7801">
              <w:rPr>
                <w:rFonts w:eastAsia="SimHei" w:cs="Arial"/>
                <w:bCs/>
                <w:color w:val="000000"/>
                <w:szCs w:val="20"/>
                <w:vertAlign w:val="subscript"/>
                <w:lang w:eastAsia="en-AU"/>
              </w:rPr>
              <w:t>2-</w:t>
            </w:r>
            <w:r w:rsidRPr="00DC7801">
              <w:rPr>
                <w:rFonts w:eastAsia="SimHei" w:cs="Arial"/>
                <w:bCs/>
                <w:color w:val="000000"/>
                <w:szCs w:val="20"/>
                <w:lang w:eastAsia="en-AU"/>
              </w:rPr>
              <w:t>e</w:t>
            </w:r>
          </w:p>
        </w:tc>
        <w:tc>
          <w:tcPr>
            <w:tcW w:w="1843" w:type="dxa"/>
            <w:noWrap/>
          </w:tcPr>
          <w:p w14:paraId="128E16A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173</w:t>
            </w:r>
          </w:p>
        </w:tc>
        <w:tc>
          <w:tcPr>
            <w:tcW w:w="1793" w:type="dxa"/>
            <w:noWrap/>
          </w:tcPr>
          <w:p w14:paraId="70074E4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252</w:t>
            </w:r>
          </w:p>
        </w:tc>
        <w:tc>
          <w:tcPr>
            <w:tcW w:w="1579" w:type="dxa"/>
            <w:noWrap/>
          </w:tcPr>
          <w:p w14:paraId="63528BD9"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319</w:t>
            </w:r>
          </w:p>
        </w:tc>
      </w:tr>
      <w:tr w:rsidR="004F7061" w:rsidRPr="00DC7801" w14:paraId="68762B84" w14:textId="77777777" w:rsidTr="0062462F">
        <w:trPr>
          <w:trHeight w:val="272"/>
        </w:trPr>
        <w:tc>
          <w:tcPr>
            <w:tcW w:w="1980" w:type="dxa"/>
            <w:hideMark/>
          </w:tcPr>
          <w:p w14:paraId="5C7BEDAF"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Staff travel associated with agency operations per THC</w:t>
            </w:r>
          </w:p>
        </w:tc>
        <w:tc>
          <w:tcPr>
            <w:tcW w:w="1984" w:type="dxa"/>
            <w:hideMark/>
          </w:tcPr>
          <w:p w14:paraId="195A3568"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Kilometres per THC</w:t>
            </w:r>
          </w:p>
        </w:tc>
        <w:tc>
          <w:tcPr>
            <w:tcW w:w="1843" w:type="dxa"/>
            <w:noWrap/>
          </w:tcPr>
          <w:p w14:paraId="34BFA0A9"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90</w:t>
            </w:r>
          </w:p>
        </w:tc>
        <w:tc>
          <w:tcPr>
            <w:tcW w:w="1793" w:type="dxa"/>
            <w:noWrap/>
          </w:tcPr>
          <w:p w14:paraId="368350FB"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103</w:t>
            </w:r>
          </w:p>
        </w:tc>
        <w:tc>
          <w:tcPr>
            <w:tcW w:w="1579" w:type="dxa"/>
            <w:noWrap/>
          </w:tcPr>
          <w:p w14:paraId="66C6820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200</w:t>
            </w:r>
          </w:p>
        </w:tc>
      </w:tr>
      <w:tr w:rsidR="004F7061" w:rsidRPr="00DC7801" w14:paraId="5FC9D90C" w14:textId="77777777" w:rsidTr="0062462F">
        <w:trPr>
          <w:trHeight w:val="272"/>
        </w:trPr>
        <w:tc>
          <w:tcPr>
            <w:tcW w:w="1980" w:type="dxa"/>
            <w:hideMark/>
          </w:tcPr>
          <w:p w14:paraId="187047EA"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Staff travel associated with agency operations per FTE</w:t>
            </w:r>
          </w:p>
        </w:tc>
        <w:tc>
          <w:tcPr>
            <w:tcW w:w="1984" w:type="dxa"/>
            <w:hideMark/>
          </w:tcPr>
          <w:p w14:paraId="26839122"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Kilometres per FTE</w:t>
            </w:r>
          </w:p>
        </w:tc>
        <w:tc>
          <w:tcPr>
            <w:tcW w:w="1843" w:type="dxa"/>
            <w:noWrap/>
          </w:tcPr>
          <w:p w14:paraId="206396E0"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95</w:t>
            </w:r>
          </w:p>
        </w:tc>
        <w:tc>
          <w:tcPr>
            <w:tcW w:w="1793" w:type="dxa"/>
            <w:noWrap/>
          </w:tcPr>
          <w:p w14:paraId="279FDAD4"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111</w:t>
            </w:r>
          </w:p>
        </w:tc>
        <w:tc>
          <w:tcPr>
            <w:tcW w:w="1579" w:type="dxa"/>
            <w:noWrap/>
          </w:tcPr>
          <w:p w14:paraId="3A9ACD7C"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214</w:t>
            </w:r>
          </w:p>
        </w:tc>
      </w:tr>
      <w:tr w:rsidR="004F7061" w:rsidRPr="00DC7801" w14:paraId="3DD57ED5" w14:textId="77777777" w:rsidTr="0062462F">
        <w:trPr>
          <w:trHeight w:val="272"/>
        </w:trPr>
        <w:tc>
          <w:tcPr>
            <w:tcW w:w="1980" w:type="dxa"/>
            <w:hideMark/>
          </w:tcPr>
          <w:p w14:paraId="5D989ABE"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Total air travel associated with agency operations [Indicator T4]</w:t>
            </w:r>
          </w:p>
        </w:tc>
        <w:tc>
          <w:tcPr>
            <w:tcW w:w="1984" w:type="dxa"/>
            <w:hideMark/>
          </w:tcPr>
          <w:p w14:paraId="42754EC1"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Kilometres</w:t>
            </w:r>
          </w:p>
        </w:tc>
        <w:tc>
          <w:tcPr>
            <w:tcW w:w="1843" w:type="dxa"/>
            <w:noWrap/>
          </w:tcPr>
          <w:p w14:paraId="295B12E3"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8,407</w:t>
            </w:r>
          </w:p>
        </w:tc>
        <w:tc>
          <w:tcPr>
            <w:tcW w:w="1793" w:type="dxa"/>
            <w:noWrap/>
          </w:tcPr>
          <w:p w14:paraId="25F060F6"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79,535</w:t>
            </w:r>
          </w:p>
        </w:tc>
        <w:tc>
          <w:tcPr>
            <w:tcW w:w="1579" w:type="dxa"/>
            <w:noWrap/>
          </w:tcPr>
          <w:p w14:paraId="11C496AF"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53,405</w:t>
            </w:r>
          </w:p>
        </w:tc>
      </w:tr>
      <w:tr w:rsidR="004F7061" w:rsidRPr="00DC7801" w14:paraId="03CC3572" w14:textId="77777777" w:rsidTr="0062462F">
        <w:trPr>
          <w:trHeight w:val="884"/>
        </w:trPr>
        <w:tc>
          <w:tcPr>
            <w:tcW w:w="1980" w:type="dxa"/>
            <w:hideMark/>
          </w:tcPr>
          <w:p w14:paraId="426F8141"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 xml:space="preserve">Percentage of employees using sustainable transport (public transport, cycling or walking) to get to and from work by locality type </w:t>
            </w:r>
          </w:p>
        </w:tc>
        <w:tc>
          <w:tcPr>
            <w:tcW w:w="1984" w:type="dxa"/>
            <w:hideMark/>
          </w:tcPr>
          <w:p w14:paraId="4ABE6637" w14:textId="77777777" w:rsidR="004F7061" w:rsidRPr="00DC7801" w:rsidRDefault="004F7061" w:rsidP="0062462F">
            <w:pPr>
              <w:spacing w:before="20" w:after="30" w:line="220" w:lineRule="atLeast"/>
              <w:rPr>
                <w:rFonts w:eastAsia="SimHei" w:cs="Arial"/>
                <w:bCs/>
                <w:color w:val="000000"/>
                <w:szCs w:val="20"/>
                <w:lang w:eastAsia="en-AU"/>
              </w:rPr>
            </w:pPr>
            <w:r w:rsidRPr="00DC7801">
              <w:rPr>
                <w:rFonts w:eastAsia="SimHei" w:cs="Arial"/>
                <w:bCs/>
                <w:color w:val="000000"/>
                <w:szCs w:val="20"/>
                <w:lang w:eastAsia="en-AU"/>
              </w:rPr>
              <w:t>Percentage</w:t>
            </w:r>
          </w:p>
        </w:tc>
        <w:tc>
          <w:tcPr>
            <w:tcW w:w="1843" w:type="dxa"/>
          </w:tcPr>
          <w:p w14:paraId="05643063"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Not measured</w:t>
            </w:r>
          </w:p>
        </w:tc>
        <w:tc>
          <w:tcPr>
            <w:tcW w:w="1793" w:type="dxa"/>
          </w:tcPr>
          <w:p w14:paraId="6FA108B9"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61</w:t>
            </w:r>
          </w:p>
        </w:tc>
        <w:tc>
          <w:tcPr>
            <w:tcW w:w="1579" w:type="dxa"/>
          </w:tcPr>
          <w:p w14:paraId="0FD89B58" w14:textId="77777777" w:rsidR="004F7061" w:rsidRPr="005A5946" w:rsidRDefault="004F7061" w:rsidP="0062462F">
            <w:pPr>
              <w:widowControl w:val="0"/>
              <w:spacing w:before="20" w:after="20" w:line="260" w:lineRule="atLeast"/>
              <w:jc w:val="right"/>
              <w:rPr>
                <w:rFonts w:eastAsia="SimHei" w:cs="Arial"/>
                <w:color w:val="auto"/>
                <w:szCs w:val="20"/>
                <w:lang w:eastAsia="en-AU"/>
              </w:rPr>
            </w:pPr>
            <w:r w:rsidRPr="00E258FC">
              <w:rPr>
                <w:rFonts w:eastAsia="SimHei" w:cs="Arial"/>
                <w:szCs w:val="20"/>
                <w:lang w:eastAsia="en-AU"/>
              </w:rPr>
              <w:t>77</w:t>
            </w:r>
          </w:p>
        </w:tc>
      </w:tr>
    </w:tbl>
    <w:p w14:paraId="4C2B0BEA" w14:textId="77777777" w:rsidR="004F7061" w:rsidRDefault="004F7061" w:rsidP="004F7061">
      <w:pPr>
        <w:spacing w:after="120" w:line="259" w:lineRule="auto"/>
        <w:rPr>
          <w:rFonts w:eastAsia="SimHei" w:cs="Arial"/>
          <w:szCs w:val="20"/>
          <w:lang w:eastAsia="en-AU"/>
        </w:rPr>
      </w:pPr>
    </w:p>
    <w:p w14:paraId="2A74DE03" w14:textId="77777777" w:rsidR="004F7061" w:rsidRPr="00DC7801" w:rsidRDefault="004F7061" w:rsidP="004F7061">
      <w:pPr>
        <w:keepNext/>
        <w:keepLines/>
        <w:spacing w:before="300" w:after="20"/>
        <w:contextualSpacing/>
        <w:outlineLvl w:val="1"/>
        <w:rPr>
          <w:rFonts w:eastAsia="SimHei" w:cs="Arial"/>
          <w:b/>
          <w:color w:val="595959"/>
          <w:sz w:val="32"/>
          <w:szCs w:val="26"/>
        </w:rPr>
      </w:pPr>
      <w:r>
        <w:rPr>
          <w:rFonts w:eastAsia="SimHei" w:cs="Arial"/>
          <w:b/>
          <w:color w:val="595959"/>
          <w:sz w:val="32"/>
          <w:szCs w:val="26"/>
        </w:rPr>
        <w:t>Sustainable buildings</w:t>
      </w:r>
    </w:p>
    <w:p w14:paraId="6075CFF0" w14:textId="77777777" w:rsidR="004F7061" w:rsidRDefault="004F7061" w:rsidP="004F7061">
      <w:pPr>
        <w:spacing w:after="120" w:line="259" w:lineRule="auto"/>
        <w:rPr>
          <w:rFonts w:eastAsia="SimHei" w:cs="Arial"/>
          <w:szCs w:val="20"/>
          <w:lang w:eastAsia="en-AU"/>
        </w:rPr>
      </w:pPr>
      <w:r>
        <w:rPr>
          <w:rFonts w:eastAsia="SimHei" w:cs="Arial"/>
          <w:szCs w:val="20"/>
          <w:lang w:eastAsia="en-AU"/>
        </w:rPr>
        <w:t>[Indicator B1] Nil disclosure as SV does not own any government buildings.</w:t>
      </w:r>
    </w:p>
    <w:p w14:paraId="22B70288" w14:textId="77777777" w:rsidR="004F7061" w:rsidRDefault="004F7061" w:rsidP="004F7061">
      <w:pPr>
        <w:spacing w:after="120" w:line="259" w:lineRule="auto"/>
        <w:rPr>
          <w:rFonts w:eastAsia="SimHei" w:cs="Arial"/>
          <w:szCs w:val="20"/>
          <w:lang w:eastAsia="en-AU"/>
        </w:rPr>
      </w:pPr>
      <w:r>
        <w:rPr>
          <w:rFonts w:eastAsia="SimHei" w:cs="Arial"/>
          <w:szCs w:val="20"/>
          <w:lang w:eastAsia="en-AU"/>
        </w:rPr>
        <w:t>[Indicator B2] In 2023-24, there were no new entity leases in this reporting period.</w:t>
      </w:r>
    </w:p>
    <w:p w14:paraId="61E8D4CD" w14:textId="77777777" w:rsidR="004F7061" w:rsidRPr="00DC7801" w:rsidRDefault="004F7061" w:rsidP="004F7061">
      <w:pPr>
        <w:spacing w:after="120" w:line="259" w:lineRule="auto"/>
        <w:rPr>
          <w:rFonts w:eastAsia="SimHei" w:cs="Arial"/>
          <w:szCs w:val="20"/>
          <w:lang w:eastAsia="en-AU"/>
        </w:rPr>
      </w:pPr>
      <w:r>
        <w:rPr>
          <w:rFonts w:eastAsia="SimHei" w:cs="Arial"/>
          <w:szCs w:val="20"/>
          <w:lang w:eastAsia="en-AU"/>
        </w:rPr>
        <w:t>[Indicator B3] As of 2023-24, t</w:t>
      </w:r>
      <w:r w:rsidRPr="00DC7801">
        <w:rPr>
          <w:rFonts w:eastAsia="SimHei" w:cs="Arial"/>
          <w:szCs w:val="20"/>
          <w:lang w:eastAsia="en-AU"/>
        </w:rPr>
        <w:t>he NABERS ratings for 321 Exhibition Street are:</w:t>
      </w:r>
    </w:p>
    <w:p w14:paraId="3C389B8F" w14:textId="77777777" w:rsidR="004F7061" w:rsidRPr="005A5946" w:rsidRDefault="004F7061" w:rsidP="00196A67">
      <w:pPr>
        <w:pStyle w:val="ListParagraph"/>
        <w:numPr>
          <w:ilvl w:val="0"/>
          <w:numId w:val="31"/>
        </w:numPr>
        <w:spacing w:after="120" w:line="259" w:lineRule="auto"/>
        <w:rPr>
          <w:rFonts w:eastAsia="SimHei" w:cs="Arial"/>
          <w:szCs w:val="20"/>
          <w:lang w:eastAsia="en-AU"/>
        </w:rPr>
      </w:pPr>
      <w:r w:rsidRPr="005A5946">
        <w:rPr>
          <w:rFonts w:eastAsia="SimHei" w:cs="Arial"/>
          <w:szCs w:val="20"/>
          <w:lang w:eastAsia="en-AU"/>
        </w:rPr>
        <w:t>Energy 6 Star</w:t>
      </w:r>
    </w:p>
    <w:p w14:paraId="62B483AE" w14:textId="77777777" w:rsidR="004F7061" w:rsidRDefault="004F7061" w:rsidP="00196A67">
      <w:pPr>
        <w:pStyle w:val="ListParagraph"/>
        <w:numPr>
          <w:ilvl w:val="0"/>
          <w:numId w:val="31"/>
        </w:numPr>
        <w:spacing w:after="120" w:line="259" w:lineRule="auto"/>
        <w:rPr>
          <w:rFonts w:eastAsia="SimHei" w:cs="Arial"/>
          <w:szCs w:val="20"/>
          <w:lang w:eastAsia="en-AU"/>
        </w:rPr>
      </w:pPr>
      <w:r w:rsidRPr="005A5946">
        <w:rPr>
          <w:rFonts w:eastAsia="SimHei" w:cs="Arial"/>
          <w:szCs w:val="20"/>
          <w:lang w:eastAsia="en-AU"/>
        </w:rPr>
        <w:t>Water 6 Star</w:t>
      </w:r>
    </w:p>
    <w:p w14:paraId="422C9608" w14:textId="77777777" w:rsidR="004F7061" w:rsidRPr="005A5946" w:rsidRDefault="004F7061" w:rsidP="00196A67">
      <w:pPr>
        <w:pStyle w:val="ListParagraph"/>
        <w:numPr>
          <w:ilvl w:val="0"/>
          <w:numId w:val="31"/>
        </w:numPr>
        <w:spacing w:after="120" w:line="259" w:lineRule="auto"/>
        <w:rPr>
          <w:rFonts w:eastAsia="SimHei" w:cs="Arial"/>
          <w:szCs w:val="20"/>
          <w:lang w:eastAsia="en-AU"/>
        </w:rPr>
      </w:pPr>
      <w:r>
        <w:rPr>
          <w:rFonts w:eastAsia="SimHei" w:cs="Arial"/>
          <w:szCs w:val="20"/>
          <w:lang w:eastAsia="en-AU"/>
        </w:rPr>
        <w:t>Indoor Environment 5 Star</w:t>
      </w:r>
    </w:p>
    <w:p w14:paraId="4384995B" w14:textId="77777777" w:rsidR="004F7061" w:rsidRDefault="004F7061" w:rsidP="004F7061">
      <w:pPr>
        <w:spacing w:after="120" w:line="259" w:lineRule="auto"/>
        <w:rPr>
          <w:rFonts w:eastAsia="SimHei" w:cs="Arial"/>
          <w:szCs w:val="20"/>
          <w:lang w:eastAsia="en-AU"/>
        </w:rPr>
      </w:pPr>
      <w:r>
        <w:rPr>
          <w:rFonts w:eastAsia="SimHei" w:cs="Arial"/>
          <w:szCs w:val="20"/>
          <w:lang w:eastAsia="en-AU"/>
        </w:rPr>
        <w:t>[Indicator B4] Nil disclosure as SV does not own any government buildings and did not engage in any upgrades with a value over $1million.</w:t>
      </w:r>
    </w:p>
    <w:p w14:paraId="50FC19D7" w14:textId="77777777" w:rsidR="004F7061" w:rsidRPr="005A5946" w:rsidRDefault="004F7061" w:rsidP="004F7061">
      <w:pPr>
        <w:spacing w:after="120" w:line="259" w:lineRule="auto"/>
        <w:rPr>
          <w:rFonts w:eastAsia="SimHei" w:cs="Arial"/>
          <w:color w:val="auto"/>
          <w:szCs w:val="20"/>
          <w:lang w:eastAsia="en-AU"/>
        </w:rPr>
      </w:pPr>
      <w:r>
        <w:rPr>
          <w:rFonts w:eastAsia="SimHei" w:cs="Arial"/>
          <w:szCs w:val="20"/>
          <w:lang w:eastAsia="en-AU"/>
        </w:rPr>
        <w:t>[Indicator B5] Nil disclosure as SV does not own any government buildings.</w:t>
      </w:r>
    </w:p>
    <w:p w14:paraId="72782884" w14:textId="77777777" w:rsidR="004F7061" w:rsidRPr="00DC7801" w:rsidRDefault="004F7061" w:rsidP="004F7061">
      <w:pPr>
        <w:spacing w:after="120" w:line="259" w:lineRule="auto"/>
        <w:rPr>
          <w:rFonts w:eastAsia="SimHei" w:cs="Arial"/>
          <w:szCs w:val="20"/>
          <w:lang w:eastAsia="en-AU"/>
        </w:rPr>
      </w:pPr>
      <w:r w:rsidRPr="00DC7801">
        <w:rPr>
          <w:rFonts w:eastAsia="SimHei" w:cs="Arial"/>
          <w:szCs w:val="20"/>
          <w:lang w:eastAsia="en-AU"/>
        </w:rPr>
        <w:t>Notes:</w:t>
      </w:r>
    </w:p>
    <w:p w14:paraId="06B740E0"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SV is not the sole tenant of the building. Base building gas and electricity apportioned consumption is calculated from net lettable area. With SV occupying one floor at 50 Lonsdale, the apportioned value is 2.9% and two floors at 321 Exhibition Street, the apportioned value is 10.12%.</w:t>
      </w:r>
    </w:p>
    <w:p w14:paraId="3F407AA9"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THC = Average Total Head Count for FY 2021–22 which includes contractors employed at SV. Our contractors work on-site, using many of the same resources as our employees. Temporary agency employees are not included in THC.</w:t>
      </w:r>
    </w:p>
    <w:p w14:paraId="27AE8275"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FTE = Full-Time Equivalent staff averaged for the FY 2021–22. Temporary agency employees are not included in FTE.</w:t>
      </w:r>
    </w:p>
    <w:p w14:paraId="6CCF8CE8"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Waste figures from one-week measurements taken 2021 during a "normal" work week at 50 Lonsdale and 321 Exhibition Street. "New Normal" for 2020–21 is &lt;30% workforce at office any given week, meaning a significant reduction in waste compared to 2019–20.</w:t>
      </w:r>
    </w:p>
    <w:p w14:paraId="715D8847"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Total water use figure calculated as an apportioned value (2.9%) based on Net Lettable Area at 50 Lonsdale and (10.12%) at 321 Exhibition Street occupied by SV</w:t>
      </w:r>
    </w:p>
    <w:p w14:paraId="2C42107E"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 xml:space="preserve">SV had on-site water meters at Level 28, 50 Lonsdale Street that measure potable water use within the tenancy. </w:t>
      </w:r>
      <w:proofErr w:type="gramStart"/>
      <w:r w:rsidRPr="00DC7801">
        <w:rPr>
          <w:rFonts w:eastAsia="SimHei" w:cs="Arial"/>
          <w:szCs w:val="20"/>
          <w:lang w:eastAsia="en-AU"/>
        </w:rPr>
        <w:t>For the purpose of</w:t>
      </w:r>
      <w:proofErr w:type="gramEnd"/>
      <w:r w:rsidRPr="00DC7801">
        <w:rPr>
          <w:rFonts w:eastAsia="SimHei" w:cs="Arial"/>
          <w:szCs w:val="20"/>
          <w:lang w:eastAsia="en-AU"/>
        </w:rPr>
        <w:t xml:space="preserve"> calculating GHG emissions from water, these figures are not used in water reporting because they exclude SV’s apportioned share of base building water use. There are no on-site water meters on Level 12 and 13, 321 Exhibition Street so water usage can only be calculated based on apportioned rates.</w:t>
      </w:r>
    </w:p>
    <w:p w14:paraId="7D7F7F9F" w14:textId="77777777" w:rsidR="004F7061" w:rsidRPr="005A5946" w:rsidRDefault="004F7061" w:rsidP="004F7061">
      <w:pPr>
        <w:numPr>
          <w:ilvl w:val="0"/>
          <w:numId w:val="29"/>
        </w:numPr>
        <w:spacing w:after="120" w:line="259" w:lineRule="auto"/>
        <w:rPr>
          <w:rFonts w:eastAsia="SimHei" w:cs="Arial"/>
          <w:szCs w:val="20"/>
          <w:lang w:eastAsia="en-AU"/>
        </w:rPr>
      </w:pPr>
      <w:r w:rsidRPr="005A5946">
        <w:rPr>
          <w:rFonts w:eastAsia="SimHei" w:cs="Arial"/>
          <w:szCs w:val="20"/>
          <w:lang w:eastAsia="en-AU"/>
        </w:rPr>
        <w:t>[Indicator T2] As of June 2014, the vehicle fleet was entirely made up of Hybrid Electric Vehicle Camrys which also use unleaded fuel. Five fleet vehicles were disposed of in June 2022. The last fleet vehicle was disposed of in January 2023.</w:t>
      </w:r>
    </w:p>
    <w:p w14:paraId="1F4FEC67"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Value incorporates staff driving personal vehicles in some instances where fleet vehicles are not accessible.</w:t>
      </w:r>
    </w:p>
    <w:p w14:paraId="582CE5C9"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More sustainable modes of commuting include cycling, walking and working from home.</w:t>
      </w:r>
    </w:p>
    <w:p w14:paraId="4D783CF7" w14:textId="77777777" w:rsidR="004F7061" w:rsidRPr="00DC7801" w:rsidRDefault="004F7061" w:rsidP="004F7061">
      <w:pPr>
        <w:numPr>
          <w:ilvl w:val="0"/>
          <w:numId w:val="29"/>
        </w:numPr>
        <w:spacing w:after="120" w:line="259" w:lineRule="auto"/>
        <w:rPr>
          <w:rFonts w:eastAsia="SimHei" w:cs="Arial"/>
          <w:szCs w:val="20"/>
          <w:lang w:eastAsia="en-AU"/>
        </w:rPr>
      </w:pPr>
      <w:r w:rsidRPr="00DC7801">
        <w:rPr>
          <w:rFonts w:eastAsia="SimHei" w:cs="Arial"/>
          <w:szCs w:val="20"/>
          <w:lang w:eastAsia="en-AU"/>
        </w:rPr>
        <w:t>For FY2021–22, SV has calculated emissions on the basis that on average, emissions from home working are broadly equivalent to working in the office.</w:t>
      </w:r>
    </w:p>
    <w:p w14:paraId="18C7AD9E" w14:textId="77777777" w:rsidR="004F7061" w:rsidRPr="00DC7801" w:rsidRDefault="004F7061" w:rsidP="004F7061">
      <w:pPr>
        <w:spacing w:after="120" w:line="259" w:lineRule="auto"/>
        <w:rPr>
          <w:rFonts w:eastAsia="SimHei" w:cs="Arial"/>
          <w:szCs w:val="20"/>
          <w:lang w:eastAsia="en-AU"/>
        </w:rPr>
      </w:pPr>
      <w:r w:rsidRPr="00DC7801">
        <w:rPr>
          <w:rFonts w:eastAsia="SimHei" w:cs="Arial"/>
          <w:szCs w:val="20"/>
          <w:lang w:eastAsia="en-AU"/>
        </w:rPr>
        <w:t>Additional notes:</w:t>
      </w:r>
    </w:p>
    <w:p w14:paraId="3F5C50BA" w14:textId="77777777" w:rsidR="004F7061" w:rsidRPr="00DC7801" w:rsidRDefault="004F7061" w:rsidP="004F7061">
      <w:pPr>
        <w:numPr>
          <w:ilvl w:val="0"/>
          <w:numId w:val="20"/>
        </w:numPr>
        <w:contextualSpacing/>
        <w:rPr>
          <w:rFonts w:eastAsia="SimHei" w:cs="Arial"/>
          <w:szCs w:val="20"/>
          <w:lang w:eastAsia="en-AU"/>
        </w:rPr>
      </w:pPr>
      <w:r w:rsidRPr="00DC7801">
        <w:rPr>
          <w:rFonts w:eastAsia="Arial" w:cs="Arial"/>
          <w:color w:val="000000"/>
        </w:rPr>
        <w:t xml:space="preserve">SV </w:t>
      </w:r>
      <w:r w:rsidRPr="00DC7801">
        <w:rPr>
          <w:rFonts w:eastAsia="SimHei" w:cs="Arial"/>
          <w:szCs w:val="20"/>
          <w:lang w:eastAsia="en-AU"/>
        </w:rPr>
        <w:t>exited Level 28, 50 Lonsdale (50L) on 22 October 2021 and relocated to Level 12 and 13, 321 Exhibition Street (321E) on 23 October 2021. Office-based operational emissions calculations reflect these location changes and changes in tenancy size. SV previously occupied 1951m2 in 50 Lonsdale Steet and relocated to 321 Exhibition Street, occupying a larger 3039m2 tenancy. This materially impacts the reported GHG emissions data collected and reported for FY2022/23 and will affect comparison with prior baseline results. Given this change, SV has advised that the report for FY2022/23 will constitute a new baseline result for future SV GHG emissions reporting comparisons.</w:t>
      </w:r>
    </w:p>
    <w:p w14:paraId="5391D09A" w14:textId="77777777" w:rsidR="004F7061" w:rsidRPr="00DC7801" w:rsidRDefault="004F7061" w:rsidP="004F7061">
      <w:pPr>
        <w:numPr>
          <w:ilvl w:val="0"/>
          <w:numId w:val="20"/>
        </w:numPr>
        <w:contextualSpacing/>
        <w:rPr>
          <w:rFonts w:eastAsia="SimHei" w:cs="Arial"/>
          <w:szCs w:val="20"/>
          <w:lang w:eastAsia="en-AU"/>
        </w:rPr>
      </w:pPr>
      <w:r w:rsidRPr="00DC7801">
        <w:rPr>
          <w:rFonts w:eastAsia="Arial" w:cs="Arial"/>
          <w:color w:val="000000"/>
        </w:rPr>
        <w:t>For FY 2021–22, no waste data and transport survey data has been included in calculating office-based environmental emissions due to lower office occupancy resulting from introduction of hybrid ways of working and lockdowns.</w:t>
      </w:r>
    </w:p>
    <w:p w14:paraId="1BFC8667"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 xml:space="preserve">There were zero guests/clients to the office from July 2021 to 25 February 2022. On 25 February 2022, changes to pandemic orders and public health recommendations requesting staff to work from home if required in Victoria came into effect. During FY 2021–22, SV staff had on average three clients / guest visitors per month for SV meetings, </w:t>
      </w:r>
      <w:proofErr w:type="gramStart"/>
      <w:r w:rsidRPr="00DC7801">
        <w:rPr>
          <w:rFonts w:eastAsia="Arial" w:cs="Arial"/>
          <w:color w:val="000000"/>
        </w:rPr>
        <w:t>similar to</w:t>
      </w:r>
      <w:proofErr w:type="gramEnd"/>
      <w:r w:rsidRPr="00DC7801">
        <w:rPr>
          <w:rFonts w:eastAsia="Arial" w:cs="Arial"/>
          <w:color w:val="000000"/>
        </w:rPr>
        <w:t xml:space="preserve"> 2020</w:t>
      </w:r>
      <w:r w:rsidRPr="00DC7801">
        <w:rPr>
          <w:rFonts w:eastAsia="Arial" w:cs="Arial"/>
          <w:color w:val="000000"/>
        </w:rPr>
        <w:softHyphen/>
        <w:t>–21, due to the COVID-19 pandemic, lockdowns and staff working from home. SV Space Hire had an average of 140 guests per month.</w:t>
      </w:r>
    </w:p>
    <w:p w14:paraId="41BCEAD2"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 xml:space="preserve">The treatment of </w:t>
      </w:r>
      <w:proofErr w:type="spellStart"/>
      <w:r w:rsidRPr="00DC7801">
        <w:rPr>
          <w:rFonts w:eastAsia="Arial" w:cs="Arial"/>
          <w:color w:val="000000"/>
        </w:rPr>
        <w:t>GreenPower</w:t>
      </w:r>
      <w:proofErr w:type="spellEnd"/>
      <w:r w:rsidRPr="00DC7801">
        <w:rPr>
          <w:rFonts w:eastAsia="Arial" w:cs="Arial"/>
          <w:color w:val="000000"/>
        </w:rPr>
        <w:t xml:space="preserve"> changed in FY 2010–11, with </w:t>
      </w:r>
      <w:proofErr w:type="spellStart"/>
      <w:r w:rsidRPr="00DC7801">
        <w:rPr>
          <w:rFonts w:eastAsia="Arial" w:cs="Arial"/>
          <w:color w:val="000000"/>
        </w:rPr>
        <w:t>GreenPower</w:t>
      </w:r>
      <w:proofErr w:type="spellEnd"/>
      <w:r w:rsidRPr="00DC7801">
        <w:rPr>
          <w:rFonts w:eastAsia="Arial" w:cs="Arial"/>
          <w:color w:val="000000"/>
        </w:rPr>
        <w:t xml:space="preserve"> purchasing no longer considered abatement for Scope 3 emissions. While SV purchased 100% </w:t>
      </w:r>
      <w:proofErr w:type="spellStart"/>
      <w:r w:rsidRPr="00DC7801">
        <w:rPr>
          <w:rFonts w:eastAsia="Arial" w:cs="Arial"/>
          <w:color w:val="000000"/>
        </w:rPr>
        <w:t>GreenPower</w:t>
      </w:r>
      <w:proofErr w:type="spellEnd"/>
      <w:r w:rsidRPr="00DC7801">
        <w:rPr>
          <w:rFonts w:eastAsia="Arial" w:cs="Arial"/>
          <w:color w:val="000000"/>
        </w:rPr>
        <w:t xml:space="preserve"> till 22 October 2021 until it relocated to its new premises with </w:t>
      </w:r>
      <w:proofErr w:type="spellStart"/>
      <w:r w:rsidRPr="00DC7801">
        <w:rPr>
          <w:rFonts w:eastAsia="Arial" w:cs="Arial"/>
          <w:color w:val="000000"/>
        </w:rPr>
        <w:t>Trigen</w:t>
      </w:r>
      <w:proofErr w:type="spellEnd"/>
      <w:r w:rsidRPr="00DC7801">
        <w:rPr>
          <w:rFonts w:eastAsia="Arial" w:cs="Arial"/>
          <w:color w:val="000000"/>
        </w:rPr>
        <w:t xml:space="preserve"> capability, scope 3 associated emissions has been offset through the purchase of an accredited carbon offset product.</w:t>
      </w:r>
    </w:p>
    <w:p w14:paraId="0789461F"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In EMS language ‘greenhouse gas emissions’ is not an Environmental Aspect but rather an Environmental Impact. For convenience it has been left in the Environmental Aspect column for easier illustration.</w:t>
      </w:r>
    </w:p>
    <w:p w14:paraId="3853BFD8"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Greenhouse Gas emission factors based on October 2020 National Greenhouse Accounts factors and EPA Victoria Greenhouse Gas Inventory Management Plan. Emissions from air travel are calculated using EPA Victoria Greenhouse Inventory management Plan, which references DEFRA methodology. Other factors are calculated using Australian Tax Office, Australian Bureau of Statistics, RACV and V-Line data.</w:t>
      </w:r>
    </w:p>
    <w:p w14:paraId="7FF39E3A"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Emissions from publications are calculated using a methodology developed by The Gaia Partnership using the CO2 counter technology.</w:t>
      </w:r>
    </w:p>
    <w:p w14:paraId="400A1254"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 xml:space="preserve">The operational aspects included in the scope of activities for purchasing carbon offsets </w:t>
      </w:r>
      <w:proofErr w:type="gramStart"/>
      <w:r w:rsidRPr="00DC7801">
        <w:rPr>
          <w:rFonts w:eastAsia="Arial" w:cs="Arial"/>
          <w:color w:val="000000"/>
        </w:rPr>
        <w:t>are:</w:t>
      </w:r>
      <w:proofErr w:type="gramEnd"/>
      <w:r w:rsidRPr="00DC7801">
        <w:rPr>
          <w:rFonts w:eastAsia="Arial" w:cs="Arial"/>
          <w:color w:val="000000"/>
        </w:rPr>
        <w:t xml:space="preserve"> apportioned base building electricity and gas, OTLP, kitchen and vehicle refrigerants, waste to landfill, air travel, public transport, taxi travel, fleet vehicles for work based activities, paper and publications consumption, water consumption and staff commuting. Office, light and power are included even though </w:t>
      </w:r>
      <w:proofErr w:type="spellStart"/>
      <w:r w:rsidRPr="00DC7801">
        <w:rPr>
          <w:rFonts w:eastAsia="Arial" w:cs="Arial"/>
          <w:color w:val="000000"/>
        </w:rPr>
        <w:t>GreenPower</w:t>
      </w:r>
      <w:proofErr w:type="spellEnd"/>
      <w:r w:rsidRPr="00DC7801">
        <w:rPr>
          <w:rFonts w:eastAsia="Arial" w:cs="Arial"/>
          <w:color w:val="000000"/>
        </w:rPr>
        <w:t xml:space="preserve"> is purchased to illustrate the organisation's total GHG emissions associated with the scope of operational activities. A 10% buffer in the purchase of carbon offsets has been incorporated to cover any inaccuracies in calculating the components included within SVs Greenhouse inventory boundary.</w:t>
      </w:r>
    </w:p>
    <w:p w14:paraId="5D6DF2B6"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Fuel Economy of a small medium vehicle instead of hybrid fuel economy.</w:t>
      </w:r>
    </w:p>
    <w:p w14:paraId="5E0513EC"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For the apportioned calculations for 2021–22 and 2022–23 electricity, water and gas data were unavailable for quarter four. As such, a daily average was calculated and extrapolated based on the previous three-quarters of 2021–22 and 2022–23 respectively.</w:t>
      </w:r>
    </w:p>
    <w:p w14:paraId="03DA1C7B"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Methodology around calculation of vehicle emissions prior to FY 2022–23 was duplicated in the various GHG Scopes leading to an overstatement of emissions associated with vehicle usage. As a result, the overall GHG emissions reported this year suggest a decrease when compared to 2021/22 within some categories. This should be taken into consideration when comparing or benchmarking against previous years emissions, as a decrease in the GHG emissions reported might not be directly attributable to a decrease in actual GHG emissions produced.</w:t>
      </w:r>
    </w:p>
    <w:p w14:paraId="618342B2" w14:textId="77777777" w:rsidR="004F7061" w:rsidRPr="00DC7801" w:rsidRDefault="004F7061" w:rsidP="004F7061">
      <w:pPr>
        <w:numPr>
          <w:ilvl w:val="0"/>
          <w:numId w:val="20"/>
        </w:numPr>
        <w:contextualSpacing/>
        <w:rPr>
          <w:rFonts w:eastAsia="Arial" w:cs="Arial"/>
          <w:color w:val="000000"/>
        </w:rPr>
      </w:pPr>
      <w:r w:rsidRPr="00DC7801">
        <w:rPr>
          <w:rFonts w:eastAsia="Arial" w:cs="Arial"/>
          <w:color w:val="000000"/>
        </w:rPr>
        <w:t>Apportioned electricity and gas for base building is reflected as Scope 3 emissions.</w:t>
      </w:r>
    </w:p>
    <w:p w14:paraId="03A2805B" w14:textId="77777777" w:rsidR="004F7061" w:rsidRDefault="004F7061" w:rsidP="004F7061">
      <w:pPr>
        <w:numPr>
          <w:ilvl w:val="0"/>
          <w:numId w:val="20"/>
        </w:numPr>
        <w:contextualSpacing/>
        <w:rPr>
          <w:rFonts w:eastAsia="Arial" w:cs="Arial"/>
          <w:color w:val="000000"/>
        </w:rPr>
      </w:pPr>
      <w:r w:rsidRPr="00DC7801">
        <w:rPr>
          <w:rFonts w:eastAsia="Arial" w:cs="Arial"/>
          <w:color w:val="000000"/>
        </w:rPr>
        <w:t>20% of Scope 2 purchased electricity is associated with SV Hub commercial emissions. 20% of Scope 3 base building apportioned energy and gas associated with SV Hub Commercial – Scope 3 down-stream leased emissions.</w:t>
      </w:r>
    </w:p>
    <w:p w14:paraId="0C22E6CC" w14:textId="222B378D" w:rsidR="004F7061" w:rsidRPr="00DC7801" w:rsidRDefault="004F7061" w:rsidP="004F7061">
      <w:pPr>
        <w:jc w:val="center"/>
        <w:rPr>
          <w:rFonts w:eastAsia="Arial" w:cs="Arial"/>
          <w:color w:val="000000"/>
        </w:rPr>
      </w:pPr>
    </w:p>
    <w:p w14:paraId="7EC21F12" w14:textId="1B4F751F" w:rsidR="005F15AB" w:rsidRPr="00582218" w:rsidRDefault="005F15AB" w:rsidP="005F15AB">
      <w:pPr>
        <w:jc w:val="center"/>
      </w:pPr>
      <w:r>
        <w:rPr>
          <w:noProof/>
        </w:rPr>
        <w:drawing>
          <wp:inline distT="0" distB="0" distL="0" distR="0" wp14:anchorId="524CF772" wp14:editId="376F6B1A">
            <wp:extent cx="5655690" cy="8029575"/>
            <wp:effectExtent l="133350" t="114300" r="154940" b="161925"/>
            <wp:docPr id="83425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53100" name=""/>
                    <pic:cNvPicPr/>
                  </pic:nvPicPr>
                  <pic:blipFill>
                    <a:blip r:embed="rId64"/>
                    <a:stretch>
                      <a:fillRect/>
                    </a:stretch>
                  </pic:blipFill>
                  <pic:spPr>
                    <a:xfrm>
                      <a:off x="0" y="0"/>
                      <a:ext cx="5660691" cy="80366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F6A1AD" w14:textId="77777777" w:rsidR="0037399B" w:rsidRPr="00582218" w:rsidRDefault="0037399B" w:rsidP="00105389">
      <w:pPr>
        <w:pStyle w:val="Body"/>
        <w:rPr>
          <w:rFonts w:eastAsiaTheme="majorEastAsia"/>
        </w:rPr>
      </w:pPr>
      <w:bookmarkStart w:id="358" w:name="_Toc56627371"/>
      <w:bookmarkStart w:id="359" w:name="_Toc57039898"/>
      <w:bookmarkStart w:id="360" w:name="_Toc144883460"/>
      <w:bookmarkStart w:id="361" w:name="_Toc144884499"/>
      <w:bookmarkStart w:id="362" w:name="_Toc147395364"/>
      <w:bookmarkStart w:id="363" w:name="_Toc166585795"/>
      <w:r w:rsidRPr="00582218">
        <w:br w:type="page"/>
      </w:r>
    </w:p>
    <w:p w14:paraId="65EF8E04" w14:textId="317288CB" w:rsidR="009E4CF2" w:rsidRPr="0012521E" w:rsidRDefault="009E4CF2" w:rsidP="009E4CF2">
      <w:pPr>
        <w:pStyle w:val="Heading1"/>
        <w:rPr>
          <w:rFonts w:asciiTheme="majorHAnsi" w:hAnsiTheme="majorHAnsi" w:cstheme="majorHAnsi"/>
        </w:rPr>
      </w:pPr>
      <w:bookmarkStart w:id="364" w:name="_Toc179469486"/>
      <w:r w:rsidRPr="0012521E">
        <w:rPr>
          <w:rFonts w:asciiTheme="majorHAnsi" w:hAnsiTheme="majorHAnsi" w:cstheme="majorHAnsi"/>
        </w:rPr>
        <w:t>Appendix 3: Grant allocations</w:t>
      </w:r>
      <w:bookmarkEnd w:id="358"/>
      <w:bookmarkEnd w:id="359"/>
      <w:bookmarkEnd w:id="360"/>
      <w:bookmarkEnd w:id="361"/>
      <w:bookmarkEnd w:id="362"/>
      <w:bookmarkEnd w:id="363"/>
      <w:bookmarkEnd w:id="364"/>
    </w:p>
    <w:p w14:paraId="32281B47" w14:textId="6129B324" w:rsidR="009E4CF2" w:rsidRPr="0012521E" w:rsidRDefault="009E4CF2" w:rsidP="009E4CF2">
      <w:pPr>
        <w:pStyle w:val="Caption"/>
        <w:rPr>
          <w:rFonts w:asciiTheme="majorHAnsi" w:hAnsiTheme="majorHAnsi" w:cstheme="majorHAnsi"/>
        </w:rPr>
      </w:pPr>
      <w:bookmarkStart w:id="365" w:name="_Ref139550660"/>
      <w:r w:rsidRPr="0012521E">
        <w:rPr>
          <w:rFonts w:asciiTheme="majorHAnsi" w:hAnsiTheme="majorHAnsi" w:cstheme="majorHAnsi"/>
        </w:rPr>
        <w:t xml:space="preserve">Table </w:t>
      </w:r>
      <w:r w:rsidRPr="0012521E">
        <w:rPr>
          <w:rFonts w:asciiTheme="majorHAnsi" w:hAnsiTheme="majorHAnsi" w:cstheme="majorHAnsi"/>
        </w:rPr>
        <w:fldChar w:fldCharType="begin"/>
      </w:r>
      <w:r w:rsidRPr="0012521E">
        <w:rPr>
          <w:rFonts w:asciiTheme="majorHAnsi" w:hAnsiTheme="majorHAnsi" w:cstheme="majorHAnsi"/>
        </w:rPr>
        <w:instrText>SEQ Table \* ARABIC</w:instrText>
      </w:r>
      <w:r w:rsidRPr="0012521E">
        <w:rPr>
          <w:rFonts w:asciiTheme="majorHAnsi" w:hAnsiTheme="majorHAnsi" w:cstheme="majorHAnsi"/>
        </w:rPr>
        <w:fldChar w:fldCharType="separate"/>
      </w:r>
      <w:r w:rsidR="00EB70DF">
        <w:rPr>
          <w:rFonts w:asciiTheme="majorHAnsi" w:hAnsiTheme="majorHAnsi" w:cstheme="majorHAnsi"/>
          <w:noProof/>
        </w:rPr>
        <w:t>23</w:t>
      </w:r>
      <w:r w:rsidRPr="0012521E">
        <w:rPr>
          <w:rFonts w:asciiTheme="majorHAnsi" w:hAnsiTheme="majorHAnsi" w:cstheme="majorHAnsi"/>
        </w:rPr>
        <w:fldChar w:fldCharType="end"/>
      </w:r>
      <w:bookmarkEnd w:id="365"/>
      <w:r w:rsidRPr="0012521E">
        <w:rPr>
          <w:rFonts w:asciiTheme="majorHAnsi" w:hAnsiTheme="majorHAnsi" w:cstheme="majorHAnsi"/>
        </w:rPr>
        <w:t>: Grants allocated in 202</w:t>
      </w:r>
      <w:r w:rsidR="00B95349" w:rsidRPr="0012521E">
        <w:rPr>
          <w:rFonts w:asciiTheme="majorHAnsi" w:hAnsiTheme="majorHAnsi" w:cstheme="majorHAnsi"/>
        </w:rPr>
        <w:t>3</w:t>
      </w:r>
      <w:r w:rsidRPr="0012521E">
        <w:rPr>
          <w:rFonts w:asciiTheme="majorHAnsi" w:hAnsiTheme="majorHAnsi" w:cstheme="majorHAnsi"/>
        </w:rPr>
        <w:t>–2</w:t>
      </w:r>
      <w:r w:rsidR="00B95349" w:rsidRPr="0012521E">
        <w:rPr>
          <w:rFonts w:asciiTheme="majorHAnsi" w:hAnsiTheme="majorHAnsi" w:cstheme="majorHAnsi"/>
        </w:rPr>
        <w:t>4</w:t>
      </w:r>
      <w:r w:rsidRPr="0012521E">
        <w:rPr>
          <w:rFonts w:asciiTheme="majorHAnsi" w:hAnsiTheme="majorHAnsi" w:cstheme="majorHAnsi"/>
        </w:rPr>
        <w:t xml:space="preserve"> (represented on a cash basis)</w:t>
      </w:r>
    </w:p>
    <w:p w14:paraId="1DC7A601" w14:textId="7B87BA8B" w:rsidR="00094284" w:rsidRPr="0033023A" w:rsidRDefault="009E4CF2" w:rsidP="00105389">
      <w:pPr>
        <w:pStyle w:val="Body"/>
      </w:pPr>
      <w:r w:rsidRPr="0012521E">
        <w:t>Payments marked with an asterisk (*) were made as a rebate rather than a grant.</w:t>
      </w:r>
    </w:p>
    <w:tbl>
      <w:tblPr>
        <w:tblStyle w:val="TableGrid"/>
        <w:tblpPr w:leftFromText="180" w:rightFromText="180" w:vertAnchor="text" w:tblpY="1"/>
        <w:tblOverlap w:val="never"/>
        <w:tblW w:w="8955" w:type="dxa"/>
        <w:tblLook w:val="04A0" w:firstRow="1" w:lastRow="0" w:firstColumn="1" w:lastColumn="0" w:noHBand="0" w:noVBand="1"/>
      </w:tblPr>
      <w:tblGrid>
        <w:gridCol w:w="3397"/>
        <w:gridCol w:w="3969"/>
        <w:gridCol w:w="1589"/>
      </w:tblGrid>
      <w:tr w:rsidR="00254D1D" w:rsidRPr="0012521E" w14:paraId="19D86DB0" w14:textId="77777777">
        <w:trPr>
          <w:tblHeader/>
        </w:trPr>
        <w:tc>
          <w:tcPr>
            <w:tcW w:w="3397" w:type="dxa"/>
            <w:shd w:val="clear" w:color="auto" w:fill="D4DFA0" w:themeFill="accent3"/>
          </w:tcPr>
          <w:p w14:paraId="4AED542D" w14:textId="77777777" w:rsidR="00254D1D" w:rsidRPr="00E159ED" w:rsidRDefault="00254D1D">
            <w:pPr>
              <w:pStyle w:val="Tablehead10"/>
              <w:rPr>
                <w:rFonts w:cstheme="majorHAnsi"/>
                <w:color w:val="auto"/>
              </w:rPr>
            </w:pPr>
            <w:r w:rsidRPr="00E159ED">
              <w:rPr>
                <w:rFonts w:cstheme="majorHAnsi"/>
                <w:color w:val="auto"/>
              </w:rPr>
              <w:t>Organisation</w:t>
            </w:r>
          </w:p>
        </w:tc>
        <w:tc>
          <w:tcPr>
            <w:tcW w:w="3969" w:type="dxa"/>
            <w:shd w:val="clear" w:color="auto" w:fill="D4DFA0" w:themeFill="accent3"/>
          </w:tcPr>
          <w:p w14:paraId="0DC31CCA" w14:textId="77777777" w:rsidR="00254D1D" w:rsidRPr="00E159ED" w:rsidRDefault="00254D1D">
            <w:pPr>
              <w:pStyle w:val="Tablehead10"/>
              <w:rPr>
                <w:rFonts w:cstheme="majorHAnsi"/>
                <w:color w:val="auto"/>
              </w:rPr>
            </w:pPr>
            <w:r w:rsidRPr="00E159ED">
              <w:rPr>
                <w:rFonts w:cstheme="majorHAnsi"/>
                <w:color w:val="auto"/>
              </w:rPr>
              <w:t>Description</w:t>
            </w:r>
          </w:p>
        </w:tc>
        <w:tc>
          <w:tcPr>
            <w:tcW w:w="1589" w:type="dxa"/>
            <w:shd w:val="clear" w:color="auto" w:fill="D4DFA0" w:themeFill="accent3"/>
          </w:tcPr>
          <w:p w14:paraId="11342E14" w14:textId="77777777" w:rsidR="00254D1D" w:rsidRPr="00E159ED" w:rsidRDefault="00254D1D">
            <w:pPr>
              <w:pStyle w:val="Tablehead10"/>
              <w:rPr>
                <w:rFonts w:cstheme="majorHAnsi"/>
                <w:color w:val="auto"/>
              </w:rPr>
            </w:pPr>
            <w:r w:rsidRPr="00E159ED">
              <w:rPr>
                <w:rFonts w:cstheme="majorHAnsi"/>
                <w:color w:val="auto"/>
              </w:rPr>
              <w:t>Payment</w:t>
            </w:r>
          </w:p>
        </w:tc>
      </w:tr>
      <w:tr w:rsidR="00254D1D" w:rsidRPr="0012521E" w14:paraId="485DCA2B" w14:textId="77777777">
        <w:tc>
          <w:tcPr>
            <w:tcW w:w="3397" w:type="dxa"/>
          </w:tcPr>
          <w:p w14:paraId="1EF4CA2A" w14:textId="77777777" w:rsidR="00254D1D" w:rsidRPr="00E06EFE" w:rsidRDefault="00254D1D">
            <w:pPr>
              <w:pStyle w:val="TableText"/>
              <w:rPr>
                <w:rFonts w:ascii="Arial" w:hAnsi="Arial" w:cs="Arial"/>
                <w:sz w:val="18"/>
                <w:szCs w:val="18"/>
              </w:rPr>
            </w:pPr>
            <w:r w:rsidRPr="00E06EFE">
              <w:rPr>
                <w:rFonts w:ascii="Arial" w:hAnsi="Arial" w:cs="Arial"/>
                <w:sz w:val="18"/>
                <w:szCs w:val="18"/>
              </w:rPr>
              <w:t>ABCH Pty Ltd</w:t>
            </w:r>
          </w:p>
        </w:tc>
        <w:tc>
          <w:tcPr>
            <w:tcW w:w="3969" w:type="dxa"/>
          </w:tcPr>
          <w:p w14:paraId="2FFC5CD7" w14:textId="77777777" w:rsidR="00254D1D" w:rsidRPr="00E06EFE" w:rsidRDefault="00254D1D">
            <w:pPr>
              <w:pStyle w:val="TableText"/>
              <w:rPr>
                <w:rFonts w:ascii="Arial" w:hAnsi="Arial" w:cs="Arial"/>
                <w:sz w:val="18"/>
                <w:szCs w:val="18"/>
              </w:rPr>
            </w:pPr>
            <w:r w:rsidRPr="00E06EFE">
              <w:rPr>
                <w:rFonts w:ascii="Arial" w:hAnsi="Arial" w:cs="Arial"/>
                <w:sz w:val="18"/>
                <w:szCs w:val="18"/>
              </w:rPr>
              <w:t>CE Innovation - Circular Sourcing Marketplace</w:t>
            </w:r>
          </w:p>
        </w:tc>
        <w:tc>
          <w:tcPr>
            <w:tcW w:w="1589" w:type="dxa"/>
          </w:tcPr>
          <w:p w14:paraId="7F8264B1" w14:textId="77777777" w:rsidR="00254D1D" w:rsidRPr="00E06EFE" w:rsidRDefault="00254D1D">
            <w:pPr>
              <w:pStyle w:val="Tablerightlarge"/>
              <w:jc w:val="left"/>
              <w:rPr>
                <w:sz w:val="18"/>
                <w:szCs w:val="18"/>
              </w:rPr>
            </w:pPr>
            <w:r w:rsidRPr="00E06EFE">
              <w:rPr>
                <w:sz w:val="18"/>
                <w:szCs w:val="18"/>
              </w:rPr>
              <w:t>$19,900</w:t>
            </w:r>
          </w:p>
        </w:tc>
      </w:tr>
      <w:tr w:rsidR="00254D1D" w:rsidRPr="0012521E" w14:paraId="7ED282C6" w14:textId="77777777">
        <w:tc>
          <w:tcPr>
            <w:tcW w:w="3397" w:type="dxa"/>
          </w:tcPr>
          <w:p w14:paraId="5121B4CD" w14:textId="77777777" w:rsidR="00254D1D" w:rsidRPr="00E06EFE" w:rsidRDefault="00254D1D">
            <w:pPr>
              <w:pStyle w:val="TableText"/>
              <w:rPr>
                <w:rFonts w:ascii="Arial" w:hAnsi="Arial" w:cs="Arial"/>
                <w:sz w:val="18"/>
                <w:szCs w:val="18"/>
              </w:rPr>
            </w:pPr>
            <w:r>
              <w:rPr>
                <w:rFonts w:ascii="Arial" w:hAnsi="Arial" w:cs="Arial"/>
                <w:sz w:val="18"/>
                <w:szCs w:val="18"/>
              </w:rPr>
              <w:t>Access Australia Group Ltd</w:t>
            </w:r>
          </w:p>
        </w:tc>
        <w:tc>
          <w:tcPr>
            <w:tcW w:w="3969" w:type="dxa"/>
          </w:tcPr>
          <w:p w14:paraId="15220CDE" w14:textId="77777777" w:rsidR="00254D1D" w:rsidRPr="00E06EFE" w:rsidRDefault="00254D1D">
            <w:pPr>
              <w:pStyle w:val="TableText"/>
              <w:rPr>
                <w:rFonts w:ascii="Arial" w:hAnsi="Arial" w:cs="Arial"/>
                <w:sz w:val="18"/>
                <w:szCs w:val="18"/>
              </w:rPr>
            </w:pPr>
            <w:r w:rsidRPr="000661C6">
              <w:rPr>
                <w:rFonts w:ascii="Arial" w:hAnsi="Arial" w:cs="Arial"/>
                <w:sz w:val="18"/>
                <w:szCs w:val="18"/>
              </w:rPr>
              <w:t>Bendigo Share and Repair Shed</w:t>
            </w:r>
          </w:p>
        </w:tc>
        <w:tc>
          <w:tcPr>
            <w:tcW w:w="1589" w:type="dxa"/>
          </w:tcPr>
          <w:p w14:paraId="565465CE" w14:textId="77777777" w:rsidR="00254D1D" w:rsidRPr="000661C6" w:rsidRDefault="00254D1D">
            <w:pPr>
              <w:pStyle w:val="Tablerightlarge"/>
              <w:jc w:val="left"/>
              <w:rPr>
                <w:sz w:val="18"/>
                <w:szCs w:val="18"/>
              </w:rPr>
            </w:pPr>
            <w:r>
              <w:rPr>
                <w:sz w:val="18"/>
                <w:szCs w:val="18"/>
              </w:rPr>
              <w:t>$32,450</w:t>
            </w:r>
          </w:p>
        </w:tc>
      </w:tr>
      <w:tr w:rsidR="00254D1D" w:rsidRPr="0012521E" w14:paraId="31844E50" w14:textId="77777777">
        <w:tc>
          <w:tcPr>
            <w:tcW w:w="3397" w:type="dxa"/>
          </w:tcPr>
          <w:p w14:paraId="6CEFD831" w14:textId="77777777" w:rsidR="00254D1D" w:rsidRDefault="00254D1D">
            <w:pPr>
              <w:pStyle w:val="TableText"/>
              <w:rPr>
                <w:rFonts w:ascii="Arial" w:hAnsi="Arial" w:cs="Arial"/>
                <w:sz w:val="18"/>
                <w:szCs w:val="18"/>
              </w:rPr>
            </w:pPr>
            <w:proofErr w:type="spellStart"/>
            <w:r>
              <w:rPr>
                <w:rFonts w:ascii="Arial" w:hAnsi="Arial" w:cs="Arial"/>
                <w:sz w:val="18"/>
                <w:szCs w:val="18"/>
              </w:rPr>
              <w:t>Agpath</w:t>
            </w:r>
            <w:proofErr w:type="spellEnd"/>
            <w:r>
              <w:rPr>
                <w:rFonts w:ascii="Arial" w:hAnsi="Arial" w:cs="Arial"/>
                <w:sz w:val="18"/>
                <w:szCs w:val="18"/>
              </w:rPr>
              <w:t xml:space="preserve"> Pty Ltd (Plant </w:t>
            </w:r>
            <w:proofErr w:type="spellStart"/>
            <w:r>
              <w:rPr>
                <w:rFonts w:ascii="Arial" w:hAnsi="Arial" w:cs="Arial"/>
                <w:sz w:val="18"/>
                <w:szCs w:val="18"/>
              </w:rPr>
              <w:t>Micropath</w:t>
            </w:r>
            <w:proofErr w:type="spellEnd"/>
            <w:r>
              <w:rPr>
                <w:rFonts w:ascii="Arial" w:hAnsi="Arial" w:cs="Arial"/>
                <w:sz w:val="18"/>
                <w:szCs w:val="18"/>
              </w:rPr>
              <w:t xml:space="preserve"> Consulting Services)</w:t>
            </w:r>
          </w:p>
        </w:tc>
        <w:tc>
          <w:tcPr>
            <w:tcW w:w="3969" w:type="dxa"/>
          </w:tcPr>
          <w:p w14:paraId="4845D027" w14:textId="77777777" w:rsidR="00254D1D" w:rsidRPr="000661C6" w:rsidRDefault="00254D1D">
            <w:pPr>
              <w:pStyle w:val="TableText"/>
              <w:rPr>
                <w:rFonts w:ascii="Arial" w:hAnsi="Arial" w:cs="Arial"/>
                <w:sz w:val="18"/>
                <w:szCs w:val="18"/>
              </w:rPr>
            </w:pPr>
            <w:r w:rsidRPr="001E70BA">
              <w:rPr>
                <w:rFonts w:ascii="Arial" w:hAnsi="Arial" w:cs="Arial"/>
                <w:sz w:val="18"/>
                <w:szCs w:val="18"/>
              </w:rPr>
              <w:t>Quantifying Mineralisation and Biological Status from Organic Amendments and Soil</w:t>
            </w:r>
          </w:p>
        </w:tc>
        <w:tc>
          <w:tcPr>
            <w:tcW w:w="1589" w:type="dxa"/>
          </w:tcPr>
          <w:p w14:paraId="394F47DA" w14:textId="77777777" w:rsidR="00254D1D" w:rsidRDefault="00254D1D">
            <w:pPr>
              <w:pStyle w:val="Tablerightlarge"/>
              <w:jc w:val="left"/>
              <w:rPr>
                <w:sz w:val="18"/>
                <w:szCs w:val="18"/>
                <w:highlight w:val="yellow"/>
              </w:rPr>
            </w:pPr>
            <w:r w:rsidRPr="0096269D">
              <w:rPr>
                <w:sz w:val="18"/>
                <w:szCs w:val="18"/>
              </w:rPr>
              <w:t>$134,500</w:t>
            </w:r>
          </w:p>
        </w:tc>
      </w:tr>
      <w:tr w:rsidR="00254D1D" w:rsidRPr="0012521E" w14:paraId="0EB9EB90" w14:textId="77777777">
        <w:tc>
          <w:tcPr>
            <w:tcW w:w="3397" w:type="dxa"/>
            <w:noWrap/>
          </w:tcPr>
          <w:p w14:paraId="3BBD1DEB" w14:textId="77777777" w:rsidR="00254D1D" w:rsidRPr="00E06EFE" w:rsidRDefault="00254D1D">
            <w:pPr>
              <w:pStyle w:val="TableText"/>
              <w:rPr>
                <w:rFonts w:ascii="Arial" w:hAnsi="Arial" w:cs="Arial"/>
                <w:sz w:val="18"/>
                <w:szCs w:val="18"/>
              </w:rPr>
            </w:pPr>
            <w:r w:rsidRPr="0052059E">
              <w:rPr>
                <w:rFonts w:ascii="Arial" w:hAnsi="Arial" w:cs="Arial"/>
                <w:sz w:val="18"/>
                <w:szCs w:val="18"/>
              </w:rPr>
              <w:t>Albury Wodonga Regional FoodShare</w:t>
            </w:r>
          </w:p>
        </w:tc>
        <w:tc>
          <w:tcPr>
            <w:tcW w:w="3969" w:type="dxa"/>
            <w:noWrap/>
          </w:tcPr>
          <w:p w14:paraId="61318574" w14:textId="77777777" w:rsidR="00254D1D" w:rsidRPr="00E06EFE" w:rsidRDefault="00254D1D">
            <w:pPr>
              <w:pStyle w:val="TableText"/>
              <w:rPr>
                <w:rFonts w:ascii="Arial" w:hAnsi="Arial" w:cs="Arial"/>
                <w:sz w:val="18"/>
                <w:szCs w:val="18"/>
              </w:rPr>
            </w:pPr>
            <w:r w:rsidRPr="00E23BFD">
              <w:rPr>
                <w:rFonts w:ascii="Arial" w:hAnsi="Arial" w:cs="Arial"/>
                <w:sz w:val="18"/>
                <w:szCs w:val="18"/>
              </w:rPr>
              <w:t>Feed More Waste Less</w:t>
            </w:r>
          </w:p>
        </w:tc>
        <w:tc>
          <w:tcPr>
            <w:tcW w:w="1589" w:type="dxa"/>
            <w:noWrap/>
          </w:tcPr>
          <w:p w14:paraId="43D99F1D" w14:textId="77777777" w:rsidR="00254D1D" w:rsidRPr="00E06EFE" w:rsidRDefault="00254D1D">
            <w:pPr>
              <w:pStyle w:val="Tablerightlarge"/>
              <w:jc w:val="left"/>
              <w:rPr>
                <w:sz w:val="18"/>
                <w:szCs w:val="18"/>
                <w:highlight w:val="yellow"/>
              </w:rPr>
            </w:pPr>
            <w:r w:rsidRPr="00364440">
              <w:rPr>
                <w:sz w:val="18"/>
                <w:szCs w:val="18"/>
              </w:rPr>
              <w:t>$26,100</w:t>
            </w:r>
          </w:p>
        </w:tc>
      </w:tr>
      <w:tr w:rsidR="00254D1D" w:rsidRPr="0012521E" w14:paraId="329BAA76" w14:textId="77777777">
        <w:tc>
          <w:tcPr>
            <w:tcW w:w="3397" w:type="dxa"/>
            <w:noWrap/>
          </w:tcPr>
          <w:p w14:paraId="0D8EA67E" w14:textId="77777777" w:rsidR="00254D1D" w:rsidRPr="00AB5F86" w:rsidRDefault="00254D1D">
            <w:pPr>
              <w:pStyle w:val="TableText"/>
              <w:rPr>
                <w:rFonts w:ascii="Arial" w:hAnsi="Arial" w:cs="Arial"/>
                <w:sz w:val="18"/>
                <w:szCs w:val="18"/>
              </w:rPr>
            </w:pPr>
            <w:r w:rsidRPr="00AB5F86">
              <w:rPr>
                <w:rFonts w:ascii="Arial" w:hAnsi="Arial" w:cs="Arial"/>
                <w:sz w:val="18"/>
                <w:szCs w:val="18"/>
              </w:rPr>
              <w:t>Alpine Resorts Victoria</w:t>
            </w:r>
          </w:p>
          <w:p w14:paraId="3495E593" w14:textId="77777777" w:rsidR="00254D1D" w:rsidRPr="00E06EFE" w:rsidRDefault="00254D1D">
            <w:pPr>
              <w:pStyle w:val="TableText"/>
              <w:rPr>
                <w:rFonts w:ascii="Arial" w:hAnsi="Arial" w:cs="Arial"/>
                <w:sz w:val="18"/>
                <w:szCs w:val="18"/>
              </w:rPr>
            </w:pPr>
          </w:p>
        </w:tc>
        <w:tc>
          <w:tcPr>
            <w:tcW w:w="3969" w:type="dxa"/>
            <w:noWrap/>
          </w:tcPr>
          <w:p w14:paraId="7594FBE9" w14:textId="77777777" w:rsidR="00254D1D" w:rsidRPr="00E06EFE" w:rsidRDefault="00254D1D">
            <w:pPr>
              <w:pStyle w:val="TableText"/>
              <w:rPr>
                <w:rFonts w:ascii="Arial" w:hAnsi="Arial" w:cs="Arial"/>
                <w:sz w:val="18"/>
                <w:szCs w:val="18"/>
              </w:rPr>
            </w:pPr>
            <w:r w:rsidRPr="00AB5F86">
              <w:rPr>
                <w:rFonts w:ascii="Arial" w:hAnsi="Arial" w:cs="Arial"/>
                <w:sz w:val="18"/>
                <w:szCs w:val="18"/>
              </w:rPr>
              <w:t>Mt Buller Mt Stirling Alpine Resorts Improving Recycling Services</w:t>
            </w:r>
            <w:r w:rsidRPr="00AB2DF9">
              <w:rPr>
                <w:rFonts w:ascii="Arial" w:hAnsi="Arial" w:cs="Arial"/>
                <w:sz w:val="18"/>
                <w:szCs w:val="18"/>
              </w:rPr>
              <w:t xml:space="preserve"> - Household Education</w:t>
            </w:r>
          </w:p>
        </w:tc>
        <w:tc>
          <w:tcPr>
            <w:tcW w:w="1589" w:type="dxa"/>
            <w:noWrap/>
          </w:tcPr>
          <w:p w14:paraId="6F910CBB" w14:textId="77777777" w:rsidR="00254D1D" w:rsidRPr="00A27C81" w:rsidRDefault="00254D1D">
            <w:pPr>
              <w:pStyle w:val="Tablerightlarge"/>
              <w:jc w:val="left"/>
              <w:rPr>
                <w:sz w:val="18"/>
                <w:szCs w:val="18"/>
              </w:rPr>
            </w:pPr>
            <w:r>
              <w:rPr>
                <w:sz w:val="18"/>
                <w:szCs w:val="18"/>
              </w:rPr>
              <w:t>$</w:t>
            </w:r>
            <w:r w:rsidRPr="00A27C81">
              <w:rPr>
                <w:sz w:val="18"/>
                <w:szCs w:val="18"/>
              </w:rPr>
              <w:t>10,000</w:t>
            </w:r>
          </w:p>
          <w:p w14:paraId="2AA26223" w14:textId="77777777" w:rsidR="00254D1D" w:rsidRPr="00E06EFE" w:rsidRDefault="00254D1D">
            <w:pPr>
              <w:pStyle w:val="Tablerightlarge"/>
              <w:jc w:val="left"/>
              <w:rPr>
                <w:sz w:val="18"/>
                <w:szCs w:val="18"/>
              </w:rPr>
            </w:pPr>
          </w:p>
        </w:tc>
      </w:tr>
      <w:tr w:rsidR="00254D1D" w:rsidRPr="0012521E" w14:paraId="1D1FC76F" w14:textId="77777777">
        <w:tc>
          <w:tcPr>
            <w:tcW w:w="3397" w:type="dxa"/>
            <w:noWrap/>
          </w:tcPr>
          <w:p w14:paraId="18E7513A" w14:textId="77777777" w:rsidR="00254D1D" w:rsidRPr="00AB5F86" w:rsidRDefault="00254D1D">
            <w:pPr>
              <w:pStyle w:val="TableText"/>
              <w:rPr>
                <w:rFonts w:ascii="Arial" w:hAnsi="Arial" w:cs="Arial"/>
                <w:sz w:val="18"/>
                <w:szCs w:val="18"/>
              </w:rPr>
            </w:pPr>
            <w:r w:rsidRPr="00AB5F86">
              <w:rPr>
                <w:rFonts w:ascii="Arial" w:hAnsi="Arial" w:cs="Arial"/>
                <w:sz w:val="18"/>
                <w:szCs w:val="18"/>
              </w:rPr>
              <w:t>Alpine Resorts Victoria</w:t>
            </w:r>
          </w:p>
          <w:p w14:paraId="7D23E82C" w14:textId="77777777" w:rsidR="00254D1D" w:rsidRPr="00E06EFE" w:rsidRDefault="00254D1D">
            <w:pPr>
              <w:pStyle w:val="TableText"/>
              <w:rPr>
                <w:rFonts w:ascii="Arial" w:hAnsi="Arial" w:cs="Arial"/>
                <w:sz w:val="18"/>
                <w:szCs w:val="18"/>
              </w:rPr>
            </w:pPr>
          </w:p>
        </w:tc>
        <w:tc>
          <w:tcPr>
            <w:tcW w:w="3969" w:type="dxa"/>
            <w:noWrap/>
          </w:tcPr>
          <w:p w14:paraId="658ED279" w14:textId="77777777" w:rsidR="00254D1D" w:rsidRPr="00E06EFE" w:rsidRDefault="00254D1D">
            <w:pPr>
              <w:pStyle w:val="TableText"/>
              <w:rPr>
                <w:rFonts w:ascii="Arial" w:hAnsi="Arial" w:cs="Arial"/>
                <w:sz w:val="18"/>
                <w:szCs w:val="18"/>
              </w:rPr>
            </w:pPr>
            <w:r w:rsidRPr="006D7AB3">
              <w:rPr>
                <w:rFonts w:ascii="Arial" w:hAnsi="Arial" w:cs="Arial"/>
                <w:sz w:val="18"/>
                <w:szCs w:val="18"/>
              </w:rPr>
              <w:t>Falls Creek Alpine Resort's 4-</w:t>
            </w:r>
            <w:r>
              <w:rPr>
                <w:rFonts w:ascii="Arial" w:hAnsi="Arial" w:cs="Arial"/>
                <w:sz w:val="18"/>
                <w:szCs w:val="18"/>
              </w:rPr>
              <w:t>S</w:t>
            </w:r>
            <w:r w:rsidRPr="006D7AB3">
              <w:rPr>
                <w:rFonts w:ascii="Arial" w:hAnsi="Arial" w:cs="Arial"/>
                <w:sz w:val="18"/>
                <w:szCs w:val="18"/>
              </w:rPr>
              <w:t xml:space="preserve">tream </w:t>
            </w:r>
            <w:r>
              <w:rPr>
                <w:rFonts w:ascii="Arial" w:hAnsi="Arial" w:cs="Arial"/>
                <w:sz w:val="18"/>
                <w:szCs w:val="18"/>
              </w:rPr>
              <w:t>R</w:t>
            </w:r>
            <w:r w:rsidRPr="006D7AB3">
              <w:rPr>
                <w:rFonts w:ascii="Arial" w:hAnsi="Arial" w:cs="Arial"/>
                <w:sz w:val="18"/>
                <w:szCs w:val="18"/>
              </w:rPr>
              <w:t xml:space="preserve">ecycling and </w:t>
            </w:r>
            <w:r>
              <w:rPr>
                <w:rFonts w:ascii="Arial" w:hAnsi="Arial" w:cs="Arial"/>
                <w:sz w:val="18"/>
                <w:szCs w:val="18"/>
              </w:rPr>
              <w:t>W</w:t>
            </w:r>
            <w:r w:rsidRPr="006D7AB3">
              <w:rPr>
                <w:rFonts w:ascii="Arial" w:hAnsi="Arial" w:cs="Arial"/>
                <w:sz w:val="18"/>
                <w:szCs w:val="18"/>
              </w:rPr>
              <w:t>aste</w:t>
            </w:r>
            <w:r w:rsidRPr="00AB2DF9">
              <w:rPr>
                <w:rFonts w:ascii="Arial" w:hAnsi="Arial" w:cs="Arial"/>
                <w:sz w:val="18"/>
                <w:szCs w:val="18"/>
              </w:rPr>
              <w:t xml:space="preserve"> - Household Education </w:t>
            </w:r>
          </w:p>
        </w:tc>
        <w:tc>
          <w:tcPr>
            <w:tcW w:w="1589" w:type="dxa"/>
            <w:noWrap/>
          </w:tcPr>
          <w:p w14:paraId="332D5AC7" w14:textId="77777777" w:rsidR="00254D1D" w:rsidRPr="00A27C81" w:rsidRDefault="00254D1D">
            <w:pPr>
              <w:pStyle w:val="Tablerightlarge"/>
              <w:jc w:val="left"/>
              <w:rPr>
                <w:sz w:val="18"/>
                <w:szCs w:val="18"/>
              </w:rPr>
            </w:pPr>
            <w:r>
              <w:rPr>
                <w:sz w:val="18"/>
                <w:szCs w:val="18"/>
              </w:rPr>
              <w:t>$</w:t>
            </w:r>
            <w:r w:rsidRPr="00A27C81">
              <w:rPr>
                <w:sz w:val="18"/>
                <w:szCs w:val="18"/>
              </w:rPr>
              <w:t>10,000</w:t>
            </w:r>
          </w:p>
          <w:p w14:paraId="6E005091" w14:textId="77777777" w:rsidR="00254D1D" w:rsidRPr="00E06EFE" w:rsidRDefault="00254D1D">
            <w:pPr>
              <w:pStyle w:val="Tablerightlarge"/>
              <w:jc w:val="left"/>
              <w:rPr>
                <w:sz w:val="18"/>
                <w:szCs w:val="18"/>
              </w:rPr>
            </w:pPr>
          </w:p>
        </w:tc>
      </w:tr>
      <w:tr w:rsidR="00254D1D" w:rsidRPr="0012521E" w14:paraId="68EF149E" w14:textId="77777777">
        <w:tc>
          <w:tcPr>
            <w:tcW w:w="3397" w:type="dxa"/>
            <w:noWrap/>
          </w:tcPr>
          <w:p w14:paraId="6732B16F" w14:textId="77777777" w:rsidR="00254D1D" w:rsidRPr="00E06EFE" w:rsidRDefault="00254D1D">
            <w:pPr>
              <w:pStyle w:val="TableText"/>
              <w:rPr>
                <w:rFonts w:ascii="Arial" w:hAnsi="Arial" w:cs="Arial"/>
                <w:sz w:val="18"/>
                <w:szCs w:val="18"/>
              </w:rPr>
            </w:pPr>
            <w:r w:rsidRPr="0016378E">
              <w:rPr>
                <w:rFonts w:ascii="Arial" w:hAnsi="Arial" w:cs="Arial"/>
                <w:sz w:val="18"/>
                <w:szCs w:val="18"/>
              </w:rPr>
              <w:t>Alpine Shire Council</w:t>
            </w:r>
          </w:p>
        </w:tc>
        <w:tc>
          <w:tcPr>
            <w:tcW w:w="3969" w:type="dxa"/>
            <w:noWrap/>
          </w:tcPr>
          <w:p w14:paraId="1ECDCD70" w14:textId="77777777" w:rsidR="00254D1D" w:rsidRPr="00E06EFE" w:rsidRDefault="00254D1D">
            <w:pPr>
              <w:pStyle w:val="TableText"/>
              <w:rPr>
                <w:rFonts w:ascii="Arial" w:hAnsi="Arial" w:cs="Arial"/>
                <w:sz w:val="18"/>
                <w:szCs w:val="18"/>
              </w:rPr>
            </w:pPr>
            <w:r w:rsidRPr="00754FD7">
              <w:rPr>
                <w:rFonts w:ascii="Arial" w:hAnsi="Arial" w:cs="Arial"/>
                <w:sz w:val="18"/>
                <w:szCs w:val="18"/>
              </w:rPr>
              <w:t>Alpine Shire Council Kerbside FOGO Service Communications Plan</w:t>
            </w:r>
            <w:r>
              <w:rPr>
                <w:rFonts w:ascii="Arial" w:hAnsi="Arial" w:cs="Arial"/>
                <w:sz w:val="18"/>
                <w:szCs w:val="18"/>
              </w:rPr>
              <w:t xml:space="preserve"> – Household Education</w:t>
            </w:r>
          </w:p>
        </w:tc>
        <w:tc>
          <w:tcPr>
            <w:tcW w:w="1589" w:type="dxa"/>
            <w:noWrap/>
          </w:tcPr>
          <w:p w14:paraId="584EFA8F" w14:textId="77777777" w:rsidR="00254D1D" w:rsidRPr="00E06EFE" w:rsidRDefault="00254D1D">
            <w:pPr>
              <w:pStyle w:val="Tablerightlarge"/>
              <w:jc w:val="left"/>
              <w:rPr>
                <w:sz w:val="18"/>
                <w:szCs w:val="18"/>
              </w:rPr>
            </w:pPr>
            <w:r>
              <w:rPr>
                <w:sz w:val="18"/>
                <w:szCs w:val="18"/>
              </w:rPr>
              <w:t>$28,200</w:t>
            </w:r>
          </w:p>
        </w:tc>
      </w:tr>
      <w:tr w:rsidR="00254D1D" w:rsidRPr="0012521E" w14:paraId="43CE9627" w14:textId="77777777">
        <w:tc>
          <w:tcPr>
            <w:tcW w:w="3397" w:type="dxa"/>
            <w:noWrap/>
          </w:tcPr>
          <w:p w14:paraId="36F6D4FB" w14:textId="77777777" w:rsidR="00254D1D" w:rsidRPr="00E06EFE" w:rsidRDefault="00254D1D">
            <w:pPr>
              <w:pStyle w:val="TableText"/>
              <w:rPr>
                <w:rFonts w:ascii="Arial" w:hAnsi="Arial" w:cs="Arial"/>
                <w:sz w:val="18"/>
                <w:szCs w:val="18"/>
              </w:rPr>
            </w:pPr>
            <w:r w:rsidRPr="0016378E">
              <w:rPr>
                <w:rFonts w:ascii="Arial" w:hAnsi="Arial" w:cs="Arial"/>
                <w:sz w:val="18"/>
                <w:szCs w:val="18"/>
              </w:rPr>
              <w:t>Alpine Shire Council</w:t>
            </w:r>
          </w:p>
        </w:tc>
        <w:tc>
          <w:tcPr>
            <w:tcW w:w="3969" w:type="dxa"/>
            <w:noWrap/>
          </w:tcPr>
          <w:p w14:paraId="36556405" w14:textId="77777777" w:rsidR="00254D1D" w:rsidRPr="00E06EFE" w:rsidRDefault="00254D1D">
            <w:pPr>
              <w:pStyle w:val="TableText"/>
              <w:rPr>
                <w:rFonts w:ascii="Arial" w:hAnsi="Arial" w:cs="Arial"/>
                <w:sz w:val="18"/>
                <w:szCs w:val="18"/>
              </w:rPr>
            </w:pPr>
            <w:r w:rsidRPr="00122BD4">
              <w:rPr>
                <w:rFonts w:ascii="Arial" w:hAnsi="Arial" w:cs="Arial"/>
                <w:sz w:val="18"/>
                <w:szCs w:val="18"/>
              </w:rPr>
              <w:t>CE Councils Alpine - Reuse Shop at Myrtleford Transfer Station</w:t>
            </w:r>
          </w:p>
        </w:tc>
        <w:tc>
          <w:tcPr>
            <w:tcW w:w="1589" w:type="dxa"/>
            <w:noWrap/>
          </w:tcPr>
          <w:p w14:paraId="04EAEE8F" w14:textId="77777777" w:rsidR="00254D1D" w:rsidRPr="00E06EFE" w:rsidRDefault="00254D1D">
            <w:pPr>
              <w:pStyle w:val="Tablerightlarge"/>
              <w:jc w:val="left"/>
              <w:rPr>
                <w:sz w:val="18"/>
                <w:szCs w:val="18"/>
              </w:rPr>
            </w:pPr>
            <w:r>
              <w:rPr>
                <w:sz w:val="18"/>
                <w:szCs w:val="18"/>
              </w:rPr>
              <w:t>$95,999</w:t>
            </w:r>
          </w:p>
        </w:tc>
      </w:tr>
      <w:tr w:rsidR="00254D1D" w:rsidRPr="0012521E" w14:paraId="065C7C6B" w14:textId="77777777">
        <w:tc>
          <w:tcPr>
            <w:tcW w:w="3397" w:type="dxa"/>
            <w:noWrap/>
          </w:tcPr>
          <w:p w14:paraId="67632477" w14:textId="77777777" w:rsidR="00254D1D" w:rsidRPr="00E06EFE" w:rsidRDefault="00254D1D">
            <w:pPr>
              <w:pStyle w:val="TableText"/>
              <w:rPr>
                <w:rFonts w:ascii="Arial" w:hAnsi="Arial" w:cs="Arial"/>
                <w:sz w:val="18"/>
                <w:szCs w:val="18"/>
              </w:rPr>
            </w:pPr>
            <w:r w:rsidRPr="00147D96">
              <w:rPr>
                <w:rFonts w:ascii="Arial" w:hAnsi="Arial" w:cs="Arial"/>
                <w:sz w:val="18"/>
                <w:szCs w:val="18"/>
              </w:rPr>
              <w:t>Anglican Trust</w:t>
            </w:r>
            <w:r>
              <w:rPr>
                <w:rFonts w:ascii="Arial" w:hAnsi="Arial" w:cs="Arial"/>
                <w:sz w:val="18"/>
                <w:szCs w:val="18"/>
              </w:rPr>
              <w:t>s</w:t>
            </w:r>
            <w:r w:rsidRPr="00147D96">
              <w:rPr>
                <w:rFonts w:ascii="Arial" w:hAnsi="Arial" w:cs="Arial"/>
                <w:sz w:val="18"/>
                <w:szCs w:val="18"/>
              </w:rPr>
              <w:t xml:space="preserve"> Corporation of the Diocese of Gippsland</w:t>
            </w:r>
          </w:p>
        </w:tc>
        <w:tc>
          <w:tcPr>
            <w:tcW w:w="3969" w:type="dxa"/>
            <w:noWrap/>
          </w:tcPr>
          <w:p w14:paraId="617AE250" w14:textId="77777777" w:rsidR="00254D1D" w:rsidRPr="00E06EFE" w:rsidRDefault="00254D1D">
            <w:pPr>
              <w:pStyle w:val="TableText"/>
              <w:rPr>
                <w:rFonts w:ascii="Arial" w:hAnsi="Arial" w:cs="Arial"/>
                <w:sz w:val="18"/>
                <w:szCs w:val="18"/>
              </w:rPr>
            </w:pPr>
            <w:r w:rsidRPr="00D86499">
              <w:rPr>
                <w:rFonts w:ascii="Arial" w:hAnsi="Arial" w:cs="Arial"/>
                <w:sz w:val="18"/>
                <w:szCs w:val="18"/>
              </w:rPr>
              <w:t>CCCEA RD2 Energy Efficiency Upgrades - Anglican Trust Corporation of the Diocese of Gippsland</w:t>
            </w:r>
          </w:p>
        </w:tc>
        <w:tc>
          <w:tcPr>
            <w:tcW w:w="1589" w:type="dxa"/>
            <w:noWrap/>
          </w:tcPr>
          <w:p w14:paraId="42490548" w14:textId="77777777" w:rsidR="00254D1D" w:rsidRPr="00E06EFE" w:rsidRDefault="00254D1D">
            <w:pPr>
              <w:pStyle w:val="Tablerightlarge"/>
              <w:jc w:val="left"/>
              <w:rPr>
                <w:sz w:val="18"/>
                <w:szCs w:val="18"/>
              </w:rPr>
            </w:pPr>
            <w:r>
              <w:rPr>
                <w:sz w:val="18"/>
                <w:szCs w:val="18"/>
              </w:rPr>
              <w:t>$1,922</w:t>
            </w:r>
          </w:p>
        </w:tc>
      </w:tr>
      <w:tr w:rsidR="00254D1D" w:rsidRPr="0012521E" w14:paraId="1C75B56A" w14:textId="77777777">
        <w:tc>
          <w:tcPr>
            <w:tcW w:w="3397" w:type="dxa"/>
            <w:noWrap/>
          </w:tcPr>
          <w:p w14:paraId="251DBF82" w14:textId="77777777" w:rsidR="00254D1D" w:rsidRPr="00F16FDC" w:rsidRDefault="00254D1D">
            <w:pPr>
              <w:pStyle w:val="TableText"/>
              <w:rPr>
                <w:rFonts w:ascii="Arial" w:hAnsi="Arial" w:cs="Arial"/>
                <w:sz w:val="18"/>
                <w:szCs w:val="18"/>
              </w:rPr>
            </w:pPr>
            <w:r w:rsidRPr="00F16FDC">
              <w:rPr>
                <w:rFonts w:ascii="Arial" w:hAnsi="Arial" w:cs="Arial"/>
                <w:sz w:val="18"/>
                <w:szCs w:val="18"/>
              </w:rPr>
              <w:t>Arden Homes Pty Ltd</w:t>
            </w:r>
          </w:p>
        </w:tc>
        <w:tc>
          <w:tcPr>
            <w:tcW w:w="3969" w:type="dxa"/>
            <w:noWrap/>
          </w:tcPr>
          <w:p w14:paraId="01489F45" w14:textId="77777777" w:rsidR="00254D1D" w:rsidRPr="00F16FDC" w:rsidRDefault="00254D1D">
            <w:pPr>
              <w:pStyle w:val="TableText"/>
              <w:rPr>
                <w:rFonts w:ascii="Arial" w:hAnsi="Arial" w:cs="Arial"/>
                <w:sz w:val="18"/>
                <w:szCs w:val="18"/>
              </w:rPr>
            </w:pPr>
            <w:r w:rsidRPr="00F16FDC">
              <w:rPr>
                <w:rFonts w:ascii="Arial" w:hAnsi="Arial" w:cs="Arial"/>
                <w:sz w:val="18"/>
                <w:szCs w:val="18"/>
              </w:rPr>
              <w:t>7 Star Program</w:t>
            </w:r>
          </w:p>
        </w:tc>
        <w:tc>
          <w:tcPr>
            <w:tcW w:w="1589" w:type="dxa"/>
            <w:noWrap/>
          </w:tcPr>
          <w:p w14:paraId="5A12C0A7" w14:textId="77777777" w:rsidR="00254D1D" w:rsidRPr="00F16FDC" w:rsidRDefault="00254D1D">
            <w:pPr>
              <w:pStyle w:val="Tablerightlarge"/>
              <w:jc w:val="left"/>
              <w:rPr>
                <w:sz w:val="18"/>
                <w:szCs w:val="18"/>
              </w:rPr>
            </w:pPr>
            <w:r w:rsidRPr="00F16FDC">
              <w:rPr>
                <w:sz w:val="18"/>
                <w:szCs w:val="18"/>
              </w:rPr>
              <w:t>$4,000*</w:t>
            </w:r>
          </w:p>
        </w:tc>
      </w:tr>
      <w:tr w:rsidR="00254D1D" w:rsidRPr="0012521E" w14:paraId="63174DCE" w14:textId="77777777">
        <w:tc>
          <w:tcPr>
            <w:tcW w:w="3397" w:type="dxa"/>
            <w:noWrap/>
          </w:tcPr>
          <w:p w14:paraId="6ABD7447" w14:textId="77777777" w:rsidR="00254D1D" w:rsidRPr="00E06EFE" w:rsidRDefault="00254D1D">
            <w:pPr>
              <w:pStyle w:val="TableText"/>
              <w:rPr>
                <w:rFonts w:ascii="Arial" w:hAnsi="Arial" w:cs="Arial"/>
                <w:sz w:val="18"/>
                <w:szCs w:val="18"/>
              </w:rPr>
            </w:pPr>
            <w:r w:rsidRPr="003E1F6B">
              <w:rPr>
                <w:rFonts w:ascii="Arial" w:hAnsi="Arial" w:cs="Arial"/>
                <w:sz w:val="18"/>
                <w:szCs w:val="18"/>
              </w:rPr>
              <w:t>ASQ Group Pty Ltd</w:t>
            </w:r>
          </w:p>
        </w:tc>
        <w:tc>
          <w:tcPr>
            <w:tcW w:w="3969" w:type="dxa"/>
            <w:noWrap/>
          </w:tcPr>
          <w:p w14:paraId="0122C0A8" w14:textId="77777777" w:rsidR="00254D1D" w:rsidRPr="00E06EFE" w:rsidRDefault="00254D1D">
            <w:pPr>
              <w:pStyle w:val="TableText"/>
              <w:rPr>
                <w:rFonts w:ascii="Arial" w:hAnsi="Arial" w:cs="Arial"/>
                <w:sz w:val="18"/>
                <w:szCs w:val="18"/>
              </w:rPr>
            </w:pPr>
            <w:r w:rsidRPr="000A5C8C">
              <w:rPr>
                <w:rFonts w:ascii="Arial" w:hAnsi="Arial" w:cs="Arial"/>
                <w:sz w:val="18"/>
                <w:szCs w:val="18"/>
              </w:rPr>
              <w:t>ASQ Glass Washing Facility</w:t>
            </w:r>
          </w:p>
        </w:tc>
        <w:tc>
          <w:tcPr>
            <w:tcW w:w="1589" w:type="dxa"/>
            <w:noWrap/>
          </w:tcPr>
          <w:p w14:paraId="2D459FFC" w14:textId="77777777" w:rsidR="00254D1D" w:rsidRPr="00E06EFE" w:rsidRDefault="00254D1D">
            <w:pPr>
              <w:pStyle w:val="Tablerightlarge"/>
              <w:jc w:val="left"/>
              <w:rPr>
                <w:sz w:val="18"/>
                <w:szCs w:val="18"/>
              </w:rPr>
            </w:pPr>
            <w:r w:rsidRPr="65E029B8">
              <w:rPr>
                <w:sz w:val="18"/>
                <w:szCs w:val="18"/>
              </w:rPr>
              <w:t>$</w:t>
            </w:r>
            <w:r w:rsidRPr="00897BC8">
              <w:rPr>
                <w:sz w:val="18"/>
                <w:szCs w:val="18"/>
              </w:rPr>
              <w:t>476,000</w:t>
            </w:r>
          </w:p>
        </w:tc>
      </w:tr>
      <w:tr w:rsidR="00254D1D" w:rsidRPr="0012521E" w14:paraId="0B601345" w14:textId="77777777">
        <w:tc>
          <w:tcPr>
            <w:tcW w:w="3397" w:type="dxa"/>
            <w:noWrap/>
          </w:tcPr>
          <w:p w14:paraId="1010B337" w14:textId="77777777" w:rsidR="00254D1D" w:rsidRPr="00E06EFE" w:rsidRDefault="00254D1D">
            <w:pPr>
              <w:pStyle w:val="TableText"/>
              <w:rPr>
                <w:rFonts w:ascii="Arial" w:hAnsi="Arial" w:cs="Arial"/>
                <w:sz w:val="18"/>
                <w:szCs w:val="18"/>
              </w:rPr>
            </w:pPr>
            <w:r w:rsidRPr="006C7A66">
              <w:rPr>
                <w:rFonts w:ascii="Arial" w:hAnsi="Arial" w:cs="Arial"/>
                <w:sz w:val="18"/>
                <w:szCs w:val="18"/>
              </w:rPr>
              <w:t>Australian Consolidated Milk Pty Ltd</w:t>
            </w:r>
          </w:p>
        </w:tc>
        <w:tc>
          <w:tcPr>
            <w:tcW w:w="3969" w:type="dxa"/>
            <w:noWrap/>
          </w:tcPr>
          <w:p w14:paraId="6BB7F8D4" w14:textId="77777777" w:rsidR="00254D1D" w:rsidRPr="00E06EFE" w:rsidRDefault="00254D1D">
            <w:pPr>
              <w:pStyle w:val="TableText"/>
              <w:rPr>
                <w:rFonts w:ascii="Arial" w:hAnsi="Arial" w:cs="Arial"/>
                <w:sz w:val="18"/>
                <w:szCs w:val="18"/>
              </w:rPr>
            </w:pPr>
            <w:r w:rsidRPr="00A42091">
              <w:rPr>
                <w:rFonts w:ascii="Arial" w:hAnsi="Arial" w:cs="Arial"/>
                <w:sz w:val="18"/>
                <w:szCs w:val="18"/>
              </w:rPr>
              <w:t>Project Whey2go</w:t>
            </w:r>
            <w:r>
              <w:rPr>
                <w:rFonts w:ascii="Arial" w:hAnsi="Arial" w:cs="Arial"/>
                <w:sz w:val="18"/>
                <w:szCs w:val="18"/>
              </w:rPr>
              <w:t xml:space="preserve"> - Bioenergy Facility </w:t>
            </w:r>
          </w:p>
        </w:tc>
        <w:tc>
          <w:tcPr>
            <w:tcW w:w="1589" w:type="dxa"/>
            <w:noWrap/>
          </w:tcPr>
          <w:p w14:paraId="0BD1D188" w14:textId="77777777" w:rsidR="00254D1D" w:rsidRPr="00E06EFE" w:rsidRDefault="00254D1D">
            <w:pPr>
              <w:pStyle w:val="Tablerightlarge"/>
              <w:jc w:val="left"/>
              <w:rPr>
                <w:sz w:val="18"/>
                <w:szCs w:val="18"/>
              </w:rPr>
            </w:pPr>
            <w:r>
              <w:rPr>
                <w:sz w:val="18"/>
                <w:szCs w:val="18"/>
              </w:rPr>
              <w:t>$690,000</w:t>
            </w:r>
          </w:p>
        </w:tc>
      </w:tr>
      <w:tr w:rsidR="00254D1D" w:rsidRPr="0012521E" w14:paraId="697DD3AE" w14:textId="77777777">
        <w:tc>
          <w:tcPr>
            <w:tcW w:w="3397" w:type="dxa"/>
            <w:noWrap/>
          </w:tcPr>
          <w:p w14:paraId="7FCFEEC4" w14:textId="77777777" w:rsidR="00254D1D" w:rsidRPr="00E06EFE" w:rsidRDefault="00254D1D">
            <w:pPr>
              <w:pStyle w:val="TableText"/>
              <w:rPr>
                <w:rFonts w:ascii="Arial" w:hAnsi="Arial" w:cs="Arial"/>
                <w:sz w:val="18"/>
                <w:szCs w:val="18"/>
              </w:rPr>
            </w:pPr>
            <w:r w:rsidRPr="00003E0C">
              <w:rPr>
                <w:rFonts w:ascii="Arial" w:hAnsi="Arial" w:cs="Arial"/>
                <w:sz w:val="18"/>
                <w:szCs w:val="18"/>
              </w:rPr>
              <w:t>Australian Furniture Association Inc</w:t>
            </w:r>
          </w:p>
        </w:tc>
        <w:tc>
          <w:tcPr>
            <w:tcW w:w="3969" w:type="dxa"/>
            <w:noWrap/>
          </w:tcPr>
          <w:p w14:paraId="6707D7F3" w14:textId="77777777" w:rsidR="00254D1D" w:rsidRPr="00E06EFE" w:rsidRDefault="00254D1D">
            <w:pPr>
              <w:pStyle w:val="TableText"/>
              <w:rPr>
                <w:rFonts w:ascii="Arial" w:hAnsi="Arial" w:cs="Arial"/>
                <w:sz w:val="18"/>
                <w:szCs w:val="18"/>
              </w:rPr>
            </w:pPr>
            <w:r w:rsidRPr="000C5CC6">
              <w:rPr>
                <w:rFonts w:ascii="Arial" w:hAnsi="Arial" w:cs="Arial"/>
                <w:sz w:val="18"/>
                <w:szCs w:val="18"/>
              </w:rPr>
              <w:t>B2B Sustainable Furniture Procurement</w:t>
            </w:r>
          </w:p>
        </w:tc>
        <w:tc>
          <w:tcPr>
            <w:tcW w:w="1589" w:type="dxa"/>
            <w:noWrap/>
          </w:tcPr>
          <w:p w14:paraId="32F48422" w14:textId="77777777" w:rsidR="00254D1D" w:rsidRPr="00E06EFE" w:rsidRDefault="00254D1D">
            <w:pPr>
              <w:pStyle w:val="Tablerightlarge"/>
              <w:jc w:val="left"/>
              <w:rPr>
                <w:sz w:val="18"/>
                <w:szCs w:val="18"/>
              </w:rPr>
            </w:pPr>
            <w:r>
              <w:rPr>
                <w:sz w:val="18"/>
                <w:szCs w:val="18"/>
              </w:rPr>
              <w:t>$180,000</w:t>
            </w:r>
          </w:p>
        </w:tc>
      </w:tr>
      <w:tr w:rsidR="00254D1D" w:rsidRPr="0012521E" w14:paraId="792B278E" w14:textId="77777777">
        <w:tc>
          <w:tcPr>
            <w:tcW w:w="3397" w:type="dxa"/>
            <w:noWrap/>
          </w:tcPr>
          <w:p w14:paraId="1B2EB76B" w14:textId="77777777" w:rsidR="00254D1D" w:rsidRPr="00E06EFE" w:rsidRDefault="00254D1D">
            <w:pPr>
              <w:pStyle w:val="TableText"/>
              <w:rPr>
                <w:rFonts w:ascii="Arial" w:hAnsi="Arial" w:cs="Arial"/>
                <w:sz w:val="18"/>
                <w:szCs w:val="18"/>
              </w:rPr>
            </w:pPr>
            <w:r w:rsidRPr="00CE0878">
              <w:rPr>
                <w:rFonts w:ascii="Arial" w:hAnsi="Arial" w:cs="Arial"/>
                <w:sz w:val="18"/>
                <w:szCs w:val="18"/>
              </w:rPr>
              <w:t>Australian Recycling Taskforce Pty Ltd</w:t>
            </w:r>
          </w:p>
        </w:tc>
        <w:tc>
          <w:tcPr>
            <w:tcW w:w="3969" w:type="dxa"/>
            <w:noWrap/>
          </w:tcPr>
          <w:p w14:paraId="6A3F4B5A" w14:textId="77777777" w:rsidR="00254D1D" w:rsidRPr="00E06EFE" w:rsidRDefault="00254D1D">
            <w:pPr>
              <w:pStyle w:val="TableText"/>
              <w:rPr>
                <w:rFonts w:ascii="Arial" w:hAnsi="Arial" w:cs="Arial"/>
                <w:sz w:val="18"/>
                <w:szCs w:val="18"/>
              </w:rPr>
            </w:pPr>
            <w:r w:rsidRPr="000474DC">
              <w:rPr>
                <w:rFonts w:ascii="Arial" w:hAnsi="Arial" w:cs="Arial"/>
                <w:sz w:val="18"/>
                <w:szCs w:val="18"/>
              </w:rPr>
              <w:t xml:space="preserve">Commercialise High End Insulation Products </w:t>
            </w:r>
            <w:r>
              <w:rPr>
                <w:rFonts w:ascii="Arial" w:hAnsi="Arial" w:cs="Arial"/>
                <w:sz w:val="18"/>
                <w:szCs w:val="18"/>
              </w:rPr>
              <w:t>f</w:t>
            </w:r>
            <w:r w:rsidRPr="000474DC">
              <w:rPr>
                <w:rFonts w:ascii="Arial" w:hAnsi="Arial" w:cs="Arial"/>
                <w:sz w:val="18"/>
                <w:szCs w:val="18"/>
              </w:rPr>
              <w:t>rom Reprocessed Textile Waste</w:t>
            </w:r>
          </w:p>
        </w:tc>
        <w:tc>
          <w:tcPr>
            <w:tcW w:w="1589" w:type="dxa"/>
            <w:noWrap/>
          </w:tcPr>
          <w:p w14:paraId="193AA07A" w14:textId="77777777" w:rsidR="00254D1D" w:rsidRPr="00E06EFE" w:rsidRDefault="00254D1D">
            <w:pPr>
              <w:pStyle w:val="Tablerightlarge"/>
              <w:jc w:val="left"/>
              <w:rPr>
                <w:sz w:val="18"/>
                <w:szCs w:val="18"/>
              </w:rPr>
            </w:pPr>
            <w:r>
              <w:rPr>
                <w:sz w:val="18"/>
                <w:szCs w:val="18"/>
              </w:rPr>
              <w:t>$60,000</w:t>
            </w:r>
          </w:p>
        </w:tc>
      </w:tr>
      <w:tr w:rsidR="00254D1D" w:rsidRPr="0012521E" w14:paraId="631F9311" w14:textId="77777777">
        <w:tc>
          <w:tcPr>
            <w:tcW w:w="3397" w:type="dxa"/>
            <w:noWrap/>
          </w:tcPr>
          <w:p w14:paraId="07997E7B" w14:textId="77777777" w:rsidR="00254D1D" w:rsidRPr="00E06EFE" w:rsidRDefault="00254D1D">
            <w:pPr>
              <w:pStyle w:val="TableText"/>
              <w:rPr>
                <w:rFonts w:ascii="Arial" w:hAnsi="Arial" w:cs="Arial"/>
                <w:sz w:val="18"/>
                <w:szCs w:val="18"/>
              </w:rPr>
            </w:pPr>
            <w:r w:rsidRPr="00ED1A36">
              <w:rPr>
                <w:rFonts w:ascii="Arial" w:hAnsi="Arial" w:cs="Arial"/>
                <w:sz w:val="18"/>
                <w:szCs w:val="18"/>
              </w:rPr>
              <w:t>Australian Vietnamese Women's Association</w:t>
            </w:r>
          </w:p>
        </w:tc>
        <w:tc>
          <w:tcPr>
            <w:tcW w:w="3969" w:type="dxa"/>
            <w:noWrap/>
          </w:tcPr>
          <w:p w14:paraId="2695ECF5" w14:textId="77777777" w:rsidR="00254D1D" w:rsidRPr="00E06EFE" w:rsidRDefault="00254D1D">
            <w:pPr>
              <w:pStyle w:val="TableText"/>
              <w:rPr>
                <w:rFonts w:ascii="Arial" w:hAnsi="Arial" w:cs="Arial"/>
                <w:sz w:val="18"/>
                <w:szCs w:val="18"/>
              </w:rPr>
            </w:pPr>
            <w:r w:rsidRPr="00020651">
              <w:rPr>
                <w:rFonts w:ascii="Arial" w:hAnsi="Arial" w:cs="Arial"/>
                <w:sz w:val="18"/>
                <w:szCs w:val="18"/>
              </w:rPr>
              <w:t>CCCEA RD2 Energy Efficiency Upgrades - Australian Vietnamese Women's Association</w:t>
            </w:r>
          </w:p>
        </w:tc>
        <w:tc>
          <w:tcPr>
            <w:tcW w:w="1589" w:type="dxa"/>
            <w:noWrap/>
          </w:tcPr>
          <w:p w14:paraId="60B0364A" w14:textId="77777777" w:rsidR="00254D1D" w:rsidRPr="00E06EFE" w:rsidRDefault="00254D1D">
            <w:pPr>
              <w:pStyle w:val="Tablerightlarge"/>
              <w:jc w:val="left"/>
              <w:rPr>
                <w:sz w:val="18"/>
                <w:szCs w:val="18"/>
              </w:rPr>
            </w:pPr>
            <w:r>
              <w:rPr>
                <w:sz w:val="18"/>
                <w:szCs w:val="18"/>
              </w:rPr>
              <w:t>$</w:t>
            </w:r>
            <w:r w:rsidRPr="00326A6E">
              <w:rPr>
                <w:sz w:val="18"/>
                <w:szCs w:val="18"/>
              </w:rPr>
              <w:t>7,091</w:t>
            </w:r>
          </w:p>
        </w:tc>
      </w:tr>
      <w:tr w:rsidR="00254D1D" w:rsidRPr="0012521E" w14:paraId="4B950E22" w14:textId="77777777">
        <w:tc>
          <w:tcPr>
            <w:tcW w:w="3397" w:type="dxa"/>
            <w:noWrap/>
          </w:tcPr>
          <w:p w14:paraId="4D59D961" w14:textId="77777777" w:rsidR="00254D1D" w:rsidRPr="00E06EFE" w:rsidRDefault="00254D1D">
            <w:pPr>
              <w:pStyle w:val="TableText"/>
              <w:rPr>
                <w:rFonts w:ascii="Arial" w:hAnsi="Arial" w:cs="Arial"/>
                <w:sz w:val="18"/>
                <w:szCs w:val="18"/>
              </w:rPr>
            </w:pPr>
            <w:r w:rsidRPr="00163E2A">
              <w:rPr>
                <w:rFonts w:ascii="Arial" w:hAnsi="Arial" w:cs="Arial"/>
                <w:sz w:val="18"/>
                <w:szCs w:val="18"/>
              </w:rPr>
              <w:t>B. W. Community Centre Ltd</w:t>
            </w:r>
          </w:p>
        </w:tc>
        <w:tc>
          <w:tcPr>
            <w:tcW w:w="3969" w:type="dxa"/>
            <w:noWrap/>
          </w:tcPr>
          <w:p w14:paraId="0AF52ECA" w14:textId="77777777" w:rsidR="00254D1D" w:rsidRPr="00E06EFE" w:rsidRDefault="00254D1D">
            <w:pPr>
              <w:pStyle w:val="TableText"/>
              <w:rPr>
                <w:rFonts w:ascii="Arial" w:hAnsi="Arial" w:cs="Arial"/>
                <w:sz w:val="18"/>
                <w:szCs w:val="18"/>
              </w:rPr>
            </w:pPr>
            <w:r w:rsidRPr="0065619B">
              <w:rPr>
                <w:rFonts w:ascii="Arial" w:hAnsi="Arial" w:cs="Arial"/>
                <w:sz w:val="18"/>
                <w:szCs w:val="18"/>
              </w:rPr>
              <w:t>CCCEA RD2 Energy Efficiency Upgrades - B. W. Community Centre Ltd</w:t>
            </w:r>
          </w:p>
        </w:tc>
        <w:tc>
          <w:tcPr>
            <w:tcW w:w="1589" w:type="dxa"/>
            <w:noWrap/>
          </w:tcPr>
          <w:p w14:paraId="7B10B8F8" w14:textId="77777777" w:rsidR="00254D1D" w:rsidRPr="00E06EFE" w:rsidRDefault="00254D1D">
            <w:pPr>
              <w:pStyle w:val="Tablerightlarge"/>
              <w:jc w:val="left"/>
              <w:rPr>
                <w:sz w:val="18"/>
                <w:szCs w:val="18"/>
                <w:highlight w:val="green"/>
              </w:rPr>
            </w:pPr>
            <w:r w:rsidRPr="00867F6E">
              <w:rPr>
                <w:sz w:val="18"/>
                <w:szCs w:val="18"/>
              </w:rPr>
              <w:t>$5,340</w:t>
            </w:r>
          </w:p>
        </w:tc>
      </w:tr>
      <w:tr w:rsidR="00254D1D" w:rsidRPr="0012521E" w14:paraId="72F8FF52" w14:textId="77777777">
        <w:tc>
          <w:tcPr>
            <w:tcW w:w="3397" w:type="dxa"/>
            <w:noWrap/>
          </w:tcPr>
          <w:p w14:paraId="304C1AED" w14:textId="77777777" w:rsidR="00254D1D" w:rsidRPr="00E06EFE" w:rsidRDefault="00254D1D">
            <w:pPr>
              <w:pStyle w:val="TableText"/>
              <w:rPr>
                <w:rFonts w:ascii="Arial" w:hAnsi="Arial" w:cs="Arial"/>
                <w:sz w:val="18"/>
                <w:szCs w:val="18"/>
              </w:rPr>
            </w:pPr>
            <w:r w:rsidRPr="00CC4DC5">
              <w:rPr>
                <w:rFonts w:ascii="Arial" w:hAnsi="Arial" w:cs="Arial"/>
                <w:sz w:val="18"/>
                <w:szCs w:val="18"/>
              </w:rPr>
              <w:t>Ballarat East Neighbourhood House Inc</w:t>
            </w:r>
          </w:p>
        </w:tc>
        <w:tc>
          <w:tcPr>
            <w:tcW w:w="3969" w:type="dxa"/>
            <w:noWrap/>
          </w:tcPr>
          <w:p w14:paraId="72B1B123" w14:textId="77777777" w:rsidR="00254D1D" w:rsidRPr="00E06EFE" w:rsidRDefault="00254D1D">
            <w:pPr>
              <w:pStyle w:val="TableText"/>
              <w:rPr>
                <w:rFonts w:ascii="Arial" w:hAnsi="Arial" w:cs="Arial"/>
                <w:sz w:val="18"/>
                <w:szCs w:val="18"/>
              </w:rPr>
            </w:pPr>
            <w:r w:rsidRPr="008E7281">
              <w:rPr>
                <w:rFonts w:ascii="Arial" w:hAnsi="Arial" w:cs="Arial"/>
                <w:sz w:val="18"/>
                <w:szCs w:val="18"/>
              </w:rPr>
              <w:t>Zero Waste Homes Ballarat - Pilot Community Education Project</w:t>
            </w:r>
          </w:p>
        </w:tc>
        <w:tc>
          <w:tcPr>
            <w:tcW w:w="1589" w:type="dxa"/>
            <w:noWrap/>
          </w:tcPr>
          <w:p w14:paraId="25E59104" w14:textId="77777777" w:rsidR="00254D1D" w:rsidRPr="00E06EFE" w:rsidRDefault="00254D1D">
            <w:pPr>
              <w:pStyle w:val="Tablerightlarge"/>
              <w:jc w:val="left"/>
              <w:rPr>
                <w:sz w:val="18"/>
                <w:szCs w:val="18"/>
                <w:highlight w:val="yellow"/>
              </w:rPr>
            </w:pPr>
            <w:r w:rsidRPr="00CD252E">
              <w:rPr>
                <w:sz w:val="18"/>
                <w:szCs w:val="18"/>
              </w:rPr>
              <w:t>$32,317</w:t>
            </w:r>
          </w:p>
        </w:tc>
      </w:tr>
      <w:tr w:rsidR="00254D1D" w:rsidRPr="0012521E" w14:paraId="68B08259" w14:textId="77777777">
        <w:tc>
          <w:tcPr>
            <w:tcW w:w="3397" w:type="dxa"/>
            <w:noWrap/>
          </w:tcPr>
          <w:p w14:paraId="5567E7D2" w14:textId="77777777" w:rsidR="00254D1D" w:rsidRPr="00E06EFE" w:rsidRDefault="00254D1D">
            <w:pPr>
              <w:pStyle w:val="TableText"/>
              <w:rPr>
                <w:rFonts w:ascii="Arial" w:hAnsi="Arial" w:cs="Arial"/>
                <w:sz w:val="18"/>
                <w:szCs w:val="18"/>
              </w:rPr>
            </w:pPr>
            <w:r>
              <w:rPr>
                <w:rFonts w:ascii="Arial" w:hAnsi="Arial" w:cs="Arial"/>
                <w:sz w:val="18"/>
                <w:szCs w:val="18"/>
              </w:rPr>
              <w:t>B-Alternative Pty Ltd</w:t>
            </w:r>
          </w:p>
        </w:tc>
        <w:tc>
          <w:tcPr>
            <w:tcW w:w="3969" w:type="dxa"/>
            <w:noWrap/>
          </w:tcPr>
          <w:p w14:paraId="0E354706" w14:textId="77777777" w:rsidR="00254D1D" w:rsidRPr="00E06EFE" w:rsidRDefault="00254D1D">
            <w:pPr>
              <w:pStyle w:val="TableText"/>
              <w:rPr>
                <w:rFonts w:ascii="Arial" w:hAnsi="Arial" w:cs="Arial"/>
                <w:sz w:val="18"/>
                <w:szCs w:val="18"/>
              </w:rPr>
            </w:pPr>
            <w:r w:rsidRPr="00D5765C">
              <w:rPr>
                <w:rFonts w:ascii="Arial" w:hAnsi="Arial" w:cs="Arial"/>
                <w:sz w:val="18"/>
                <w:szCs w:val="18"/>
              </w:rPr>
              <w:t>Upgrade of B-Alternative's Reusable Crockery Service and Infrastructure</w:t>
            </w:r>
          </w:p>
        </w:tc>
        <w:tc>
          <w:tcPr>
            <w:tcW w:w="1589" w:type="dxa"/>
            <w:noWrap/>
          </w:tcPr>
          <w:p w14:paraId="2CF25B97" w14:textId="77777777" w:rsidR="00254D1D" w:rsidRPr="00E06EFE" w:rsidRDefault="00254D1D">
            <w:pPr>
              <w:pStyle w:val="Tablerightlarge"/>
              <w:jc w:val="left"/>
              <w:rPr>
                <w:sz w:val="18"/>
                <w:szCs w:val="18"/>
              </w:rPr>
            </w:pPr>
            <w:r>
              <w:rPr>
                <w:sz w:val="18"/>
                <w:szCs w:val="18"/>
              </w:rPr>
              <w:t>$34,816</w:t>
            </w:r>
          </w:p>
        </w:tc>
      </w:tr>
      <w:tr w:rsidR="00254D1D" w:rsidRPr="0012521E" w14:paraId="7FC089F5" w14:textId="77777777">
        <w:tc>
          <w:tcPr>
            <w:tcW w:w="3397" w:type="dxa"/>
            <w:noWrap/>
          </w:tcPr>
          <w:p w14:paraId="56859002" w14:textId="77777777" w:rsidR="00254D1D" w:rsidRDefault="00254D1D">
            <w:pPr>
              <w:pStyle w:val="TableText"/>
              <w:rPr>
                <w:rFonts w:ascii="Arial" w:hAnsi="Arial" w:cs="Arial"/>
                <w:sz w:val="18"/>
                <w:szCs w:val="18"/>
              </w:rPr>
            </w:pPr>
            <w:r w:rsidRPr="00A10CA8">
              <w:rPr>
                <w:rFonts w:ascii="Arial" w:hAnsi="Arial" w:cs="Arial"/>
                <w:sz w:val="18"/>
                <w:szCs w:val="18"/>
              </w:rPr>
              <w:t xml:space="preserve">Banksia Gardens </w:t>
            </w:r>
            <w:r>
              <w:rPr>
                <w:rFonts w:ascii="Arial" w:hAnsi="Arial" w:cs="Arial"/>
                <w:sz w:val="18"/>
                <w:szCs w:val="18"/>
              </w:rPr>
              <w:t>Association Inc</w:t>
            </w:r>
          </w:p>
          <w:p w14:paraId="5CF28A58" w14:textId="77777777" w:rsidR="00254D1D" w:rsidRPr="00E06EFE" w:rsidRDefault="00254D1D">
            <w:pPr>
              <w:pStyle w:val="TableText"/>
              <w:rPr>
                <w:rFonts w:ascii="Arial" w:hAnsi="Arial" w:cs="Arial"/>
                <w:sz w:val="18"/>
                <w:szCs w:val="18"/>
              </w:rPr>
            </w:pPr>
            <w:r>
              <w:rPr>
                <w:rFonts w:ascii="Arial" w:hAnsi="Arial" w:cs="Arial"/>
                <w:sz w:val="18"/>
                <w:szCs w:val="18"/>
              </w:rPr>
              <w:t>(Banksia Gardens Community Services)</w:t>
            </w:r>
          </w:p>
        </w:tc>
        <w:tc>
          <w:tcPr>
            <w:tcW w:w="3969" w:type="dxa"/>
            <w:noWrap/>
          </w:tcPr>
          <w:p w14:paraId="5FB24834" w14:textId="77777777" w:rsidR="00254D1D" w:rsidRPr="00E06EFE" w:rsidRDefault="00254D1D">
            <w:pPr>
              <w:pStyle w:val="TableText"/>
              <w:rPr>
                <w:rFonts w:ascii="Arial" w:hAnsi="Arial" w:cs="Arial"/>
                <w:sz w:val="18"/>
                <w:szCs w:val="18"/>
              </w:rPr>
            </w:pPr>
            <w:r w:rsidRPr="00827BF1">
              <w:rPr>
                <w:rFonts w:ascii="Arial" w:hAnsi="Arial" w:cs="Arial"/>
                <w:sz w:val="18"/>
                <w:szCs w:val="18"/>
              </w:rPr>
              <w:t xml:space="preserve">Composting Is Circular: </w:t>
            </w:r>
            <w:r>
              <w:rPr>
                <w:rFonts w:ascii="Arial" w:hAnsi="Arial" w:cs="Arial"/>
                <w:sz w:val="18"/>
                <w:szCs w:val="18"/>
              </w:rPr>
              <w:t>Diverting organic waste and transforming it into nutrient-rich soil to be used in community spaces</w:t>
            </w:r>
          </w:p>
        </w:tc>
        <w:tc>
          <w:tcPr>
            <w:tcW w:w="1589" w:type="dxa"/>
            <w:noWrap/>
          </w:tcPr>
          <w:p w14:paraId="5588E4DB" w14:textId="77777777" w:rsidR="00254D1D" w:rsidRPr="00E06EFE" w:rsidRDefault="00254D1D">
            <w:pPr>
              <w:pStyle w:val="Tablerightlarge"/>
              <w:jc w:val="left"/>
              <w:rPr>
                <w:sz w:val="18"/>
                <w:szCs w:val="18"/>
              </w:rPr>
            </w:pPr>
            <w:r>
              <w:rPr>
                <w:sz w:val="18"/>
                <w:szCs w:val="18"/>
              </w:rPr>
              <w:t>$30,343</w:t>
            </w:r>
          </w:p>
        </w:tc>
      </w:tr>
      <w:tr w:rsidR="00254D1D" w:rsidRPr="0012521E" w14:paraId="245B63E4" w14:textId="77777777">
        <w:tc>
          <w:tcPr>
            <w:tcW w:w="3397" w:type="dxa"/>
            <w:noWrap/>
          </w:tcPr>
          <w:p w14:paraId="18798B7F" w14:textId="77777777" w:rsidR="00254D1D" w:rsidRPr="00056867" w:rsidRDefault="00254D1D">
            <w:pPr>
              <w:pStyle w:val="TableText"/>
              <w:rPr>
                <w:rFonts w:ascii="Arial" w:hAnsi="Arial" w:cs="Arial"/>
                <w:sz w:val="18"/>
                <w:szCs w:val="18"/>
              </w:rPr>
            </w:pPr>
            <w:r w:rsidRPr="00056867">
              <w:rPr>
                <w:rFonts w:ascii="Arial" w:hAnsi="Arial" w:cs="Arial"/>
                <w:sz w:val="18"/>
                <w:szCs w:val="18"/>
              </w:rPr>
              <w:t>Bass Coast Shire Council</w:t>
            </w:r>
          </w:p>
        </w:tc>
        <w:tc>
          <w:tcPr>
            <w:tcW w:w="3969" w:type="dxa"/>
            <w:noWrap/>
          </w:tcPr>
          <w:p w14:paraId="09E9349F" w14:textId="77777777" w:rsidR="00254D1D" w:rsidRPr="00056867" w:rsidRDefault="00254D1D">
            <w:pPr>
              <w:pStyle w:val="TableText"/>
              <w:rPr>
                <w:rFonts w:ascii="Arial" w:hAnsi="Arial" w:cs="Arial"/>
                <w:sz w:val="18"/>
                <w:szCs w:val="18"/>
              </w:rPr>
            </w:pPr>
            <w:r w:rsidRPr="00056867">
              <w:rPr>
                <w:rFonts w:ascii="Arial" w:hAnsi="Arial" w:cs="Arial"/>
                <w:sz w:val="18"/>
                <w:szCs w:val="18"/>
              </w:rPr>
              <w:t>Bass Coast Shire Council Promoting the Recycling System – Household Education</w:t>
            </w:r>
          </w:p>
        </w:tc>
        <w:tc>
          <w:tcPr>
            <w:tcW w:w="1589" w:type="dxa"/>
            <w:noWrap/>
          </w:tcPr>
          <w:p w14:paraId="5294750D" w14:textId="77777777" w:rsidR="00254D1D" w:rsidRPr="00056867" w:rsidRDefault="00254D1D">
            <w:pPr>
              <w:pStyle w:val="Tablerightlarge"/>
              <w:jc w:val="left"/>
              <w:rPr>
                <w:sz w:val="18"/>
                <w:szCs w:val="18"/>
              </w:rPr>
            </w:pPr>
            <w:r w:rsidRPr="00056867">
              <w:rPr>
                <w:sz w:val="18"/>
                <w:szCs w:val="18"/>
              </w:rPr>
              <w:t>$34,500</w:t>
            </w:r>
          </w:p>
        </w:tc>
      </w:tr>
      <w:tr w:rsidR="00254D1D" w14:paraId="3C4E4539" w14:textId="77777777">
        <w:trPr>
          <w:trHeight w:val="300"/>
        </w:trPr>
        <w:tc>
          <w:tcPr>
            <w:tcW w:w="3397" w:type="dxa"/>
            <w:noWrap/>
          </w:tcPr>
          <w:p w14:paraId="6113F872" w14:textId="77777777" w:rsidR="00254D1D" w:rsidRPr="00DE7E1B" w:rsidRDefault="00254D1D">
            <w:pPr>
              <w:pStyle w:val="TableText"/>
            </w:pPr>
            <w:r w:rsidRPr="00DE7E1B">
              <w:rPr>
                <w:rFonts w:ascii="Arial" w:hAnsi="Arial" w:cs="Arial"/>
                <w:sz w:val="18"/>
                <w:szCs w:val="18"/>
              </w:rPr>
              <w:t xml:space="preserve">Baw </w:t>
            </w:r>
            <w:proofErr w:type="spellStart"/>
            <w:r w:rsidRPr="00DE7E1B">
              <w:rPr>
                <w:rFonts w:ascii="Arial" w:hAnsi="Arial" w:cs="Arial"/>
                <w:sz w:val="18"/>
                <w:szCs w:val="18"/>
              </w:rPr>
              <w:t>Baw</w:t>
            </w:r>
            <w:proofErr w:type="spellEnd"/>
            <w:r w:rsidRPr="00DE7E1B">
              <w:rPr>
                <w:rFonts w:ascii="Arial" w:hAnsi="Arial" w:cs="Arial"/>
                <w:sz w:val="18"/>
                <w:szCs w:val="18"/>
              </w:rPr>
              <w:t xml:space="preserve"> Shire Council</w:t>
            </w:r>
          </w:p>
        </w:tc>
        <w:tc>
          <w:tcPr>
            <w:tcW w:w="3969" w:type="dxa"/>
            <w:noWrap/>
          </w:tcPr>
          <w:p w14:paraId="562F065A" w14:textId="77777777" w:rsidR="00254D1D" w:rsidRPr="00DE7E1B" w:rsidRDefault="00254D1D">
            <w:pPr>
              <w:pStyle w:val="TableText"/>
              <w:rPr>
                <w:rFonts w:ascii="Arial" w:hAnsi="Arial" w:cs="Arial"/>
                <w:sz w:val="18"/>
                <w:szCs w:val="18"/>
              </w:rPr>
            </w:pPr>
            <w:r w:rsidRPr="00DE7E1B">
              <w:rPr>
                <w:rFonts w:ascii="Arial" w:hAnsi="Arial" w:cs="Arial"/>
                <w:sz w:val="18"/>
                <w:szCs w:val="18"/>
              </w:rPr>
              <w:t xml:space="preserve">Baw </w:t>
            </w:r>
            <w:proofErr w:type="spellStart"/>
            <w:r w:rsidRPr="00DE7E1B">
              <w:rPr>
                <w:rFonts w:ascii="Arial" w:hAnsi="Arial" w:cs="Arial"/>
                <w:sz w:val="18"/>
                <w:szCs w:val="18"/>
              </w:rPr>
              <w:t>Baw</w:t>
            </w:r>
            <w:proofErr w:type="spellEnd"/>
            <w:r w:rsidRPr="00DE7E1B">
              <w:rPr>
                <w:rFonts w:ascii="Arial" w:hAnsi="Arial" w:cs="Arial"/>
                <w:sz w:val="18"/>
                <w:szCs w:val="18"/>
              </w:rPr>
              <w:t xml:space="preserve"> Shire Council's Glass and FOGO Transition – Household Education </w:t>
            </w:r>
          </w:p>
        </w:tc>
        <w:tc>
          <w:tcPr>
            <w:tcW w:w="1589" w:type="dxa"/>
            <w:noWrap/>
          </w:tcPr>
          <w:p w14:paraId="65139BD6" w14:textId="77777777" w:rsidR="00254D1D" w:rsidRPr="00DE7E1B" w:rsidRDefault="00254D1D">
            <w:pPr>
              <w:pStyle w:val="Tablerightlarge"/>
              <w:jc w:val="left"/>
              <w:rPr>
                <w:sz w:val="18"/>
                <w:szCs w:val="18"/>
              </w:rPr>
            </w:pPr>
            <w:r w:rsidRPr="00DE7E1B">
              <w:rPr>
                <w:sz w:val="18"/>
                <w:szCs w:val="18"/>
              </w:rPr>
              <w:t>$33,800</w:t>
            </w:r>
          </w:p>
        </w:tc>
      </w:tr>
      <w:tr w:rsidR="00254D1D" w:rsidRPr="0012521E" w14:paraId="181B8BBE" w14:textId="77777777">
        <w:tc>
          <w:tcPr>
            <w:tcW w:w="3397" w:type="dxa"/>
            <w:noWrap/>
          </w:tcPr>
          <w:p w14:paraId="21C26570" w14:textId="77777777" w:rsidR="00254D1D" w:rsidRPr="00D2226E" w:rsidRDefault="00254D1D">
            <w:pPr>
              <w:pStyle w:val="TableText"/>
              <w:rPr>
                <w:rFonts w:ascii="Arial" w:hAnsi="Arial" w:cs="Arial"/>
                <w:sz w:val="18"/>
                <w:szCs w:val="18"/>
              </w:rPr>
            </w:pPr>
            <w:r w:rsidRPr="001745D6">
              <w:rPr>
                <w:rFonts w:ascii="Arial" w:hAnsi="Arial" w:cs="Arial"/>
                <w:sz w:val="18"/>
                <w:szCs w:val="18"/>
              </w:rPr>
              <w:t>Bayside City Council</w:t>
            </w:r>
          </w:p>
        </w:tc>
        <w:tc>
          <w:tcPr>
            <w:tcW w:w="3969" w:type="dxa"/>
            <w:noWrap/>
          </w:tcPr>
          <w:p w14:paraId="39BA4956" w14:textId="77777777" w:rsidR="00254D1D" w:rsidRPr="00310399" w:rsidRDefault="00254D1D">
            <w:pPr>
              <w:pStyle w:val="TableText"/>
              <w:rPr>
                <w:rFonts w:ascii="Arial" w:hAnsi="Arial" w:cs="Arial"/>
                <w:sz w:val="18"/>
                <w:szCs w:val="18"/>
              </w:rPr>
            </w:pPr>
            <w:r w:rsidRPr="00351A27">
              <w:rPr>
                <w:rFonts w:ascii="Arial" w:hAnsi="Arial" w:cs="Arial"/>
                <w:sz w:val="18"/>
                <w:szCs w:val="18"/>
              </w:rPr>
              <w:t>Bayside City Council Improving Recycling Services</w:t>
            </w:r>
            <w:r w:rsidRPr="006B4895">
              <w:rPr>
                <w:rFonts w:ascii="Arial" w:hAnsi="Arial" w:cs="Arial"/>
                <w:sz w:val="18"/>
                <w:szCs w:val="18"/>
              </w:rPr>
              <w:t xml:space="preserve"> - Household Education </w:t>
            </w:r>
          </w:p>
        </w:tc>
        <w:tc>
          <w:tcPr>
            <w:tcW w:w="1589" w:type="dxa"/>
            <w:noWrap/>
          </w:tcPr>
          <w:p w14:paraId="3A9C454E" w14:textId="77777777" w:rsidR="00254D1D" w:rsidRDefault="00254D1D">
            <w:pPr>
              <w:pStyle w:val="Tablerightlarge"/>
              <w:jc w:val="left"/>
              <w:rPr>
                <w:sz w:val="18"/>
                <w:szCs w:val="18"/>
              </w:rPr>
            </w:pPr>
            <w:r>
              <w:rPr>
                <w:sz w:val="18"/>
                <w:szCs w:val="18"/>
              </w:rPr>
              <w:t>$42,000</w:t>
            </w:r>
          </w:p>
        </w:tc>
      </w:tr>
      <w:tr w:rsidR="00254D1D" w:rsidRPr="0012521E" w14:paraId="4902AB4B" w14:textId="77777777">
        <w:tc>
          <w:tcPr>
            <w:tcW w:w="3397" w:type="dxa"/>
            <w:noWrap/>
          </w:tcPr>
          <w:p w14:paraId="73CCB9A8" w14:textId="77777777" w:rsidR="00254D1D" w:rsidRPr="001745D6" w:rsidRDefault="00254D1D">
            <w:pPr>
              <w:pStyle w:val="TableText"/>
              <w:rPr>
                <w:rFonts w:ascii="Arial" w:hAnsi="Arial" w:cs="Arial"/>
                <w:sz w:val="18"/>
                <w:szCs w:val="18"/>
              </w:rPr>
            </w:pPr>
            <w:r w:rsidRPr="001745D6">
              <w:rPr>
                <w:rFonts w:ascii="Arial" w:hAnsi="Arial" w:cs="Arial"/>
                <w:sz w:val="18"/>
                <w:szCs w:val="18"/>
              </w:rPr>
              <w:t>Bayside City Council</w:t>
            </w:r>
          </w:p>
        </w:tc>
        <w:tc>
          <w:tcPr>
            <w:tcW w:w="3969" w:type="dxa"/>
            <w:noWrap/>
          </w:tcPr>
          <w:p w14:paraId="0FFB66BC" w14:textId="77777777" w:rsidR="00254D1D" w:rsidRPr="00351A27" w:rsidRDefault="00254D1D">
            <w:pPr>
              <w:pStyle w:val="TableText"/>
              <w:rPr>
                <w:rFonts w:ascii="Arial" w:hAnsi="Arial" w:cs="Arial"/>
                <w:sz w:val="18"/>
                <w:szCs w:val="18"/>
              </w:rPr>
            </w:pPr>
            <w:r w:rsidRPr="00C62681">
              <w:rPr>
                <w:rFonts w:ascii="Arial" w:hAnsi="Arial" w:cs="Arial"/>
                <w:sz w:val="18"/>
                <w:szCs w:val="18"/>
              </w:rPr>
              <w:t xml:space="preserve">CE Councils Implementation </w:t>
            </w:r>
            <w:proofErr w:type="spellStart"/>
            <w:r w:rsidRPr="00C62681">
              <w:rPr>
                <w:rFonts w:ascii="Arial" w:hAnsi="Arial" w:cs="Arial"/>
                <w:sz w:val="18"/>
                <w:szCs w:val="18"/>
              </w:rPr>
              <w:t>Bayside's</w:t>
            </w:r>
            <w:proofErr w:type="spellEnd"/>
            <w:r w:rsidRPr="00C62681">
              <w:rPr>
                <w:rFonts w:ascii="Arial" w:hAnsi="Arial" w:cs="Arial"/>
                <w:sz w:val="18"/>
                <w:szCs w:val="18"/>
              </w:rPr>
              <w:t xml:space="preserve"> Roving Repair Program</w:t>
            </w:r>
          </w:p>
        </w:tc>
        <w:tc>
          <w:tcPr>
            <w:tcW w:w="1589" w:type="dxa"/>
            <w:noWrap/>
          </w:tcPr>
          <w:p w14:paraId="3AA0E1C9" w14:textId="77777777" w:rsidR="00254D1D" w:rsidRDefault="00254D1D">
            <w:pPr>
              <w:pStyle w:val="Tablerightlarge"/>
              <w:jc w:val="left"/>
              <w:rPr>
                <w:sz w:val="18"/>
                <w:szCs w:val="18"/>
              </w:rPr>
            </w:pPr>
            <w:r>
              <w:rPr>
                <w:sz w:val="18"/>
                <w:szCs w:val="18"/>
              </w:rPr>
              <w:t>$50,000</w:t>
            </w:r>
          </w:p>
        </w:tc>
      </w:tr>
      <w:tr w:rsidR="00254D1D" w:rsidRPr="0012521E" w14:paraId="759FAC47" w14:textId="77777777">
        <w:tc>
          <w:tcPr>
            <w:tcW w:w="3397" w:type="dxa"/>
            <w:noWrap/>
          </w:tcPr>
          <w:p w14:paraId="06723CD5" w14:textId="77777777" w:rsidR="00254D1D" w:rsidRPr="001745D6" w:rsidRDefault="00254D1D">
            <w:pPr>
              <w:pStyle w:val="TableText"/>
              <w:rPr>
                <w:rFonts w:ascii="Arial" w:hAnsi="Arial" w:cs="Arial"/>
                <w:sz w:val="18"/>
                <w:szCs w:val="18"/>
              </w:rPr>
            </w:pPr>
            <w:proofErr w:type="spellStart"/>
            <w:r w:rsidRPr="003C24EC">
              <w:rPr>
                <w:rFonts w:ascii="Arial" w:hAnsi="Arial" w:cs="Arial"/>
                <w:sz w:val="18"/>
                <w:szCs w:val="18"/>
              </w:rPr>
              <w:t>Benzoil</w:t>
            </w:r>
            <w:proofErr w:type="spellEnd"/>
            <w:r w:rsidRPr="003C24EC">
              <w:rPr>
                <w:rFonts w:ascii="Arial" w:hAnsi="Arial" w:cs="Arial"/>
                <w:sz w:val="18"/>
                <w:szCs w:val="18"/>
              </w:rPr>
              <w:t xml:space="preserve"> Pty Ltd</w:t>
            </w:r>
          </w:p>
        </w:tc>
        <w:tc>
          <w:tcPr>
            <w:tcW w:w="3969" w:type="dxa"/>
            <w:noWrap/>
          </w:tcPr>
          <w:p w14:paraId="67947006" w14:textId="77777777" w:rsidR="00254D1D" w:rsidRPr="00C62681" w:rsidRDefault="00254D1D">
            <w:pPr>
              <w:pStyle w:val="TableText"/>
              <w:rPr>
                <w:rFonts w:ascii="Arial" w:hAnsi="Arial" w:cs="Arial"/>
                <w:sz w:val="18"/>
                <w:szCs w:val="18"/>
              </w:rPr>
            </w:pPr>
            <w:r>
              <w:rPr>
                <w:rFonts w:ascii="Arial" w:hAnsi="Arial" w:cs="Arial"/>
                <w:sz w:val="18"/>
                <w:szCs w:val="18"/>
              </w:rPr>
              <w:t>CE Inn</w:t>
            </w:r>
            <w:r w:rsidRPr="009D044D">
              <w:rPr>
                <w:rFonts w:ascii="Arial" w:hAnsi="Arial" w:cs="Arial"/>
                <w:sz w:val="18"/>
                <w:szCs w:val="18"/>
              </w:rPr>
              <w:t>ovation</w:t>
            </w:r>
            <w:r>
              <w:rPr>
                <w:rFonts w:ascii="Arial" w:hAnsi="Arial" w:cs="Arial"/>
                <w:sz w:val="18"/>
                <w:szCs w:val="18"/>
              </w:rPr>
              <w:t xml:space="preserve"> </w:t>
            </w:r>
            <w:r w:rsidRPr="009D044D">
              <w:rPr>
                <w:rFonts w:ascii="Arial" w:hAnsi="Arial" w:cs="Arial"/>
                <w:sz w:val="18"/>
                <w:szCs w:val="18"/>
              </w:rPr>
              <w:t>-</w:t>
            </w:r>
            <w:r>
              <w:rPr>
                <w:rFonts w:ascii="Arial" w:hAnsi="Arial" w:cs="Arial"/>
                <w:sz w:val="18"/>
                <w:szCs w:val="18"/>
              </w:rPr>
              <w:t xml:space="preserve"> R</w:t>
            </w:r>
            <w:r w:rsidRPr="009D044D">
              <w:rPr>
                <w:rFonts w:ascii="Arial" w:hAnsi="Arial" w:cs="Arial"/>
                <w:sz w:val="18"/>
                <w:szCs w:val="18"/>
              </w:rPr>
              <w:t xml:space="preserve">educing Food Waste </w:t>
            </w:r>
            <w:r>
              <w:rPr>
                <w:rFonts w:ascii="Arial" w:hAnsi="Arial" w:cs="Arial"/>
                <w:sz w:val="18"/>
                <w:szCs w:val="18"/>
              </w:rPr>
              <w:t xml:space="preserve">in </w:t>
            </w:r>
            <w:r w:rsidRPr="009D044D">
              <w:rPr>
                <w:rFonts w:ascii="Arial" w:hAnsi="Arial" w:cs="Arial"/>
                <w:sz w:val="18"/>
                <w:szCs w:val="18"/>
              </w:rPr>
              <w:t xml:space="preserve">Manufacturing </w:t>
            </w:r>
            <w:r>
              <w:rPr>
                <w:rFonts w:ascii="Arial" w:hAnsi="Arial" w:cs="Arial"/>
                <w:sz w:val="18"/>
                <w:szCs w:val="18"/>
              </w:rPr>
              <w:t>b</w:t>
            </w:r>
            <w:r w:rsidRPr="009D044D">
              <w:rPr>
                <w:rFonts w:ascii="Arial" w:hAnsi="Arial" w:cs="Arial"/>
                <w:sz w:val="18"/>
                <w:szCs w:val="18"/>
              </w:rPr>
              <w:t>y Developing Food Products</w:t>
            </w:r>
          </w:p>
        </w:tc>
        <w:tc>
          <w:tcPr>
            <w:tcW w:w="1589" w:type="dxa"/>
            <w:noWrap/>
          </w:tcPr>
          <w:p w14:paraId="449A7C4F" w14:textId="77777777" w:rsidR="00254D1D" w:rsidRDefault="00254D1D">
            <w:pPr>
              <w:pStyle w:val="Tablerightlarge"/>
              <w:jc w:val="left"/>
              <w:rPr>
                <w:sz w:val="18"/>
                <w:szCs w:val="18"/>
                <w:highlight w:val="yellow"/>
              </w:rPr>
            </w:pPr>
            <w:r w:rsidRPr="00451EAD">
              <w:rPr>
                <w:sz w:val="18"/>
                <w:szCs w:val="18"/>
              </w:rPr>
              <w:t>$30,000</w:t>
            </w:r>
          </w:p>
        </w:tc>
      </w:tr>
      <w:tr w:rsidR="00254D1D" w:rsidRPr="0012521E" w14:paraId="02C89C30" w14:textId="77777777">
        <w:tc>
          <w:tcPr>
            <w:tcW w:w="3397" w:type="dxa"/>
            <w:noWrap/>
          </w:tcPr>
          <w:p w14:paraId="09A107DF" w14:textId="77777777" w:rsidR="00254D1D" w:rsidRPr="003C24EC" w:rsidRDefault="00254D1D">
            <w:pPr>
              <w:pStyle w:val="TableText"/>
              <w:rPr>
                <w:rFonts w:ascii="Arial" w:hAnsi="Arial" w:cs="Arial"/>
                <w:sz w:val="18"/>
                <w:szCs w:val="18"/>
              </w:rPr>
            </w:pPr>
            <w:r w:rsidRPr="007942FD">
              <w:rPr>
                <w:rFonts w:ascii="Arial" w:hAnsi="Arial" w:cs="Arial"/>
                <w:sz w:val="18"/>
                <w:szCs w:val="18"/>
              </w:rPr>
              <w:t>Beth Weizmann Jewish Community Centre</w:t>
            </w:r>
            <w:r>
              <w:rPr>
                <w:rFonts w:ascii="Arial" w:hAnsi="Arial" w:cs="Arial"/>
                <w:sz w:val="18"/>
                <w:szCs w:val="18"/>
              </w:rPr>
              <w:t xml:space="preserve"> Inc</w:t>
            </w:r>
          </w:p>
        </w:tc>
        <w:tc>
          <w:tcPr>
            <w:tcW w:w="3969" w:type="dxa"/>
            <w:noWrap/>
          </w:tcPr>
          <w:p w14:paraId="01B7B508" w14:textId="77777777" w:rsidR="00254D1D" w:rsidRDefault="00254D1D">
            <w:pPr>
              <w:pStyle w:val="TableText"/>
              <w:rPr>
                <w:rFonts w:ascii="Arial" w:hAnsi="Arial" w:cs="Arial"/>
                <w:sz w:val="18"/>
                <w:szCs w:val="18"/>
              </w:rPr>
            </w:pPr>
            <w:r w:rsidRPr="00C11491">
              <w:rPr>
                <w:rFonts w:ascii="Arial" w:hAnsi="Arial" w:cs="Arial"/>
                <w:sz w:val="18"/>
                <w:szCs w:val="18"/>
              </w:rPr>
              <w:t>CCCEA RD2 Energy Efficiency Upgrades - Beth Weizmann Community Centre Inc</w:t>
            </w:r>
          </w:p>
        </w:tc>
        <w:tc>
          <w:tcPr>
            <w:tcW w:w="1589" w:type="dxa"/>
            <w:noWrap/>
          </w:tcPr>
          <w:p w14:paraId="7FA89E2A" w14:textId="77777777" w:rsidR="00254D1D" w:rsidRDefault="00254D1D">
            <w:pPr>
              <w:pStyle w:val="Tablerightlarge"/>
              <w:jc w:val="left"/>
              <w:rPr>
                <w:sz w:val="18"/>
                <w:szCs w:val="18"/>
              </w:rPr>
            </w:pPr>
            <w:r>
              <w:rPr>
                <w:sz w:val="18"/>
                <w:szCs w:val="18"/>
              </w:rPr>
              <w:t>$10,472</w:t>
            </w:r>
          </w:p>
        </w:tc>
      </w:tr>
      <w:tr w:rsidR="00254D1D" w:rsidRPr="0012521E" w14:paraId="3CDB63C9" w14:textId="77777777">
        <w:tc>
          <w:tcPr>
            <w:tcW w:w="3397" w:type="dxa"/>
            <w:noWrap/>
          </w:tcPr>
          <w:p w14:paraId="651C8945" w14:textId="77777777" w:rsidR="00254D1D" w:rsidRPr="007942FD" w:rsidRDefault="00254D1D">
            <w:pPr>
              <w:pStyle w:val="TableText"/>
              <w:rPr>
                <w:rFonts w:ascii="Arial" w:hAnsi="Arial" w:cs="Arial"/>
                <w:sz w:val="18"/>
                <w:szCs w:val="18"/>
              </w:rPr>
            </w:pPr>
            <w:r w:rsidRPr="00246F13">
              <w:rPr>
                <w:rFonts w:ascii="Arial" w:hAnsi="Arial" w:cs="Arial"/>
                <w:sz w:val="18"/>
                <w:szCs w:val="18"/>
              </w:rPr>
              <w:t>Billy van Creamy</w:t>
            </w:r>
            <w:r>
              <w:rPr>
                <w:rFonts w:ascii="Arial" w:hAnsi="Arial" w:cs="Arial"/>
                <w:sz w:val="18"/>
                <w:szCs w:val="18"/>
              </w:rPr>
              <w:t xml:space="preserve"> Pty Ltd</w:t>
            </w:r>
          </w:p>
        </w:tc>
        <w:tc>
          <w:tcPr>
            <w:tcW w:w="3969" w:type="dxa"/>
            <w:noWrap/>
          </w:tcPr>
          <w:p w14:paraId="12CAFFE0" w14:textId="77777777" w:rsidR="00254D1D" w:rsidRPr="00C11491" w:rsidRDefault="00254D1D">
            <w:pPr>
              <w:pStyle w:val="TableText"/>
              <w:rPr>
                <w:rFonts w:ascii="Arial" w:hAnsi="Arial" w:cs="Arial"/>
                <w:sz w:val="18"/>
                <w:szCs w:val="18"/>
              </w:rPr>
            </w:pPr>
            <w:r w:rsidRPr="00FE0F10">
              <w:rPr>
                <w:rFonts w:ascii="Arial" w:hAnsi="Arial" w:cs="Arial"/>
                <w:sz w:val="18"/>
                <w:szCs w:val="18"/>
              </w:rPr>
              <w:t>Ice Cream Re-Contained</w:t>
            </w:r>
          </w:p>
        </w:tc>
        <w:tc>
          <w:tcPr>
            <w:tcW w:w="1589" w:type="dxa"/>
            <w:noWrap/>
          </w:tcPr>
          <w:p w14:paraId="10C6FCC2" w14:textId="77777777" w:rsidR="00254D1D" w:rsidRDefault="00254D1D">
            <w:pPr>
              <w:pStyle w:val="Tablerightlarge"/>
              <w:jc w:val="left"/>
              <w:rPr>
                <w:sz w:val="18"/>
                <w:szCs w:val="18"/>
              </w:rPr>
            </w:pPr>
            <w:r>
              <w:rPr>
                <w:sz w:val="18"/>
                <w:szCs w:val="18"/>
              </w:rPr>
              <w:t>$23,554</w:t>
            </w:r>
          </w:p>
        </w:tc>
      </w:tr>
      <w:tr w:rsidR="00254D1D" w14:paraId="4F639CDF" w14:textId="77777777">
        <w:trPr>
          <w:trHeight w:val="300"/>
        </w:trPr>
        <w:tc>
          <w:tcPr>
            <w:tcW w:w="3397" w:type="dxa"/>
            <w:noWrap/>
          </w:tcPr>
          <w:p w14:paraId="478FF088" w14:textId="77777777" w:rsidR="00254D1D" w:rsidRPr="00D55EFD" w:rsidRDefault="00254D1D">
            <w:pPr>
              <w:pStyle w:val="TableText"/>
              <w:rPr>
                <w:rFonts w:ascii="Arial" w:hAnsi="Arial" w:cs="Arial"/>
                <w:sz w:val="18"/>
                <w:szCs w:val="18"/>
              </w:rPr>
            </w:pPr>
            <w:r w:rsidRPr="00D55EFD">
              <w:rPr>
                <w:rFonts w:ascii="Arial" w:hAnsi="Arial" w:cs="Arial"/>
                <w:sz w:val="18"/>
                <w:szCs w:val="18"/>
              </w:rPr>
              <w:t>BJC Concepts Pty Ltd</w:t>
            </w:r>
          </w:p>
        </w:tc>
        <w:tc>
          <w:tcPr>
            <w:tcW w:w="3969" w:type="dxa"/>
            <w:noWrap/>
          </w:tcPr>
          <w:p w14:paraId="780B7B6D" w14:textId="77777777" w:rsidR="00254D1D" w:rsidRPr="00D55EFD" w:rsidRDefault="00254D1D">
            <w:pPr>
              <w:pStyle w:val="TableText"/>
              <w:rPr>
                <w:rFonts w:ascii="Arial" w:hAnsi="Arial" w:cs="Arial"/>
                <w:sz w:val="18"/>
                <w:szCs w:val="18"/>
              </w:rPr>
            </w:pPr>
            <w:r w:rsidRPr="00D55EFD">
              <w:rPr>
                <w:rFonts w:ascii="Arial" w:hAnsi="Arial" w:cs="Arial"/>
                <w:sz w:val="18"/>
                <w:szCs w:val="18"/>
              </w:rPr>
              <w:t>7 Star Program</w:t>
            </w:r>
          </w:p>
        </w:tc>
        <w:tc>
          <w:tcPr>
            <w:tcW w:w="1589" w:type="dxa"/>
            <w:noWrap/>
          </w:tcPr>
          <w:p w14:paraId="6B8B059F" w14:textId="77777777" w:rsidR="00254D1D" w:rsidRPr="00D55EFD" w:rsidRDefault="00254D1D">
            <w:pPr>
              <w:pStyle w:val="Tablerightlarge"/>
              <w:jc w:val="left"/>
              <w:rPr>
                <w:sz w:val="18"/>
                <w:szCs w:val="18"/>
              </w:rPr>
            </w:pPr>
            <w:r w:rsidRPr="00D55EFD">
              <w:rPr>
                <w:sz w:val="18"/>
                <w:szCs w:val="18"/>
              </w:rPr>
              <w:t>$4,000*</w:t>
            </w:r>
          </w:p>
        </w:tc>
      </w:tr>
      <w:tr w:rsidR="00254D1D" w14:paraId="5C1FAF25" w14:textId="77777777">
        <w:trPr>
          <w:trHeight w:val="300"/>
        </w:trPr>
        <w:tc>
          <w:tcPr>
            <w:tcW w:w="3397" w:type="dxa"/>
            <w:shd w:val="clear" w:color="auto" w:fill="auto"/>
            <w:noWrap/>
          </w:tcPr>
          <w:p w14:paraId="3B85F772" w14:textId="77777777" w:rsidR="00254D1D" w:rsidRPr="00163376" w:rsidRDefault="00254D1D">
            <w:pPr>
              <w:pStyle w:val="TableText"/>
              <w:rPr>
                <w:rFonts w:ascii="Arial" w:hAnsi="Arial" w:cs="Arial"/>
                <w:sz w:val="18"/>
                <w:szCs w:val="18"/>
              </w:rPr>
            </w:pPr>
            <w:r w:rsidRPr="00163376">
              <w:rPr>
                <w:rFonts w:ascii="Arial" w:hAnsi="Arial" w:cs="Arial"/>
                <w:sz w:val="18"/>
                <w:szCs w:val="18"/>
              </w:rPr>
              <w:t xml:space="preserve">BKBM Pty Ltd </w:t>
            </w:r>
          </w:p>
          <w:p w14:paraId="1D72A17D" w14:textId="77777777" w:rsidR="00254D1D" w:rsidRDefault="00254D1D">
            <w:pPr>
              <w:pStyle w:val="TableText"/>
              <w:rPr>
                <w:rFonts w:ascii="Arial" w:hAnsi="Arial" w:cs="Arial"/>
                <w:sz w:val="18"/>
                <w:szCs w:val="18"/>
                <w:highlight w:val="yellow"/>
              </w:rPr>
            </w:pPr>
            <w:r w:rsidRPr="00163376">
              <w:rPr>
                <w:rFonts w:ascii="Arial" w:hAnsi="Arial" w:cs="Arial"/>
                <w:sz w:val="18"/>
                <w:szCs w:val="18"/>
              </w:rPr>
              <w:t>(</w:t>
            </w:r>
            <w:proofErr w:type="spellStart"/>
            <w:r w:rsidRPr="00163376">
              <w:rPr>
                <w:rFonts w:ascii="Arial" w:hAnsi="Arial" w:cs="Arial"/>
                <w:sz w:val="18"/>
                <w:szCs w:val="18"/>
              </w:rPr>
              <w:t>Westvic</w:t>
            </w:r>
            <w:proofErr w:type="spellEnd"/>
            <w:r w:rsidRPr="00163376">
              <w:rPr>
                <w:rFonts w:ascii="Arial" w:hAnsi="Arial" w:cs="Arial"/>
                <w:sz w:val="18"/>
                <w:szCs w:val="18"/>
              </w:rPr>
              <w:t xml:space="preserve"> Waste Pty Ltd)</w:t>
            </w:r>
          </w:p>
        </w:tc>
        <w:tc>
          <w:tcPr>
            <w:tcW w:w="3969" w:type="dxa"/>
            <w:shd w:val="clear" w:color="auto" w:fill="auto"/>
            <w:noWrap/>
          </w:tcPr>
          <w:p w14:paraId="51AA006A" w14:textId="77777777" w:rsidR="00254D1D" w:rsidRDefault="00254D1D">
            <w:pPr>
              <w:pStyle w:val="TableText"/>
              <w:rPr>
                <w:rFonts w:ascii="Arial" w:hAnsi="Arial" w:cs="Arial"/>
                <w:sz w:val="18"/>
                <w:szCs w:val="18"/>
                <w:highlight w:val="yellow"/>
              </w:rPr>
            </w:pPr>
            <w:r w:rsidRPr="00163376">
              <w:rPr>
                <w:rFonts w:ascii="Arial" w:hAnsi="Arial" w:cs="Arial"/>
                <w:sz w:val="18"/>
                <w:szCs w:val="18"/>
              </w:rPr>
              <w:t>Pilot Asbestos Disposal Point Warrnambool</w:t>
            </w:r>
          </w:p>
        </w:tc>
        <w:tc>
          <w:tcPr>
            <w:tcW w:w="1589" w:type="dxa"/>
            <w:shd w:val="clear" w:color="auto" w:fill="auto"/>
            <w:noWrap/>
          </w:tcPr>
          <w:p w14:paraId="01DED1B5" w14:textId="77777777" w:rsidR="00254D1D" w:rsidRDefault="00254D1D">
            <w:pPr>
              <w:pStyle w:val="Tablerightlarge"/>
              <w:jc w:val="left"/>
              <w:rPr>
                <w:sz w:val="18"/>
                <w:szCs w:val="18"/>
                <w:highlight w:val="yellow"/>
              </w:rPr>
            </w:pPr>
            <w:r w:rsidRPr="00163376">
              <w:rPr>
                <w:sz w:val="18"/>
                <w:szCs w:val="18"/>
              </w:rPr>
              <w:t>$15,000</w:t>
            </w:r>
          </w:p>
        </w:tc>
      </w:tr>
      <w:tr w:rsidR="00254D1D" w:rsidRPr="0012521E" w14:paraId="20A9283F" w14:textId="77777777">
        <w:tc>
          <w:tcPr>
            <w:tcW w:w="3397" w:type="dxa"/>
            <w:noWrap/>
          </w:tcPr>
          <w:p w14:paraId="468F0698" w14:textId="77777777" w:rsidR="00254D1D" w:rsidRDefault="00254D1D">
            <w:pPr>
              <w:pStyle w:val="TableText"/>
              <w:rPr>
                <w:rFonts w:ascii="Arial" w:hAnsi="Arial" w:cs="Arial"/>
                <w:sz w:val="18"/>
                <w:szCs w:val="18"/>
              </w:rPr>
            </w:pPr>
            <w:r w:rsidRPr="001E0C57">
              <w:rPr>
                <w:rFonts w:ascii="Arial" w:hAnsi="Arial" w:cs="Arial"/>
                <w:sz w:val="18"/>
                <w:szCs w:val="18"/>
              </w:rPr>
              <w:t>Blake Street Hebrew Congregation Inc</w:t>
            </w:r>
          </w:p>
        </w:tc>
        <w:tc>
          <w:tcPr>
            <w:tcW w:w="3969" w:type="dxa"/>
            <w:noWrap/>
          </w:tcPr>
          <w:p w14:paraId="77FCD220" w14:textId="77777777" w:rsidR="00254D1D" w:rsidRPr="00E53C36" w:rsidRDefault="00254D1D">
            <w:pPr>
              <w:pStyle w:val="TableText"/>
              <w:rPr>
                <w:rFonts w:ascii="Arial" w:hAnsi="Arial" w:cs="Arial"/>
                <w:sz w:val="18"/>
                <w:szCs w:val="18"/>
              </w:rPr>
            </w:pPr>
            <w:r w:rsidRPr="00E51966">
              <w:rPr>
                <w:rFonts w:ascii="Arial" w:hAnsi="Arial" w:cs="Arial"/>
                <w:sz w:val="18"/>
                <w:szCs w:val="18"/>
              </w:rPr>
              <w:t>CCCEA RD3 Energy Efficiency Upgrades - Blake Street Hebrew Congregation</w:t>
            </w:r>
          </w:p>
        </w:tc>
        <w:tc>
          <w:tcPr>
            <w:tcW w:w="1589" w:type="dxa"/>
            <w:noWrap/>
          </w:tcPr>
          <w:p w14:paraId="39161ED2" w14:textId="77777777" w:rsidR="00254D1D" w:rsidRDefault="00254D1D">
            <w:pPr>
              <w:pStyle w:val="Tablerightlarge"/>
              <w:jc w:val="left"/>
              <w:rPr>
                <w:sz w:val="18"/>
                <w:szCs w:val="18"/>
              </w:rPr>
            </w:pPr>
            <w:r>
              <w:rPr>
                <w:sz w:val="18"/>
                <w:szCs w:val="18"/>
              </w:rPr>
              <w:t>$14,867</w:t>
            </w:r>
          </w:p>
        </w:tc>
      </w:tr>
      <w:tr w:rsidR="00254D1D" w:rsidRPr="0012521E" w14:paraId="0F7E0E6A" w14:textId="77777777">
        <w:tc>
          <w:tcPr>
            <w:tcW w:w="3397" w:type="dxa"/>
            <w:noWrap/>
          </w:tcPr>
          <w:p w14:paraId="1479B715" w14:textId="77777777" w:rsidR="00254D1D" w:rsidRPr="001E0C57" w:rsidRDefault="00254D1D">
            <w:pPr>
              <w:pStyle w:val="TableText"/>
              <w:rPr>
                <w:rFonts w:ascii="Arial" w:hAnsi="Arial" w:cs="Arial"/>
                <w:sz w:val="18"/>
                <w:szCs w:val="18"/>
              </w:rPr>
            </w:pPr>
            <w:r w:rsidRPr="007A0784">
              <w:rPr>
                <w:rFonts w:ascii="Arial" w:hAnsi="Arial" w:cs="Arial"/>
                <w:sz w:val="18"/>
                <w:szCs w:val="18"/>
              </w:rPr>
              <w:t xml:space="preserve">Blampied </w:t>
            </w:r>
            <w:proofErr w:type="spellStart"/>
            <w:r w:rsidRPr="007A0784">
              <w:rPr>
                <w:rFonts w:ascii="Arial" w:hAnsi="Arial" w:cs="Arial"/>
                <w:sz w:val="18"/>
                <w:szCs w:val="18"/>
              </w:rPr>
              <w:t>Kooroocherang</w:t>
            </w:r>
            <w:proofErr w:type="spellEnd"/>
            <w:r w:rsidRPr="007A0784">
              <w:rPr>
                <w:rFonts w:ascii="Arial" w:hAnsi="Arial" w:cs="Arial"/>
                <w:sz w:val="18"/>
                <w:szCs w:val="18"/>
              </w:rPr>
              <w:t xml:space="preserve"> Land Care Group Inc</w:t>
            </w:r>
          </w:p>
        </w:tc>
        <w:tc>
          <w:tcPr>
            <w:tcW w:w="3969" w:type="dxa"/>
            <w:noWrap/>
          </w:tcPr>
          <w:p w14:paraId="1C714AF7" w14:textId="77777777" w:rsidR="00254D1D" w:rsidRPr="00E51966" w:rsidRDefault="00254D1D">
            <w:pPr>
              <w:pStyle w:val="TableText"/>
              <w:rPr>
                <w:rFonts w:ascii="Arial" w:hAnsi="Arial" w:cs="Arial"/>
                <w:sz w:val="18"/>
                <w:szCs w:val="18"/>
              </w:rPr>
            </w:pPr>
            <w:r w:rsidRPr="00427AFC">
              <w:rPr>
                <w:rFonts w:ascii="Arial" w:hAnsi="Arial" w:cs="Arial"/>
                <w:sz w:val="18"/>
                <w:szCs w:val="18"/>
              </w:rPr>
              <w:t xml:space="preserve">Blampied </w:t>
            </w:r>
            <w:r>
              <w:rPr>
                <w:rFonts w:ascii="Arial" w:hAnsi="Arial" w:cs="Arial"/>
                <w:sz w:val="18"/>
                <w:szCs w:val="18"/>
              </w:rPr>
              <w:t>K</w:t>
            </w:r>
            <w:r w:rsidRPr="00427AFC">
              <w:rPr>
                <w:rFonts w:ascii="Arial" w:hAnsi="Arial" w:cs="Arial"/>
                <w:sz w:val="18"/>
                <w:szCs w:val="18"/>
              </w:rPr>
              <w:t xml:space="preserve">ooroocheang </w:t>
            </w:r>
            <w:r>
              <w:rPr>
                <w:rFonts w:ascii="Arial" w:hAnsi="Arial" w:cs="Arial"/>
                <w:sz w:val="18"/>
                <w:szCs w:val="18"/>
              </w:rPr>
              <w:t>L</w:t>
            </w:r>
            <w:r w:rsidRPr="00427AFC">
              <w:rPr>
                <w:rFonts w:ascii="Arial" w:hAnsi="Arial" w:cs="Arial"/>
                <w:sz w:val="18"/>
                <w:szCs w:val="18"/>
              </w:rPr>
              <w:t xml:space="preserve">and </w:t>
            </w:r>
            <w:r>
              <w:rPr>
                <w:rFonts w:ascii="Arial" w:hAnsi="Arial" w:cs="Arial"/>
                <w:sz w:val="18"/>
                <w:szCs w:val="18"/>
              </w:rPr>
              <w:t>C</w:t>
            </w:r>
            <w:r w:rsidRPr="00427AFC">
              <w:rPr>
                <w:rFonts w:ascii="Arial" w:hAnsi="Arial" w:cs="Arial"/>
                <w:sz w:val="18"/>
                <w:szCs w:val="18"/>
              </w:rPr>
              <w:t xml:space="preserve">are </w:t>
            </w:r>
            <w:r>
              <w:rPr>
                <w:rFonts w:ascii="Arial" w:hAnsi="Arial" w:cs="Arial"/>
                <w:sz w:val="18"/>
                <w:szCs w:val="18"/>
              </w:rPr>
              <w:t>G</w:t>
            </w:r>
            <w:r w:rsidRPr="00427AFC">
              <w:rPr>
                <w:rFonts w:ascii="Arial" w:hAnsi="Arial" w:cs="Arial"/>
                <w:sz w:val="18"/>
                <w:szCs w:val="18"/>
              </w:rPr>
              <w:t xml:space="preserve">roup </w:t>
            </w:r>
            <w:r>
              <w:rPr>
                <w:rFonts w:ascii="Arial" w:hAnsi="Arial" w:cs="Arial"/>
                <w:sz w:val="18"/>
                <w:szCs w:val="18"/>
              </w:rPr>
              <w:t>A</w:t>
            </w:r>
            <w:r w:rsidRPr="00427AFC">
              <w:rPr>
                <w:rFonts w:ascii="Arial" w:hAnsi="Arial" w:cs="Arial"/>
                <w:sz w:val="18"/>
                <w:szCs w:val="18"/>
              </w:rPr>
              <w:t xml:space="preserve">gricultural </w:t>
            </w:r>
            <w:r>
              <w:rPr>
                <w:rFonts w:ascii="Arial" w:hAnsi="Arial" w:cs="Arial"/>
                <w:sz w:val="18"/>
                <w:szCs w:val="18"/>
              </w:rPr>
              <w:t>C</w:t>
            </w:r>
            <w:r w:rsidRPr="00427AFC">
              <w:rPr>
                <w:rFonts w:ascii="Arial" w:hAnsi="Arial" w:cs="Arial"/>
                <w:sz w:val="18"/>
                <w:szCs w:val="18"/>
              </w:rPr>
              <w:t xml:space="preserve">ompost </w:t>
            </w:r>
            <w:r>
              <w:rPr>
                <w:rFonts w:ascii="Arial" w:hAnsi="Arial" w:cs="Arial"/>
                <w:sz w:val="18"/>
                <w:szCs w:val="18"/>
              </w:rPr>
              <w:t>U</w:t>
            </w:r>
            <w:r w:rsidRPr="00427AFC">
              <w:rPr>
                <w:rFonts w:ascii="Arial" w:hAnsi="Arial" w:cs="Arial"/>
                <w:sz w:val="18"/>
                <w:szCs w:val="18"/>
              </w:rPr>
              <w:t xml:space="preserve">tilisation </w:t>
            </w:r>
            <w:r>
              <w:rPr>
                <w:rFonts w:ascii="Arial" w:hAnsi="Arial" w:cs="Arial"/>
                <w:sz w:val="18"/>
                <w:szCs w:val="18"/>
              </w:rPr>
              <w:t>Trial</w:t>
            </w:r>
          </w:p>
        </w:tc>
        <w:tc>
          <w:tcPr>
            <w:tcW w:w="1589" w:type="dxa"/>
            <w:noWrap/>
          </w:tcPr>
          <w:p w14:paraId="4155B142" w14:textId="77777777" w:rsidR="00254D1D" w:rsidRDefault="00254D1D">
            <w:pPr>
              <w:pStyle w:val="Tablerightlarge"/>
              <w:jc w:val="left"/>
              <w:rPr>
                <w:sz w:val="18"/>
                <w:szCs w:val="18"/>
              </w:rPr>
            </w:pPr>
            <w:r>
              <w:rPr>
                <w:sz w:val="18"/>
                <w:szCs w:val="18"/>
              </w:rPr>
              <w:t>$18,000</w:t>
            </w:r>
          </w:p>
        </w:tc>
      </w:tr>
      <w:tr w:rsidR="00254D1D" w:rsidRPr="0012521E" w14:paraId="15607BEA" w14:textId="77777777">
        <w:tc>
          <w:tcPr>
            <w:tcW w:w="3397" w:type="dxa"/>
            <w:noWrap/>
          </w:tcPr>
          <w:p w14:paraId="71FBBF63" w14:textId="77777777" w:rsidR="00254D1D" w:rsidRPr="007A0784" w:rsidRDefault="00254D1D">
            <w:pPr>
              <w:pStyle w:val="TableText"/>
              <w:rPr>
                <w:rFonts w:ascii="Arial" w:hAnsi="Arial" w:cs="Arial"/>
                <w:sz w:val="18"/>
                <w:szCs w:val="18"/>
              </w:rPr>
            </w:pPr>
            <w:r w:rsidRPr="0065630A">
              <w:rPr>
                <w:rFonts w:ascii="Arial" w:hAnsi="Arial" w:cs="Arial"/>
                <w:sz w:val="18"/>
                <w:szCs w:val="18"/>
              </w:rPr>
              <w:t>Boots For All Inc</w:t>
            </w:r>
          </w:p>
        </w:tc>
        <w:tc>
          <w:tcPr>
            <w:tcW w:w="3969" w:type="dxa"/>
            <w:noWrap/>
          </w:tcPr>
          <w:p w14:paraId="61EA32B9" w14:textId="77777777" w:rsidR="00254D1D" w:rsidRPr="00427AFC" w:rsidRDefault="00254D1D">
            <w:pPr>
              <w:pStyle w:val="TableText"/>
              <w:rPr>
                <w:rFonts w:ascii="Arial" w:hAnsi="Arial" w:cs="Arial"/>
                <w:sz w:val="18"/>
                <w:szCs w:val="18"/>
              </w:rPr>
            </w:pPr>
            <w:r w:rsidRPr="00344ED1">
              <w:rPr>
                <w:rFonts w:ascii="Arial" w:hAnsi="Arial" w:cs="Arial"/>
                <w:sz w:val="18"/>
                <w:szCs w:val="18"/>
              </w:rPr>
              <w:t>Sport for All - Uni Hill: Sporting Goods Rebound Platform</w:t>
            </w:r>
          </w:p>
        </w:tc>
        <w:tc>
          <w:tcPr>
            <w:tcW w:w="1589" w:type="dxa"/>
            <w:noWrap/>
          </w:tcPr>
          <w:p w14:paraId="70A8C37D" w14:textId="77777777" w:rsidR="00254D1D" w:rsidRDefault="00254D1D">
            <w:pPr>
              <w:pStyle w:val="Tablerightlarge"/>
              <w:jc w:val="left"/>
              <w:rPr>
                <w:sz w:val="18"/>
                <w:szCs w:val="18"/>
              </w:rPr>
            </w:pPr>
            <w:r>
              <w:rPr>
                <w:sz w:val="18"/>
                <w:szCs w:val="18"/>
              </w:rPr>
              <w:t>$5,900</w:t>
            </w:r>
          </w:p>
        </w:tc>
      </w:tr>
      <w:tr w:rsidR="00254D1D" w:rsidRPr="0012521E" w14:paraId="70EA4311" w14:textId="77777777">
        <w:tc>
          <w:tcPr>
            <w:tcW w:w="3397" w:type="dxa"/>
            <w:noWrap/>
          </w:tcPr>
          <w:p w14:paraId="317E69E5" w14:textId="77777777" w:rsidR="00254D1D" w:rsidRPr="0065630A" w:rsidRDefault="00254D1D">
            <w:pPr>
              <w:pStyle w:val="TableText"/>
              <w:rPr>
                <w:rFonts w:ascii="Arial" w:hAnsi="Arial" w:cs="Arial"/>
                <w:sz w:val="18"/>
                <w:szCs w:val="18"/>
              </w:rPr>
            </w:pPr>
            <w:r w:rsidRPr="0043766B">
              <w:rPr>
                <w:rFonts w:ascii="Arial" w:hAnsi="Arial" w:cs="Arial"/>
                <w:sz w:val="18"/>
                <w:szCs w:val="18"/>
              </w:rPr>
              <w:t>Boroondara City Council</w:t>
            </w:r>
          </w:p>
        </w:tc>
        <w:tc>
          <w:tcPr>
            <w:tcW w:w="3969" w:type="dxa"/>
            <w:noWrap/>
          </w:tcPr>
          <w:p w14:paraId="59B13E45" w14:textId="77777777" w:rsidR="00254D1D" w:rsidRPr="00344ED1" w:rsidRDefault="00254D1D">
            <w:pPr>
              <w:pStyle w:val="TableText"/>
              <w:rPr>
                <w:rFonts w:ascii="Arial" w:hAnsi="Arial" w:cs="Arial"/>
                <w:sz w:val="18"/>
                <w:szCs w:val="18"/>
              </w:rPr>
            </w:pPr>
            <w:r w:rsidRPr="000037D3">
              <w:rPr>
                <w:rFonts w:ascii="Arial" w:hAnsi="Arial" w:cs="Arial"/>
                <w:sz w:val="18"/>
                <w:szCs w:val="18"/>
              </w:rPr>
              <w:t>Boroondara's Targeted Contamination Minimisation Education</w:t>
            </w:r>
          </w:p>
        </w:tc>
        <w:tc>
          <w:tcPr>
            <w:tcW w:w="1589" w:type="dxa"/>
            <w:noWrap/>
          </w:tcPr>
          <w:p w14:paraId="7FAED33A" w14:textId="77777777" w:rsidR="00254D1D" w:rsidRDefault="00254D1D">
            <w:pPr>
              <w:pStyle w:val="Tablerightlarge"/>
              <w:jc w:val="left"/>
              <w:rPr>
                <w:sz w:val="18"/>
                <w:szCs w:val="18"/>
              </w:rPr>
            </w:pPr>
            <w:r>
              <w:rPr>
                <w:sz w:val="18"/>
                <w:szCs w:val="18"/>
              </w:rPr>
              <w:t>$48,000</w:t>
            </w:r>
          </w:p>
        </w:tc>
      </w:tr>
      <w:tr w:rsidR="00254D1D" w:rsidRPr="0012521E" w14:paraId="6F62DE4F" w14:textId="77777777">
        <w:tc>
          <w:tcPr>
            <w:tcW w:w="3397" w:type="dxa"/>
            <w:noWrap/>
          </w:tcPr>
          <w:p w14:paraId="661BCBB3" w14:textId="77777777" w:rsidR="00254D1D" w:rsidRPr="0043766B" w:rsidRDefault="00254D1D">
            <w:pPr>
              <w:pStyle w:val="TableText"/>
              <w:rPr>
                <w:rFonts w:ascii="Arial" w:hAnsi="Arial" w:cs="Arial"/>
                <w:sz w:val="18"/>
                <w:szCs w:val="18"/>
              </w:rPr>
            </w:pPr>
            <w:r w:rsidRPr="0043766B">
              <w:rPr>
                <w:rFonts w:ascii="Arial" w:hAnsi="Arial" w:cs="Arial"/>
                <w:sz w:val="18"/>
                <w:szCs w:val="18"/>
              </w:rPr>
              <w:t>Boroondara City Council</w:t>
            </w:r>
          </w:p>
        </w:tc>
        <w:tc>
          <w:tcPr>
            <w:tcW w:w="3969" w:type="dxa"/>
            <w:noWrap/>
          </w:tcPr>
          <w:p w14:paraId="53627ADA" w14:textId="77777777" w:rsidR="00254D1D" w:rsidRPr="000037D3" w:rsidRDefault="00254D1D">
            <w:pPr>
              <w:pStyle w:val="TableText"/>
              <w:rPr>
                <w:rFonts w:ascii="Arial" w:hAnsi="Arial" w:cs="Arial"/>
                <w:sz w:val="18"/>
                <w:szCs w:val="18"/>
              </w:rPr>
            </w:pPr>
            <w:r w:rsidRPr="00D97E19">
              <w:rPr>
                <w:rFonts w:ascii="Arial" w:hAnsi="Arial" w:cs="Arial"/>
                <w:sz w:val="18"/>
                <w:szCs w:val="18"/>
              </w:rPr>
              <w:t>CCCEA RD2 Energy Efficiency Upgrades - Boroondara City Council</w:t>
            </w:r>
          </w:p>
        </w:tc>
        <w:tc>
          <w:tcPr>
            <w:tcW w:w="1589" w:type="dxa"/>
            <w:noWrap/>
          </w:tcPr>
          <w:p w14:paraId="040FDB76" w14:textId="77777777" w:rsidR="00254D1D" w:rsidRDefault="00254D1D">
            <w:pPr>
              <w:pStyle w:val="Tablerightlarge"/>
              <w:jc w:val="left"/>
              <w:rPr>
                <w:sz w:val="18"/>
                <w:szCs w:val="18"/>
              </w:rPr>
            </w:pPr>
            <w:r>
              <w:rPr>
                <w:sz w:val="18"/>
                <w:szCs w:val="18"/>
              </w:rPr>
              <w:t>$6,738</w:t>
            </w:r>
          </w:p>
        </w:tc>
      </w:tr>
      <w:tr w:rsidR="00254D1D" w:rsidRPr="0012521E" w14:paraId="62A00FD1" w14:textId="77777777">
        <w:tc>
          <w:tcPr>
            <w:tcW w:w="3397" w:type="dxa"/>
            <w:noWrap/>
          </w:tcPr>
          <w:p w14:paraId="3EF76F7D" w14:textId="77777777" w:rsidR="00254D1D" w:rsidRPr="0043766B" w:rsidRDefault="00254D1D">
            <w:pPr>
              <w:pStyle w:val="TableText"/>
              <w:rPr>
                <w:rFonts w:ascii="Arial" w:hAnsi="Arial" w:cs="Arial"/>
                <w:sz w:val="18"/>
                <w:szCs w:val="18"/>
              </w:rPr>
            </w:pPr>
            <w:r w:rsidRPr="00C91573">
              <w:rPr>
                <w:rFonts w:ascii="Arial" w:hAnsi="Arial" w:cs="Arial"/>
                <w:sz w:val="18"/>
                <w:szCs w:val="18"/>
              </w:rPr>
              <w:t xml:space="preserve">Borough of </w:t>
            </w:r>
            <w:proofErr w:type="spellStart"/>
            <w:r w:rsidRPr="00C91573">
              <w:rPr>
                <w:rFonts w:ascii="Arial" w:hAnsi="Arial" w:cs="Arial"/>
                <w:sz w:val="18"/>
                <w:szCs w:val="18"/>
              </w:rPr>
              <w:t>Queenscliffe</w:t>
            </w:r>
            <w:proofErr w:type="spellEnd"/>
          </w:p>
        </w:tc>
        <w:tc>
          <w:tcPr>
            <w:tcW w:w="3969" w:type="dxa"/>
            <w:noWrap/>
          </w:tcPr>
          <w:p w14:paraId="357CF2BD" w14:textId="77777777" w:rsidR="00254D1D" w:rsidRPr="00D97E19" w:rsidRDefault="00254D1D">
            <w:pPr>
              <w:pStyle w:val="TableText"/>
              <w:rPr>
                <w:rFonts w:ascii="Arial" w:hAnsi="Arial" w:cs="Arial"/>
                <w:sz w:val="18"/>
                <w:szCs w:val="18"/>
              </w:rPr>
            </w:pPr>
            <w:r w:rsidRPr="003F16A5">
              <w:rPr>
                <w:rFonts w:ascii="Arial" w:hAnsi="Arial" w:cs="Arial"/>
                <w:sz w:val="18"/>
                <w:szCs w:val="18"/>
              </w:rPr>
              <w:t xml:space="preserve">CCCEA RD2 Energy Efficiency Upgrades - Borough of </w:t>
            </w:r>
            <w:proofErr w:type="spellStart"/>
            <w:r w:rsidRPr="003F16A5">
              <w:rPr>
                <w:rFonts w:ascii="Arial" w:hAnsi="Arial" w:cs="Arial"/>
                <w:sz w:val="18"/>
                <w:szCs w:val="18"/>
              </w:rPr>
              <w:t>Queenscliffe</w:t>
            </w:r>
            <w:proofErr w:type="spellEnd"/>
          </w:p>
        </w:tc>
        <w:tc>
          <w:tcPr>
            <w:tcW w:w="1589" w:type="dxa"/>
            <w:noWrap/>
          </w:tcPr>
          <w:p w14:paraId="15791ED2" w14:textId="77777777" w:rsidR="00254D1D" w:rsidRDefault="00254D1D">
            <w:pPr>
              <w:pStyle w:val="Tablerightlarge"/>
              <w:jc w:val="left"/>
              <w:rPr>
                <w:sz w:val="18"/>
                <w:szCs w:val="18"/>
              </w:rPr>
            </w:pPr>
            <w:r>
              <w:rPr>
                <w:sz w:val="18"/>
                <w:szCs w:val="18"/>
              </w:rPr>
              <w:t>$5,982</w:t>
            </w:r>
          </w:p>
        </w:tc>
      </w:tr>
      <w:tr w:rsidR="00254D1D" w14:paraId="5A52CC1E" w14:textId="77777777">
        <w:trPr>
          <w:trHeight w:val="300"/>
        </w:trPr>
        <w:tc>
          <w:tcPr>
            <w:tcW w:w="3397" w:type="dxa"/>
            <w:noWrap/>
          </w:tcPr>
          <w:p w14:paraId="318BA13D" w14:textId="77777777" w:rsidR="00254D1D" w:rsidRDefault="00254D1D">
            <w:pPr>
              <w:pStyle w:val="TableText"/>
              <w:rPr>
                <w:rFonts w:ascii="Arial" w:hAnsi="Arial" w:cs="Arial"/>
                <w:sz w:val="18"/>
                <w:szCs w:val="18"/>
                <w:highlight w:val="yellow"/>
              </w:rPr>
            </w:pPr>
            <w:r w:rsidRPr="00BB78D3">
              <w:rPr>
                <w:rFonts w:ascii="Arial" w:hAnsi="Arial" w:cs="Arial"/>
                <w:sz w:val="18"/>
                <w:szCs w:val="18"/>
              </w:rPr>
              <w:t xml:space="preserve">Borough of </w:t>
            </w:r>
            <w:proofErr w:type="spellStart"/>
            <w:r w:rsidRPr="00BB78D3">
              <w:rPr>
                <w:rFonts w:ascii="Arial" w:hAnsi="Arial" w:cs="Arial"/>
                <w:sz w:val="18"/>
                <w:szCs w:val="18"/>
              </w:rPr>
              <w:t>Queenscliffe</w:t>
            </w:r>
            <w:proofErr w:type="spellEnd"/>
          </w:p>
        </w:tc>
        <w:tc>
          <w:tcPr>
            <w:tcW w:w="3969" w:type="dxa"/>
            <w:noWrap/>
          </w:tcPr>
          <w:p w14:paraId="54B5729B" w14:textId="77777777" w:rsidR="00254D1D" w:rsidRPr="00BB78D3" w:rsidRDefault="00254D1D">
            <w:pPr>
              <w:pStyle w:val="TableText"/>
              <w:rPr>
                <w:rFonts w:ascii="Arial" w:hAnsi="Arial" w:cs="Arial"/>
                <w:sz w:val="18"/>
                <w:szCs w:val="18"/>
              </w:rPr>
            </w:pPr>
            <w:proofErr w:type="spellStart"/>
            <w:r w:rsidRPr="00BB78D3">
              <w:rPr>
                <w:rFonts w:ascii="Arial" w:hAnsi="Arial" w:cs="Arial"/>
                <w:sz w:val="18"/>
                <w:szCs w:val="18"/>
              </w:rPr>
              <w:t>Queenscliffe's</w:t>
            </w:r>
            <w:proofErr w:type="spellEnd"/>
            <w:r w:rsidRPr="00BB78D3">
              <w:rPr>
                <w:rFonts w:ascii="Arial" w:hAnsi="Arial" w:cs="Arial"/>
                <w:sz w:val="18"/>
                <w:szCs w:val="18"/>
              </w:rPr>
              <w:t xml:space="preserve"> Promoting and Improving Household Recycling Services – Household Education</w:t>
            </w:r>
          </w:p>
        </w:tc>
        <w:tc>
          <w:tcPr>
            <w:tcW w:w="1589" w:type="dxa"/>
            <w:noWrap/>
          </w:tcPr>
          <w:p w14:paraId="4FFA8F28" w14:textId="77777777" w:rsidR="00254D1D" w:rsidRPr="00BB78D3" w:rsidRDefault="00254D1D">
            <w:pPr>
              <w:pStyle w:val="Tablerightlarge"/>
              <w:jc w:val="left"/>
              <w:rPr>
                <w:sz w:val="18"/>
                <w:szCs w:val="18"/>
              </w:rPr>
            </w:pPr>
            <w:r w:rsidRPr="00BB78D3">
              <w:rPr>
                <w:sz w:val="18"/>
                <w:szCs w:val="18"/>
              </w:rPr>
              <w:t>$25,950</w:t>
            </w:r>
          </w:p>
        </w:tc>
      </w:tr>
      <w:tr w:rsidR="00254D1D" w:rsidRPr="0012521E" w14:paraId="7367F9F2" w14:textId="77777777">
        <w:tc>
          <w:tcPr>
            <w:tcW w:w="3397" w:type="dxa"/>
            <w:noWrap/>
          </w:tcPr>
          <w:p w14:paraId="356D8BE4" w14:textId="77777777" w:rsidR="00254D1D" w:rsidRPr="00C91573" w:rsidRDefault="00254D1D">
            <w:pPr>
              <w:pStyle w:val="TableText"/>
              <w:rPr>
                <w:rFonts w:ascii="Arial" w:hAnsi="Arial" w:cs="Arial"/>
                <w:sz w:val="18"/>
                <w:szCs w:val="18"/>
              </w:rPr>
            </w:pPr>
            <w:r w:rsidRPr="00530507">
              <w:rPr>
                <w:rFonts w:ascii="Arial" w:hAnsi="Arial" w:cs="Arial"/>
                <w:sz w:val="18"/>
                <w:szCs w:val="18"/>
              </w:rPr>
              <w:t>Boundary Bend Olives</w:t>
            </w:r>
            <w:r>
              <w:rPr>
                <w:rFonts w:ascii="Arial" w:hAnsi="Arial" w:cs="Arial"/>
                <w:sz w:val="18"/>
                <w:szCs w:val="18"/>
              </w:rPr>
              <w:t xml:space="preserve"> Pty Ltd</w:t>
            </w:r>
          </w:p>
        </w:tc>
        <w:tc>
          <w:tcPr>
            <w:tcW w:w="3969" w:type="dxa"/>
            <w:noWrap/>
          </w:tcPr>
          <w:p w14:paraId="469C805F" w14:textId="77777777" w:rsidR="00254D1D" w:rsidRPr="003F16A5" w:rsidRDefault="00254D1D">
            <w:pPr>
              <w:pStyle w:val="TableText"/>
              <w:rPr>
                <w:rFonts w:ascii="Arial" w:hAnsi="Arial" w:cs="Arial"/>
                <w:sz w:val="18"/>
                <w:szCs w:val="18"/>
              </w:rPr>
            </w:pPr>
            <w:r w:rsidRPr="00083CF2">
              <w:rPr>
                <w:rFonts w:ascii="Arial" w:hAnsi="Arial" w:cs="Arial"/>
                <w:sz w:val="18"/>
                <w:szCs w:val="18"/>
              </w:rPr>
              <w:t xml:space="preserve">Building Australia’s First Zero-Waste Hub </w:t>
            </w:r>
            <w:r>
              <w:rPr>
                <w:rFonts w:ascii="Arial" w:hAnsi="Arial" w:cs="Arial"/>
                <w:sz w:val="18"/>
                <w:szCs w:val="18"/>
              </w:rPr>
              <w:t>f</w:t>
            </w:r>
            <w:r w:rsidRPr="00083CF2">
              <w:rPr>
                <w:rFonts w:ascii="Arial" w:hAnsi="Arial" w:cs="Arial"/>
                <w:sz w:val="18"/>
                <w:szCs w:val="18"/>
              </w:rPr>
              <w:t>or Olive Growers</w:t>
            </w:r>
          </w:p>
        </w:tc>
        <w:tc>
          <w:tcPr>
            <w:tcW w:w="1589" w:type="dxa"/>
            <w:noWrap/>
          </w:tcPr>
          <w:p w14:paraId="7CF58E7B" w14:textId="77777777" w:rsidR="00254D1D" w:rsidRDefault="00254D1D">
            <w:pPr>
              <w:pStyle w:val="Tablerightlarge"/>
              <w:jc w:val="left"/>
              <w:rPr>
                <w:sz w:val="18"/>
                <w:szCs w:val="18"/>
              </w:rPr>
            </w:pPr>
            <w:r>
              <w:rPr>
                <w:sz w:val="18"/>
                <w:szCs w:val="18"/>
              </w:rPr>
              <w:t>$70,000</w:t>
            </w:r>
          </w:p>
        </w:tc>
      </w:tr>
      <w:tr w:rsidR="00254D1D" w:rsidRPr="0012521E" w14:paraId="31F26730" w14:textId="77777777">
        <w:tc>
          <w:tcPr>
            <w:tcW w:w="3397" w:type="dxa"/>
            <w:noWrap/>
          </w:tcPr>
          <w:p w14:paraId="76EC9D17" w14:textId="77777777" w:rsidR="00254D1D" w:rsidRPr="00530507" w:rsidRDefault="00254D1D">
            <w:pPr>
              <w:pStyle w:val="TableText"/>
              <w:rPr>
                <w:rFonts w:ascii="Arial" w:hAnsi="Arial" w:cs="Arial"/>
                <w:sz w:val="18"/>
                <w:szCs w:val="18"/>
              </w:rPr>
            </w:pPr>
            <w:r w:rsidRPr="00D305C6">
              <w:rPr>
                <w:rFonts w:ascii="Arial" w:hAnsi="Arial" w:cs="Arial"/>
                <w:sz w:val="18"/>
                <w:szCs w:val="18"/>
              </w:rPr>
              <w:t>Brainwave Australia</w:t>
            </w:r>
          </w:p>
        </w:tc>
        <w:tc>
          <w:tcPr>
            <w:tcW w:w="3969" w:type="dxa"/>
            <w:noWrap/>
          </w:tcPr>
          <w:p w14:paraId="6E537603" w14:textId="77777777" w:rsidR="00254D1D" w:rsidRPr="00083CF2" w:rsidRDefault="00254D1D">
            <w:pPr>
              <w:pStyle w:val="TableText"/>
              <w:rPr>
                <w:rFonts w:ascii="Arial" w:hAnsi="Arial" w:cs="Arial"/>
                <w:sz w:val="18"/>
                <w:szCs w:val="18"/>
              </w:rPr>
            </w:pPr>
            <w:r w:rsidRPr="00815DF5">
              <w:rPr>
                <w:rFonts w:ascii="Arial" w:hAnsi="Arial" w:cs="Arial"/>
                <w:sz w:val="18"/>
                <w:szCs w:val="18"/>
              </w:rPr>
              <w:t xml:space="preserve">Brainwave Bikes - LGA Bike Recycling </w:t>
            </w:r>
            <w:r>
              <w:rPr>
                <w:rFonts w:ascii="Arial" w:hAnsi="Arial" w:cs="Arial"/>
                <w:sz w:val="18"/>
                <w:szCs w:val="18"/>
              </w:rPr>
              <w:t>P</w:t>
            </w:r>
            <w:r w:rsidRPr="00815DF5">
              <w:rPr>
                <w:rFonts w:ascii="Arial" w:hAnsi="Arial" w:cs="Arial"/>
                <w:sz w:val="18"/>
                <w:szCs w:val="18"/>
              </w:rPr>
              <w:t>rogram</w:t>
            </w:r>
          </w:p>
        </w:tc>
        <w:tc>
          <w:tcPr>
            <w:tcW w:w="1589" w:type="dxa"/>
            <w:noWrap/>
          </w:tcPr>
          <w:p w14:paraId="12E33845" w14:textId="77777777" w:rsidR="00254D1D" w:rsidRDefault="00254D1D">
            <w:pPr>
              <w:pStyle w:val="Tablerightlarge"/>
              <w:jc w:val="left"/>
              <w:rPr>
                <w:sz w:val="18"/>
                <w:szCs w:val="18"/>
              </w:rPr>
            </w:pPr>
            <w:r>
              <w:rPr>
                <w:sz w:val="18"/>
                <w:szCs w:val="18"/>
              </w:rPr>
              <w:t>$40,750</w:t>
            </w:r>
          </w:p>
        </w:tc>
      </w:tr>
      <w:tr w:rsidR="00254D1D" w:rsidRPr="0012521E" w14:paraId="26B0D835" w14:textId="77777777">
        <w:tc>
          <w:tcPr>
            <w:tcW w:w="3397" w:type="dxa"/>
            <w:noWrap/>
          </w:tcPr>
          <w:p w14:paraId="3B6D7826" w14:textId="77777777" w:rsidR="00254D1D" w:rsidRPr="00D305C6" w:rsidRDefault="00254D1D">
            <w:pPr>
              <w:pStyle w:val="TableText"/>
              <w:rPr>
                <w:rFonts w:ascii="Arial" w:hAnsi="Arial" w:cs="Arial"/>
                <w:sz w:val="18"/>
                <w:szCs w:val="18"/>
              </w:rPr>
            </w:pPr>
            <w:proofErr w:type="spellStart"/>
            <w:r>
              <w:rPr>
                <w:rFonts w:ascii="Arial" w:hAnsi="Arial" w:cs="Arial"/>
                <w:sz w:val="18"/>
                <w:szCs w:val="18"/>
              </w:rPr>
              <w:t>Brimbank</w:t>
            </w:r>
            <w:proofErr w:type="spellEnd"/>
            <w:r>
              <w:rPr>
                <w:rFonts w:ascii="Arial" w:hAnsi="Arial" w:cs="Arial"/>
                <w:sz w:val="18"/>
                <w:szCs w:val="18"/>
              </w:rPr>
              <w:t xml:space="preserve"> City Council</w:t>
            </w:r>
          </w:p>
        </w:tc>
        <w:tc>
          <w:tcPr>
            <w:tcW w:w="3969" w:type="dxa"/>
            <w:noWrap/>
          </w:tcPr>
          <w:p w14:paraId="71A7303B" w14:textId="77777777" w:rsidR="00254D1D" w:rsidRPr="00815DF5" w:rsidRDefault="00254D1D">
            <w:pPr>
              <w:pStyle w:val="TableText"/>
              <w:rPr>
                <w:rFonts w:ascii="Arial" w:hAnsi="Arial" w:cs="Arial"/>
                <w:sz w:val="18"/>
                <w:szCs w:val="18"/>
              </w:rPr>
            </w:pPr>
            <w:proofErr w:type="spellStart"/>
            <w:r w:rsidRPr="0077782C">
              <w:rPr>
                <w:rFonts w:ascii="Arial" w:hAnsi="Arial" w:cs="Arial"/>
                <w:sz w:val="18"/>
                <w:szCs w:val="18"/>
              </w:rPr>
              <w:t>Brimbank</w:t>
            </w:r>
            <w:proofErr w:type="spellEnd"/>
            <w:r w:rsidRPr="0077782C">
              <w:rPr>
                <w:rFonts w:ascii="Arial" w:hAnsi="Arial" w:cs="Arial"/>
                <w:sz w:val="18"/>
                <w:szCs w:val="18"/>
              </w:rPr>
              <w:t xml:space="preserve"> Improving Recycling </w:t>
            </w:r>
            <w:r>
              <w:rPr>
                <w:rFonts w:ascii="Arial" w:hAnsi="Arial" w:cs="Arial"/>
                <w:sz w:val="18"/>
                <w:szCs w:val="18"/>
              </w:rPr>
              <w:t>a</w:t>
            </w:r>
            <w:r w:rsidRPr="0077782C">
              <w:rPr>
                <w:rFonts w:ascii="Arial" w:hAnsi="Arial" w:cs="Arial"/>
                <w:sz w:val="18"/>
                <w:szCs w:val="18"/>
              </w:rPr>
              <w:t xml:space="preserve">nd Promoting </w:t>
            </w:r>
            <w:r w:rsidRPr="006B4895">
              <w:rPr>
                <w:rFonts w:ascii="Arial" w:hAnsi="Arial" w:cs="Arial"/>
                <w:sz w:val="18"/>
                <w:szCs w:val="18"/>
              </w:rPr>
              <w:t>FOGO – Household Education</w:t>
            </w:r>
          </w:p>
        </w:tc>
        <w:tc>
          <w:tcPr>
            <w:tcW w:w="1589" w:type="dxa"/>
            <w:noWrap/>
          </w:tcPr>
          <w:p w14:paraId="35F22CE3" w14:textId="77777777" w:rsidR="00254D1D" w:rsidRDefault="00254D1D">
            <w:pPr>
              <w:pStyle w:val="Tablerightlarge"/>
              <w:jc w:val="left"/>
              <w:rPr>
                <w:sz w:val="18"/>
                <w:szCs w:val="18"/>
              </w:rPr>
            </w:pPr>
            <w:r>
              <w:rPr>
                <w:sz w:val="18"/>
                <w:szCs w:val="18"/>
              </w:rPr>
              <w:t>$50,850</w:t>
            </w:r>
          </w:p>
        </w:tc>
      </w:tr>
      <w:tr w:rsidR="00254D1D" w:rsidRPr="0012521E" w14:paraId="533C05E9" w14:textId="77777777">
        <w:tc>
          <w:tcPr>
            <w:tcW w:w="3397" w:type="dxa"/>
            <w:noWrap/>
          </w:tcPr>
          <w:p w14:paraId="696337A0" w14:textId="77777777" w:rsidR="00254D1D" w:rsidRDefault="00254D1D">
            <w:pPr>
              <w:pStyle w:val="TableText"/>
              <w:rPr>
                <w:rFonts w:ascii="Arial" w:hAnsi="Arial" w:cs="Arial"/>
                <w:sz w:val="18"/>
                <w:szCs w:val="18"/>
              </w:rPr>
            </w:pPr>
            <w:r w:rsidRPr="00CB104E">
              <w:rPr>
                <w:rFonts w:ascii="Arial" w:hAnsi="Arial" w:cs="Arial"/>
                <w:sz w:val="18"/>
                <w:szCs w:val="18"/>
              </w:rPr>
              <w:t>Brunswick Neighbourhood House</w:t>
            </w:r>
            <w:r>
              <w:rPr>
                <w:rFonts w:ascii="Arial" w:hAnsi="Arial" w:cs="Arial"/>
                <w:sz w:val="18"/>
                <w:szCs w:val="18"/>
              </w:rPr>
              <w:t xml:space="preserve"> </w:t>
            </w:r>
          </w:p>
          <w:p w14:paraId="1E59F52E" w14:textId="77777777" w:rsidR="00254D1D" w:rsidRDefault="00254D1D">
            <w:pPr>
              <w:pStyle w:val="TableText"/>
              <w:rPr>
                <w:rFonts w:ascii="Arial" w:hAnsi="Arial" w:cs="Arial"/>
                <w:sz w:val="18"/>
                <w:szCs w:val="18"/>
              </w:rPr>
            </w:pPr>
            <w:r>
              <w:rPr>
                <w:rFonts w:ascii="Arial" w:hAnsi="Arial" w:cs="Arial"/>
                <w:sz w:val="18"/>
                <w:szCs w:val="18"/>
              </w:rPr>
              <w:t>Co-op Ltd</w:t>
            </w:r>
          </w:p>
        </w:tc>
        <w:tc>
          <w:tcPr>
            <w:tcW w:w="3969" w:type="dxa"/>
            <w:noWrap/>
          </w:tcPr>
          <w:p w14:paraId="7C1FA971" w14:textId="77777777" w:rsidR="00254D1D" w:rsidRPr="0077782C" w:rsidRDefault="00254D1D">
            <w:pPr>
              <w:pStyle w:val="TableText"/>
              <w:rPr>
                <w:rFonts w:ascii="Arial" w:hAnsi="Arial" w:cs="Arial"/>
                <w:sz w:val="18"/>
                <w:szCs w:val="18"/>
              </w:rPr>
            </w:pPr>
            <w:r w:rsidRPr="00F20B59">
              <w:rPr>
                <w:rFonts w:ascii="Arial" w:hAnsi="Arial" w:cs="Arial"/>
                <w:sz w:val="18"/>
                <w:szCs w:val="18"/>
              </w:rPr>
              <w:t>Waste Less Recycle More</w:t>
            </w:r>
            <w:r>
              <w:rPr>
                <w:rFonts w:ascii="Arial" w:hAnsi="Arial" w:cs="Arial"/>
                <w:sz w:val="18"/>
                <w:szCs w:val="18"/>
              </w:rPr>
              <w:t>: demonstrate how to grow one’s own food and incorporate closed loop agricultural practices through composting and worm farming</w:t>
            </w:r>
          </w:p>
        </w:tc>
        <w:tc>
          <w:tcPr>
            <w:tcW w:w="1589" w:type="dxa"/>
            <w:noWrap/>
          </w:tcPr>
          <w:p w14:paraId="65B45C0B" w14:textId="77777777" w:rsidR="00254D1D" w:rsidRDefault="00254D1D">
            <w:pPr>
              <w:pStyle w:val="Tablerightlarge"/>
              <w:jc w:val="left"/>
              <w:rPr>
                <w:sz w:val="18"/>
                <w:szCs w:val="18"/>
              </w:rPr>
            </w:pPr>
            <w:r>
              <w:rPr>
                <w:sz w:val="18"/>
                <w:szCs w:val="18"/>
              </w:rPr>
              <w:t>$32,450</w:t>
            </w:r>
          </w:p>
        </w:tc>
      </w:tr>
      <w:tr w:rsidR="00254D1D" w:rsidRPr="0012521E" w14:paraId="2887B6D2" w14:textId="77777777">
        <w:tc>
          <w:tcPr>
            <w:tcW w:w="3397" w:type="dxa"/>
            <w:noWrap/>
          </w:tcPr>
          <w:p w14:paraId="40BB9569" w14:textId="77777777" w:rsidR="00254D1D" w:rsidRPr="00CB104E" w:rsidRDefault="00254D1D">
            <w:pPr>
              <w:pStyle w:val="TableText"/>
              <w:rPr>
                <w:rFonts w:ascii="Arial" w:hAnsi="Arial" w:cs="Arial"/>
                <w:sz w:val="18"/>
                <w:szCs w:val="18"/>
              </w:rPr>
            </w:pPr>
            <w:proofErr w:type="spellStart"/>
            <w:r w:rsidRPr="00B27E3D">
              <w:rPr>
                <w:rFonts w:ascii="Arial" w:hAnsi="Arial" w:cs="Arial"/>
                <w:sz w:val="18"/>
                <w:szCs w:val="18"/>
              </w:rPr>
              <w:t>Buloke</w:t>
            </w:r>
            <w:proofErr w:type="spellEnd"/>
            <w:r w:rsidRPr="00B27E3D">
              <w:rPr>
                <w:rFonts w:ascii="Arial" w:hAnsi="Arial" w:cs="Arial"/>
                <w:sz w:val="18"/>
                <w:szCs w:val="18"/>
              </w:rPr>
              <w:t xml:space="preserve"> Shire Council</w:t>
            </w:r>
          </w:p>
        </w:tc>
        <w:tc>
          <w:tcPr>
            <w:tcW w:w="3969" w:type="dxa"/>
            <w:noWrap/>
          </w:tcPr>
          <w:p w14:paraId="775FA7D8" w14:textId="77777777" w:rsidR="00254D1D" w:rsidRPr="00F20B59" w:rsidRDefault="00254D1D">
            <w:pPr>
              <w:pStyle w:val="TableText"/>
              <w:rPr>
                <w:rFonts w:ascii="Arial" w:hAnsi="Arial" w:cs="Arial"/>
                <w:sz w:val="18"/>
                <w:szCs w:val="18"/>
              </w:rPr>
            </w:pPr>
            <w:proofErr w:type="spellStart"/>
            <w:r w:rsidRPr="00D91F7E">
              <w:rPr>
                <w:rFonts w:ascii="Arial" w:hAnsi="Arial" w:cs="Arial"/>
                <w:sz w:val="18"/>
                <w:szCs w:val="18"/>
              </w:rPr>
              <w:t>Buloke</w:t>
            </w:r>
            <w:proofErr w:type="spellEnd"/>
            <w:r w:rsidRPr="00D91F7E">
              <w:rPr>
                <w:rFonts w:ascii="Arial" w:hAnsi="Arial" w:cs="Arial"/>
                <w:sz w:val="18"/>
                <w:szCs w:val="18"/>
              </w:rPr>
              <w:t xml:space="preserve"> Shire Council - Glass </w:t>
            </w:r>
            <w:r>
              <w:rPr>
                <w:rFonts w:ascii="Arial" w:hAnsi="Arial" w:cs="Arial"/>
                <w:sz w:val="18"/>
                <w:szCs w:val="18"/>
              </w:rPr>
              <w:t>Out</w:t>
            </w:r>
            <w:r w:rsidRPr="000D7D8D">
              <w:rPr>
                <w:rFonts w:ascii="Arial" w:hAnsi="Arial" w:cs="Arial"/>
                <w:sz w:val="18"/>
                <w:szCs w:val="18"/>
              </w:rPr>
              <w:t xml:space="preserve"> – Household Education</w:t>
            </w:r>
          </w:p>
        </w:tc>
        <w:tc>
          <w:tcPr>
            <w:tcW w:w="1589" w:type="dxa"/>
            <w:noWrap/>
          </w:tcPr>
          <w:p w14:paraId="2BB70D58" w14:textId="77777777" w:rsidR="00254D1D" w:rsidRDefault="00254D1D">
            <w:pPr>
              <w:rPr>
                <w:sz w:val="18"/>
                <w:szCs w:val="18"/>
              </w:rPr>
            </w:pPr>
            <w:r>
              <w:rPr>
                <w:sz w:val="18"/>
                <w:szCs w:val="18"/>
              </w:rPr>
              <w:t>$7,700</w:t>
            </w:r>
          </w:p>
        </w:tc>
      </w:tr>
      <w:tr w:rsidR="00254D1D" w:rsidRPr="0012521E" w14:paraId="5B67E786" w14:textId="77777777">
        <w:tc>
          <w:tcPr>
            <w:tcW w:w="3397" w:type="dxa"/>
            <w:noWrap/>
          </w:tcPr>
          <w:p w14:paraId="797D658F" w14:textId="77777777" w:rsidR="00254D1D" w:rsidRPr="00B27E3D" w:rsidRDefault="00254D1D">
            <w:pPr>
              <w:pStyle w:val="TableText"/>
              <w:rPr>
                <w:rFonts w:ascii="Arial" w:hAnsi="Arial" w:cs="Arial"/>
                <w:sz w:val="18"/>
                <w:szCs w:val="18"/>
              </w:rPr>
            </w:pPr>
            <w:r w:rsidRPr="006D45D3">
              <w:rPr>
                <w:rFonts w:ascii="Arial" w:hAnsi="Arial" w:cs="Arial"/>
                <w:sz w:val="18"/>
                <w:szCs w:val="18"/>
              </w:rPr>
              <w:t>Burdett Sands Pty Ltd</w:t>
            </w:r>
          </w:p>
        </w:tc>
        <w:tc>
          <w:tcPr>
            <w:tcW w:w="3969" w:type="dxa"/>
            <w:noWrap/>
          </w:tcPr>
          <w:p w14:paraId="5AAE25E5" w14:textId="77777777" w:rsidR="00254D1D" w:rsidRPr="00D91F7E" w:rsidRDefault="00254D1D">
            <w:pPr>
              <w:pStyle w:val="TableText"/>
              <w:rPr>
                <w:rFonts w:ascii="Arial" w:hAnsi="Arial" w:cs="Arial"/>
                <w:sz w:val="18"/>
                <w:szCs w:val="18"/>
              </w:rPr>
            </w:pPr>
            <w:r w:rsidRPr="00B3385E">
              <w:rPr>
                <w:rFonts w:ascii="Arial" w:hAnsi="Arial" w:cs="Arial"/>
                <w:sz w:val="18"/>
                <w:szCs w:val="18"/>
              </w:rPr>
              <w:t xml:space="preserve">Compost 360 </w:t>
            </w:r>
            <w:r>
              <w:rPr>
                <w:rFonts w:ascii="Arial" w:hAnsi="Arial" w:cs="Arial"/>
                <w:sz w:val="18"/>
                <w:szCs w:val="18"/>
              </w:rPr>
              <w:t>t</w:t>
            </w:r>
            <w:r w:rsidRPr="00B3385E">
              <w:rPr>
                <w:rFonts w:ascii="Arial" w:hAnsi="Arial" w:cs="Arial"/>
                <w:sz w:val="18"/>
                <w:szCs w:val="18"/>
              </w:rPr>
              <w:t>o Enhance Sports Precincts</w:t>
            </w:r>
          </w:p>
        </w:tc>
        <w:tc>
          <w:tcPr>
            <w:tcW w:w="1589" w:type="dxa"/>
            <w:noWrap/>
          </w:tcPr>
          <w:p w14:paraId="65F0A146" w14:textId="77777777" w:rsidR="00254D1D" w:rsidRDefault="00254D1D">
            <w:pPr>
              <w:rPr>
                <w:sz w:val="18"/>
                <w:szCs w:val="18"/>
              </w:rPr>
            </w:pPr>
            <w:r>
              <w:rPr>
                <w:sz w:val="18"/>
                <w:szCs w:val="18"/>
              </w:rPr>
              <w:t>$25,000</w:t>
            </w:r>
          </w:p>
        </w:tc>
      </w:tr>
      <w:tr w:rsidR="00254D1D" w14:paraId="511893DC" w14:textId="77777777">
        <w:trPr>
          <w:trHeight w:val="300"/>
        </w:trPr>
        <w:tc>
          <w:tcPr>
            <w:tcW w:w="3397" w:type="dxa"/>
            <w:noWrap/>
          </w:tcPr>
          <w:p w14:paraId="3C29EB81" w14:textId="77777777" w:rsidR="00254D1D" w:rsidRDefault="00254D1D">
            <w:pPr>
              <w:pStyle w:val="TableText"/>
              <w:rPr>
                <w:rFonts w:ascii="Arial" w:hAnsi="Arial" w:cs="Arial"/>
                <w:sz w:val="18"/>
                <w:szCs w:val="18"/>
              </w:rPr>
            </w:pPr>
            <w:r w:rsidRPr="65E029B8">
              <w:rPr>
                <w:rFonts w:ascii="Arial" w:hAnsi="Arial" w:cs="Arial"/>
                <w:sz w:val="18"/>
                <w:szCs w:val="18"/>
              </w:rPr>
              <w:t>BW Community Centre Ltd</w:t>
            </w:r>
          </w:p>
        </w:tc>
        <w:tc>
          <w:tcPr>
            <w:tcW w:w="3969" w:type="dxa"/>
            <w:noWrap/>
          </w:tcPr>
          <w:p w14:paraId="2F3C75F4" w14:textId="77777777" w:rsidR="00254D1D" w:rsidRDefault="00254D1D">
            <w:pPr>
              <w:pStyle w:val="TableText"/>
              <w:rPr>
                <w:rFonts w:ascii="Arial" w:hAnsi="Arial" w:cs="Arial"/>
                <w:sz w:val="18"/>
                <w:szCs w:val="18"/>
              </w:rPr>
            </w:pPr>
            <w:r w:rsidRPr="65E029B8">
              <w:rPr>
                <w:rFonts w:ascii="Arial" w:hAnsi="Arial" w:cs="Arial"/>
                <w:sz w:val="18"/>
                <w:szCs w:val="18"/>
              </w:rPr>
              <w:t>CCCEA RD2 Energy Efficiency Upgrades - B. W. Community Centre Ltd</w:t>
            </w:r>
          </w:p>
        </w:tc>
        <w:tc>
          <w:tcPr>
            <w:tcW w:w="1589" w:type="dxa"/>
            <w:noWrap/>
          </w:tcPr>
          <w:p w14:paraId="3D85CD0F" w14:textId="77777777" w:rsidR="00254D1D" w:rsidRDefault="00254D1D">
            <w:pPr>
              <w:rPr>
                <w:sz w:val="18"/>
                <w:szCs w:val="18"/>
              </w:rPr>
            </w:pPr>
            <w:r w:rsidRPr="65E029B8">
              <w:rPr>
                <w:sz w:val="18"/>
                <w:szCs w:val="18"/>
              </w:rPr>
              <w:t>$5,340</w:t>
            </w:r>
          </w:p>
        </w:tc>
      </w:tr>
      <w:tr w:rsidR="00254D1D" w:rsidRPr="0012521E" w14:paraId="21B12DDD" w14:textId="77777777">
        <w:tc>
          <w:tcPr>
            <w:tcW w:w="3397" w:type="dxa"/>
            <w:noWrap/>
          </w:tcPr>
          <w:p w14:paraId="36ED4FD7" w14:textId="77777777" w:rsidR="00254D1D" w:rsidRPr="006D45D3" w:rsidRDefault="00254D1D">
            <w:pPr>
              <w:pStyle w:val="TableText"/>
              <w:rPr>
                <w:rFonts w:ascii="Arial" w:hAnsi="Arial" w:cs="Arial"/>
                <w:sz w:val="18"/>
                <w:szCs w:val="18"/>
              </w:rPr>
            </w:pPr>
            <w:r w:rsidRPr="008535A2">
              <w:rPr>
                <w:rFonts w:ascii="Arial" w:hAnsi="Arial" w:cs="Arial"/>
                <w:sz w:val="18"/>
                <w:szCs w:val="18"/>
              </w:rPr>
              <w:t>Campaspe Shire Council</w:t>
            </w:r>
          </w:p>
        </w:tc>
        <w:tc>
          <w:tcPr>
            <w:tcW w:w="3969" w:type="dxa"/>
            <w:noWrap/>
          </w:tcPr>
          <w:p w14:paraId="491CBAAE" w14:textId="77777777" w:rsidR="00254D1D" w:rsidRPr="00B3385E" w:rsidRDefault="00254D1D">
            <w:pPr>
              <w:pStyle w:val="TableText"/>
              <w:rPr>
                <w:rFonts w:ascii="Arial" w:hAnsi="Arial" w:cs="Arial"/>
                <w:sz w:val="18"/>
                <w:szCs w:val="18"/>
              </w:rPr>
            </w:pPr>
            <w:r w:rsidRPr="00D0716A">
              <w:rPr>
                <w:rFonts w:ascii="Arial" w:hAnsi="Arial" w:cs="Arial"/>
                <w:sz w:val="18"/>
                <w:szCs w:val="18"/>
              </w:rPr>
              <w:t xml:space="preserve">Campaspe Shire Council Improving Recycling </w:t>
            </w:r>
            <w:r>
              <w:rPr>
                <w:rFonts w:ascii="Arial" w:hAnsi="Arial" w:cs="Arial"/>
                <w:sz w:val="18"/>
                <w:szCs w:val="18"/>
              </w:rPr>
              <w:t>a</w:t>
            </w:r>
            <w:r w:rsidRPr="00D0716A">
              <w:rPr>
                <w:rFonts w:ascii="Arial" w:hAnsi="Arial" w:cs="Arial"/>
                <w:sz w:val="18"/>
                <w:szCs w:val="18"/>
              </w:rPr>
              <w:t>nd Reducing Contamination</w:t>
            </w:r>
            <w:r w:rsidRPr="000D7D8D">
              <w:rPr>
                <w:rFonts w:ascii="Arial" w:hAnsi="Arial" w:cs="Arial"/>
                <w:sz w:val="18"/>
                <w:szCs w:val="18"/>
              </w:rPr>
              <w:t xml:space="preserve"> – Household Education </w:t>
            </w:r>
          </w:p>
        </w:tc>
        <w:tc>
          <w:tcPr>
            <w:tcW w:w="1589" w:type="dxa"/>
            <w:noWrap/>
          </w:tcPr>
          <w:p w14:paraId="6E327B4D" w14:textId="77777777" w:rsidR="00254D1D" w:rsidRDefault="00254D1D">
            <w:pPr>
              <w:pStyle w:val="Tablerightlarge"/>
              <w:jc w:val="left"/>
              <w:rPr>
                <w:sz w:val="18"/>
                <w:szCs w:val="18"/>
              </w:rPr>
            </w:pPr>
            <w:r>
              <w:rPr>
                <w:sz w:val="18"/>
                <w:szCs w:val="18"/>
              </w:rPr>
              <w:t>$30,050</w:t>
            </w:r>
          </w:p>
        </w:tc>
      </w:tr>
      <w:tr w:rsidR="00254D1D" w14:paraId="7B460EB7" w14:textId="77777777">
        <w:trPr>
          <w:trHeight w:val="300"/>
        </w:trPr>
        <w:tc>
          <w:tcPr>
            <w:tcW w:w="3397" w:type="dxa"/>
            <w:noWrap/>
          </w:tcPr>
          <w:p w14:paraId="2539388D" w14:textId="77777777" w:rsidR="00254D1D" w:rsidRPr="00007E16" w:rsidRDefault="00254D1D">
            <w:pPr>
              <w:pStyle w:val="TableText"/>
              <w:rPr>
                <w:rFonts w:ascii="Arial" w:hAnsi="Arial" w:cs="Arial"/>
                <w:sz w:val="18"/>
                <w:szCs w:val="18"/>
              </w:rPr>
            </w:pPr>
            <w:r w:rsidRPr="00007E16">
              <w:rPr>
                <w:rFonts w:ascii="Arial" w:hAnsi="Arial" w:cs="Arial"/>
                <w:sz w:val="18"/>
                <w:szCs w:val="18"/>
              </w:rPr>
              <w:t>Cardboard Mill Pty Ltd</w:t>
            </w:r>
          </w:p>
        </w:tc>
        <w:tc>
          <w:tcPr>
            <w:tcW w:w="3969" w:type="dxa"/>
            <w:noWrap/>
          </w:tcPr>
          <w:p w14:paraId="1F3B34B8" w14:textId="77777777" w:rsidR="00254D1D" w:rsidRPr="00007E16" w:rsidRDefault="00254D1D">
            <w:pPr>
              <w:pStyle w:val="TableText"/>
              <w:rPr>
                <w:rFonts w:ascii="Arial" w:hAnsi="Arial" w:cs="Arial"/>
                <w:sz w:val="18"/>
                <w:szCs w:val="18"/>
              </w:rPr>
            </w:pPr>
            <w:r w:rsidRPr="00007E16">
              <w:rPr>
                <w:rFonts w:ascii="Arial" w:hAnsi="Arial" w:cs="Arial"/>
                <w:sz w:val="18"/>
                <w:szCs w:val="18"/>
              </w:rPr>
              <w:t>Arts and Culture: Let's Close the Loop</w:t>
            </w:r>
          </w:p>
        </w:tc>
        <w:tc>
          <w:tcPr>
            <w:tcW w:w="1589" w:type="dxa"/>
            <w:noWrap/>
          </w:tcPr>
          <w:p w14:paraId="3D6232DD" w14:textId="77777777" w:rsidR="00254D1D" w:rsidRPr="00007E16" w:rsidRDefault="00254D1D">
            <w:pPr>
              <w:pStyle w:val="Tablerightlarge"/>
              <w:jc w:val="left"/>
              <w:rPr>
                <w:sz w:val="18"/>
                <w:szCs w:val="18"/>
              </w:rPr>
            </w:pPr>
            <w:r w:rsidRPr="00007E16">
              <w:rPr>
                <w:sz w:val="18"/>
                <w:szCs w:val="18"/>
              </w:rPr>
              <w:t>$113,640</w:t>
            </w:r>
          </w:p>
        </w:tc>
      </w:tr>
      <w:tr w:rsidR="00254D1D" w:rsidRPr="0012521E" w14:paraId="09DD904C" w14:textId="77777777">
        <w:tc>
          <w:tcPr>
            <w:tcW w:w="3397" w:type="dxa"/>
            <w:noWrap/>
          </w:tcPr>
          <w:p w14:paraId="49AF78CB" w14:textId="77777777" w:rsidR="00254D1D" w:rsidRDefault="00254D1D">
            <w:pPr>
              <w:pStyle w:val="TableText"/>
              <w:rPr>
                <w:rFonts w:ascii="Arial" w:hAnsi="Arial" w:cs="Arial"/>
                <w:sz w:val="18"/>
                <w:szCs w:val="18"/>
              </w:rPr>
            </w:pPr>
            <w:r>
              <w:rPr>
                <w:rFonts w:ascii="Arial" w:hAnsi="Arial" w:cs="Arial"/>
                <w:sz w:val="18"/>
                <w:szCs w:val="18"/>
              </w:rPr>
              <w:t>Cardinia Shire Council</w:t>
            </w:r>
          </w:p>
        </w:tc>
        <w:tc>
          <w:tcPr>
            <w:tcW w:w="3969" w:type="dxa"/>
            <w:noWrap/>
          </w:tcPr>
          <w:p w14:paraId="6BB9D664" w14:textId="77777777" w:rsidR="00254D1D" w:rsidRPr="00114428" w:rsidRDefault="00254D1D">
            <w:pPr>
              <w:pStyle w:val="TableText"/>
              <w:rPr>
                <w:rFonts w:ascii="Arial" w:hAnsi="Arial" w:cs="Arial"/>
                <w:sz w:val="18"/>
                <w:szCs w:val="18"/>
              </w:rPr>
            </w:pPr>
            <w:r w:rsidRPr="001B5714">
              <w:rPr>
                <w:rFonts w:ascii="Arial" w:hAnsi="Arial" w:cs="Arial"/>
                <w:sz w:val="18"/>
                <w:szCs w:val="18"/>
              </w:rPr>
              <w:t>Cardinia Shire Council's Standardisation of Bin Lid Colours</w:t>
            </w:r>
            <w:r w:rsidRPr="00DF7CCC">
              <w:rPr>
                <w:rFonts w:ascii="Arial" w:hAnsi="Arial" w:cs="Arial"/>
                <w:sz w:val="18"/>
                <w:szCs w:val="18"/>
              </w:rPr>
              <w:t xml:space="preserve"> – Household Education</w:t>
            </w:r>
          </w:p>
        </w:tc>
        <w:tc>
          <w:tcPr>
            <w:tcW w:w="1589" w:type="dxa"/>
            <w:noWrap/>
          </w:tcPr>
          <w:p w14:paraId="5362A194" w14:textId="77777777" w:rsidR="00254D1D" w:rsidRDefault="00254D1D">
            <w:pPr>
              <w:pStyle w:val="Tablerightlarge"/>
              <w:jc w:val="left"/>
              <w:rPr>
                <w:sz w:val="18"/>
                <w:szCs w:val="18"/>
              </w:rPr>
            </w:pPr>
            <w:r>
              <w:rPr>
                <w:sz w:val="18"/>
                <w:szCs w:val="18"/>
              </w:rPr>
              <w:t>$71,190</w:t>
            </w:r>
          </w:p>
        </w:tc>
      </w:tr>
      <w:tr w:rsidR="00254D1D" w:rsidRPr="0012521E" w14:paraId="416B2BCE" w14:textId="77777777">
        <w:tc>
          <w:tcPr>
            <w:tcW w:w="3397" w:type="dxa"/>
            <w:noWrap/>
          </w:tcPr>
          <w:p w14:paraId="13F56BCF" w14:textId="77777777" w:rsidR="00254D1D" w:rsidRDefault="00254D1D">
            <w:pPr>
              <w:pStyle w:val="TableText"/>
              <w:rPr>
                <w:rFonts w:ascii="Arial" w:hAnsi="Arial" w:cs="Arial"/>
                <w:sz w:val="18"/>
                <w:szCs w:val="18"/>
              </w:rPr>
            </w:pPr>
            <w:r w:rsidRPr="00C73DC6">
              <w:rPr>
                <w:rFonts w:ascii="Arial" w:hAnsi="Arial" w:cs="Arial"/>
                <w:sz w:val="18"/>
                <w:szCs w:val="18"/>
              </w:rPr>
              <w:t>Carlton Neighbourhood Learning</w:t>
            </w:r>
            <w:r>
              <w:rPr>
                <w:rFonts w:ascii="Arial" w:hAnsi="Arial" w:cs="Arial"/>
                <w:sz w:val="18"/>
                <w:szCs w:val="18"/>
              </w:rPr>
              <w:t xml:space="preserve"> Inc</w:t>
            </w:r>
          </w:p>
        </w:tc>
        <w:tc>
          <w:tcPr>
            <w:tcW w:w="3969" w:type="dxa"/>
            <w:noWrap/>
          </w:tcPr>
          <w:p w14:paraId="4935A084" w14:textId="77777777" w:rsidR="00254D1D" w:rsidRPr="001B5714" w:rsidRDefault="00254D1D">
            <w:pPr>
              <w:pStyle w:val="TableText"/>
              <w:rPr>
                <w:rFonts w:ascii="Arial" w:hAnsi="Arial" w:cs="Arial"/>
                <w:sz w:val="18"/>
                <w:szCs w:val="18"/>
              </w:rPr>
            </w:pPr>
            <w:r w:rsidRPr="00F0428E">
              <w:rPr>
                <w:rFonts w:ascii="Arial" w:hAnsi="Arial" w:cs="Arial"/>
                <w:sz w:val="18"/>
                <w:szCs w:val="18"/>
              </w:rPr>
              <w:t>Delivering Community Circular Economy Waste Solution</w:t>
            </w:r>
            <w:r>
              <w:rPr>
                <w:rFonts w:ascii="Arial" w:hAnsi="Arial" w:cs="Arial"/>
                <w:sz w:val="18"/>
                <w:szCs w:val="18"/>
              </w:rPr>
              <w:t>: a recycling collection point for batteries, e-waste, soft plastics, lightbulbs and plastic tags</w:t>
            </w:r>
          </w:p>
        </w:tc>
        <w:tc>
          <w:tcPr>
            <w:tcW w:w="1589" w:type="dxa"/>
            <w:noWrap/>
          </w:tcPr>
          <w:p w14:paraId="295BCA43" w14:textId="77777777" w:rsidR="00254D1D" w:rsidRDefault="00254D1D">
            <w:pPr>
              <w:pStyle w:val="Tablerightlarge"/>
              <w:jc w:val="left"/>
              <w:rPr>
                <w:sz w:val="18"/>
                <w:szCs w:val="18"/>
                <w:highlight w:val="yellow"/>
              </w:rPr>
            </w:pPr>
            <w:r w:rsidRPr="00AD2294">
              <w:rPr>
                <w:sz w:val="18"/>
                <w:szCs w:val="18"/>
              </w:rPr>
              <w:t>$31,972</w:t>
            </w:r>
          </w:p>
        </w:tc>
      </w:tr>
      <w:tr w:rsidR="00254D1D" w:rsidRPr="0012521E" w14:paraId="09DDB687" w14:textId="77777777">
        <w:tc>
          <w:tcPr>
            <w:tcW w:w="3397" w:type="dxa"/>
            <w:noWrap/>
          </w:tcPr>
          <w:p w14:paraId="477C51E8" w14:textId="77777777" w:rsidR="00254D1D" w:rsidRPr="003D2ECE" w:rsidRDefault="00254D1D">
            <w:pPr>
              <w:rPr>
                <w:sz w:val="18"/>
                <w:szCs w:val="18"/>
              </w:rPr>
            </w:pPr>
            <w:r w:rsidRPr="003D2ECE">
              <w:rPr>
                <w:sz w:val="18"/>
                <w:szCs w:val="18"/>
              </w:rPr>
              <w:t>Central Gippsland Region Water Corporation</w:t>
            </w:r>
          </w:p>
        </w:tc>
        <w:tc>
          <w:tcPr>
            <w:tcW w:w="3969" w:type="dxa"/>
            <w:noWrap/>
          </w:tcPr>
          <w:p w14:paraId="075F037B" w14:textId="77777777" w:rsidR="00254D1D" w:rsidRPr="00FC6B3D" w:rsidRDefault="00254D1D">
            <w:pPr>
              <w:rPr>
                <w:sz w:val="18"/>
                <w:szCs w:val="18"/>
              </w:rPr>
            </w:pPr>
            <w:r w:rsidRPr="00FC6B3D">
              <w:rPr>
                <w:sz w:val="18"/>
                <w:szCs w:val="18"/>
              </w:rPr>
              <w:t>Gippsland Regional Organics Process Expansion Project</w:t>
            </w:r>
          </w:p>
        </w:tc>
        <w:tc>
          <w:tcPr>
            <w:tcW w:w="1589" w:type="dxa"/>
            <w:noWrap/>
          </w:tcPr>
          <w:p w14:paraId="6315431F" w14:textId="77777777" w:rsidR="00254D1D" w:rsidRPr="00C962BC" w:rsidRDefault="00254D1D">
            <w:pPr>
              <w:rPr>
                <w:sz w:val="18"/>
                <w:szCs w:val="18"/>
              </w:rPr>
            </w:pPr>
            <w:r w:rsidRPr="00C962BC">
              <w:rPr>
                <w:sz w:val="18"/>
                <w:szCs w:val="18"/>
              </w:rPr>
              <w:t xml:space="preserve">$600,000 </w:t>
            </w:r>
          </w:p>
          <w:p w14:paraId="41BCFA5E" w14:textId="77777777" w:rsidR="00254D1D" w:rsidRDefault="00254D1D">
            <w:pPr>
              <w:pStyle w:val="Tablerightlarge"/>
              <w:jc w:val="left"/>
              <w:rPr>
                <w:sz w:val="18"/>
                <w:szCs w:val="18"/>
              </w:rPr>
            </w:pPr>
          </w:p>
        </w:tc>
      </w:tr>
      <w:tr w:rsidR="00254D1D" w:rsidRPr="0012521E" w14:paraId="676BC1CA" w14:textId="77777777">
        <w:tc>
          <w:tcPr>
            <w:tcW w:w="3397" w:type="dxa"/>
            <w:noWrap/>
          </w:tcPr>
          <w:p w14:paraId="19B00C5F" w14:textId="77777777" w:rsidR="00254D1D" w:rsidRPr="00F12565" w:rsidRDefault="00254D1D">
            <w:pPr>
              <w:rPr>
                <w:sz w:val="18"/>
                <w:szCs w:val="18"/>
              </w:rPr>
            </w:pPr>
            <w:r w:rsidRPr="00F12565">
              <w:rPr>
                <w:sz w:val="18"/>
                <w:szCs w:val="18"/>
              </w:rPr>
              <w:t>Central Goldfields Shire Council</w:t>
            </w:r>
          </w:p>
        </w:tc>
        <w:tc>
          <w:tcPr>
            <w:tcW w:w="3969" w:type="dxa"/>
            <w:noWrap/>
          </w:tcPr>
          <w:p w14:paraId="11D75C40" w14:textId="77777777" w:rsidR="00254D1D" w:rsidRPr="00F12565" w:rsidRDefault="00254D1D">
            <w:pPr>
              <w:rPr>
                <w:sz w:val="18"/>
                <w:szCs w:val="18"/>
              </w:rPr>
            </w:pPr>
            <w:r w:rsidRPr="00F12565">
              <w:rPr>
                <w:sz w:val="18"/>
                <w:szCs w:val="18"/>
              </w:rPr>
              <w:t>CE Councils Implementation Central Goldfields Energy Breakthrough Event Waste Management</w:t>
            </w:r>
          </w:p>
        </w:tc>
        <w:tc>
          <w:tcPr>
            <w:tcW w:w="1589" w:type="dxa"/>
            <w:noWrap/>
          </w:tcPr>
          <w:p w14:paraId="0DFABE86" w14:textId="77777777" w:rsidR="00254D1D" w:rsidRPr="00F12565" w:rsidRDefault="00254D1D">
            <w:pPr>
              <w:rPr>
                <w:sz w:val="18"/>
                <w:szCs w:val="18"/>
              </w:rPr>
            </w:pPr>
            <w:r w:rsidRPr="00F12565">
              <w:rPr>
                <w:sz w:val="18"/>
                <w:szCs w:val="18"/>
              </w:rPr>
              <w:t>$48,700</w:t>
            </w:r>
          </w:p>
        </w:tc>
      </w:tr>
      <w:tr w:rsidR="00254D1D" w:rsidRPr="0012521E" w14:paraId="64D61079" w14:textId="77777777">
        <w:tc>
          <w:tcPr>
            <w:tcW w:w="3397" w:type="dxa"/>
            <w:noWrap/>
          </w:tcPr>
          <w:p w14:paraId="2BF65B8B" w14:textId="77777777" w:rsidR="00254D1D" w:rsidRPr="00F12565" w:rsidRDefault="00254D1D">
            <w:pPr>
              <w:rPr>
                <w:sz w:val="18"/>
                <w:szCs w:val="18"/>
              </w:rPr>
            </w:pPr>
            <w:r w:rsidRPr="00F12565">
              <w:rPr>
                <w:sz w:val="18"/>
                <w:szCs w:val="18"/>
              </w:rPr>
              <w:t>Central Goldfields Shire Council</w:t>
            </w:r>
          </w:p>
        </w:tc>
        <w:tc>
          <w:tcPr>
            <w:tcW w:w="3969" w:type="dxa"/>
            <w:noWrap/>
          </w:tcPr>
          <w:p w14:paraId="2522B253" w14:textId="77777777" w:rsidR="00254D1D" w:rsidRPr="00F12565" w:rsidRDefault="00254D1D">
            <w:pPr>
              <w:rPr>
                <w:sz w:val="18"/>
                <w:szCs w:val="18"/>
              </w:rPr>
            </w:pPr>
            <w:r w:rsidRPr="00F12565">
              <w:rPr>
                <w:sz w:val="18"/>
                <w:szCs w:val="18"/>
              </w:rPr>
              <w:t>CE Councils Central Goldfields - Compost Facility Upgrade Carisbrook</w:t>
            </w:r>
          </w:p>
        </w:tc>
        <w:tc>
          <w:tcPr>
            <w:tcW w:w="1589" w:type="dxa"/>
            <w:noWrap/>
          </w:tcPr>
          <w:p w14:paraId="3F1FD0ED" w14:textId="77777777" w:rsidR="00254D1D" w:rsidRPr="00F12565" w:rsidRDefault="00254D1D">
            <w:pPr>
              <w:rPr>
                <w:sz w:val="18"/>
                <w:szCs w:val="18"/>
              </w:rPr>
            </w:pPr>
            <w:r w:rsidRPr="00F12565">
              <w:rPr>
                <w:sz w:val="18"/>
                <w:szCs w:val="18"/>
              </w:rPr>
              <w:t>$73,920</w:t>
            </w:r>
          </w:p>
          <w:p w14:paraId="429EE578" w14:textId="77777777" w:rsidR="00254D1D" w:rsidRPr="00F12565" w:rsidRDefault="00254D1D">
            <w:pPr>
              <w:rPr>
                <w:sz w:val="18"/>
                <w:szCs w:val="18"/>
              </w:rPr>
            </w:pPr>
          </w:p>
        </w:tc>
      </w:tr>
      <w:tr w:rsidR="00254D1D" w:rsidRPr="0012521E" w14:paraId="75370AC4" w14:textId="77777777">
        <w:tc>
          <w:tcPr>
            <w:tcW w:w="3397" w:type="dxa"/>
            <w:noWrap/>
          </w:tcPr>
          <w:p w14:paraId="0342D0AC" w14:textId="77777777" w:rsidR="00254D1D" w:rsidRPr="00F12565" w:rsidRDefault="00254D1D">
            <w:pPr>
              <w:rPr>
                <w:sz w:val="18"/>
                <w:szCs w:val="18"/>
              </w:rPr>
            </w:pPr>
            <w:r w:rsidRPr="00F12565">
              <w:rPr>
                <w:sz w:val="18"/>
                <w:szCs w:val="18"/>
              </w:rPr>
              <w:t>Central Goldfields Shire Council</w:t>
            </w:r>
          </w:p>
        </w:tc>
        <w:tc>
          <w:tcPr>
            <w:tcW w:w="3969" w:type="dxa"/>
            <w:noWrap/>
          </w:tcPr>
          <w:p w14:paraId="354BFA60" w14:textId="77777777" w:rsidR="00254D1D" w:rsidRPr="00F12565" w:rsidRDefault="00254D1D">
            <w:pPr>
              <w:rPr>
                <w:sz w:val="18"/>
                <w:szCs w:val="18"/>
              </w:rPr>
            </w:pPr>
            <w:r w:rsidRPr="00F12565">
              <w:rPr>
                <w:sz w:val="18"/>
                <w:szCs w:val="18"/>
              </w:rPr>
              <w:t>Carisbrook Transfer Station Pavement Upgrade</w:t>
            </w:r>
          </w:p>
        </w:tc>
        <w:tc>
          <w:tcPr>
            <w:tcW w:w="1589" w:type="dxa"/>
            <w:noWrap/>
          </w:tcPr>
          <w:p w14:paraId="3ED10EF1" w14:textId="77777777" w:rsidR="00254D1D" w:rsidRPr="00F12565" w:rsidRDefault="00254D1D">
            <w:pPr>
              <w:rPr>
                <w:sz w:val="18"/>
                <w:szCs w:val="18"/>
              </w:rPr>
            </w:pPr>
            <w:r w:rsidRPr="00F12565">
              <w:rPr>
                <w:sz w:val="18"/>
                <w:szCs w:val="18"/>
              </w:rPr>
              <w:t>$13,309</w:t>
            </w:r>
          </w:p>
        </w:tc>
      </w:tr>
      <w:tr w:rsidR="00254D1D" w:rsidRPr="0012521E" w14:paraId="6A71F50F" w14:textId="77777777">
        <w:tc>
          <w:tcPr>
            <w:tcW w:w="3397" w:type="dxa"/>
            <w:noWrap/>
          </w:tcPr>
          <w:p w14:paraId="5BA4EB86" w14:textId="77777777" w:rsidR="00254D1D" w:rsidRPr="00F0546E" w:rsidRDefault="00254D1D">
            <w:pPr>
              <w:rPr>
                <w:sz w:val="18"/>
                <w:szCs w:val="18"/>
              </w:rPr>
            </w:pPr>
            <w:r w:rsidRPr="00470FDE">
              <w:rPr>
                <w:sz w:val="18"/>
                <w:szCs w:val="18"/>
              </w:rPr>
              <w:t>Central Highlands Water Corporation</w:t>
            </w:r>
          </w:p>
        </w:tc>
        <w:tc>
          <w:tcPr>
            <w:tcW w:w="3969" w:type="dxa"/>
            <w:noWrap/>
          </w:tcPr>
          <w:p w14:paraId="60EC6A4A" w14:textId="77777777" w:rsidR="00254D1D" w:rsidRPr="00F0546E" w:rsidRDefault="00254D1D">
            <w:pPr>
              <w:rPr>
                <w:sz w:val="18"/>
                <w:szCs w:val="18"/>
              </w:rPr>
            </w:pPr>
            <w:r w:rsidRPr="00470FDE">
              <w:rPr>
                <w:sz w:val="18"/>
                <w:szCs w:val="18"/>
              </w:rPr>
              <w:t>Feasibility Study into Converting Forestry Residue to a Fuel Source</w:t>
            </w:r>
          </w:p>
        </w:tc>
        <w:tc>
          <w:tcPr>
            <w:tcW w:w="1589" w:type="dxa"/>
            <w:noWrap/>
          </w:tcPr>
          <w:p w14:paraId="68B68753" w14:textId="77777777" w:rsidR="00254D1D" w:rsidRPr="00470FDE" w:rsidRDefault="00254D1D">
            <w:pPr>
              <w:rPr>
                <w:sz w:val="18"/>
                <w:szCs w:val="18"/>
                <w:highlight w:val="yellow"/>
              </w:rPr>
            </w:pPr>
            <w:r w:rsidRPr="65E029B8">
              <w:rPr>
                <w:sz w:val="18"/>
                <w:szCs w:val="18"/>
              </w:rPr>
              <w:t>$</w:t>
            </w:r>
            <w:r w:rsidRPr="000B6E37">
              <w:rPr>
                <w:sz w:val="18"/>
                <w:szCs w:val="18"/>
              </w:rPr>
              <w:t>50,000</w:t>
            </w:r>
          </w:p>
          <w:p w14:paraId="3D727151" w14:textId="77777777" w:rsidR="00254D1D" w:rsidRPr="00470FDE" w:rsidRDefault="00254D1D">
            <w:pPr>
              <w:rPr>
                <w:sz w:val="18"/>
                <w:szCs w:val="18"/>
              </w:rPr>
            </w:pPr>
          </w:p>
        </w:tc>
      </w:tr>
      <w:tr w:rsidR="00254D1D" w:rsidRPr="0012521E" w14:paraId="6041F6C9" w14:textId="77777777">
        <w:tc>
          <w:tcPr>
            <w:tcW w:w="3397" w:type="dxa"/>
            <w:noWrap/>
          </w:tcPr>
          <w:p w14:paraId="30D328FA" w14:textId="77777777" w:rsidR="00254D1D" w:rsidRPr="00527149" w:rsidRDefault="00254D1D">
            <w:pPr>
              <w:rPr>
                <w:sz w:val="18"/>
                <w:szCs w:val="18"/>
              </w:rPr>
            </w:pPr>
            <w:r w:rsidRPr="00527149">
              <w:rPr>
                <w:sz w:val="18"/>
                <w:szCs w:val="18"/>
              </w:rPr>
              <w:t>Cercle Co Pty Ltd</w:t>
            </w:r>
          </w:p>
        </w:tc>
        <w:tc>
          <w:tcPr>
            <w:tcW w:w="3969" w:type="dxa"/>
            <w:noWrap/>
          </w:tcPr>
          <w:p w14:paraId="2FD7C135" w14:textId="77777777" w:rsidR="00254D1D" w:rsidRPr="00527149" w:rsidRDefault="00254D1D">
            <w:pPr>
              <w:rPr>
                <w:sz w:val="18"/>
                <w:szCs w:val="18"/>
              </w:rPr>
            </w:pPr>
            <w:r w:rsidRPr="00527149">
              <w:rPr>
                <w:sz w:val="18"/>
                <w:szCs w:val="18"/>
              </w:rPr>
              <w:t>Cercle Melbourne Pilot</w:t>
            </w:r>
          </w:p>
        </w:tc>
        <w:tc>
          <w:tcPr>
            <w:tcW w:w="1589" w:type="dxa"/>
            <w:noWrap/>
          </w:tcPr>
          <w:p w14:paraId="031BE58D" w14:textId="77777777" w:rsidR="00254D1D" w:rsidRPr="00527149" w:rsidRDefault="00254D1D">
            <w:pPr>
              <w:rPr>
                <w:sz w:val="18"/>
                <w:szCs w:val="18"/>
              </w:rPr>
            </w:pPr>
            <w:r w:rsidRPr="00527149">
              <w:rPr>
                <w:sz w:val="18"/>
                <w:szCs w:val="18"/>
              </w:rPr>
              <w:t>$5,000</w:t>
            </w:r>
          </w:p>
        </w:tc>
      </w:tr>
      <w:tr w:rsidR="00254D1D" w:rsidRPr="0012521E" w14:paraId="765ADB96" w14:textId="77777777">
        <w:tc>
          <w:tcPr>
            <w:tcW w:w="3397" w:type="dxa"/>
            <w:noWrap/>
          </w:tcPr>
          <w:p w14:paraId="5DA56F70" w14:textId="77777777" w:rsidR="00254D1D" w:rsidRPr="00B45A58" w:rsidRDefault="00254D1D">
            <w:pPr>
              <w:rPr>
                <w:sz w:val="18"/>
                <w:szCs w:val="18"/>
              </w:rPr>
            </w:pPr>
            <w:r w:rsidRPr="00B45A58">
              <w:rPr>
                <w:sz w:val="18"/>
                <w:szCs w:val="18"/>
              </w:rPr>
              <w:t>Circular Plastics Australia (PE) Pty Ltd</w:t>
            </w:r>
          </w:p>
        </w:tc>
        <w:tc>
          <w:tcPr>
            <w:tcW w:w="3969" w:type="dxa"/>
            <w:noWrap/>
          </w:tcPr>
          <w:p w14:paraId="2EB0F42E" w14:textId="77777777" w:rsidR="00254D1D" w:rsidRPr="00B45A58" w:rsidRDefault="00254D1D">
            <w:pPr>
              <w:rPr>
                <w:sz w:val="18"/>
                <w:szCs w:val="18"/>
              </w:rPr>
            </w:pPr>
            <w:r w:rsidRPr="00B45A58">
              <w:rPr>
                <w:sz w:val="18"/>
                <w:szCs w:val="18"/>
              </w:rPr>
              <w:t xml:space="preserve">Post-consumer </w:t>
            </w:r>
            <w:r>
              <w:rPr>
                <w:sz w:val="18"/>
                <w:szCs w:val="18"/>
              </w:rPr>
              <w:t>P</w:t>
            </w:r>
            <w:r w:rsidRPr="00B45A58">
              <w:rPr>
                <w:sz w:val="18"/>
                <w:szCs w:val="18"/>
              </w:rPr>
              <w:t xml:space="preserve">lastics </w:t>
            </w:r>
            <w:r>
              <w:rPr>
                <w:sz w:val="18"/>
                <w:szCs w:val="18"/>
              </w:rPr>
              <w:t>R</w:t>
            </w:r>
            <w:r w:rsidRPr="00B45A58">
              <w:rPr>
                <w:sz w:val="18"/>
                <w:szCs w:val="18"/>
              </w:rPr>
              <w:t xml:space="preserve">eprocessing plant: An </w:t>
            </w:r>
            <w:r>
              <w:rPr>
                <w:sz w:val="18"/>
                <w:szCs w:val="18"/>
              </w:rPr>
              <w:t>E</w:t>
            </w:r>
            <w:r w:rsidRPr="00B45A58">
              <w:rPr>
                <w:sz w:val="18"/>
                <w:szCs w:val="18"/>
              </w:rPr>
              <w:t>nd-to-</w:t>
            </w:r>
            <w:r>
              <w:rPr>
                <w:sz w:val="18"/>
                <w:szCs w:val="18"/>
              </w:rPr>
              <w:t>E</w:t>
            </w:r>
            <w:r w:rsidRPr="00B45A58">
              <w:rPr>
                <w:sz w:val="18"/>
                <w:szCs w:val="18"/>
              </w:rPr>
              <w:t xml:space="preserve">nd </w:t>
            </w:r>
            <w:r>
              <w:rPr>
                <w:sz w:val="18"/>
                <w:szCs w:val="18"/>
              </w:rPr>
              <w:t>S</w:t>
            </w:r>
            <w:r w:rsidRPr="00B45A58">
              <w:rPr>
                <w:sz w:val="18"/>
                <w:szCs w:val="18"/>
              </w:rPr>
              <w:t>olution</w:t>
            </w:r>
          </w:p>
        </w:tc>
        <w:tc>
          <w:tcPr>
            <w:tcW w:w="1589" w:type="dxa"/>
            <w:noWrap/>
          </w:tcPr>
          <w:p w14:paraId="5594500B" w14:textId="77777777" w:rsidR="00254D1D" w:rsidRPr="00B45A58" w:rsidRDefault="00254D1D">
            <w:pPr>
              <w:rPr>
                <w:sz w:val="18"/>
                <w:szCs w:val="18"/>
              </w:rPr>
            </w:pPr>
            <w:r w:rsidRPr="00B45A58">
              <w:rPr>
                <w:sz w:val="18"/>
                <w:szCs w:val="18"/>
              </w:rPr>
              <w:t>$900,000</w:t>
            </w:r>
          </w:p>
          <w:p w14:paraId="35CF8CD7" w14:textId="77777777" w:rsidR="00254D1D" w:rsidRPr="00B45A58" w:rsidRDefault="00254D1D">
            <w:pPr>
              <w:rPr>
                <w:sz w:val="18"/>
                <w:szCs w:val="18"/>
              </w:rPr>
            </w:pPr>
          </w:p>
        </w:tc>
      </w:tr>
      <w:tr w:rsidR="00254D1D" w:rsidRPr="0012521E" w14:paraId="1C323E3F" w14:textId="77777777">
        <w:tc>
          <w:tcPr>
            <w:tcW w:w="3397" w:type="dxa"/>
            <w:noWrap/>
          </w:tcPr>
          <w:p w14:paraId="16A6EE46" w14:textId="77777777" w:rsidR="00254D1D" w:rsidRPr="00F24EB3" w:rsidRDefault="00254D1D">
            <w:pPr>
              <w:rPr>
                <w:sz w:val="18"/>
                <w:szCs w:val="18"/>
              </w:rPr>
            </w:pPr>
            <w:r w:rsidRPr="00F24EB3">
              <w:rPr>
                <w:sz w:val="18"/>
                <w:szCs w:val="18"/>
              </w:rPr>
              <w:t>Circular Plastics Australia (PET) VIC Pty Ltd</w:t>
            </w:r>
          </w:p>
        </w:tc>
        <w:tc>
          <w:tcPr>
            <w:tcW w:w="3969" w:type="dxa"/>
            <w:noWrap/>
          </w:tcPr>
          <w:p w14:paraId="1D0FB2BF" w14:textId="77777777" w:rsidR="00254D1D" w:rsidRPr="00F24EB3" w:rsidRDefault="00254D1D">
            <w:pPr>
              <w:rPr>
                <w:sz w:val="18"/>
                <w:szCs w:val="18"/>
              </w:rPr>
            </w:pPr>
            <w:r w:rsidRPr="00F24EB3">
              <w:rPr>
                <w:sz w:val="18"/>
                <w:szCs w:val="18"/>
              </w:rPr>
              <w:t xml:space="preserve">Project Symphony - a </w:t>
            </w:r>
            <w:r>
              <w:rPr>
                <w:sz w:val="18"/>
                <w:szCs w:val="18"/>
              </w:rPr>
              <w:t>N</w:t>
            </w:r>
            <w:r w:rsidRPr="00F24EB3">
              <w:rPr>
                <w:sz w:val="18"/>
                <w:szCs w:val="18"/>
              </w:rPr>
              <w:t xml:space="preserve">ew Victorian PET </w:t>
            </w:r>
            <w:r>
              <w:rPr>
                <w:sz w:val="18"/>
                <w:szCs w:val="18"/>
              </w:rPr>
              <w:t>B</w:t>
            </w:r>
            <w:r w:rsidRPr="00F24EB3">
              <w:rPr>
                <w:sz w:val="18"/>
                <w:szCs w:val="18"/>
              </w:rPr>
              <w:t xml:space="preserve">ottles </w:t>
            </w:r>
            <w:r>
              <w:rPr>
                <w:sz w:val="18"/>
                <w:szCs w:val="18"/>
              </w:rPr>
              <w:t>R</w:t>
            </w:r>
            <w:r w:rsidRPr="00F24EB3">
              <w:rPr>
                <w:sz w:val="18"/>
                <w:szCs w:val="18"/>
              </w:rPr>
              <w:t xml:space="preserve">ecycling </w:t>
            </w:r>
            <w:r>
              <w:rPr>
                <w:sz w:val="18"/>
                <w:szCs w:val="18"/>
              </w:rPr>
              <w:t>P</w:t>
            </w:r>
            <w:r w:rsidRPr="00F24EB3">
              <w:rPr>
                <w:sz w:val="18"/>
                <w:szCs w:val="18"/>
              </w:rPr>
              <w:t>lant</w:t>
            </w:r>
          </w:p>
        </w:tc>
        <w:tc>
          <w:tcPr>
            <w:tcW w:w="1589" w:type="dxa"/>
            <w:noWrap/>
          </w:tcPr>
          <w:p w14:paraId="7E490F84" w14:textId="77777777" w:rsidR="00254D1D" w:rsidRPr="00F24EB3" w:rsidRDefault="00254D1D">
            <w:pPr>
              <w:rPr>
                <w:sz w:val="18"/>
                <w:szCs w:val="18"/>
              </w:rPr>
            </w:pPr>
            <w:r w:rsidRPr="00F24EB3">
              <w:rPr>
                <w:sz w:val="18"/>
                <w:szCs w:val="18"/>
              </w:rPr>
              <w:t>$4,500,000</w:t>
            </w:r>
          </w:p>
          <w:p w14:paraId="53E53BC1" w14:textId="77777777" w:rsidR="00254D1D" w:rsidRPr="00F24EB3" w:rsidRDefault="00254D1D">
            <w:pPr>
              <w:rPr>
                <w:sz w:val="18"/>
                <w:szCs w:val="18"/>
              </w:rPr>
            </w:pPr>
          </w:p>
        </w:tc>
      </w:tr>
      <w:tr w:rsidR="00254D1D" w:rsidRPr="0012521E" w14:paraId="070807A9" w14:textId="77777777">
        <w:tc>
          <w:tcPr>
            <w:tcW w:w="3397" w:type="dxa"/>
            <w:noWrap/>
          </w:tcPr>
          <w:p w14:paraId="4E8AB647" w14:textId="77777777" w:rsidR="00254D1D" w:rsidRPr="004E2364" w:rsidRDefault="00254D1D">
            <w:pPr>
              <w:rPr>
                <w:sz w:val="18"/>
                <w:szCs w:val="18"/>
              </w:rPr>
            </w:pPr>
            <w:r w:rsidRPr="004E2364">
              <w:rPr>
                <w:sz w:val="18"/>
                <w:szCs w:val="18"/>
              </w:rPr>
              <w:t>Cire Services Inc</w:t>
            </w:r>
          </w:p>
        </w:tc>
        <w:tc>
          <w:tcPr>
            <w:tcW w:w="3969" w:type="dxa"/>
            <w:noWrap/>
          </w:tcPr>
          <w:p w14:paraId="3A7F8EE5" w14:textId="77777777" w:rsidR="00254D1D" w:rsidRPr="004E2364" w:rsidRDefault="00254D1D">
            <w:pPr>
              <w:rPr>
                <w:sz w:val="18"/>
                <w:szCs w:val="18"/>
              </w:rPr>
            </w:pPr>
            <w:r w:rsidRPr="004E2364">
              <w:rPr>
                <w:sz w:val="18"/>
                <w:szCs w:val="18"/>
              </w:rPr>
              <w:t>Upcycling with Cire</w:t>
            </w:r>
          </w:p>
        </w:tc>
        <w:tc>
          <w:tcPr>
            <w:tcW w:w="1589" w:type="dxa"/>
            <w:noWrap/>
          </w:tcPr>
          <w:p w14:paraId="4A99BD82" w14:textId="77777777" w:rsidR="00254D1D" w:rsidRPr="004E2364" w:rsidRDefault="00254D1D">
            <w:pPr>
              <w:rPr>
                <w:sz w:val="18"/>
                <w:szCs w:val="18"/>
              </w:rPr>
            </w:pPr>
            <w:r w:rsidRPr="004E2364">
              <w:rPr>
                <w:sz w:val="18"/>
                <w:szCs w:val="18"/>
              </w:rPr>
              <w:t>$22,100</w:t>
            </w:r>
          </w:p>
        </w:tc>
      </w:tr>
      <w:tr w:rsidR="00254D1D" w:rsidRPr="0012521E" w14:paraId="72061AC4" w14:textId="77777777">
        <w:tc>
          <w:tcPr>
            <w:tcW w:w="3397" w:type="dxa"/>
            <w:noWrap/>
          </w:tcPr>
          <w:p w14:paraId="5A1A934B" w14:textId="77777777" w:rsidR="00254D1D" w:rsidRPr="004E2364" w:rsidRDefault="00254D1D">
            <w:pPr>
              <w:rPr>
                <w:sz w:val="18"/>
                <w:szCs w:val="18"/>
              </w:rPr>
            </w:pPr>
            <w:r w:rsidRPr="004E2364">
              <w:rPr>
                <w:sz w:val="18"/>
                <w:szCs w:val="18"/>
              </w:rPr>
              <w:t>Cire Services Inc</w:t>
            </w:r>
          </w:p>
        </w:tc>
        <w:tc>
          <w:tcPr>
            <w:tcW w:w="3969" w:type="dxa"/>
            <w:noWrap/>
          </w:tcPr>
          <w:p w14:paraId="4891873A" w14:textId="77777777" w:rsidR="00254D1D" w:rsidRPr="004E2364" w:rsidRDefault="00254D1D">
            <w:pPr>
              <w:rPr>
                <w:sz w:val="18"/>
                <w:szCs w:val="18"/>
              </w:rPr>
            </w:pPr>
            <w:r w:rsidRPr="004E2364">
              <w:rPr>
                <w:sz w:val="18"/>
                <w:szCs w:val="18"/>
              </w:rPr>
              <w:t>CCCEA RD3 Energy Efficiency Upgrades - Cire Services Inc</w:t>
            </w:r>
          </w:p>
        </w:tc>
        <w:tc>
          <w:tcPr>
            <w:tcW w:w="1589" w:type="dxa"/>
            <w:noWrap/>
          </w:tcPr>
          <w:p w14:paraId="11FD93E4" w14:textId="77777777" w:rsidR="00254D1D" w:rsidRPr="004E2364" w:rsidRDefault="00254D1D">
            <w:pPr>
              <w:rPr>
                <w:sz w:val="18"/>
                <w:szCs w:val="18"/>
              </w:rPr>
            </w:pPr>
            <w:r w:rsidRPr="004E2364">
              <w:rPr>
                <w:sz w:val="18"/>
                <w:szCs w:val="18"/>
              </w:rPr>
              <w:t>$2,590</w:t>
            </w:r>
          </w:p>
          <w:p w14:paraId="481F40CF" w14:textId="77777777" w:rsidR="00254D1D" w:rsidRPr="004E2364" w:rsidRDefault="00254D1D">
            <w:pPr>
              <w:rPr>
                <w:sz w:val="18"/>
                <w:szCs w:val="18"/>
              </w:rPr>
            </w:pPr>
          </w:p>
        </w:tc>
      </w:tr>
      <w:tr w:rsidR="00254D1D" w:rsidRPr="0012521E" w14:paraId="788A0196" w14:textId="77777777">
        <w:tc>
          <w:tcPr>
            <w:tcW w:w="3397" w:type="dxa"/>
            <w:noWrap/>
          </w:tcPr>
          <w:p w14:paraId="6F3DBBAC" w14:textId="77777777" w:rsidR="00254D1D" w:rsidRPr="00081751" w:rsidRDefault="00254D1D">
            <w:pPr>
              <w:rPr>
                <w:sz w:val="18"/>
                <w:szCs w:val="18"/>
              </w:rPr>
            </w:pPr>
            <w:r w:rsidRPr="00081751">
              <w:rPr>
                <w:sz w:val="18"/>
                <w:szCs w:val="18"/>
              </w:rPr>
              <w:t>City of Ballarat</w:t>
            </w:r>
          </w:p>
        </w:tc>
        <w:tc>
          <w:tcPr>
            <w:tcW w:w="3969" w:type="dxa"/>
            <w:noWrap/>
          </w:tcPr>
          <w:p w14:paraId="2E55BA09" w14:textId="77777777" w:rsidR="00254D1D" w:rsidRPr="00081751" w:rsidRDefault="00254D1D">
            <w:pPr>
              <w:rPr>
                <w:sz w:val="18"/>
                <w:szCs w:val="18"/>
              </w:rPr>
            </w:pPr>
            <w:r w:rsidRPr="00081751">
              <w:rPr>
                <w:sz w:val="18"/>
                <w:szCs w:val="18"/>
              </w:rPr>
              <w:t>City of Ballarat Household Recycling Education Program</w:t>
            </w:r>
            <w:r w:rsidRPr="002C36CE">
              <w:rPr>
                <w:sz w:val="18"/>
                <w:szCs w:val="18"/>
              </w:rPr>
              <w:t xml:space="preserve"> – Household Education</w:t>
            </w:r>
          </w:p>
        </w:tc>
        <w:tc>
          <w:tcPr>
            <w:tcW w:w="1589" w:type="dxa"/>
            <w:noWrap/>
          </w:tcPr>
          <w:p w14:paraId="29CEAB2F" w14:textId="77777777" w:rsidR="00254D1D" w:rsidRPr="00081751" w:rsidRDefault="00254D1D">
            <w:pPr>
              <w:rPr>
                <w:sz w:val="18"/>
                <w:szCs w:val="18"/>
              </w:rPr>
            </w:pPr>
            <w:r w:rsidRPr="00081751">
              <w:rPr>
                <w:sz w:val="18"/>
                <w:szCs w:val="18"/>
              </w:rPr>
              <w:t>$38,000</w:t>
            </w:r>
          </w:p>
        </w:tc>
      </w:tr>
      <w:tr w:rsidR="00254D1D" w:rsidRPr="0012521E" w14:paraId="21F7B9BF" w14:textId="77777777">
        <w:tc>
          <w:tcPr>
            <w:tcW w:w="3397" w:type="dxa"/>
            <w:noWrap/>
          </w:tcPr>
          <w:p w14:paraId="616BDDB0" w14:textId="77777777" w:rsidR="00254D1D" w:rsidRPr="00FE6630" w:rsidRDefault="00254D1D">
            <w:pPr>
              <w:rPr>
                <w:sz w:val="18"/>
                <w:szCs w:val="18"/>
              </w:rPr>
            </w:pPr>
            <w:r w:rsidRPr="00FE6630">
              <w:rPr>
                <w:sz w:val="18"/>
                <w:szCs w:val="18"/>
              </w:rPr>
              <w:t>City of Casey</w:t>
            </w:r>
          </w:p>
        </w:tc>
        <w:tc>
          <w:tcPr>
            <w:tcW w:w="3969" w:type="dxa"/>
            <w:noWrap/>
          </w:tcPr>
          <w:p w14:paraId="02248F12" w14:textId="77777777" w:rsidR="00254D1D" w:rsidRPr="00FE6630" w:rsidRDefault="00254D1D">
            <w:pPr>
              <w:rPr>
                <w:sz w:val="18"/>
                <w:szCs w:val="18"/>
              </w:rPr>
            </w:pPr>
            <w:r w:rsidRPr="00FE6630">
              <w:rPr>
                <w:sz w:val="18"/>
                <w:szCs w:val="18"/>
              </w:rPr>
              <w:t>City of Casey's Refuse, Reduce, Recycle Campaign</w:t>
            </w:r>
            <w:r w:rsidRPr="002C36CE">
              <w:rPr>
                <w:sz w:val="18"/>
                <w:szCs w:val="18"/>
              </w:rPr>
              <w:t xml:space="preserve"> – Household Education</w:t>
            </w:r>
          </w:p>
        </w:tc>
        <w:tc>
          <w:tcPr>
            <w:tcW w:w="1589" w:type="dxa"/>
            <w:noWrap/>
          </w:tcPr>
          <w:p w14:paraId="4F9148C1" w14:textId="77777777" w:rsidR="00254D1D" w:rsidRPr="00FE6630" w:rsidRDefault="00254D1D">
            <w:pPr>
              <w:rPr>
                <w:sz w:val="18"/>
                <w:szCs w:val="18"/>
              </w:rPr>
            </w:pPr>
            <w:r w:rsidRPr="00FE6630">
              <w:rPr>
                <w:sz w:val="18"/>
                <w:szCs w:val="18"/>
              </w:rPr>
              <w:t>$68,460</w:t>
            </w:r>
          </w:p>
          <w:p w14:paraId="13A0FC32" w14:textId="77777777" w:rsidR="00254D1D" w:rsidRPr="00FE6630" w:rsidRDefault="00254D1D">
            <w:pPr>
              <w:rPr>
                <w:sz w:val="18"/>
                <w:szCs w:val="18"/>
              </w:rPr>
            </w:pPr>
          </w:p>
        </w:tc>
      </w:tr>
      <w:tr w:rsidR="00254D1D" w:rsidRPr="0012521E" w14:paraId="13AD5EB3" w14:textId="77777777">
        <w:tc>
          <w:tcPr>
            <w:tcW w:w="3397" w:type="dxa"/>
            <w:noWrap/>
          </w:tcPr>
          <w:p w14:paraId="379D94FA" w14:textId="77777777" w:rsidR="00254D1D" w:rsidRPr="009B60F9" w:rsidRDefault="00254D1D">
            <w:pPr>
              <w:rPr>
                <w:sz w:val="18"/>
                <w:szCs w:val="18"/>
              </w:rPr>
            </w:pPr>
            <w:r w:rsidRPr="009B60F9">
              <w:rPr>
                <w:sz w:val="18"/>
                <w:szCs w:val="18"/>
              </w:rPr>
              <w:t>City of Darebin</w:t>
            </w:r>
          </w:p>
        </w:tc>
        <w:tc>
          <w:tcPr>
            <w:tcW w:w="3969" w:type="dxa"/>
            <w:noWrap/>
          </w:tcPr>
          <w:p w14:paraId="33690453" w14:textId="77777777" w:rsidR="00254D1D" w:rsidRPr="009B60F9" w:rsidRDefault="00254D1D">
            <w:pPr>
              <w:rPr>
                <w:sz w:val="18"/>
                <w:szCs w:val="18"/>
              </w:rPr>
            </w:pPr>
            <w:r w:rsidRPr="009B60F9">
              <w:rPr>
                <w:sz w:val="18"/>
                <w:szCs w:val="18"/>
              </w:rPr>
              <w:t xml:space="preserve">Darebin </w:t>
            </w:r>
            <w:r>
              <w:rPr>
                <w:sz w:val="18"/>
                <w:szCs w:val="18"/>
              </w:rPr>
              <w:t>I</w:t>
            </w:r>
            <w:r w:rsidRPr="009B60F9">
              <w:rPr>
                <w:sz w:val="18"/>
                <w:szCs w:val="18"/>
              </w:rPr>
              <w:t xml:space="preserve">mproving </w:t>
            </w:r>
            <w:r>
              <w:rPr>
                <w:sz w:val="18"/>
                <w:szCs w:val="18"/>
              </w:rPr>
              <w:t>R</w:t>
            </w:r>
            <w:r w:rsidRPr="009B60F9">
              <w:rPr>
                <w:sz w:val="18"/>
                <w:szCs w:val="18"/>
              </w:rPr>
              <w:t xml:space="preserve">ecycling </w:t>
            </w:r>
            <w:r>
              <w:rPr>
                <w:sz w:val="18"/>
                <w:szCs w:val="18"/>
              </w:rPr>
              <w:t>S</w:t>
            </w:r>
            <w:r w:rsidRPr="009B60F9">
              <w:rPr>
                <w:sz w:val="18"/>
                <w:szCs w:val="18"/>
              </w:rPr>
              <w:t>ervices</w:t>
            </w:r>
            <w:r w:rsidRPr="00630510">
              <w:rPr>
                <w:sz w:val="18"/>
                <w:szCs w:val="18"/>
              </w:rPr>
              <w:t xml:space="preserve"> – Household Education</w:t>
            </w:r>
          </w:p>
        </w:tc>
        <w:tc>
          <w:tcPr>
            <w:tcW w:w="1589" w:type="dxa"/>
            <w:noWrap/>
          </w:tcPr>
          <w:p w14:paraId="5ED7C542" w14:textId="77777777" w:rsidR="00254D1D" w:rsidRPr="009B60F9" w:rsidRDefault="00254D1D">
            <w:pPr>
              <w:rPr>
                <w:sz w:val="18"/>
                <w:szCs w:val="18"/>
              </w:rPr>
            </w:pPr>
            <w:r w:rsidRPr="009B60F9">
              <w:rPr>
                <w:sz w:val="18"/>
                <w:szCs w:val="18"/>
              </w:rPr>
              <w:t xml:space="preserve">$49,350 </w:t>
            </w:r>
          </w:p>
          <w:p w14:paraId="16B75E67" w14:textId="77777777" w:rsidR="00254D1D" w:rsidRPr="009B60F9" w:rsidRDefault="00254D1D">
            <w:pPr>
              <w:rPr>
                <w:sz w:val="18"/>
                <w:szCs w:val="18"/>
              </w:rPr>
            </w:pPr>
          </w:p>
        </w:tc>
      </w:tr>
      <w:tr w:rsidR="00254D1D" w:rsidRPr="0012521E" w14:paraId="7915C51B" w14:textId="77777777">
        <w:tc>
          <w:tcPr>
            <w:tcW w:w="3397" w:type="dxa"/>
            <w:noWrap/>
          </w:tcPr>
          <w:p w14:paraId="7D16C53A" w14:textId="77777777" w:rsidR="00254D1D" w:rsidRPr="009B60F9" w:rsidRDefault="00254D1D">
            <w:pPr>
              <w:rPr>
                <w:sz w:val="18"/>
                <w:szCs w:val="18"/>
              </w:rPr>
            </w:pPr>
            <w:r w:rsidRPr="009B60F9">
              <w:rPr>
                <w:sz w:val="18"/>
                <w:szCs w:val="18"/>
              </w:rPr>
              <w:t>City of Darebin</w:t>
            </w:r>
          </w:p>
        </w:tc>
        <w:tc>
          <w:tcPr>
            <w:tcW w:w="3969" w:type="dxa"/>
            <w:noWrap/>
          </w:tcPr>
          <w:p w14:paraId="6D9937DB" w14:textId="77777777" w:rsidR="00254D1D" w:rsidRPr="009B60F9" w:rsidRDefault="00254D1D">
            <w:pPr>
              <w:rPr>
                <w:sz w:val="18"/>
                <w:szCs w:val="18"/>
              </w:rPr>
            </w:pPr>
            <w:r>
              <w:rPr>
                <w:sz w:val="18"/>
                <w:szCs w:val="18"/>
              </w:rPr>
              <w:t>CE</w:t>
            </w:r>
            <w:r w:rsidRPr="009B60F9">
              <w:rPr>
                <w:sz w:val="18"/>
                <w:szCs w:val="18"/>
              </w:rPr>
              <w:t xml:space="preserve"> Councils Implementation - Darebin Best Waste Practices in Multi Use Dwellings</w:t>
            </w:r>
          </w:p>
        </w:tc>
        <w:tc>
          <w:tcPr>
            <w:tcW w:w="1589" w:type="dxa"/>
            <w:noWrap/>
          </w:tcPr>
          <w:p w14:paraId="2A00BB14" w14:textId="77777777" w:rsidR="00254D1D" w:rsidRPr="009B60F9" w:rsidRDefault="00254D1D">
            <w:pPr>
              <w:rPr>
                <w:sz w:val="18"/>
                <w:szCs w:val="18"/>
              </w:rPr>
            </w:pPr>
            <w:r w:rsidRPr="009B60F9">
              <w:rPr>
                <w:sz w:val="18"/>
                <w:szCs w:val="18"/>
              </w:rPr>
              <w:t>$30,000</w:t>
            </w:r>
          </w:p>
        </w:tc>
      </w:tr>
      <w:tr w:rsidR="00254D1D" w:rsidRPr="0012521E" w14:paraId="2AEAB6C4" w14:textId="77777777">
        <w:tc>
          <w:tcPr>
            <w:tcW w:w="3397" w:type="dxa"/>
            <w:noWrap/>
          </w:tcPr>
          <w:p w14:paraId="53378AA7" w14:textId="77777777" w:rsidR="00254D1D" w:rsidRPr="00630510" w:rsidRDefault="00254D1D">
            <w:pPr>
              <w:rPr>
                <w:sz w:val="18"/>
                <w:szCs w:val="18"/>
              </w:rPr>
            </w:pPr>
            <w:r w:rsidRPr="00630510">
              <w:rPr>
                <w:sz w:val="18"/>
                <w:szCs w:val="18"/>
              </w:rPr>
              <w:t>City of Greater Dandenong</w:t>
            </w:r>
          </w:p>
        </w:tc>
        <w:tc>
          <w:tcPr>
            <w:tcW w:w="3969" w:type="dxa"/>
            <w:noWrap/>
          </w:tcPr>
          <w:p w14:paraId="14CF0D99" w14:textId="77777777" w:rsidR="00254D1D" w:rsidRPr="00630510" w:rsidRDefault="00254D1D">
            <w:pPr>
              <w:rPr>
                <w:sz w:val="18"/>
                <w:szCs w:val="18"/>
              </w:rPr>
            </w:pPr>
            <w:r w:rsidRPr="00630510">
              <w:rPr>
                <w:sz w:val="18"/>
                <w:szCs w:val="18"/>
              </w:rPr>
              <w:t>Greater Dandenong City Council's Household Recycling Bin Education Campaign – Household Education</w:t>
            </w:r>
          </w:p>
        </w:tc>
        <w:tc>
          <w:tcPr>
            <w:tcW w:w="1589" w:type="dxa"/>
            <w:noWrap/>
          </w:tcPr>
          <w:p w14:paraId="664973C2" w14:textId="77777777" w:rsidR="00254D1D" w:rsidRPr="00630510" w:rsidRDefault="00254D1D">
            <w:pPr>
              <w:rPr>
                <w:sz w:val="18"/>
                <w:szCs w:val="18"/>
              </w:rPr>
            </w:pPr>
            <w:r w:rsidRPr="00630510">
              <w:rPr>
                <w:sz w:val="18"/>
                <w:szCs w:val="18"/>
              </w:rPr>
              <w:t>$68,460</w:t>
            </w:r>
          </w:p>
        </w:tc>
      </w:tr>
      <w:tr w:rsidR="00254D1D" w:rsidRPr="0012521E" w14:paraId="739CFDF3" w14:textId="77777777">
        <w:tc>
          <w:tcPr>
            <w:tcW w:w="3397" w:type="dxa"/>
            <w:noWrap/>
          </w:tcPr>
          <w:p w14:paraId="09723627" w14:textId="77777777" w:rsidR="00254D1D" w:rsidRPr="00260C5C" w:rsidRDefault="00254D1D">
            <w:pPr>
              <w:rPr>
                <w:sz w:val="18"/>
                <w:szCs w:val="18"/>
              </w:rPr>
            </w:pPr>
            <w:r w:rsidRPr="00260C5C">
              <w:rPr>
                <w:sz w:val="18"/>
                <w:szCs w:val="18"/>
              </w:rPr>
              <w:t>City of Greater Geelong</w:t>
            </w:r>
          </w:p>
        </w:tc>
        <w:tc>
          <w:tcPr>
            <w:tcW w:w="3969" w:type="dxa"/>
            <w:noWrap/>
          </w:tcPr>
          <w:p w14:paraId="7D942B70" w14:textId="77777777" w:rsidR="00254D1D" w:rsidRPr="00260C5C" w:rsidRDefault="00254D1D">
            <w:pPr>
              <w:rPr>
                <w:sz w:val="18"/>
                <w:szCs w:val="18"/>
              </w:rPr>
            </w:pPr>
            <w:r w:rsidRPr="00260C5C">
              <w:rPr>
                <w:sz w:val="18"/>
                <w:szCs w:val="18"/>
              </w:rPr>
              <w:t xml:space="preserve">Geelong - </w:t>
            </w:r>
            <w:r>
              <w:rPr>
                <w:sz w:val="18"/>
                <w:szCs w:val="18"/>
              </w:rPr>
              <w:t>P</w:t>
            </w:r>
            <w:r w:rsidRPr="00260C5C">
              <w:rPr>
                <w:sz w:val="18"/>
                <w:szCs w:val="18"/>
              </w:rPr>
              <w:t xml:space="preserve">romoting the </w:t>
            </w:r>
            <w:r>
              <w:rPr>
                <w:sz w:val="18"/>
                <w:szCs w:val="18"/>
              </w:rPr>
              <w:t>R</w:t>
            </w:r>
            <w:r w:rsidRPr="00260C5C">
              <w:rPr>
                <w:sz w:val="18"/>
                <w:szCs w:val="18"/>
              </w:rPr>
              <w:t xml:space="preserve">ecycling </w:t>
            </w:r>
            <w:r>
              <w:rPr>
                <w:sz w:val="18"/>
                <w:szCs w:val="18"/>
              </w:rPr>
              <w:t>S</w:t>
            </w:r>
            <w:r w:rsidRPr="00260C5C">
              <w:rPr>
                <w:sz w:val="18"/>
                <w:szCs w:val="18"/>
              </w:rPr>
              <w:t>ystem</w:t>
            </w:r>
            <w:r w:rsidRPr="001C0DA3">
              <w:rPr>
                <w:sz w:val="18"/>
                <w:szCs w:val="18"/>
              </w:rPr>
              <w:t xml:space="preserve"> – Household Education</w:t>
            </w:r>
          </w:p>
        </w:tc>
        <w:tc>
          <w:tcPr>
            <w:tcW w:w="1589" w:type="dxa"/>
            <w:noWrap/>
          </w:tcPr>
          <w:p w14:paraId="38536D83" w14:textId="77777777" w:rsidR="00254D1D" w:rsidRPr="00260C5C" w:rsidRDefault="00254D1D">
            <w:pPr>
              <w:rPr>
                <w:sz w:val="18"/>
                <w:szCs w:val="18"/>
              </w:rPr>
            </w:pPr>
            <w:r w:rsidRPr="00260C5C">
              <w:rPr>
                <w:sz w:val="18"/>
                <w:szCs w:val="18"/>
              </w:rPr>
              <w:t>$45,900</w:t>
            </w:r>
          </w:p>
        </w:tc>
      </w:tr>
      <w:tr w:rsidR="00254D1D" w:rsidRPr="0012521E" w14:paraId="639AAF95" w14:textId="77777777">
        <w:tc>
          <w:tcPr>
            <w:tcW w:w="3397" w:type="dxa"/>
            <w:noWrap/>
          </w:tcPr>
          <w:p w14:paraId="68C7386E" w14:textId="77777777" w:rsidR="00254D1D" w:rsidRPr="00260C5C" w:rsidRDefault="00254D1D">
            <w:pPr>
              <w:rPr>
                <w:sz w:val="18"/>
                <w:szCs w:val="18"/>
              </w:rPr>
            </w:pPr>
            <w:r w:rsidRPr="00260C5C">
              <w:rPr>
                <w:sz w:val="18"/>
                <w:szCs w:val="18"/>
              </w:rPr>
              <w:t>City of Greater Geelong</w:t>
            </w:r>
          </w:p>
        </w:tc>
        <w:tc>
          <w:tcPr>
            <w:tcW w:w="3969" w:type="dxa"/>
            <w:noWrap/>
          </w:tcPr>
          <w:p w14:paraId="3DCCB631" w14:textId="77777777" w:rsidR="00254D1D" w:rsidRPr="00260C5C" w:rsidRDefault="00254D1D">
            <w:pPr>
              <w:rPr>
                <w:sz w:val="18"/>
                <w:szCs w:val="18"/>
              </w:rPr>
            </w:pPr>
            <w:r w:rsidRPr="00260C5C">
              <w:rPr>
                <w:sz w:val="18"/>
                <w:szCs w:val="18"/>
              </w:rPr>
              <w:t>CCCEA RD2 Energy Efficiency Upgrades - City of Greater Geelong</w:t>
            </w:r>
          </w:p>
        </w:tc>
        <w:tc>
          <w:tcPr>
            <w:tcW w:w="1589" w:type="dxa"/>
            <w:noWrap/>
          </w:tcPr>
          <w:p w14:paraId="717654A8" w14:textId="77777777" w:rsidR="00254D1D" w:rsidRPr="00260C5C" w:rsidRDefault="00254D1D">
            <w:pPr>
              <w:rPr>
                <w:sz w:val="18"/>
                <w:szCs w:val="18"/>
              </w:rPr>
            </w:pPr>
            <w:r w:rsidRPr="00260C5C">
              <w:rPr>
                <w:sz w:val="18"/>
                <w:szCs w:val="18"/>
              </w:rPr>
              <w:t>$1,827</w:t>
            </w:r>
          </w:p>
        </w:tc>
      </w:tr>
      <w:tr w:rsidR="00254D1D" w14:paraId="2EB8D69D" w14:textId="77777777">
        <w:trPr>
          <w:trHeight w:val="300"/>
        </w:trPr>
        <w:tc>
          <w:tcPr>
            <w:tcW w:w="3397" w:type="dxa"/>
            <w:noWrap/>
          </w:tcPr>
          <w:p w14:paraId="404EDF64" w14:textId="77777777" w:rsidR="00254D1D" w:rsidRPr="00EE45DE" w:rsidRDefault="00254D1D">
            <w:pPr>
              <w:rPr>
                <w:color w:val="FF0000"/>
                <w:sz w:val="18"/>
                <w:szCs w:val="18"/>
              </w:rPr>
            </w:pPr>
            <w:r w:rsidRPr="00EE45DE">
              <w:rPr>
                <w:color w:val="auto"/>
                <w:sz w:val="18"/>
                <w:szCs w:val="18"/>
              </w:rPr>
              <w:t>City of Maribyrnong</w:t>
            </w:r>
          </w:p>
        </w:tc>
        <w:tc>
          <w:tcPr>
            <w:tcW w:w="3969" w:type="dxa"/>
            <w:noWrap/>
          </w:tcPr>
          <w:p w14:paraId="2CDCC743" w14:textId="77777777" w:rsidR="00254D1D" w:rsidRPr="00EE45DE" w:rsidRDefault="00254D1D">
            <w:pPr>
              <w:rPr>
                <w:sz w:val="18"/>
                <w:szCs w:val="18"/>
              </w:rPr>
            </w:pPr>
            <w:r w:rsidRPr="00EE45DE">
              <w:rPr>
                <w:sz w:val="18"/>
                <w:szCs w:val="18"/>
              </w:rPr>
              <w:t xml:space="preserve">Maribyrnong City Council Promoting the </w:t>
            </w:r>
          </w:p>
          <w:p w14:paraId="2CD51734" w14:textId="77777777" w:rsidR="00254D1D" w:rsidRPr="00EE45DE" w:rsidRDefault="00254D1D">
            <w:pPr>
              <w:rPr>
                <w:sz w:val="18"/>
                <w:szCs w:val="18"/>
              </w:rPr>
            </w:pPr>
            <w:r w:rsidRPr="00EE45DE">
              <w:rPr>
                <w:sz w:val="18"/>
                <w:szCs w:val="18"/>
              </w:rPr>
              <w:t>Recycling System – Household Education</w:t>
            </w:r>
          </w:p>
        </w:tc>
        <w:tc>
          <w:tcPr>
            <w:tcW w:w="1589" w:type="dxa"/>
            <w:noWrap/>
          </w:tcPr>
          <w:p w14:paraId="05E7F2C5" w14:textId="77777777" w:rsidR="00254D1D" w:rsidRPr="00EE45DE" w:rsidRDefault="00254D1D">
            <w:pPr>
              <w:rPr>
                <w:sz w:val="18"/>
                <w:szCs w:val="18"/>
              </w:rPr>
            </w:pPr>
            <w:r w:rsidRPr="00EE45DE">
              <w:rPr>
                <w:sz w:val="18"/>
                <w:szCs w:val="18"/>
              </w:rPr>
              <w:t>$44,600</w:t>
            </w:r>
          </w:p>
          <w:p w14:paraId="2E5930FB" w14:textId="77777777" w:rsidR="00254D1D" w:rsidRPr="00EE45DE" w:rsidRDefault="00254D1D">
            <w:pPr>
              <w:rPr>
                <w:sz w:val="18"/>
                <w:szCs w:val="18"/>
              </w:rPr>
            </w:pPr>
          </w:p>
        </w:tc>
      </w:tr>
      <w:tr w:rsidR="00254D1D" w:rsidRPr="0012521E" w14:paraId="726416C9" w14:textId="77777777">
        <w:tc>
          <w:tcPr>
            <w:tcW w:w="3397" w:type="dxa"/>
            <w:noWrap/>
          </w:tcPr>
          <w:p w14:paraId="040E1F2E" w14:textId="77777777" w:rsidR="00254D1D" w:rsidRPr="00C73DC6" w:rsidRDefault="00254D1D">
            <w:pPr>
              <w:pStyle w:val="TableText"/>
              <w:rPr>
                <w:rFonts w:ascii="Arial" w:hAnsi="Arial" w:cs="Arial"/>
                <w:sz w:val="18"/>
                <w:szCs w:val="18"/>
              </w:rPr>
            </w:pPr>
            <w:r w:rsidRPr="00D45CD9">
              <w:rPr>
                <w:rFonts w:ascii="Arial" w:hAnsi="Arial" w:cs="Arial"/>
                <w:sz w:val="18"/>
                <w:szCs w:val="18"/>
              </w:rPr>
              <w:t>City of Stonnington</w:t>
            </w:r>
          </w:p>
        </w:tc>
        <w:tc>
          <w:tcPr>
            <w:tcW w:w="3969" w:type="dxa"/>
            <w:noWrap/>
          </w:tcPr>
          <w:p w14:paraId="2CCEC888" w14:textId="77777777" w:rsidR="00254D1D" w:rsidRPr="00F0428E" w:rsidRDefault="00254D1D">
            <w:pPr>
              <w:pStyle w:val="TableText"/>
              <w:rPr>
                <w:rFonts w:ascii="Arial" w:hAnsi="Arial" w:cs="Arial"/>
                <w:sz w:val="18"/>
                <w:szCs w:val="18"/>
              </w:rPr>
            </w:pPr>
            <w:r w:rsidRPr="00AD00AE">
              <w:rPr>
                <w:rFonts w:ascii="Arial" w:hAnsi="Arial" w:cs="Arial"/>
                <w:sz w:val="18"/>
                <w:szCs w:val="18"/>
              </w:rPr>
              <w:t xml:space="preserve">Food Waste Hubs </w:t>
            </w:r>
            <w:r>
              <w:rPr>
                <w:rFonts w:ascii="Arial" w:hAnsi="Arial" w:cs="Arial"/>
                <w:sz w:val="18"/>
                <w:szCs w:val="18"/>
              </w:rPr>
              <w:t>f</w:t>
            </w:r>
            <w:r w:rsidRPr="00AD00AE">
              <w:rPr>
                <w:rFonts w:ascii="Arial" w:hAnsi="Arial" w:cs="Arial"/>
                <w:sz w:val="18"/>
                <w:szCs w:val="18"/>
              </w:rPr>
              <w:t>or High-Density Dwellings: Small Acts, Big Impact</w:t>
            </w:r>
            <w:r w:rsidRPr="00107A1D">
              <w:rPr>
                <w:rFonts w:ascii="Arial" w:hAnsi="Arial" w:cs="Arial"/>
                <w:sz w:val="18"/>
                <w:szCs w:val="18"/>
              </w:rPr>
              <w:t xml:space="preserve"> – Household Education</w:t>
            </w:r>
          </w:p>
        </w:tc>
        <w:tc>
          <w:tcPr>
            <w:tcW w:w="1589" w:type="dxa"/>
            <w:noWrap/>
          </w:tcPr>
          <w:p w14:paraId="13EFD251" w14:textId="77777777" w:rsidR="00254D1D" w:rsidRDefault="00254D1D">
            <w:pPr>
              <w:pStyle w:val="Tablerightlarge"/>
              <w:jc w:val="left"/>
              <w:rPr>
                <w:sz w:val="18"/>
                <w:szCs w:val="18"/>
              </w:rPr>
            </w:pPr>
            <w:r>
              <w:rPr>
                <w:sz w:val="18"/>
                <w:szCs w:val="18"/>
              </w:rPr>
              <w:t>$46,350</w:t>
            </w:r>
          </w:p>
        </w:tc>
      </w:tr>
      <w:tr w:rsidR="00254D1D" w14:paraId="7524F383" w14:textId="77777777">
        <w:trPr>
          <w:trHeight w:val="300"/>
        </w:trPr>
        <w:tc>
          <w:tcPr>
            <w:tcW w:w="3397" w:type="dxa"/>
            <w:noWrap/>
          </w:tcPr>
          <w:p w14:paraId="04CB010E" w14:textId="77777777" w:rsidR="00254D1D" w:rsidRPr="005A7748" w:rsidRDefault="00254D1D">
            <w:pPr>
              <w:pStyle w:val="TableText"/>
              <w:rPr>
                <w:rFonts w:ascii="Arial" w:hAnsi="Arial" w:cs="Arial"/>
                <w:sz w:val="18"/>
                <w:szCs w:val="18"/>
              </w:rPr>
            </w:pPr>
            <w:r w:rsidRPr="005A7748">
              <w:rPr>
                <w:rFonts w:ascii="Arial" w:hAnsi="Arial" w:cs="Arial"/>
                <w:sz w:val="18"/>
                <w:szCs w:val="18"/>
              </w:rPr>
              <w:t>City of Stonnington</w:t>
            </w:r>
          </w:p>
        </w:tc>
        <w:tc>
          <w:tcPr>
            <w:tcW w:w="3969" w:type="dxa"/>
            <w:noWrap/>
          </w:tcPr>
          <w:p w14:paraId="7AF41614" w14:textId="77777777" w:rsidR="00254D1D" w:rsidRPr="005A7748" w:rsidRDefault="00254D1D">
            <w:pPr>
              <w:pStyle w:val="TableText"/>
              <w:rPr>
                <w:rFonts w:ascii="Arial" w:hAnsi="Arial" w:cs="Arial"/>
                <w:sz w:val="18"/>
                <w:szCs w:val="18"/>
              </w:rPr>
            </w:pPr>
            <w:r w:rsidRPr="005A7748">
              <w:rPr>
                <w:rFonts w:ascii="Arial" w:hAnsi="Arial" w:cs="Arial"/>
                <w:sz w:val="18"/>
                <w:szCs w:val="18"/>
              </w:rPr>
              <w:t>RV Councils Implementation - Darebin Best Waste Practices in Multi Use Dwellings</w:t>
            </w:r>
          </w:p>
        </w:tc>
        <w:tc>
          <w:tcPr>
            <w:tcW w:w="1589" w:type="dxa"/>
            <w:noWrap/>
          </w:tcPr>
          <w:p w14:paraId="00FFEC9D" w14:textId="77777777" w:rsidR="00254D1D" w:rsidRPr="005A7748" w:rsidRDefault="00254D1D">
            <w:pPr>
              <w:pStyle w:val="Tablerightlarge"/>
              <w:jc w:val="left"/>
              <w:rPr>
                <w:sz w:val="18"/>
                <w:szCs w:val="18"/>
              </w:rPr>
            </w:pPr>
            <w:r w:rsidRPr="005A7748">
              <w:rPr>
                <w:sz w:val="18"/>
                <w:szCs w:val="18"/>
              </w:rPr>
              <w:t>$30,000</w:t>
            </w:r>
          </w:p>
        </w:tc>
      </w:tr>
      <w:tr w:rsidR="00254D1D" w:rsidRPr="0012521E" w14:paraId="49CA510D" w14:textId="77777777">
        <w:tc>
          <w:tcPr>
            <w:tcW w:w="3397" w:type="dxa"/>
            <w:noWrap/>
          </w:tcPr>
          <w:p w14:paraId="259ED670" w14:textId="77777777" w:rsidR="00254D1D" w:rsidRPr="00C73DC6" w:rsidRDefault="00254D1D">
            <w:pPr>
              <w:pStyle w:val="TableText"/>
              <w:rPr>
                <w:rFonts w:ascii="Arial" w:hAnsi="Arial" w:cs="Arial"/>
                <w:sz w:val="18"/>
                <w:szCs w:val="18"/>
              </w:rPr>
            </w:pPr>
            <w:r w:rsidRPr="000A4CA5">
              <w:rPr>
                <w:rFonts w:ascii="Arial" w:hAnsi="Arial" w:cs="Arial"/>
                <w:sz w:val="18"/>
                <w:szCs w:val="18"/>
              </w:rPr>
              <w:t>City of Whittlesea</w:t>
            </w:r>
          </w:p>
        </w:tc>
        <w:tc>
          <w:tcPr>
            <w:tcW w:w="3969" w:type="dxa"/>
            <w:noWrap/>
          </w:tcPr>
          <w:p w14:paraId="599550A4" w14:textId="77777777" w:rsidR="00254D1D" w:rsidRPr="00F0428E" w:rsidRDefault="00254D1D">
            <w:pPr>
              <w:pStyle w:val="TableText"/>
              <w:rPr>
                <w:rFonts w:ascii="Arial" w:hAnsi="Arial" w:cs="Arial"/>
                <w:sz w:val="18"/>
                <w:szCs w:val="18"/>
              </w:rPr>
            </w:pPr>
            <w:r w:rsidRPr="008B758A">
              <w:rPr>
                <w:rFonts w:ascii="Arial" w:hAnsi="Arial" w:cs="Arial"/>
                <w:sz w:val="18"/>
                <w:szCs w:val="18"/>
              </w:rPr>
              <w:t>CE Councils Implementation Whittlesea Circular Resource Practices at Retail Business Precincts</w:t>
            </w:r>
          </w:p>
        </w:tc>
        <w:tc>
          <w:tcPr>
            <w:tcW w:w="1589" w:type="dxa"/>
            <w:noWrap/>
          </w:tcPr>
          <w:p w14:paraId="50438822" w14:textId="77777777" w:rsidR="00254D1D" w:rsidRDefault="00254D1D">
            <w:pPr>
              <w:pStyle w:val="Tablerightlarge"/>
              <w:jc w:val="left"/>
              <w:rPr>
                <w:sz w:val="18"/>
                <w:szCs w:val="18"/>
                <w:highlight w:val="yellow"/>
              </w:rPr>
            </w:pPr>
            <w:r w:rsidRPr="00492DC0">
              <w:rPr>
                <w:sz w:val="18"/>
                <w:szCs w:val="18"/>
              </w:rPr>
              <w:t>$80,000</w:t>
            </w:r>
          </w:p>
        </w:tc>
      </w:tr>
      <w:tr w:rsidR="00254D1D" w:rsidRPr="0012521E" w14:paraId="16CDE48F" w14:textId="77777777">
        <w:tc>
          <w:tcPr>
            <w:tcW w:w="3397" w:type="dxa"/>
            <w:noWrap/>
          </w:tcPr>
          <w:p w14:paraId="71942B3F" w14:textId="77777777" w:rsidR="00254D1D" w:rsidRPr="00393B7F" w:rsidRDefault="00254D1D">
            <w:pPr>
              <w:rPr>
                <w:sz w:val="18"/>
                <w:szCs w:val="18"/>
              </w:rPr>
            </w:pPr>
            <w:r w:rsidRPr="00393B7F">
              <w:rPr>
                <w:sz w:val="18"/>
                <w:szCs w:val="18"/>
              </w:rPr>
              <w:t>Cleanaway Pty Ltd</w:t>
            </w:r>
          </w:p>
        </w:tc>
        <w:tc>
          <w:tcPr>
            <w:tcW w:w="3969" w:type="dxa"/>
            <w:noWrap/>
          </w:tcPr>
          <w:p w14:paraId="5C4C13AF" w14:textId="77777777" w:rsidR="00254D1D" w:rsidRPr="00393B7F" w:rsidRDefault="00254D1D">
            <w:pPr>
              <w:rPr>
                <w:sz w:val="18"/>
                <w:szCs w:val="18"/>
              </w:rPr>
            </w:pPr>
            <w:r w:rsidRPr="00393B7F">
              <w:rPr>
                <w:sz w:val="18"/>
                <w:szCs w:val="18"/>
              </w:rPr>
              <w:t>PFAS Treatment Plant</w:t>
            </w:r>
          </w:p>
        </w:tc>
        <w:tc>
          <w:tcPr>
            <w:tcW w:w="1589" w:type="dxa"/>
            <w:noWrap/>
          </w:tcPr>
          <w:p w14:paraId="6D9C0DE4" w14:textId="77777777" w:rsidR="00254D1D" w:rsidRDefault="00254D1D">
            <w:pPr>
              <w:rPr>
                <w:sz w:val="18"/>
                <w:szCs w:val="18"/>
              </w:rPr>
            </w:pPr>
            <w:r w:rsidRPr="00647636">
              <w:rPr>
                <w:sz w:val="18"/>
                <w:szCs w:val="18"/>
              </w:rPr>
              <w:t>$277,827</w:t>
            </w:r>
          </w:p>
        </w:tc>
      </w:tr>
      <w:tr w:rsidR="00254D1D" w:rsidRPr="0012521E" w14:paraId="0F2EF4F6" w14:textId="77777777">
        <w:tc>
          <w:tcPr>
            <w:tcW w:w="3397" w:type="dxa"/>
            <w:noWrap/>
          </w:tcPr>
          <w:p w14:paraId="73C5F7D2" w14:textId="77777777" w:rsidR="00254D1D" w:rsidRPr="00C73DC6" w:rsidRDefault="00254D1D">
            <w:pPr>
              <w:pStyle w:val="TableText"/>
              <w:rPr>
                <w:rFonts w:ascii="Arial" w:hAnsi="Arial" w:cs="Arial"/>
                <w:sz w:val="18"/>
                <w:szCs w:val="18"/>
              </w:rPr>
            </w:pPr>
            <w:r>
              <w:rPr>
                <w:rFonts w:ascii="Arial" w:hAnsi="Arial" w:cs="Arial"/>
                <w:sz w:val="18"/>
                <w:szCs w:val="18"/>
              </w:rPr>
              <w:t>Cross Laminated Offsite Solutions Pty Ltd</w:t>
            </w:r>
          </w:p>
        </w:tc>
        <w:tc>
          <w:tcPr>
            <w:tcW w:w="3969" w:type="dxa"/>
            <w:noWrap/>
          </w:tcPr>
          <w:p w14:paraId="0CC12422" w14:textId="77777777" w:rsidR="00254D1D" w:rsidRPr="00F0428E" w:rsidRDefault="00254D1D">
            <w:pPr>
              <w:pStyle w:val="TableText"/>
              <w:rPr>
                <w:rFonts w:ascii="Arial" w:hAnsi="Arial" w:cs="Arial"/>
                <w:sz w:val="18"/>
                <w:szCs w:val="18"/>
              </w:rPr>
            </w:pPr>
            <w:r>
              <w:rPr>
                <w:rFonts w:ascii="Arial" w:hAnsi="Arial" w:cs="Arial"/>
                <w:sz w:val="18"/>
                <w:szCs w:val="18"/>
              </w:rPr>
              <w:t xml:space="preserve">CE </w:t>
            </w:r>
            <w:r w:rsidRPr="003330A2">
              <w:rPr>
                <w:rFonts w:ascii="Arial" w:hAnsi="Arial" w:cs="Arial"/>
                <w:sz w:val="18"/>
                <w:szCs w:val="18"/>
              </w:rPr>
              <w:t>Innovation</w:t>
            </w:r>
            <w:r>
              <w:rPr>
                <w:rFonts w:ascii="Arial" w:hAnsi="Arial" w:cs="Arial"/>
                <w:sz w:val="18"/>
                <w:szCs w:val="18"/>
              </w:rPr>
              <w:t xml:space="preserve"> </w:t>
            </w:r>
            <w:r w:rsidRPr="003330A2">
              <w:rPr>
                <w:rFonts w:ascii="Arial" w:hAnsi="Arial" w:cs="Arial"/>
                <w:sz w:val="18"/>
                <w:szCs w:val="18"/>
              </w:rPr>
              <w:t>-</w:t>
            </w:r>
            <w:r>
              <w:rPr>
                <w:rFonts w:ascii="Arial" w:hAnsi="Arial" w:cs="Arial"/>
                <w:sz w:val="18"/>
                <w:szCs w:val="18"/>
              </w:rPr>
              <w:t xml:space="preserve"> </w:t>
            </w:r>
            <w:r w:rsidRPr="003330A2">
              <w:rPr>
                <w:rFonts w:ascii="Arial" w:hAnsi="Arial" w:cs="Arial"/>
                <w:sz w:val="18"/>
                <w:szCs w:val="18"/>
              </w:rPr>
              <w:t>CLOS: 50% Construction Waste Reduction through Prefab</w:t>
            </w:r>
          </w:p>
        </w:tc>
        <w:tc>
          <w:tcPr>
            <w:tcW w:w="1589" w:type="dxa"/>
            <w:noWrap/>
          </w:tcPr>
          <w:p w14:paraId="6893F51B" w14:textId="77777777" w:rsidR="00254D1D" w:rsidRDefault="00254D1D">
            <w:pPr>
              <w:pStyle w:val="Tablerightlarge"/>
              <w:jc w:val="left"/>
              <w:rPr>
                <w:sz w:val="18"/>
                <w:szCs w:val="18"/>
              </w:rPr>
            </w:pPr>
            <w:r>
              <w:rPr>
                <w:sz w:val="18"/>
                <w:szCs w:val="18"/>
              </w:rPr>
              <w:t>$30,000</w:t>
            </w:r>
          </w:p>
        </w:tc>
      </w:tr>
      <w:tr w:rsidR="00254D1D" w:rsidRPr="0012521E" w14:paraId="0E2C15C7" w14:textId="77777777">
        <w:tc>
          <w:tcPr>
            <w:tcW w:w="3397" w:type="dxa"/>
            <w:noWrap/>
          </w:tcPr>
          <w:p w14:paraId="17784747" w14:textId="77777777" w:rsidR="00254D1D" w:rsidRPr="00C73DC6" w:rsidRDefault="00254D1D">
            <w:pPr>
              <w:pStyle w:val="TableText"/>
              <w:rPr>
                <w:rFonts w:ascii="Arial" w:hAnsi="Arial" w:cs="Arial"/>
                <w:sz w:val="18"/>
                <w:szCs w:val="18"/>
              </w:rPr>
            </w:pPr>
            <w:r>
              <w:rPr>
                <w:rFonts w:ascii="Arial" w:hAnsi="Arial" w:cs="Arial"/>
                <w:sz w:val="18"/>
                <w:szCs w:val="18"/>
              </w:rPr>
              <w:t>Cross Laminated Offsite Solutions Pty Ltd</w:t>
            </w:r>
          </w:p>
        </w:tc>
        <w:tc>
          <w:tcPr>
            <w:tcW w:w="3969" w:type="dxa"/>
            <w:noWrap/>
          </w:tcPr>
          <w:p w14:paraId="7C533453" w14:textId="77777777" w:rsidR="00254D1D" w:rsidRPr="00F0428E" w:rsidRDefault="00254D1D">
            <w:pPr>
              <w:pStyle w:val="TableText"/>
              <w:rPr>
                <w:rFonts w:ascii="Arial" w:hAnsi="Arial" w:cs="Arial"/>
                <w:sz w:val="18"/>
                <w:szCs w:val="18"/>
              </w:rPr>
            </w:pPr>
            <w:r w:rsidRPr="00E945EF">
              <w:rPr>
                <w:rFonts w:ascii="Arial" w:hAnsi="Arial" w:cs="Arial"/>
                <w:sz w:val="18"/>
                <w:szCs w:val="18"/>
              </w:rPr>
              <w:t>​​Expansion of the CLOS Advanced Building Facility​</w:t>
            </w:r>
          </w:p>
        </w:tc>
        <w:tc>
          <w:tcPr>
            <w:tcW w:w="1589" w:type="dxa"/>
            <w:noWrap/>
          </w:tcPr>
          <w:p w14:paraId="1F0B4393" w14:textId="77777777" w:rsidR="00254D1D" w:rsidRDefault="00254D1D">
            <w:pPr>
              <w:pStyle w:val="Tablerightlarge"/>
              <w:jc w:val="left"/>
              <w:rPr>
                <w:sz w:val="18"/>
                <w:szCs w:val="18"/>
              </w:rPr>
            </w:pPr>
            <w:r>
              <w:rPr>
                <w:sz w:val="18"/>
                <w:szCs w:val="18"/>
              </w:rPr>
              <w:t>$525,000</w:t>
            </w:r>
          </w:p>
        </w:tc>
      </w:tr>
      <w:tr w:rsidR="00254D1D" w:rsidRPr="0012521E" w14:paraId="0ACC2D95" w14:textId="77777777">
        <w:tc>
          <w:tcPr>
            <w:tcW w:w="3397" w:type="dxa"/>
            <w:noWrap/>
          </w:tcPr>
          <w:p w14:paraId="4C4C2FAF" w14:textId="77777777" w:rsidR="00254D1D" w:rsidRPr="00C73DC6" w:rsidRDefault="00254D1D">
            <w:pPr>
              <w:pStyle w:val="TableText"/>
              <w:rPr>
                <w:rFonts w:ascii="Arial" w:hAnsi="Arial" w:cs="Arial"/>
                <w:sz w:val="18"/>
                <w:szCs w:val="18"/>
              </w:rPr>
            </w:pPr>
            <w:r>
              <w:rPr>
                <w:rFonts w:ascii="Arial" w:hAnsi="Arial" w:cs="Arial"/>
                <w:sz w:val="18"/>
                <w:szCs w:val="18"/>
              </w:rPr>
              <w:t>Close the Loop Ltd</w:t>
            </w:r>
          </w:p>
        </w:tc>
        <w:tc>
          <w:tcPr>
            <w:tcW w:w="3969" w:type="dxa"/>
            <w:noWrap/>
          </w:tcPr>
          <w:p w14:paraId="21CE35DA" w14:textId="77777777" w:rsidR="00254D1D" w:rsidRPr="00F0428E" w:rsidRDefault="00254D1D">
            <w:pPr>
              <w:pStyle w:val="TableText"/>
              <w:rPr>
                <w:rFonts w:ascii="Arial" w:hAnsi="Arial" w:cs="Arial"/>
                <w:sz w:val="18"/>
                <w:szCs w:val="18"/>
              </w:rPr>
            </w:pPr>
            <w:r w:rsidRPr="005F4A07">
              <w:rPr>
                <w:rFonts w:ascii="Arial" w:hAnsi="Arial" w:cs="Arial"/>
                <w:sz w:val="18"/>
                <w:szCs w:val="18"/>
              </w:rPr>
              <w:t xml:space="preserve">Australian Technology </w:t>
            </w:r>
            <w:r>
              <w:rPr>
                <w:rFonts w:ascii="Arial" w:hAnsi="Arial" w:cs="Arial"/>
                <w:sz w:val="18"/>
                <w:szCs w:val="18"/>
              </w:rPr>
              <w:t>T</w:t>
            </w:r>
            <w:r w:rsidRPr="005F4A07">
              <w:rPr>
                <w:rFonts w:ascii="Arial" w:hAnsi="Arial" w:cs="Arial"/>
                <w:sz w:val="18"/>
                <w:szCs w:val="18"/>
              </w:rPr>
              <w:t xml:space="preserve">urns </w:t>
            </w:r>
            <w:r>
              <w:rPr>
                <w:rFonts w:ascii="Arial" w:hAnsi="Arial" w:cs="Arial"/>
                <w:sz w:val="18"/>
                <w:szCs w:val="18"/>
              </w:rPr>
              <w:t>S</w:t>
            </w:r>
            <w:r w:rsidRPr="005F4A07">
              <w:rPr>
                <w:rFonts w:ascii="Arial" w:hAnsi="Arial" w:cs="Arial"/>
                <w:sz w:val="18"/>
                <w:szCs w:val="18"/>
              </w:rPr>
              <w:t xml:space="preserve">oft </w:t>
            </w:r>
            <w:r>
              <w:rPr>
                <w:rFonts w:ascii="Arial" w:hAnsi="Arial" w:cs="Arial"/>
                <w:sz w:val="18"/>
                <w:szCs w:val="18"/>
              </w:rPr>
              <w:t>P</w:t>
            </w:r>
            <w:r w:rsidRPr="005F4A07">
              <w:rPr>
                <w:rFonts w:ascii="Arial" w:hAnsi="Arial" w:cs="Arial"/>
                <w:sz w:val="18"/>
                <w:szCs w:val="18"/>
              </w:rPr>
              <w:t xml:space="preserve">lastic </w:t>
            </w:r>
            <w:r>
              <w:rPr>
                <w:rFonts w:ascii="Arial" w:hAnsi="Arial" w:cs="Arial"/>
                <w:sz w:val="18"/>
                <w:szCs w:val="18"/>
              </w:rPr>
              <w:t>W</w:t>
            </w:r>
            <w:r w:rsidRPr="005F4A07">
              <w:rPr>
                <w:rFonts w:ascii="Arial" w:hAnsi="Arial" w:cs="Arial"/>
                <w:sz w:val="18"/>
                <w:szCs w:val="18"/>
              </w:rPr>
              <w:t xml:space="preserve">aste into </w:t>
            </w:r>
            <w:proofErr w:type="spellStart"/>
            <w:r w:rsidRPr="005F4A07">
              <w:rPr>
                <w:rFonts w:ascii="Arial" w:hAnsi="Arial" w:cs="Arial"/>
                <w:sz w:val="18"/>
                <w:szCs w:val="18"/>
              </w:rPr>
              <w:t>TonerPlas</w:t>
            </w:r>
            <w:proofErr w:type="spellEnd"/>
            <w:r w:rsidRPr="005F4A07">
              <w:rPr>
                <w:rFonts w:ascii="Arial" w:hAnsi="Arial" w:cs="Arial"/>
                <w:sz w:val="18"/>
                <w:szCs w:val="18"/>
              </w:rPr>
              <w:t xml:space="preserve"> and </w:t>
            </w:r>
            <w:proofErr w:type="spellStart"/>
            <w:r w:rsidRPr="005F4A07">
              <w:rPr>
                <w:rFonts w:ascii="Arial" w:hAnsi="Arial" w:cs="Arial"/>
                <w:sz w:val="18"/>
                <w:szCs w:val="18"/>
              </w:rPr>
              <w:t>rFlex</w:t>
            </w:r>
            <w:proofErr w:type="spellEnd"/>
          </w:p>
        </w:tc>
        <w:tc>
          <w:tcPr>
            <w:tcW w:w="1589" w:type="dxa"/>
            <w:noWrap/>
          </w:tcPr>
          <w:p w14:paraId="7EF4A789" w14:textId="77777777" w:rsidR="00254D1D" w:rsidRDefault="00254D1D">
            <w:pPr>
              <w:pStyle w:val="Tablerightlarge"/>
              <w:jc w:val="left"/>
              <w:rPr>
                <w:sz w:val="18"/>
                <w:szCs w:val="18"/>
              </w:rPr>
            </w:pPr>
            <w:r>
              <w:rPr>
                <w:sz w:val="18"/>
                <w:szCs w:val="18"/>
              </w:rPr>
              <w:t>$100,000</w:t>
            </w:r>
          </w:p>
        </w:tc>
      </w:tr>
      <w:tr w:rsidR="00254D1D" w:rsidRPr="0012521E" w14:paraId="733BD8B1" w14:textId="77777777">
        <w:tc>
          <w:tcPr>
            <w:tcW w:w="3397" w:type="dxa"/>
            <w:noWrap/>
          </w:tcPr>
          <w:p w14:paraId="55FD5584" w14:textId="77777777" w:rsidR="00254D1D" w:rsidRPr="00C73DC6" w:rsidRDefault="00254D1D">
            <w:pPr>
              <w:pStyle w:val="TableText"/>
              <w:rPr>
                <w:rFonts w:ascii="Arial" w:hAnsi="Arial" w:cs="Arial"/>
                <w:sz w:val="18"/>
                <w:szCs w:val="18"/>
              </w:rPr>
            </w:pPr>
            <w:r w:rsidRPr="00642ADF">
              <w:rPr>
                <w:rFonts w:ascii="Arial" w:hAnsi="Arial" w:cs="Arial"/>
                <w:sz w:val="18"/>
                <w:szCs w:val="18"/>
              </w:rPr>
              <w:t>Colac Otway Shire Council</w:t>
            </w:r>
          </w:p>
        </w:tc>
        <w:tc>
          <w:tcPr>
            <w:tcW w:w="3969" w:type="dxa"/>
            <w:noWrap/>
          </w:tcPr>
          <w:p w14:paraId="72C67F1E" w14:textId="77777777" w:rsidR="00254D1D" w:rsidRPr="00F0428E" w:rsidRDefault="00254D1D">
            <w:pPr>
              <w:pStyle w:val="TableText"/>
              <w:rPr>
                <w:rFonts w:ascii="Arial" w:hAnsi="Arial" w:cs="Arial"/>
                <w:sz w:val="18"/>
                <w:szCs w:val="18"/>
              </w:rPr>
            </w:pPr>
            <w:r w:rsidRPr="00F23858">
              <w:rPr>
                <w:rFonts w:ascii="Arial" w:hAnsi="Arial" w:cs="Arial"/>
                <w:sz w:val="18"/>
                <w:szCs w:val="18"/>
              </w:rPr>
              <w:t xml:space="preserve">Colac Otway Shire </w:t>
            </w:r>
            <w:r>
              <w:rPr>
                <w:rFonts w:ascii="Arial" w:hAnsi="Arial" w:cs="Arial"/>
                <w:sz w:val="18"/>
                <w:szCs w:val="18"/>
              </w:rPr>
              <w:t>P</w:t>
            </w:r>
            <w:r w:rsidRPr="00F23858">
              <w:rPr>
                <w:rFonts w:ascii="Arial" w:hAnsi="Arial" w:cs="Arial"/>
                <w:sz w:val="18"/>
                <w:szCs w:val="18"/>
              </w:rPr>
              <w:t xml:space="preserve">romoting the </w:t>
            </w:r>
            <w:r>
              <w:rPr>
                <w:rFonts w:ascii="Arial" w:hAnsi="Arial" w:cs="Arial"/>
                <w:sz w:val="18"/>
                <w:szCs w:val="18"/>
              </w:rPr>
              <w:t>R</w:t>
            </w:r>
            <w:r w:rsidRPr="00F23858">
              <w:rPr>
                <w:rFonts w:ascii="Arial" w:hAnsi="Arial" w:cs="Arial"/>
                <w:sz w:val="18"/>
                <w:szCs w:val="18"/>
              </w:rPr>
              <w:t xml:space="preserve">ecycling </w:t>
            </w:r>
            <w:r>
              <w:rPr>
                <w:rFonts w:ascii="Arial" w:hAnsi="Arial" w:cs="Arial"/>
                <w:sz w:val="18"/>
                <w:szCs w:val="18"/>
              </w:rPr>
              <w:t>S</w:t>
            </w:r>
            <w:r w:rsidRPr="00F23858">
              <w:rPr>
                <w:rFonts w:ascii="Arial" w:hAnsi="Arial" w:cs="Arial"/>
                <w:sz w:val="18"/>
                <w:szCs w:val="18"/>
              </w:rPr>
              <w:t>ystem</w:t>
            </w:r>
            <w:r w:rsidRPr="00896942">
              <w:rPr>
                <w:rFonts w:ascii="Arial" w:hAnsi="Arial" w:cs="Arial"/>
                <w:sz w:val="18"/>
                <w:szCs w:val="18"/>
              </w:rPr>
              <w:t xml:space="preserve"> – Household Education</w:t>
            </w:r>
          </w:p>
        </w:tc>
        <w:tc>
          <w:tcPr>
            <w:tcW w:w="1589" w:type="dxa"/>
            <w:noWrap/>
          </w:tcPr>
          <w:p w14:paraId="44079DC1" w14:textId="77777777" w:rsidR="00254D1D" w:rsidRDefault="00254D1D">
            <w:pPr>
              <w:pStyle w:val="Tablerightlarge"/>
              <w:jc w:val="left"/>
              <w:rPr>
                <w:sz w:val="18"/>
                <w:szCs w:val="18"/>
              </w:rPr>
            </w:pPr>
            <w:r>
              <w:rPr>
                <w:sz w:val="18"/>
                <w:szCs w:val="18"/>
              </w:rPr>
              <w:t>$30,150</w:t>
            </w:r>
          </w:p>
        </w:tc>
      </w:tr>
      <w:tr w:rsidR="00254D1D" w:rsidRPr="0012521E" w14:paraId="5A99CDDE" w14:textId="77777777">
        <w:tc>
          <w:tcPr>
            <w:tcW w:w="3397" w:type="dxa"/>
            <w:noWrap/>
          </w:tcPr>
          <w:p w14:paraId="59F4E780" w14:textId="77777777" w:rsidR="00254D1D" w:rsidRPr="00C73DC6" w:rsidRDefault="00254D1D">
            <w:pPr>
              <w:pStyle w:val="TableText"/>
              <w:rPr>
                <w:rFonts w:ascii="Arial" w:hAnsi="Arial" w:cs="Arial"/>
                <w:sz w:val="18"/>
                <w:szCs w:val="18"/>
              </w:rPr>
            </w:pPr>
            <w:r w:rsidRPr="00A16A29">
              <w:rPr>
                <w:rFonts w:ascii="Arial" w:hAnsi="Arial" w:cs="Arial"/>
                <w:sz w:val="18"/>
                <w:szCs w:val="18"/>
              </w:rPr>
              <w:t xml:space="preserve">Coleraine Golf </w:t>
            </w:r>
            <w:r>
              <w:rPr>
                <w:rFonts w:ascii="Arial" w:hAnsi="Arial" w:cs="Arial"/>
                <w:sz w:val="18"/>
                <w:szCs w:val="18"/>
              </w:rPr>
              <w:t>C</w:t>
            </w:r>
            <w:r w:rsidRPr="00A16A29">
              <w:rPr>
                <w:rFonts w:ascii="Arial" w:hAnsi="Arial" w:cs="Arial"/>
                <w:sz w:val="18"/>
                <w:szCs w:val="18"/>
              </w:rPr>
              <w:t>lub Inc</w:t>
            </w:r>
          </w:p>
        </w:tc>
        <w:tc>
          <w:tcPr>
            <w:tcW w:w="3969" w:type="dxa"/>
            <w:noWrap/>
          </w:tcPr>
          <w:p w14:paraId="2361F43D" w14:textId="77777777" w:rsidR="00254D1D" w:rsidRPr="00F0428E" w:rsidRDefault="00254D1D">
            <w:pPr>
              <w:pStyle w:val="TableText"/>
              <w:rPr>
                <w:rFonts w:ascii="Arial" w:hAnsi="Arial" w:cs="Arial"/>
                <w:sz w:val="18"/>
                <w:szCs w:val="18"/>
              </w:rPr>
            </w:pPr>
            <w:r w:rsidRPr="00996321">
              <w:rPr>
                <w:rFonts w:ascii="Arial" w:hAnsi="Arial" w:cs="Arial"/>
                <w:sz w:val="18"/>
                <w:szCs w:val="18"/>
              </w:rPr>
              <w:t>CCCEA RD3 Energy Efficiency Upgrades - Coleraine Golf Club Inc</w:t>
            </w:r>
          </w:p>
        </w:tc>
        <w:tc>
          <w:tcPr>
            <w:tcW w:w="1589" w:type="dxa"/>
            <w:noWrap/>
          </w:tcPr>
          <w:p w14:paraId="7FE3A0B9" w14:textId="77777777" w:rsidR="00254D1D" w:rsidRDefault="00254D1D">
            <w:pPr>
              <w:pStyle w:val="Tablerightlarge"/>
              <w:jc w:val="left"/>
              <w:rPr>
                <w:sz w:val="18"/>
                <w:szCs w:val="18"/>
              </w:rPr>
            </w:pPr>
            <w:r>
              <w:rPr>
                <w:sz w:val="18"/>
                <w:szCs w:val="18"/>
              </w:rPr>
              <w:t>$1,680</w:t>
            </w:r>
          </w:p>
        </w:tc>
      </w:tr>
      <w:tr w:rsidR="00254D1D" w:rsidRPr="0012521E" w14:paraId="20F0CEDD" w14:textId="77777777">
        <w:tc>
          <w:tcPr>
            <w:tcW w:w="3397" w:type="dxa"/>
            <w:noWrap/>
          </w:tcPr>
          <w:p w14:paraId="597BB6CE" w14:textId="77777777" w:rsidR="00254D1D" w:rsidRDefault="00254D1D">
            <w:pPr>
              <w:pStyle w:val="TableText"/>
              <w:rPr>
                <w:rFonts w:ascii="Arial" w:hAnsi="Arial" w:cs="Arial"/>
                <w:sz w:val="18"/>
                <w:szCs w:val="18"/>
              </w:rPr>
            </w:pPr>
            <w:r w:rsidRPr="00C03567">
              <w:rPr>
                <w:rFonts w:ascii="Arial" w:hAnsi="Arial" w:cs="Arial"/>
                <w:sz w:val="18"/>
                <w:szCs w:val="18"/>
              </w:rPr>
              <w:t xml:space="preserve">Commonwealth Scientific and Industrial Research Organisation </w:t>
            </w:r>
          </w:p>
          <w:p w14:paraId="7A20F205" w14:textId="77777777" w:rsidR="00254D1D" w:rsidRPr="00C73DC6" w:rsidRDefault="00254D1D">
            <w:pPr>
              <w:pStyle w:val="TableText"/>
              <w:rPr>
                <w:rFonts w:ascii="Arial" w:hAnsi="Arial" w:cs="Arial"/>
                <w:sz w:val="18"/>
                <w:szCs w:val="18"/>
              </w:rPr>
            </w:pPr>
            <w:r w:rsidRPr="00C03567">
              <w:rPr>
                <w:rFonts w:ascii="Arial" w:hAnsi="Arial" w:cs="Arial"/>
                <w:sz w:val="18"/>
                <w:szCs w:val="18"/>
              </w:rPr>
              <w:t>(CSIRO)</w:t>
            </w:r>
          </w:p>
        </w:tc>
        <w:tc>
          <w:tcPr>
            <w:tcW w:w="3969" w:type="dxa"/>
            <w:noWrap/>
          </w:tcPr>
          <w:p w14:paraId="5CF1AD50" w14:textId="77777777" w:rsidR="00254D1D" w:rsidRPr="00F0428E" w:rsidRDefault="00254D1D">
            <w:pPr>
              <w:pStyle w:val="TableText"/>
              <w:rPr>
                <w:rFonts w:ascii="Arial" w:hAnsi="Arial" w:cs="Arial"/>
                <w:sz w:val="18"/>
                <w:szCs w:val="18"/>
              </w:rPr>
            </w:pPr>
            <w:r w:rsidRPr="00064097">
              <w:rPr>
                <w:rFonts w:ascii="Arial" w:hAnsi="Arial" w:cs="Arial"/>
                <w:sz w:val="18"/>
                <w:szCs w:val="18"/>
              </w:rPr>
              <w:t>CSIRO - Improved recycling of uPVC</w:t>
            </w:r>
          </w:p>
        </w:tc>
        <w:tc>
          <w:tcPr>
            <w:tcW w:w="1589" w:type="dxa"/>
            <w:noWrap/>
          </w:tcPr>
          <w:p w14:paraId="3E92CDE0" w14:textId="77777777" w:rsidR="00254D1D" w:rsidRPr="00373F39" w:rsidRDefault="00254D1D">
            <w:pPr>
              <w:pStyle w:val="Tablerightlarge"/>
              <w:jc w:val="left"/>
              <w:rPr>
                <w:sz w:val="18"/>
                <w:szCs w:val="18"/>
              </w:rPr>
            </w:pPr>
            <w:r w:rsidRPr="00373F39">
              <w:rPr>
                <w:sz w:val="18"/>
                <w:szCs w:val="18"/>
              </w:rPr>
              <w:t>$50,000</w:t>
            </w:r>
          </w:p>
        </w:tc>
      </w:tr>
      <w:tr w:rsidR="00254D1D" w:rsidRPr="0012521E" w14:paraId="7B3F1598" w14:textId="77777777">
        <w:tc>
          <w:tcPr>
            <w:tcW w:w="3397" w:type="dxa"/>
            <w:noWrap/>
          </w:tcPr>
          <w:p w14:paraId="513CA882" w14:textId="77777777" w:rsidR="00254D1D" w:rsidRDefault="00254D1D">
            <w:pPr>
              <w:rPr>
                <w:sz w:val="18"/>
                <w:szCs w:val="18"/>
              </w:rPr>
            </w:pPr>
            <w:r w:rsidRPr="0079318C">
              <w:rPr>
                <w:sz w:val="18"/>
                <w:szCs w:val="18"/>
              </w:rPr>
              <w:t xml:space="preserve">Commune and Co Pty Ltd </w:t>
            </w:r>
          </w:p>
          <w:p w14:paraId="1F197439" w14:textId="77777777" w:rsidR="00254D1D" w:rsidRPr="0079318C" w:rsidRDefault="00254D1D">
            <w:pPr>
              <w:rPr>
                <w:sz w:val="18"/>
                <w:szCs w:val="18"/>
              </w:rPr>
            </w:pPr>
            <w:r w:rsidRPr="0079318C">
              <w:rPr>
                <w:sz w:val="18"/>
                <w:szCs w:val="18"/>
              </w:rPr>
              <w:t xml:space="preserve">(Cirque Du Soil) </w:t>
            </w:r>
          </w:p>
        </w:tc>
        <w:tc>
          <w:tcPr>
            <w:tcW w:w="3969" w:type="dxa"/>
            <w:noWrap/>
          </w:tcPr>
          <w:p w14:paraId="2E8C5EE3" w14:textId="77777777" w:rsidR="00254D1D" w:rsidRPr="0079318C" w:rsidRDefault="00254D1D">
            <w:pPr>
              <w:rPr>
                <w:sz w:val="18"/>
                <w:szCs w:val="18"/>
              </w:rPr>
            </w:pPr>
            <w:r w:rsidRPr="0079318C">
              <w:rPr>
                <w:sz w:val="18"/>
                <w:szCs w:val="18"/>
              </w:rPr>
              <w:t xml:space="preserve">Cirque du Soil's </w:t>
            </w:r>
            <w:proofErr w:type="spellStart"/>
            <w:r w:rsidRPr="0079318C">
              <w:rPr>
                <w:sz w:val="18"/>
                <w:szCs w:val="18"/>
              </w:rPr>
              <w:t>GrowGood</w:t>
            </w:r>
            <w:proofErr w:type="spellEnd"/>
            <w:r w:rsidRPr="0079318C">
              <w:rPr>
                <w:sz w:val="18"/>
                <w:szCs w:val="18"/>
              </w:rPr>
              <w:t xml:space="preserve"> Fertiliser: A </w:t>
            </w:r>
            <w:r>
              <w:rPr>
                <w:sz w:val="18"/>
                <w:szCs w:val="18"/>
              </w:rPr>
              <w:t>Hy</w:t>
            </w:r>
            <w:r w:rsidRPr="0079318C">
              <w:rPr>
                <w:sz w:val="18"/>
                <w:szCs w:val="18"/>
              </w:rPr>
              <w:t xml:space="preserve">perlocal </w:t>
            </w:r>
            <w:r>
              <w:rPr>
                <w:sz w:val="18"/>
                <w:szCs w:val="18"/>
              </w:rPr>
              <w:t>F</w:t>
            </w:r>
            <w:r w:rsidRPr="0079318C">
              <w:rPr>
                <w:sz w:val="18"/>
                <w:szCs w:val="18"/>
              </w:rPr>
              <w:t xml:space="preserve">ood </w:t>
            </w:r>
            <w:r>
              <w:rPr>
                <w:sz w:val="18"/>
                <w:szCs w:val="18"/>
              </w:rPr>
              <w:t>W</w:t>
            </w:r>
            <w:r w:rsidRPr="0079318C">
              <w:rPr>
                <w:sz w:val="18"/>
                <w:szCs w:val="18"/>
              </w:rPr>
              <w:t xml:space="preserve">aste </w:t>
            </w:r>
            <w:r>
              <w:rPr>
                <w:sz w:val="18"/>
                <w:szCs w:val="18"/>
              </w:rPr>
              <w:t>A</w:t>
            </w:r>
            <w:r w:rsidRPr="0079318C">
              <w:rPr>
                <w:sz w:val="18"/>
                <w:szCs w:val="18"/>
              </w:rPr>
              <w:t>gri-</w:t>
            </w:r>
            <w:r>
              <w:rPr>
                <w:sz w:val="18"/>
                <w:szCs w:val="18"/>
              </w:rPr>
              <w:t>P</w:t>
            </w:r>
            <w:r w:rsidRPr="0079318C">
              <w:rPr>
                <w:sz w:val="18"/>
                <w:szCs w:val="18"/>
              </w:rPr>
              <w:t>roduct</w:t>
            </w:r>
          </w:p>
        </w:tc>
        <w:tc>
          <w:tcPr>
            <w:tcW w:w="1589" w:type="dxa"/>
            <w:noWrap/>
          </w:tcPr>
          <w:p w14:paraId="5A20FC6F" w14:textId="77777777" w:rsidR="00254D1D" w:rsidRPr="0079318C" w:rsidRDefault="00254D1D">
            <w:pPr>
              <w:rPr>
                <w:sz w:val="18"/>
                <w:szCs w:val="18"/>
              </w:rPr>
            </w:pPr>
            <w:r w:rsidRPr="0079318C">
              <w:rPr>
                <w:sz w:val="18"/>
                <w:szCs w:val="18"/>
              </w:rPr>
              <w:t>$80,778</w:t>
            </w:r>
          </w:p>
          <w:p w14:paraId="3E812396" w14:textId="77777777" w:rsidR="00254D1D" w:rsidRPr="0079318C" w:rsidRDefault="00254D1D">
            <w:pPr>
              <w:rPr>
                <w:sz w:val="18"/>
                <w:szCs w:val="18"/>
              </w:rPr>
            </w:pPr>
          </w:p>
        </w:tc>
      </w:tr>
      <w:tr w:rsidR="00254D1D" w:rsidRPr="0012521E" w14:paraId="23D56D8A" w14:textId="77777777">
        <w:tc>
          <w:tcPr>
            <w:tcW w:w="3397" w:type="dxa"/>
            <w:noWrap/>
          </w:tcPr>
          <w:p w14:paraId="3E2C5BD5" w14:textId="77777777" w:rsidR="00254D1D" w:rsidRPr="00C73DC6" w:rsidRDefault="00254D1D">
            <w:pPr>
              <w:pStyle w:val="TableText"/>
              <w:rPr>
                <w:rFonts w:ascii="Arial" w:hAnsi="Arial" w:cs="Arial"/>
                <w:sz w:val="18"/>
                <w:szCs w:val="18"/>
              </w:rPr>
            </w:pPr>
            <w:proofErr w:type="spellStart"/>
            <w:r w:rsidRPr="007734AF">
              <w:rPr>
                <w:rFonts w:ascii="Arial" w:hAnsi="Arial" w:cs="Arial"/>
                <w:sz w:val="18"/>
                <w:szCs w:val="18"/>
              </w:rPr>
              <w:t>Connect</w:t>
            </w:r>
            <w:r>
              <w:rPr>
                <w:rFonts w:ascii="Arial" w:hAnsi="Arial" w:cs="Arial"/>
                <w:sz w:val="18"/>
                <w:szCs w:val="18"/>
              </w:rPr>
              <w:t>O</w:t>
            </w:r>
            <w:r w:rsidRPr="007734AF">
              <w:rPr>
                <w:rFonts w:ascii="Arial" w:hAnsi="Arial" w:cs="Arial"/>
                <w:sz w:val="18"/>
                <w:szCs w:val="18"/>
              </w:rPr>
              <w:t>ne</w:t>
            </w:r>
            <w:proofErr w:type="spellEnd"/>
            <w:r w:rsidRPr="007734AF">
              <w:rPr>
                <w:rFonts w:ascii="Arial" w:hAnsi="Arial" w:cs="Arial"/>
                <w:sz w:val="18"/>
                <w:szCs w:val="18"/>
              </w:rPr>
              <w:t xml:space="preserve"> Club Pty Ltd</w:t>
            </w:r>
          </w:p>
        </w:tc>
        <w:tc>
          <w:tcPr>
            <w:tcW w:w="3969" w:type="dxa"/>
            <w:noWrap/>
          </w:tcPr>
          <w:p w14:paraId="46CBDEB5" w14:textId="77777777" w:rsidR="00254D1D" w:rsidRPr="00F0428E" w:rsidRDefault="00254D1D">
            <w:pPr>
              <w:pStyle w:val="TableText"/>
              <w:rPr>
                <w:rFonts w:ascii="Arial" w:hAnsi="Arial" w:cs="Arial"/>
                <w:sz w:val="18"/>
                <w:szCs w:val="18"/>
              </w:rPr>
            </w:pPr>
            <w:r w:rsidRPr="00E53AB8">
              <w:rPr>
                <w:rFonts w:ascii="Arial" w:hAnsi="Arial" w:cs="Arial"/>
                <w:sz w:val="18"/>
                <w:szCs w:val="18"/>
              </w:rPr>
              <w:t>AI-Powered Digital Platform to Build Sustainable Circular Economy Ecosystem</w:t>
            </w:r>
          </w:p>
        </w:tc>
        <w:tc>
          <w:tcPr>
            <w:tcW w:w="1589" w:type="dxa"/>
            <w:noWrap/>
          </w:tcPr>
          <w:p w14:paraId="162BA7EA" w14:textId="77777777" w:rsidR="00254D1D" w:rsidRDefault="00254D1D">
            <w:pPr>
              <w:pStyle w:val="Tablerightlarge"/>
              <w:jc w:val="left"/>
              <w:rPr>
                <w:sz w:val="18"/>
                <w:szCs w:val="18"/>
              </w:rPr>
            </w:pPr>
            <w:r>
              <w:rPr>
                <w:sz w:val="18"/>
                <w:szCs w:val="18"/>
              </w:rPr>
              <w:t>$85,000</w:t>
            </w:r>
          </w:p>
        </w:tc>
      </w:tr>
      <w:tr w:rsidR="00254D1D" w:rsidRPr="0012521E" w14:paraId="6299577D" w14:textId="77777777">
        <w:tc>
          <w:tcPr>
            <w:tcW w:w="3397" w:type="dxa"/>
            <w:noWrap/>
          </w:tcPr>
          <w:p w14:paraId="4DD7FD15" w14:textId="77777777" w:rsidR="00254D1D" w:rsidRPr="00C73DC6" w:rsidRDefault="00254D1D">
            <w:pPr>
              <w:pStyle w:val="TableText"/>
              <w:rPr>
                <w:rFonts w:ascii="Arial" w:hAnsi="Arial" w:cs="Arial"/>
                <w:sz w:val="18"/>
                <w:szCs w:val="18"/>
              </w:rPr>
            </w:pPr>
            <w:r w:rsidRPr="003242C2">
              <w:rPr>
                <w:rFonts w:ascii="Arial" w:hAnsi="Arial" w:cs="Arial"/>
                <w:sz w:val="18"/>
                <w:szCs w:val="18"/>
              </w:rPr>
              <w:t>Corangamite Shire Council</w:t>
            </w:r>
          </w:p>
        </w:tc>
        <w:tc>
          <w:tcPr>
            <w:tcW w:w="3969" w:type="dxa"/>
            <w:noWrap/>
          </w:tcPr>
          <w:p w14:paraId="7214E013" w14:textId="77777777" w:rsidR="00254D1D" w:rsidRPr="00F0428E" w:rsidRDefault="00254D1D">
            <w:pPr>
              <w:pStyle w:val="TableText"/>
              <w:rPr>
                <w:rFonts w:ascii="Arial" w:hAnsi="Arial" w:cs="Arial"/>
                <w:sz w:val="18"/>
                <w:szCs w:val="18"/>
              </w:rPr>
            </w:pPr>
            <w:r w:rsidRPr="003911BF">
              <w:rPr>
                <w:rFonts w:ascii="Arial" w:hAnsi="Arial" w:cs="Arial"/>
                <w:sz w:val="18"/>
                <w:szCs w:val="18"/>
              </w:rPr>
              <w:t>Organics Processing (Pyrolysis) Feasibility Study</w:t>
            </w:r>
          </w:p>
        </w:tc>
        <w:tc>
          <w:tcPr>
            <w:tcW w:w="1589" w:type="dxa"/>
            <w:noWrap/>
          </w:tcPr>
          <w:p w14:paraId="25E523C1" w14:textId="77777777" w:rsidR="00254D1D" w:rsidRDefault="00254D1D">
            <w:pPr>
              <w:pStyle w:val="Tablerightlarge"/>
              <w:jc w:val="left"/>
              <w:rPr>
                <w:sz w:val="18"/>
                <w:szCs w:val="18"/>
                <w:highlight w:val="yellow"/>
              </w:rPr>
            </w:pPr>
            <w:r w:rsidRPr="00790964">
              <w:rPr>
                <w:sz w:val="18"/>
                <w:szCs w:val="18"/>
              </w:rPr>
              <w:t>$18,000</w:t>
            </w:r>
          </w:p>
        </w:tc>
      </w:tr>
      <w:tr w:rsidR="00254D1D" w:rsidRPr="0012521E" w14:paraId="6744D967" w14:textId="77777777">
        <w:tc>
          <w:tcPr>
            <w:tcW w:w="3397" w:type="dxa"/>
            <w:noWrap/>
          </w:tcPr>
          <w:p w14:paraId="2FBE2EFA" w14:textId="77777777" w:rsidR="00254D1D" w:rsidRPr="00C73DC6" w:rsidRDefault="00254D1D">
            <w:pPr>
              <w:pStyle w:val="TableText"/>
              <w:rPr>
                <w:rFonts w:ascii="Arial" w:hAnsi="Arial" w:cs="Arial"/>
                <w:sz w:val="18"/>
                <w:szCs w:val="18"/>
              </w:rPr>
            </w:pPr>
            <w:r w:rsidRPr="003242C2">
              <w:rPr>
                <w:rFonts w:ascii="Arial" w:hAnsi="Arial" w:cs="Arial"/>
                <w:sz w:val="18"/>
                <w:szCs w:val="18"/>
              </w:rPr>
              <w:t>Corangamite Shire Council</w:t>
            </w:r>
          </w:p>
        </w:tc>
        <w:tc>
          <w:tcPr>
            <w:tcW w:w="3969" w:type="dxa"/>
            <w:noWrap/>
          </w:tcPr>
          <w:p w14:paraId="2E1CFB1F" w14:textId="77777777" w:rsidR="00254D1D" w:rsidRPr="00F0428E" w:rsidRDefault="00254D1D">
            <w:pPr>
              <w:rPr>
                <w:rFonts w:cs="Arial"/>
                <w:sz w:val="18"/>
                <w:szCs w:val="18"/>
              </w:rPr>
            </w:pPr>
            <w:r w:rsidRPr="00820906">
              <w:rPr>
                <w:sz w:val="18"/>
                <w:szCs w:val="18"/>
              </w:rPr>
              <w:t>Corangamite's Glass Recycling Bin</w:t>
            </w:r>
            <w:r w:rsidRPr="00821AA3">
              <w:rPr>
                <w:sz w:val="18"/>
                <w:szCs w:val="18"/>
              </w:rPr>
              <w:t xml:space="preserve"> – Household Education</w:t>
            </w:r>
          </w:p>
        </w:tc>
        <w:tc>
          <w:tcPr>
            <w:tcW w:w="1589" w:type="dxa"/>
            <w:noWrap/>
          </w:tcPr>
          <w:p w14:paraId="28DAA6FC" w14:textId="77777777" w:rsidR="00254D1D" w:rsidRDefault="00254D1D">
            <w:pPr>
              <w:rPr>
                <w:sz w:val="18"/>
                <w:szCs w:val="18"/>
                <w:highlight w:val="yellow"/>
              </w:rPr>
            </w:pPr>
            <w:r w:rsidRPr="006E21F5">
              <w:rPr>
                <w:sz w:val="18"/>
                <w:szCs w:val="18"/>
              </w:rPr>
              <w:t>$32,830</w:t>
            </w:r>
          </w:p>
        </w:tc>
      </w:tr>
      <w:tr w:rsidR="00254D1D" w:rsidRPr="0012521E" w14:paraId="596366F6" w14:textId="77777777">
        <w:tc>
          <w:tcPr>
            <w:tcW w:w="3397" w:type="dxa"/>
            <w:noWrap/>
          </w:tcPr>
          <w:p w14:paraId="575525AC" w14:textId="77777777" w:rsidR="00254D1D" w:rsidRPr="00C73DC6" w:rsidRDefault="00254D1D">
            <w:pPr>
              <w:pStyle w:val="TableText"/>
              <w:rPr>
                <w:rFonts w:ascii="Arial" w:hAnsi="Arial" w:cs="Arial"/>
                <w:sz w:val="18"/>
                <w:szCs w:val="18"/>
              </w:rPr>
            </w:pPr>
            <w:proofErr w:type="spellStart"/>
            <w:r w:rsidRPr="002D0C51">
              <w:rPr>
                <w:rFonts w:ascii="Arial" w:hAnsi="Arial" w:cs="Arial"/>
                <w:sz w:val="18"/>
                <w:szCs w:val="18"/>
              </w:rPr>
              <w:t>Corex</w:t>
            </w:r>
            <w:proofErr w:type="spellEnd"/>
            <w:r w:rsidRPr="002D0C51">
              <w:rPr>
                <w:rFonts w:ascii="Arial" w:hAnsi="Arial" w:cs="Arial"/>
                <w:sz w:val="18"/>
                <w:szCs w:val="18"/>
              </w:rPr>
              <w:t xml:space="preserve"> Recycling Pty Ltd</w:t>
            </w:r>
          </w:p>
        </w:tc>
        <w:tc>
          <w:tcPr>
            <w:tcW w:w="3969" w:type="dxa"/>
            <w:noWrap/>
          </w:tcPr>
          <w:p w14:paraId="78932ED8" w14:textId="77777777" w:rsidR="00254D1D" w:rsidRPr="00F0428E" w:rsidRDefault="00254D1D">
            <w:pPr>
              <w:rPr>
                <w:rFonts w:cs="Arial"/>
                <w:sz w:val="18"/>
                <w:szCs w:val="18"/>
              </w:rPr>
            </w:pPr>
            <w:r w:rsidRPr="00EE7A15">
              <w:rPr>
                <w:sz w:val="18"/>
                <w:szCs w:val="18"/>
              </w:rPr>
              <w:t>Project Succeed: Processing Difficult-To-Recycle</w:t>
            </w:r>
            <w:r>
              <w:rPr>
                <w:rFonts w:cs="Arial"/>
                <w:sz w:val="18"/>
                <w:szCs w:val="18"/>
              </w:rPr>
              <w:t xml:space="preserve"> </w:t>
            </w:r>
          </w:p>
        </w:tc>
        <w:tc>
          <w:tcPr>
            <w:tcW w:w="1589" w:type="dxa"/>
            <w:noWrap/>
          </w:tcPr>
          <w:p w14:paraId="4178FBDF" w14:textId="77777777" w:rsidR="00254D1D" w:rsidRDefault="00254D1D">
            <w:pPr>
              <w:rPr>
                <w:sz w:val="18"/>
                <w:szCs w:val="18"/>
              </w:rPr>
            </w:pPr>
            <w:r w:rsidRPr="00EE7A15">
              <w:rPr>
                <w:sz w:val="18"/>
                <w:szCs w:val="18"/>
              </w:rPr>
              <w:t>$144,000</w:t>
            </w:r>
          </w:p>
        </w:tc>
      </w:tr>
      <w:tr w:rsidR="00254D1D" w:rsidRPr="0012521E" w14:paraId="0251E636" w14:textId="77777777">
        <w:tc>
          <w:tcPr>
            <w:tcW w:w="3397" w:type="dxa"/>
            <w:noWrap/>
          </w:tcPr>
          <w:p w14:paraId="5571DA1C" w14:textId="77777777" w:rsidR="00254D1D" w:rsidRPr="00EC6296" w:rsidRDefault="00254D1D">
            <w:pPr>
              <w:pStyle w:val="TableText"/>
              <w:rPr>
                <w:rFonts w:ascii="Arial" w:hAnsi="Arial" w:cs="Arial"/>
                <w:sz w:val="18"/>
                <w:szCs w:val="18"/>
              </w:rPr>
            </w:pPr>
            <w:r w:rsidRPr="00EC6296">
              <w:rPr>
                <w:rFonts w:ascii="Arial" w:hAnsi="Arial" w:cs="Arial"/>
                <w:sz w:val="18"/>
                <w:szCs w:val="18"/>
              </w:rPr>
              <w:t>CRDC Victoria Pty Ltd</w:t>
            </w:r>
          </w:p>
        </w:tc>
        <w:tc>
          <w:tcPr>
            <w:tcW w:w="3969" w:type="dxa"/>
            <w:noWrap/>
          </w:tcPr>
          <w:p w14:paraId="0BC94FD9" w14:textId="77777777" w:rsidR="00254D1D" w:rsidRPr="00CF637F" w:rsidRDefault="00254D1D">
            <w:pPr>
              <w:rPr>
                <w:rFonts w:ascii="Calibri" w:hAnsi="Calibri" w:cs="Calibri"/>
                <w:b/>
                <w:bCs/>
                <w:color w:val="000000"/>
                <w:szCs w:val="20"/>
              </w:rPr>
            </w:pPr>
            <w:r w:rsidRPr="00CF637F">
              <w:rPr>
                <w:sz w:val="18"/>
                <w:szCs w:val="18"/>
              </w:rPr>
              <w:t>CRDC V</w:t>
            </w:r>
            <w:r>
              <w:rPr>
                <w:sz w:val="18"/>
                <w:szCs w:val="18"/>
              </w:rPr>
              <w:t>IC</w:t>
            </w:r>
            <w:r w:rsidRPr="00CF637F">
              <w:rPr>
                <w:sz w:val="18"/>
                <w:szCs w:val="18"/>
              </w:rPr>
              <w:t xml:space="preserve"> - E-waste and Mixed Plastic Resin8 </w:t>
            </w:r>
            <w:r>
              <w:rPr>
                <w:sz w:val="18"/>
                <w:szCs w:val="18"/>
              </w:rPr>
              <w:t>P</w:t>
            </w:r>
            <w:r w:rsidRPr="00CF637F">
              <w:rPr>
                <w:sz w:val="18"/>
                <w:szCs w:val="18"/>
              </w:rPr>
              <w:t>roject</w:t>
            </w:r>
          </w:p>
        </w:tc>
        <w:tc>
          <w:tcPr>
            <w:tcW w:w="1589" w:type="dxa"/>
            <w:noWrap/>
          </w:tcPr>
          <w:p w14:paraId="4508EBFB" w14:textId="77777777" w:rsidR="00254D1D" w:rsidRPr="00EE7A15" w:rsidRDefault="00254D1D">
            <w:pPr>
              <w:rPr>
                <w:sz w:val="18"/>
                <w:szCs w:val="18"/>
              </w:rPr>
            </w:pPr>
            <w:r>
              <w:rPr>
                <w:sz w:val="18"/>
                <w:szCs w:val="18"/>
              </w:rPr>
              <w:t>$500,000</w:t>
            </w:r>
          </w:p>
        </w:tc>
      </w:tr>
      <w:tr w:rsidR="00254D1D" w:rsidRPr="0012521E" w14:paraId="6128A3AB" w14:textId="77777777">
        <w:tc>
          <w:tcPr>
            <w:tcW w:w="3397" w:type="dxa"/>
            <w:noWrap/>
          </w:tcPr>
          <w:p w14:paraId="1AF959EB" w14:textId="77777777" w:rsidR="00254D1D" w:rsidRPr="00EC6296" w:rsidRDefault="00254D1D">
            <w:pPr>
              <w:pStyle w:val="TableText"/>
              <w:rPr>
                <w:rFonts w:ascii="Arial" w:hAnsi="Arial" w:cs="Arial"/>
                <w:sz w:val="18"/>
                <w:szCs w:val="18"/>
              </w:rPr>
            </w:pPr>
            <w:proofErr w:type="spellStart"/>
            <w:r w:rsidRPr="00AC1895">
              <w:rPr>
                <w:rFonts w:ascii="Arial" w:hAnsi="Arial" w:cs="Arial"/>
                <w:sz w:val="18"/>
                <w:szCs w:val="18"/>
              </w:rPr>
              <w:t>Cumulo</w:t>
            </w:r>
            <w:proofErr w:type="spellEnd"/>
            <w:r w:rsidRPr="00AC1895">
              <w:rPr>
                <w:rFonts w:ascii="Arial" w:hAnsi="Arial" w:cs="Arial"/>
                <w:sz w:val="18"/>
                <w:szCs w:val="18"/>
              </w:rPr>
              <w:t xml:space="preserve"> Group Pty Ltd</w:t>
            </w:r>
          </w:p>
        </w:tc>
        <w:tc>
          <w:tcPr>
            <w:tcW w:w="3969" w:type="dxa"/>
            <w:noWrap/>
          </w:tcPr>
          <w:p w14:paraId="6AFB5DF8" w14:textId="77777777" w:rsidR="00254D1D" w:rsidRPr="00CF637F" w:rsidRDefault="00254D1D">
            <w:pPr>
              <w:rPr>
                <w:sz w:val="18"/>
                <w:szCs w:val="18"/>
              </w:rPr>
            </w:pPr>
            <w:proofErr w:type="spellStart"/>
            <w:r w:rsidRPr="00066C9A">
              <w:rPr>
                <w:sz w:val="18"/>
                <w:szCs w:val="18"/>
              </w:rPr>
              <w:t>Returnr</w:t>
            </w:r>
            <w:proofErr w:type="spellEnd"/>
            <w:r w:rsidRPr="00066C9A">
              <w:rPr>
                <w:sz w:val="18"/>
                <w:szCs w:val="18"/>
              </w:rPr>
              <w:t xml:space="preserve"> Marketplace</w:t>
            </w:r>
          </w:p>
        </w:tc>
        <w:tc>
          <w:tcPr>
            <w:tcW w:w="1589" w:type="dxa"/>
            <w:noWrap/>
          </w:tcPr>
          <w:p w14:paraId="4850DC85" w14:textId="77777777" w:rsidR="00254D1D" w:rsidRDefault="00254D1D">
            <w:pPr>
              <w:rPr>
                <w:sz w:val="18"/>
                <w:szCs w:val="18"/>
              </w:rPr>
            </w:pPr>
            <w:r>
              <w:rPr>
                <w:sz w:val="18"/>
                <w:szCs w:val="18"/>
              </w:rPr>
              <w:t>$80,000</w:t>
            </w:r>
          </w:p>
        </w:tc>
      </w:tr>
      <w:tr w:rsidR="00254D1D" w:rsidRPr="0012521E" w14:paraId="716C4E72" w14:textId="77777777">
        <w:tc>
          <w:tcPr>
            <w:tcW w:w="3397" w:type="dxa"/>
            <w:noWrap/>
          </w:tcPr>
          <w:p w14:paraId="6F1BD0A7" w14:textId="77777777" w:rsidR="00254D1D" w:rsidRPr="00F20B65" w:rsidRDefault="00254D1D">
            <w:pPr>
              <w:rPr>
                <w:sz w:val="18"/>
                <w:szCs w:val="18"/>
              </w:rPr>
            </w:pPr>
            <w:r w:rsidRPr="00F20B65">
              <w:rPr>
                <w:sz w:val="18"/>
                <w:szCs w:val="18"/>
              </w:rPr>
              <w:t xml:space="preserve">D5 Building Group Pty Ltd </w:t>
            </w:r>
          </w:p>
          <w:p w14:paraId="19208856" w14:textId="77777777" w:rsidR="00254D1D" w:rsidRPr="001B2734" w:rsidRDefault="00254D1D">
            <w:pPr>
              <w:rPr>
                <w:sz w:val="18"/>
                <w:szCs w:val="18"/>
              </w:rPr>
            </w:pPr>
          </w:p>
        </w:tc>
        <w:tc>
          <w:tcPr>
            <w:tcW w:w="3969" w:type="dxa"/>
            <w:noWrap/>
          </w:tcPr>
          <w:p w14:paraId="101B13DA" w14:textId="77777777" w:rsidR="00254D1D" w:rsidRPr="001B2734" w:rsidRDefault="00254D1D">
            <w:pPr>
              <w:rPr>
                <w:sz w:val="18"/>
                <w:szCs w:val="18"/>
              </w:rPr>
            </w:pPr>
            <w:r w:rsidRPr="001B2734">
              <w:rPr>
                <w:sz w:val="18"/>
                <w:szCs w:val="18"/>
              </w:rPr>
              <w:t xml:space="preserve">Reducing </w:t>
            </w:r>
            <w:r>
              <w:rPr>
                <w:sz w:val="18"/>
                <w:szCs w:val="18"/>
              </w:rPr>
              <w:t>W</w:t>
            </w:r>
            <w:r w:rsidRPr="001B2734">
              <w:rPr>
                <w:sz w:val="18"/>
                <w:szCs w:val="18"/>
              </w:rPr>
              <w:t xml:space="preserve">aste in Victoria </w:t>
            </w:r>
            <w:r>
              <w:rPr>
                <w:sz w:val="18"/>
                <w:szCs w:val="18"/>
              </w:rPr>
              <w:t>T</w:t>
            </w:r>
            <w:r w:rsidRPr="001B2734">
              <w:rPr>
                <w:sz w:val="18"/>
                <w:szCs w:val="18"/>
              </w:rPr>
              <w:t xml:space="preserve">hrough a Circular </w:t>
            </w:r>
            <w:r>
              <w:rPr>
                <w:sz w:val="18"/>
                <w:szCs w:val="18"/>
              </w:rPr>
              <w:t>M</w:t>
            </w:r>
            <w:r w:rsidRPr="001B2734">
              <w:rPr>
                <w:sz w:val="18"/>
                <w:szCs w:val="18"/>
              </w:rPr>
              <w:t xml:space="preserve">odular </w:t>
            </w:r>
            <w:r>
              <w:rPr>
                <w:sz w:val="18"/>
                <w:szCs w:val="18"/>
              </w:rPr>
              <w:t>H</w:t>
            </w:r>
            <w:r w:rsidRPr="001B2734">
              <w:rPr>
                <w:sz w:val="18"/>
                <w:szCs w:val="18"/>
              </w:rPr>
              <w:t xml:space="preserve">ousing </w:t>
            </w:r>
            <w:r>
              <w:rPr>
                <w:sz w:val="18"/>
                <w:szCs w:val="18"/>
              </w:rPr>
              <w:t>S</w:t>
            </w:r>
            <w:r w:rsidRPr="001B2734">
              <w:rPr>
                <w:sz w:val="18"/>
                <w:szCs w:val="18"/>
              </w:rPr>
              <w:t>ystem</w:t>
            </w:r>
          </w:p>
        </w:tc>
        <w:tc>
          <w:tcPr>
            <w:tcW w:w="1589" w:type="dxa"/>
            <w:noWrap/>
          </w:tcPr>
          <w:p w14:paraId="79D5460B" w14:textId="77777777" w:rsidR="00254D1D" w:rsidRPr="001B2734" w:rsidRDefault="00254D1D">
            <w:pPr>
              <w:rPr>
                <w:sz w:val="18"/>
                <w:szCs w:val="18"/>
              </w:rPr>
            </w:pPr>
            <w:r w:rsidRPr="001B2734">
              <w:rPr>
                <w:sz w:val="18"/>
                <w:szCs w:val="18"/>
              </w:rPr>
              <w:t>$130,000</w:t>
            </w:r>
          </w:p>
          <w:p w14:paraId="05ED0883" w14:textId="77777777" w:rsidR="00254D1D" w:rsidRPr="001B2734" w:rsidRDefault="00254D1D">
            <w:pPr>
              <w:rPr>
                <w:sz w:val="18"/>
                <w:szCs w:val="18"/>
              </w:rPr>
            </w:pPr>
          </w:p>
        </w:tc>
      </w:tr>
      <w:tr w:rsidR="00254D1D" w:rsidRPr="0012521E" w14:paraId="513C3C71" w14:textId="77777777">
        <w:tc>
          <w:tcPr>
            <w:tcW w:w="3397" w:type="dxa"/>
            <w:noWrap/>
          </w:tcPr>
          <w:p w14:paraId="630A68D8" w14:textId="77777777" w:rsidR="00254D1D" w:rsidRPr="00163E60" w:rsidRDefault="00254D1D">
            <w:pPr>
              <w:rPr>
                <w:sz w:val="18"/>
                <w:szCs w:val="18"/>
              </w:rPr>
            </w:pPr>
            <w:r w:rsidRPr="00163E60">
              <w:rPr>
                <w:sz w:val="18"/>
                <w:szCs w:val="18"/>
              </w:rPr>
              <w:t>Dairy Australia Limited</w:t>
            </w:r>
          </w:p>
        </w:tc>
        <w:tc>
          <w:tcPr>
            <w:tcW w:w="3969" w:type="dxa"/>
            <w:noWrap/>
          </w:tcPr>
          <w:p w14:paraId="21650302" w14:textId="77777777" w:rsidR="00254D1D" w:rsidRPr="00163E60" w:rsidRDefault="00254D1D">
            <w:pPr>
              <w:rPr>
                <w:sz w:val="18"/>
                <w:szCs w:val="18"/>
              </w:rPr>
            </w:pPr>
            <w:r w:rsidRPr="00163E60">
              <w:rPr>
                <w:sz w:val="18"/>
                <w:szCs w:val="18"/>
              </w:rPr>
              <w:t xml:space="preserve">Assessing Co-Digestion Opportunities </w:t>
            </w:r>
            <w:r w:rsidRPr="0AD62B0D">
              <w:rPr>
                <w:sz w:val="18"/>
                <w:szCs w:val="18"/>
              </w:rPr>
              <w:t>from</w:t>
            </w:r>
            <w:r w:rsidRPr="00163E60">
              <w:rPr>
                <w:sz w:val="18"/>
                <w:szCs w:val="18"/>
              </w:rPr>
              <w:t xml:space="preserve"> Animal Industry Feedstocks </w:t>
            </w:r>
            <w:r w:rsidRPr="0AD62B0D">
              <w:rPr>
                <w:sz w:val="18"/>
                <w:szCs w:val="18"/>
              </w:rPr>
              <w:t>in</w:t>
            </w:r>
            <w:r w:rsidRPr="00163E60">
              <w:rPr>
                <w:sz w:val="18"/>
                <w:szCs w:val="18"/>
              </w:rPr>
              <w:t xml:space="preserve"> Regional Areas</w:t>
            </w:r>
          </w:p>
        </w:tc>
        <w:tc>
          <w:tcPr>
            <w:tcW w:w="1589" w:type="dxa"/>
            <w:noWrap/>
          </w:tcPr>
          <w:p w14:paraId="3B3123B7" w14:textId="77777777" w:rsidR="00254D1D" w:rsidRPr="00163E60" w:rsidRDefault="00254D1D">
            <w:pPr>
              <w:rPr>
                <w:sz w:val="18"/>
                <w:szCs w:val="18"/>
              </w:rPr>
            </w:pPr>
            <w:r w:rsidRPr="65E029B8">
              <w:rPr>
                <w:sz w:val="18"/>
                <w:szCs w:val="18"/>
              </w:rPr>
              <w:t>$</w:t>
            </w:r>
            <w:r w:rsidRPr="0084262B">
              <w:rPr>
                <w:sz w:val="18"/>
                <w:szCs w:val="18"/>
              </w:rPr>
              <w:t>65,000</w:t>
            </w:r>
            <w:r w:rsidRPr="65E029B8">
              <w:rPr>
                <w:sz w:val="18"/>
                <w:szCs w:val="18"/>
              </w:rPr>
              <w:t xml:space="preserve"> </w:t>
            </w:r>
          </w:p>
          <w:p w14:paraId="673401F7" w14:textId="77777777" w:rsidR="00254D1D" w:rsidRPr="00163E60" w:rsidRDefault="00254D1D">
            <w:pPr>
              <w:rPr>
                <w:sz w:val="18"/>
                <w:szCs w:val="18"/>
              </w:rPr>
            </w:pPr>
          </w:p>
        </w:tc>
      </w:tr>
      <w:tr w:rsidR="00254D1D" w:rsidRPr="0012521E" w14:paraId="1F05E61F" w14:textId="77777777">
        <w:tc>
          <w:tcPr>
            <w:tcW w:w="3397" w:type="dxa"/>
            <w:noWrap/>
          </w:tcPr>
          <w:p w14:paraId="0EE7A17B" w14:textId="77777777" w:rsidR="00254D1D" w:rsidRPr="00163E60" w:rsidRDefault="00254D1D">
            <w:pPr>
              <w:rPr>
                <w:sz w:val="18"/>
                <w:szCs w:val="18"/>
              </w:rPr>
            </w:pPr>
            <w:r w:rsidRPr="00163E60">
              <w:rPr>
                <w:sz w:val="18"/>
                <w:szCs w:val="18"/>
              </w:rPr>
              <w:t>Dairy Australia Limited</w:t>
            </w:r>
          </w:p>
        </w:tc>
        <w:tc>
          <w:tcPr>
            <w:tcW w:w="3969" w:type="dxa"/>
            <w:noWrap/>
          </w:tcPr>
          <w:p w14:paraId="672AAAC5" w14:textId="77777777" w:rsidR="00254D1D" w:rsidRPr="00163E60" w:rsidRDefault="00254D1D">
            <w:pPr>
              <w:rPr>
                <w:sz w:val="18"/>
                <w:szCs w:val="18"/>
              </w:rPr>
            </w:pPr>
            <w:r w:rsidRPr="00163E60">
              <w:rPr>
                <w:sz w:val="18"/>
                <w:szCs w:val="18"/>
              </w:rPr>
              <w:t>Developing a Dairy Sector Food Waste Action Plan</w:t>
            </w:r>
          </w:p>
        </w:tc>
        <w:tc>
          <w:tcPr>
            <w:tcW w:w="1589" w:type="dxa"/>
            <w:noWrap/>
          </w:tcPr>
          <w:p w14:paraId="6AE64585" w14:textId="77777777" w:rsidR="00254D1D" w:rsidRPr="00163E60" w:rsidRDefault="00254D1D">
            <w:pPr>
              <w:rPr>
                <w:sz w:val="18"/>
                <w:szCs w:val="18"/>
              </w:rPr>
            </w:pPr>
            <w:r w:rsidRPr="00163E60">
              <w:rPr>
                <w:sz w:val="18"/>
                <w:szCs w:val="18"/>
              </w:rPr>
              <w:t xml:space="preserve">$5,000 </w:t>
            </w:r>
          </w:p>
        </w:tc>
      </w:tr>
      <w:tr w:rsidR="00254D1D" w:rsidRPr="0012521E" w14:paraId="422B3B31" w14:textId="77777777">
        <w:tc>
          <w:tcPr>
            <w:tcW w:w="3397" w:type="dxa"/>
            <w:noWrap/>
          </w:tcPr>
          <w:p w14:paraId="4059EED4" w14:textId="77777777" w:rsidR="00254D1D" w:rsidRPr="00462499" w:rsidRDefault="00254D1D">
            <w:pPr>
              <w:pStyle w:val="TableText"/>
              <w:rPr>
                <w:sz w:val="18"/>
                <w:szCs w:val="18"/>
              </w:rPr>
            </w:pPr>
            <w:r w:rsidRPr="007C5F31">
              <w:rPr>
                <w:rFonts w:ascii="Arial" w:hAnsi="Arial" w:cs="Arial"/>
                <w:sz w:val="18"/>
                <w:szCs w:val="18"/>
              </w:rPr>
              <w:t>Darebin Information Volunteer &amp; Resource Service Incorporated</w:t>
            </w:r>
          </w:p>
        </w:tc>
        <w:tc>
          <w:tcPr>
            <w:tcW w:w="3969" w:type="dxa"/>
            <w:noWrap/>
          </w:tcPr>
          <w:p w14:paraId="552C245D" w14:textId="77777777" w:rsidR="00254D1D" w:rsidRPr="00462499" w:rsidRDefault="00254D1D">
            <w:pPr>
              <w:rPr>
                <w:sz w:val="18"/>
                <w:szCs w:val="18"/>
              </w:rPr>
            </w:pPr>
            <w:r w:rsidRPr="00462499">
              <w:rPr>
                <w:sz w:val="18"/>
                <w:szCs w:val="18"/>
              </w:rPr>
              <w:t xml:space="preserve">Harvest. Rescue. Share. Connect. For a </w:t>
            </w:r>
            <w:r w:rsidRPr="0AD62B0D">
              <w:rPr>
                <w:sz w:val="18"/>
                <w:szCs w:val="18"/>
              </w:rPr>
              <w:t>Thriving</w:t>
            </w:r>
            <w:r w:rsidRPr="00462499">
              <w:rPr>
                <w:sz w:val="18"/>
                <w:szCs w:val="18"/>
              </w:rPr>
              <w:t xml:space="preserve"> Darebin</w:t>
            </w:r>
          </w:p>
        </w:tc>
        <w:tc>
          <w:tcPr>
            <w:tcW w:w="1589" w:type="dxa"/>
            <w:noWrap/>
          </w:tcPr>
          <w:p w14:paraId="197BEC76" w14:textId="77777777" w:rsidR="00254D1D" w:rsidRPr="00462499" w:rsidRDefault="00254D1D">
            <w:pPr>
              <w:rPr>
                <w:sz w:val="18"/>
                <w:szCs w:val="18"/>
              </w:rPr>
            </w:pPr>
            <w:r w:rsidRPr="00462499">
              <w:rPr>
                <w:sz w:val="18"/>
                <w:szCs w:val="18"/>
              </w:rPr>
              <w:t>$18,742</w:t>
            </w:r>
          </w:p>
        </w:tc>
      </w:tr>
      <w:tr w:rsidR="00254D1D" w:rsidRPr="0012521E" w14:paraId="2DA1619B" w14:textId="77777777">
        <w:tc>
          <w:tcPr>
            <w:tcW w:w="3397" w:type="dxa"/>
            <w:noWrap/>
          </w:tcPr>
          <w:p w14:paraId="0F8A95DA" w14:textId="77777777" w:rsidR="00254D1D" w:rsidRPr="007F75A2" w:rsidRDefault="00254D1D">
            <w:pPr>
              <w:pStyle w:val="TableText"/>
              <w:rPr>
                <w:sz w:val="18"/>
                <w:szCs w:val="18"/>
              </w:rPr>
            </w:pPr>
            <w:r w:rsidRPr="007C5F31">
              <w:rPr>
                <w:rFonts w:ascii="Arial" w:hAnsi="Arial" w:cs="Arial"/>
                <w:sz w:val="18"/>
                <w:szCs w:val="18"/>
              </w:rPr>
              <w:t>Darley Neighbourhood House and Learning Centre Inc</w:t>
            </w:r>
          </w:p>
        </w:tc>
        <w:tc>
          <w:tcPr>
            <w:tcW w:w="3969" w:type="dxa"/>
            <w:noWrap/>
          </w:tcPr>
          <w:p w14:paraId="52A397DF" w14:textId="77777777" w:rsidR="00254D1D" w:rsidRPr="007F75A2" w:rsidRDefault="00254D1D">
            <w:pPr>
              <w:rPr>
                <w:sz w:val="18"/>
                <w:szCs w:val="18"/>
              </w:rPr>
            </w:pPr>
            <w:r w:rsidRPr="007F75A2">
              <w:rPr>
                <w:sz w:val="18"/>
                <w:szCs w:val="18"/>
              </w:rPr>
              <w:t>Bacchus Marsh Circular Economy Community Hub</w:t>
            </w:r>
          </w:p>
        </w:tc>
        <w:tc>
          <w:tcPr>
            <w:tcW w:w="1589" w:type="dxa"/>
            <w:noWrap/>
          </w:tcPr>
          <w:p w14:paraId="69063162" w14:textId="77777777" w:rsidR="00254D1D" w:rsidRPr="007F75A2" w:rsidRDefault="00254D1D">
            <w:pPr>
              <w:rPr>
                <w:sz w:val="18"/>
                <w:szCs w:val="18"/>
              </w:rPr>
            </w:pPr>
            <w:r w:rsidRPr="007F75A2">
              <w:rPr>
                <w:sz w:val="18"/>
                <w:szCs w:val="18"/>
              </w:rPr>
              <w:t>$23,116</w:t>
            </w:r>
          </w:p>
        </w:tc>
      </w:tr>
      <w:tr w:rsidR="00254D1D" w:rsidRPr="0012521E" w14:paraId="4510B1EF" w14:textId="77777777">
        <w:tc>
          <w:tcPr>
            <w:tcW w:w="3397" w:type="dxa"/>
            <w:noWrap/>
          </w:tcPr>
          <w:p w14:paraId="232A4B75" w14:textId="77777777" w:rsidR="00254D1D" w:rsidRPr="007F75A2" w:rsidRDefault="00254D1D">
            <w:pPr>
              <w:pStyle w:val="TableText"/>
              <w:rPr>
                <w:sz w:val="18"/>
                <w:szCs w:val="18"/>
              </w:rPr>
            </w:pPr>
            <w:r w:rsidRPr="00D26F0C">
              <w:rPr>
                <w:rFonts w:ascii="Arial" w:hAnsi="Arial" w:cs="Arial"/>
                <w:sz w:val="18"/>
                <w:szCs w:val="18"/>
              </w:rPr>
              <w:t>Deakin University</w:t>
            </w:r>
          </w:p>
        </w:tc>
        <w:tc>
          <w:tcPr>
            <w:tcW w:w="3969" w:type="dxa"/>
            <w:noWrap/>
          </w:tcPr>
          <w:p w14:paraId="289D7A4F" w14:textId="77777777" w:rsidR="00254D1D" w:rsidRPr="007F75A2" w:rsidRDefault="00254D1D">
            <w:pPr>
              <w:rPr>
                <w:sz w:val="18"/>
                <w:szCs w:val="18"/>
              </w:rPr>
            </w:pPr>
            <w:r>
              <w:rPr>
                <w:sz w:val="18"/>
                <w:szCs w:val="18"/>
              </w:rPr>
              <w:t xml:space="preserve">CE </w:t>
            </w:r>
            <w:r w:rsidRPr="007F75A2">
              <w:rPr>
                <w:sz w:val="18"/>
                <w:szCs w:val="18"/>
              </w:rPr>
              <w:t>Innovation</w:t>
            </w:r>
            <w:r>
              <w:rPr>
                <w:sz w:val="18"/>
                <w:szCs w:val="18"/>
              </w:rPr>
              <w:t xml:space="preserve"> </w:t>
            </w:r>
            <w:r w:rsidRPr="007F75A2">
              <w:rPr>
                <w:sz w:val="18"/>
                <w:szCs w:val="18"/>
              </w:rPr>
              <w:t>-</w:t>
            </w:r>
            <w:r>
              <w:rPr>
                <w:sz w:val="18"/>
                <w:szCs w:val="18"/>
              </w:rPr>
              <w:t xml:space="preserve"> </w:t>
            </w:r>
            <w:r w:rsidRPr="007F75A2">
              <w:rPr>
                <w:sz w:val="18"/>
                <w:szCs w:val="18"/>
              </w:rPr>
              <w:t>Biofibres for Sustainable Apparel Inspired by a Humble Bee</w:t>
            </w:r>
          </w:p>
        </w:tc>
        <w:tc>
          <w:tcPr>
            <w:tcW w:w="1589" w:type="dxa"/>
            <w:noWrap/>
          </w:tcPr>
          <w:p w14:paraId="3C69E205" w14:textId="77777777" w:rsidR="00254D1D" w:rsidRPr="007F75A2" w:rsidRDefault="00254D1D">
            <w:pPr>
              <w:rPr>
                <w:sz w:val="18"/>
                <w:szCs w:val="18"/>
              </w:rPr>
            </w:pPr>
            <w:r w:rsidRPr="007F75A2">
              <w:rPr>
                <w:sz w:val="18"/>
                <w:szCs w:val="18"/>
              </w:rPr>
              <w:t>$120,000</w:t>
            </w:r>
          </w:p>
        </w:tc>
      </w:tr>
      <w:tr w:rsidR="00254D1D" w:rsidRPr="0012521E" w14:paraId="2BCC395E" w14:textId="77777777">
        <w:tc>
          <w:tcPr>
            <w:tcW w:w="3397" w:type="dxa"/>
            <w:noWrap/>
          </w:tcPr>
          <w:p w14:paraId="2C86E8AE" w14:textId="77777777" w:rsidR="00254D1D" w:rsidRPr="00A82F21" w:rsidRDefault="00254D1D">
            <w:pPr>
              <w:pStyle w:val="TableText"/>
              <w:rPr>
                <w:rFonts w:ascii="Calibri" w:hAnsi="Calibri" w:cs="Calibri"/>
                <w:color w:val="000000"/>
                <w:sz w:val="20"/>
                <w:szCs w:val="20"/>
              </w:rPr>
            </w:pPr>
            <w:r w:rsidRPr="00D26F0C">
              <w:rPr>
                <w:rFonts w:ascii="Arial" w:hAnsi="Arial" w:cs="Arial"/>
                <w:sz w:val="18"/>
                <w:szCs w:val="18"/>
              </w:rPr>
              <w:t>Deakin University</w:t>
            </w:r>
            <w:r>
              <w:rPr>
                <w:rFonts w:ascii="Calibri" w:hAnsi="Calibri" w:cs="Calibri"/>
                <w:color w:val="000000"/>
                <w:sz w:val="20"/>
                <w:szCs w:val="20"/>
              </w:rPr>
              <w:t xml:space="preserve"> </w:t>
            </w:r>
          </w:p>
        </w:tc>
        <w:tc>
          <w:tcPr>
            <w:tcW w:w="3969" w:type="dxa"/>
            <w:noWrap/>
          </w:tcPr>
          <w:p w14:paraId="4E99204B" w14:textId="77777777" w:rsidR="00254D1D" w:rsidRPr="000B22B3" w:rsidRDefault="00254D1D">
            <w:pPr>
              <w:rPr>
                <w:sz w:val="18"/>
                <w:szCs w:val="18"/>
              </w:rPr>
            </w:pPr>
            <w:r w:rsidRPr="000B22B3">
              <w:rPr>
                <w:sz w:val="18"/>
                <w:szCs w:val="18"/>
              </w:rPr>
              <w:t>Deakin - Recycling Polypropylene Waste for High Value Applications</w:t>
            </w:r>
          </w:p>
        </w:tc>
        <w:tc>
          <w:tcPr>
            <w:tcW w:w="1589" w:type="dxa"/>
            <w:noWrap/>
          </w:tcPr>
          <w:p w14:paraId="6378C937" w14:textId="77777777" w:rsidR="00254D1D" w:rsidRDefault="00254D1D">
            <w:pPr>
              <w:rPr>
                <w:sz w:val="18"/>
                <w:szCs w:val="18"/>
              </w:rPr>
            </w:pPr>
            <w:r>
              <w:rPr>
                <w:sz w:val="18"/>
                <w:szCs w:val="18"/>
              </w:rPr>
              <w:t>$127,500</w:t>
            </w:r>
          </w:p>
        </w:tc>
      </w:tr>
      <w:tr w:rsidR="00254D1D" w:rsidRPr="0012521E" w14:paraId="1230DBBC" w14:textId="77777777">
        <w:tc>
          <w:tcPr>
            <w:tcW w:w="3397" w:type="dxa"/>
            <w:noWrap/>
          </w:tcPr>
          <w:p w14:paraId="54C1A4B0" w14:textId="77777777" w:rsidR="00254D1D" w:rsidRPr="00AC1895" w:rsidRDefault="00254D1D">
            <w:pPr>
              <w:pStyle w:val="TableText"/>
              <w:rPr>
                <w:rFonts w:ascii="Arial" w:hAnsi="Arial" w:cs="Arial"/>
                <w:sz w:val="18"/>
                <w:szCs w:val="18"/>
              </w:rPr>
            </w:pPr>
            <w:r w:rsidRPr="00D26F0C">
              <w:rPr>
                <w:rFonts w:ascii="Arial" w:hAnsi="Arial" w:cs="Arial"/>
                <w:sz w:val="18"/>
                <w:szCs w:val="18"/>
              </w:rPr>
              <w:t>Deakin University</w:t>
            </w:r>
            <w:r>
              <w:rPr>
                <w:rFonts w:ascii="Calibri" w:hAnsi="Calibri" w:cs="Calibri"/>
                <w:color w:val="000000"/>
                <w:sz w:val="20"/>
                <w:szCs w:val="20"/>
              </w:rPr>
              <w:t xml:space="preserve"> </w:t>
            </w:r>
          </w:p>
        </w:tc>
        <w:tc>
          <w:tcPr>
            <w:tcW w:w="3969" w:type="dxa"/>
            <w:noWrap/>
          </w:tcPr>
          <w:p w14:paraId="23D7D01A" w14:textId="77777777" w:rsidR="00254D1D" w:rsidRPr="004C0FFF" w:rsidRDefault="00254D1D">
            <w:pPr>
              <w:rPr>
                <w:rFonts w:ascii="Calibri" w:hAnsi="Calibri" w:cs="Calibri"/>
                <w:b/>
                <w:bCs/>
                <w:color w:val="000000"/>
                <w:szCs w:val="20"/>
              </w:rPr>
            </w:pPr>
            <w:r w:rsidRPr="000B22B3">
              <w:rPr>
                <w:sz w:val="18"/>
                <w:szCs w:val="18"/>
              </w:rPr>
              <w:t>Transforming Contaminated Paint Containers into Value Added Products</w:t>
            </w:r>
          </w:p>
        </w:tc>
        <w:tc>
          <w:tcPr>
            <w:tcW w:w="1589" w:type="dxa"/>
            <w:noWrap/>
          </w:tcPr>
          <w:p w14:paraId="295738F5" w14:textId="77777777" w:rsidR="00254D1D" w:rsidRDefault="00254D1D">
            <w:pPr>
              <w:rPr>
                <w:sz w:val="18"/>
                <w:szCs w:val="18"/>
              </w:rPr>
            </w:pPr>
            <w:r>
              <w:rPr>
                <w:sz w:val="18"/>
                <w:szCs w:val="18"/>
              </w:rPr>
              <w:t>$140,000</w:t>
            </w:r>
          </w:p>
        </w:tc>
      </w:tr>
      <w:tr w:rsidR="00254D1D" w:rsidRPr="0012521E" w14:paraId="6703D535" w14:textId="77777777">
        <w:tc>
          <w:tcPr>
            <w:tcW w:w="3397" w:type="dxa"/>
            <w:noWrap/>
          </w:tcPr>
          <w:p w14:paraId="776A6EC5" w14:textId="77777777" w:rsidR="00254D1D" w:rsidRPr="00AC1895" w:rsidRDefault="00254D1D">
            <w:pPr>
              <w:pStyle w:val="TableText"/>
              <w:rPr>
                <w:rFonts w:ascii="Arial" w:hAnsi="Arial" w:cs="Arial"/>
                <w:sz w:val="18"/>
                <w:szCs w:val="18"/>
              </w:rPr>
            </w:pPr>
            <w:r w:rsidRPr="00D26F0C">
              <w:rPr>
                <w:rFonts w:ascii="Arial" w:hAnsi="Arial" w:cs="Arial"/>
                <w:sz w:val="18"/>
                <w:szCs w:val="18"/>
              </w:rPr>
              <w:t>Deakin University</w:t>
            </w:r>
          </w:p>
        </w:tc>
        <w:tc>
          <w:tcPr>
            <w:tcW w:w="3969" w:type="dxa"/>
            <w:noWrap/>
          </w:tcPr>
          <w:p w14:paraId="4928739A" w14:textId="77777777" w:rsidR="00254D1D" w:rsidRPr="009101D1" w:rsidRDefault="00254D1D">
            <w:pPr>
              <w:rPr>
                <w:rFonts w:ascii="Calibri" w:hAnsi="Calibri" w:cs="Calibri"/>
                <w:b/>
                <w:bCs/>
                <w:color w:val="000000"/>
                <w:szCs w:val="20"/>
              </w:rPr>
            </w:pPr>
            <w:r w:rsidRPr="000B22B3">
              <w:rPr>
                <w:sz w:val="18"/>
                <w:szCs w:val="18"/>
              </w:rPr>
              <w:t xml:space="preserve">Particles Derived </w:t>
            </w:r>
            <w:r>
              <w:rPr>
                <w:sz w:val="18"/>
                <w:szCs w:val="18"/>
              </w:rPr>
              <w:t>f</w:t>
            </w:r>
            <w:r w:rsidRPr="000B22B3">
              <w:rPr>
                <w:sz w:val="18"/>
                <w:szCs w:val="18"/>
              </w:rPr>
              <w:t xml:space="preserve">rom Textile Wastes </w:t>
            </w:r>
            <w:r>
              <w:rPr>
                <w:sz w:val="18"/>
                <w:szCs w:val="18"/>
              </w:rPr>
              <w:t>f</w:t>
            </w:r>
            <w:r w:rsidRPr="000B22B3">
              <w:rPr>
                <w:sz w:val="18"/>
                <w:szCs w:val="18"/>
              </w:rPr>
              <w:t xml:space="preserve">or Sustainable Coloration </w:t>
            </w:r>
            <w:r>
              <w:rPr>
                <w:sz w:val="18"/>
                <w:szCs w:val="18"/>
              </w:rPr>
              <w:t>o</w:t>
            </w:r>
            <w:r w:rsidRPr="000B22B3">
              <w:rPr>
                <w:sz w:val="18"/>
                <w:szCs w:val="18"/>
              </w:rPr>
              <w:t>f Products</w:t>
            </w:r>
          </w:p>
        </w:tc>
        <w:tc>
          <w:tcPr>
            <w:tcW w:w="1589" w:type="dxa"/>
            <w:noWrap/>
          </w:tcPr>
          <w:p w14:paraId="2FE7B47C" w14:textId="77777777" w:rsidR="00254D1D" w:rsidRDefault="00254D1D">
            <w:pPr>
              <w:rPr>
                <w:sz w:val="18"/>
                <w:szCs w:val="18"/>
              </w:rPr>
            </w:pPr>
            <w:r>
              <w:rPr>
                <w:sz w:val="18"/>
                <w:szCs w:val="18"/>
              </w:rPr>
              <w:t>$195,000</w:t>
            </w:r>
          </w:p>
        </w:tc>
      </w:tr>
      <w:tr w:rsidR="00254D1D" w:rsidRPr="0012521E" w14:paraId="27A6E376" w14:textId="77777777">
        <w:tc>
          <w:tcPr>
            <w:tcW w:w="3397" w:type="dxa"/>
            <w:noWrap/>
          </w:tcPr>
          <w:p w14:paraId="19173C21" w14:textId="77777777" w:rsidR="00254D1D" w:rsidRPr="007769C0" w:rsidRDefault="00254D1D">
            <w:pPr>
              <w:rPr>
                <w:sz w:val="18"/>
                <w:szCs w:val="18"/>
              </w:rPr>
            </w:pPr>
            <w:r w:rsidRPr="007769C0">
              <w:rPr>
                <w:sz w:val="18"/>
                <w:szCs w:val="18"/>
              </w:rPr>
              <w:t>Delorean Energy Pty Ltd</w:t>
            </w:r>
          </w:p>
        </w:tc>
        <w:tc>
          <w:tcPr>
            <w:tcW w:w="3969" w:type="dxa"/>
            <w:noWrap/>
          </w:tcPr>
          <w:p w14:paraId="2B6A8AB7" w14:textId="77777777" w:rsidR="00254D1D" w:rsidRPr="007769C0" w:rsidRDefault="00254D1D">
            <w:pPr>
              <w:rPr>
                <w:sz w:val="18"/>
                <w:szCs w:val="18"/>
              </w:rPr>
            </w:pPr>
            <w:r w:rsidRPr="007769C0">
              <w:rPr>
                <w:sz w:val="18"/>
                <w:szCs w:val="18"/>
              </w:rPr>
              <w:t>Victoria One Stanhope</w:t>
            </w:r>
          </w:p>
        </w:tc>
        <w:tc>
          <w:tcPr>
            <w:tcW w:w="1589" w:type="dxa"/>
            <w:noWrap/>
          </w:tcPr>
          <w:p w14:paraId="31586852" w14:textId="77777777" w:rsidR="00254D1D" w:rsidRPr="007769C0" w:rsidRDefault="00254D1D">
            <w:pPr>
              <w:rPr>
                <w:sz w:val="18"/>
                <w:szCs w:val="18"/>
              </w:rPr>
            </w:pPr>
            <w:r w:rsidRPr="007769C0">
              <w:rPr>
                <w:sz w:val="18"/>
                <w:szCs w:val="18"/>
              </w:rPr>
              <w:t>$4,000</w:t>
            </w:r>
          </w:p>
        </w:tc>
      </w:tr>
      <w:tr w:rsidR="00254D1D" w:rsidRPr="0012521E" w14:paraId="328CC0EB" w14:textId="77777777">
        <w:tc>
          <w:tcPr>
            <w:tcW w:w="3397" w:type="dxa"/>
            <w:noWrap/>
          </w:tcPr>
          <w:p w14:paraId="4870FF42" w14:textId="77777777" w:rsidR="00254D1D" w:rsidRPr="007D133F" w:rsidRDefault="00254D1D">
            <w:pPr>
              <w:rPr>
                <w:sz w:val="18"/>
                <w:szCs w:val="18"/>
              </w:rPr>
            </w:pPr>
            <w:r w:rsidRPr="007D133F">
              <w:rPr>
                <w:sz w:val="18"/>
                <w:szCs w:val="18"/>
              </w:rPr>
              <w:t>Diamond Valley Community Support Inc</w:t>
            </w:r>
          </w:p>
        </w:tc>
        <w:tc>
          <w:tcPr>
            <w:tcW w:w="3969" w:type="dxa"/>
            <w:noWrap/>
          </w:tcPr>
          <w:p w14:paraId="31FD5534" w14:textId="77777777" w:rsidR="00254D1D" w:rsidRPr="007D133F" w:rsidRDefault="00254D1D">
            <w:pPr>
              <w:rPr>
                <w:sz w:val="18"/>
                <w:szCs w:val="18"/>
              </w:rPr>
            </w:pPr>
            <w:r w:rsidRPr="007D133F">
              <w:rPr>
                <w:sz w:val="18"/>
                <w:szCs w:val="18"/>
              </w:rPr>
              <w:t>The Food Collective – Next Level Project</w:t>
            </w:r>
          </w:p>
        </w:tc>
        <w:tc>
          <w:tcPr>
            <w:tcW w:w="1589" w:type="dxa"/>
            <w:noWrap/>
          </w:tcPr>
          <w:p w14:paraId="5EBA77A4" w14:textId="77777777" w:rsidR="00254D1D" w:rsidRPr="007D133F" w:rsidRDefault="00254D1D">
            <w:pPr>
              <w:rPr>
                <w:sz w:val="18"/>
                <w:szCs w:val="18"/>
              </w:rPr>
            </w:pPr>
            <w:r w:rsidRPr="007D133F">
              <w:rPr>
                <w:sz w:val="18"/>
                <w:szCs w:val="18"/>
              </w:rPr>
              <w:t>$84,192</w:t>
            </w:r>
          </w:p>
        </w:tc>
      </w:tr>
      <w:tr w:rsidR="00254D1D" w:rsidRPr="0012521E" w14:paraId="139ECA58" w14:textId="77777777">
        <w:tc>
          <w:tcPr>
            <w:tcW w:w="3397" w:type="dxa"/>
            <w:noWrap/>
          </w:tcPr>
          <w:p w14:paraId="5CD1D840" w14:textId="77777777" w:rsidR="00254D1D" w:rsidRPr="007D133F" w:rsidRDefault="00254D1D">
            <w:pPr>
              <w:rPr>
                <w:sz w:val="18"/>
                <w:szCs w:val="18"/>
              </w:rPr>
            </w:pPr>
            <w:r w:rsidRPr="003A239E">
              <w:rPr>
                <w:sz w:val="18"/>
                <w:szCs w:val="18"/>
              </w:rPr>
              <w:t xml:space="preserve">Dr Robert P Christopher Pty Ltd (Cathedral Cherries) </w:t>
            </w:r>
          </w:p>
        </w:tc>
        <w:tc>
          <w:tcPr>
            <w:tcW w:w="3969" w:type="dxa"/>
            <w:noWrap/>
          </w:tcPr>
          <w:p w14:paraId="79620A21" w14:textId="77777777" w:rsidR="00254D1D" w:rsidRPr="007D133F" w:rsidRDefault="00254D1D">
            <w:pPr>
              <w:rPr>
                <w:sz w:val="18"/>
                <w:szCs w:val="18"/>
              </w:rPr>
            </w:pPr>
            <w:r w:rsidRPr="00EC0FE3">
              <w:rPr>
                <w:sz w:val="18"/>
                <w:szCs w:val="18"/>
              </w:rPr>
              <w:t xml:space="preserve">Transforming </w:t>
            </w:r>
            <w:r>
              <w:rPr>
                <w:sz w:val="18"/>
                <w:szCs w:val="18"/>
              </w:rPr>
              <w:t>C</w:t>
            </w:r>
            <w:r w:rsidRPr="00EC0FE3">
              <w:rPr>
                <w:sz w:val="18"/>
                <w:szCs w:val="18"/>
              </w:rPr>
              <w:t xml:space="preserve">herry </w:t>
            </w:r>
            <w:r>
              <w:rPr>
                <w:sz w:val="18"/>
                <w:szCs w:val="18"/>
              </w:rPr>
              <w:t>W</w:t>
            </w:r>
            <w:r w:rsidRPr="00EC0FE3">
              <w:rPr>
                <w:sz w:val="18"/>
                <w:szCs w:val="18"/>
              </w:rPr>
              <w:t xml:space="preserve">aste into </w:t>
            </w:r>
            <w:r>
              <w:rPr>
                <w:sz w:val="18"/>
                <w:szCs w:val="18"/>
              </w:rPr>
              <w:t>C</w:t>
            </w:r>
            <w:r w:rsidRPr="00EC0FE3">
              <w:rPr>
                <w:sz w:val="18"/>
                <w:szCs w:val="18"/>
              </w:rPr>
              <w:t xml:space="preserve">ommercially </w:t>
            </w:r>
            <w:r>
              <w:rPr>
                <w:sz w:val="18"/>
                <w:szCs w:val="18"/>
              </w:rPr>
              <w:t>V</w:t>
            </w:r>
            <w:r w:rsidRPr="00EC0FE3">
              <w:rPr>
                <w:sz w:val="18"/>
                <w:szCs w:val="18"/>
              </w:rPr>
              <w:t xml:space="preserve">iable, </w:t>
            </w:r>
            <w:r>
              <w:rPr>
                <w:sz w:val="18"/>
                <w:szCs w:val="18"/>
              </w:rPr>
              <w:t>Hi</w:t>
            </w:r>
            <w:r w:rsidRPr="00EC0FE3">
              <w:rPr>
                <w:sz w:val="18"/>
                <w:szCs w:val="18"/>
              </w:rPr>
              <w:t>gh-</w:t>
            </w:r>
            <w:r>
              <w:rPr>
                <w:sz w:val="18"/>
                <w:szCs w:val="18"/>
              </w:rPr>
              <w:t>v</w:t>
            </w:r>
            <w:r w:rsidRPr="00EC0FE3">
              <w:rPr>
                <w:sz w:val="18"/>
                <w:szCs w:val="18"/>
              </w:rPr>
              <w:t xml:space="preserve">alue </w:t>
            </w:r>
            <w:r>
              <w:rPr>
                <w:sz w:val="18"/>
                <w:szCs w:val="18"/>
              </w:rPr>
              <w:t>P</w:t>
            </w:r>
            <w:r w:rsidRPr="00EC0FE3">
              <w:rPr>
                <w:sz w:val="18"/>
                <w:szCs w:val="18"/>
              </w:rPr>
              <w:t>roducts</w:t>
            </w:r>
          </w:p>
        </w:tc>
        <w:tc>
          <w:tcPr>
            <w:tcW w:w="1589" w:type="dxa"/>
            <w:noWrap/>
          </w:tcPr>
          <w:p w14:paraId="412B8FFF" w14:textId="77777777" w:rsidR="00254D1D" w:rsidRPr="00FF0D75" w:rsidRDefault="00254D1D">
            <w:pPr>
              <w:rPr>
                <w:sz w:val="18"/>
                <w:szCs w:val="18"/>
              </w:rPr>
            </w:pPr>
            <w:r w:rsidRPr="00FF0D75">
              <w:rPr>
                <w:sz w:val="18"/>
                <w:szCs w:val="18"/>
              </w:rPr>
              <w:t>$47,841</w:t>
            </w:r>
          </w:p>
          <w:p w14:paraId="3F3FF4CA" w14:textId="77777777" w:rsidR="00254D1D" w:rsidRPr="007D133F" w:rsidRDefault="00254D1D">
            <w:pPr>
              <w:rPr>
                <w:sz w:val="18"/>
                <w:szCs w:val="18"/>
              </w:rPr>
            </w:pPr>
          </w:p>
        </w:tc>
      </w:tr>
      <w:tr w:rsidR="00254D1D" w:rsidRPr="0012521E" w14:paraId="56CD8B49" w14:textId="77777777">
        <w:tc>
          <w:tcPr>
            <w:tcW w:w="3397" w:type="dxa"/>
            <w:noWrap/>
          </w:tcPr>
          <w:p w14:paraId="4DC54718" w14:textId="77777777" w:rsidR="00254D1D" w:rsidRPr="007D133F" w:rsidRDefault="00254D1D">
            <w:pPr>
              <w:rPr>
                <w:sz w:val="18"/>
                <w:szCs w:val="18"/>
              </w:rPr>
            </w:pPr>
            <w:r w:rsidRPr="007D133F">
              <w:rPr>
                <w:sz w:val="18"/>
                <w:szCs w:val="18"/>
              </w:rPr>
              <w:t>East Gippsland Shire Council</w:t>
            </w:r>
          </w:p>
        </w:tc>
        <w:tc>
          <w:tcPr>
            <w:tcW w:w="3969" w:type="dxa"/>
            <w:noWrap/>
          </w:tcPr>
          <w:p w14:paraId="2445353E" w14:textId="77777777" w:rsidR="00254D1D" w:rsidRPr="007D133F" w:rsidRDefault="00254D1D">
            <w:pPr>
              <w:rPr>
                <w:sz w:val="18"/>
                <w:szCs w:val="18"/>
              </w:rPr>
            </w:pPr>
            <w:r w:rsidRPr="007D133F">
              <w:rPr>
                <w:sz w:val="18"/>
                <w:szCs w:val="18"/>
              </w:rPr>
              <w:t xml:space="preserve">East Gippsland Shire Council </w:t>
            </w:r>
            <w:r>
              <w:rPr>
                <w:sz w:val="18"/>
                <w:szCs w:val="18"/>
              </w:rPr>
              <w:t>P</w:t>
            </w:r>
            <w:r w:rsidRPr="007D133F">
              <w:rPr>
                <w:sz w:val="18"/>
                <w:szCs w:val="18"/>
              </w:rPr>
              <w:t xml:space="preserve">romoting the </w:t>
            </w:r>
            <w:r>
              <w:rPr>
                <w:sz w:val="18"/>
                <w:szCs w:val="18"/>
              </w:rPr>
              <w:t>R</w:t>
            </w:r>
            <w:r w:rsidRPr="007D133F">
              <w:rPr>
                <w:sz w:val="18"/>
                <w:szCs w:val="18"/>
              </w:rPr>
              <w:t xml:space="preserve">ecycling </w:t>
            </w:r>
            <w:r>
              <w:rPr>
                <w:sz w:val="18"/>
                <w:szCs w:val="18"/>
              </w:rPr>
              <w:t>S</w:t>
            </w:r>
            <w:r w:rsidRPr="007D133F">
              <w:rPr>
                <w:sz w:val="18"/>
                <w:szCs w:val="18"/>
              </w:rPr>
              <w:t>ystem</w:t>
            </w:r>
            <w:r w:rsidRPr="00DC3E61">
              <w:rPr>
                <w:sz w:val="18"/>
                <w:szCs w:val="18"/>
              </w:rPr>
              <w:t xml:space="preserve"> – Household Education</w:t>
            </w:r>
          </w:p>
        </w:tc>
        <w:tc>
          <w:tcPr>
            <w:tcW w:w="1589" w:type="dxa"/>
            <w:noWrap/>
          </w:tcPr>
          <w:p w14:paraId="0E1856FB" w14:textId="77777777" w:rsidR="00254D1D" w:rsidRPr="007D133F" w:rsidRDefault="00254D1D">
            <w:pPr>
              <w:rPr>
                <w:sz w:val="18"/>
                <w:szCs w:val="18"/>
                <w:highlight w:val="yellow"/>
              </w:rPr>
            </w:pPr>
            <w:r w:rsidRPr="0092192B">
              <w:rPr>
                <w:sz w:val="18"/>
                <w:szCs w:val="18"/>
              </w:rPr>
              <w:t>$42,840</w:t>
            </w:r>
          </w:p>
        </w:tc>
      </w:tr>
      <w:tr w:rsidR="00254D1D" w:rsidRPr="0012521E" w14:paraId="09E5EA12" w14:textId="77777777">
        <w:tc>
          <w:tcPr>
            <w:tcW w:w="3397" w:type="dxa"/>
            <w:noWrap/>
          </w:tcPr>
          <w:p w14:paraId="266560E3" w14:textId="77777777" w:rsidR="00254D1D" w:rsidRPr="00081CA6" w:rsidRDefault="00254D1D">
            <w:pPr>
              <w:rPr>
                <w:sz w:val="18"/>
                <w:szCs w:val="18"/>
              </w:rPr>
            </w:pPr>
            <w:r w:rsidRPr="00081CA6">
              <w:rPr>
                <w:sz w:val="18"/>
                <w:szCs w:val="18"/>
              </w:rPr>
              <w:t>Eco Guardians Pty Ltd</w:t>
            </w:r>
          </w:p>
        </w:tc>
        <w:tc>
          <w:tcPr>
            <w:tcW w:w="3969" w:type="dxa"/>
            <w:noWrap/>
          </w:tcPr>
          <w:p w14:paraId="1A42B77D" w14:textId="77777777" w:rsidR="00254D1D" w:rsidRPr="00081CA6" w:rsidRDefault="00254D1D">
            <w:pPr>
              <w:rPr>
                <w:sz w:val="18"/>
                <w:szCs w:val="18"/>
              </w:rPr>
            </w:pPr>
            <w:r w:rsidRPr="00081CA6">
              <w:rPr>
                <w:sz w:val="18"/>
                <w:szCs w:val="18"/>
              </w:rPr>
              <w:t xml:space="preserve">Eco Guardians </w:t>
            </w:r>
            <w:proofErr w:type="spellStart"/>
            <w:r w:rsidRPr="00081CA6">
              <w:rPr>
                <w:sz w:val="18"/>
                <w:szCs w:val="18"/>
              </w:rPr>
              <w:t>SoilFood</w:t>
            </w:r>
            <w:proofErr w:type="spellEnd"/>
            <w:r w:rsidRPr="00081CA6">
              <w:rPr>
                <w:sz w:val="18"/>
                <w:szCs w:val="18"/>
              </w:rPr>
              <w:t>™ Processing Plant</w:t>
            </w:r>
          </w:p>
        </w:tc>
        <w:tc>
          <w:tcPr>
            <w:tcW w:w="1589" w:type="dxa"/>
            <w:noWrap/>
          </w:tcPr>
          <w:p w14:paraId="0C85F3C8" w14:textId="77777777" w:rsidR="00254D1D" w:rsidRPr="00081CA6" w:rsidRDefault="00254D1D">
            <w:pPr>
              <w:rPr>
                <w:sz w:val="18"/>
                <w:szCs w:val="18"/>
              </w:rPr>
            </w:pPr>
            <w:r w:rsidRPr="00081CA6">
              <w:rPr>
                <w:sz w:val="18"/>
                <w:szCs w:val="18"/>
              </w:rPr>
              <w:t>$100,000</w:t>
            </w:r>
          </w:p>
        </w:tc>
      </w:tr>
      <w:tr w:rsidR="00254D1D" w:rsidRPr="0012521E" w14:paraId="3D1CAFCF" w14:textId="77777777">
        <w:tc>
          <w:tcPr>
            <w:tcW w:w="3397" w:type="dxa"/>
            <w:noWrap/>
          </w:tcPr>
          <w:p w14:paraId="545160AC" w14:textId="77777777" w:rsidR="00254D1D" w:rsidRPr="00C01AAF" w:rsidRDefault="00254D1D">
            <w:pPr>
              <w:rPr>
                <w:sz w:val="18"/>
                <w:szCs w:val="18"/>
              </w:rPr>
            </w:pPr>
            <w:proofErr w:type="spellStart"/>
            <w:r w:rsidRPr="00C01AAF">
              <w:rPr>
                <w:sz w:val="18"/>
                <w:szCs w:val="18"/>
              </w:rPr>
              <w:t>Ecoliv</w:t>
            </w:r>
            <w:proofErr w:type="spellEnd"/>
            <w:r w:rsidRPr="00C01AAF">
              <w:rPr>
                <w:sz w:val="18"/>
                <w:szCs w:val="18"/>
              </w:rPr>
              <w:t xml:space="preserve"> Buildings</w:t>
            </w:r>
          </w:p>
        </w:tc>
        <w:tc>
          <w:tcPr>
            <w:tcW w:w="3969" w:type="dxa"/>
            <w:noWrap/>
          </w:tcPr>
          <w:p w14:paraId="50F67FCC" w14:textId="77777777" w:rsidR="00254D1D" w:rsidRPr="00C01AAF" w:rsidRDefault="00254D1D">
            <w:pPr>
              <w:rPr>
                <w:sz w:val="18"/>
                <w:szCs w:val="18"/>
              </w:rPr>
            </w:pPr>
            <w:r w:rsidRPr="00C01AAF">
              <w:rPr>
                <w:sz w:val="18"/>
                <w:szCs w:val="18"/>
              </w:rPr>
              <w:t>7 Star Program</w:t>
            </w:r>
          </w:p>
        </w:tc>
        <w:tc>
          <w:tcPr>
            <w:tcW w:w="1589" w:type="dxa"/>
            <w:noWrap/>
          </w:tcPr>
          <w:p w14:paraId="1B91A2BB" w14:textId="77777777" w:rsidR="00254D1D" w:rsidRPr="00C01AAF" w:rsidRDefault="00254D1D">
            <w:pPr>
              <w:rPr>
                <w:sz w:val="18"/>
                <w:szCs w:val="18"/>
              </w:rPr>
            </w:pPr>
            <w:r w:rsidRPr="00C01AAF">
              <w:rPr>
                <w:sz w:val="18"/>
                <w:szCs w:val="18"/>
              </w:rPr>
              <w:t>$5,090*</w:t>
            </w:r>
          </w:p>
        </w:tc>
      </w:tr>
      <w:tr w:rsidR="00254D1D" w:rsidRPr="0012521E" w14:paraId="4DB6BF45" w14:textId="77777777">
        <w:tc>
          <w:tcPr>
            <w:tcW w:w="3397" w:type="dxa"/>
            <w:noWrap/>
          </w:tcPr>
          <w:p w14:paraId="109163CE" w14:textId="77777777" w:rsidR="00254D1D" w:rsidRPr="00F6036E" w:rsidRDefault="00254D1D">
            <w:pPr>
              <w:rPr>
                <w:sz w:val="18"/>
                <w:szCs w:val="18"/>
              </w:rPr>
            </w:pPr>
            <w:r w:rsidRPr="00F6036E">
              <w:rPr>
                <w:sz w:val="18"/>
                <w:szCs w:val="18"/>
              </w:rPr>
              <w:t>Eco Recyclers Pty Ltd</w:t>
            </w:r>
          </w:p>
        </w:tc>
        <w:tc>
          <w:tcPr>
            <w:tcW w:w="3969" w:type="dxa"/>
            <w:noWrap/>
          </w:tcPr>
          <w:p w14:paraId="34AE93E1" w14:textId="77777777" w:rsidR="00254D1D" w:rsidRPr="00F6036E" w:rsidRDefault="00254D1D">
            <w:pPr>
              <w:rPr>
                <w:sz w:val="18"/>
                <w:szCs w:val="18"/>
              </w:rPr>
            </w:pPr>
            <w:r w:rsidRPr="00F6036E">
              <w:rPr>
                <w:sz w:val="18"/>
                <w:szCs w:val="18"/>
              </w:rPr>
              <w:t xml:space="preserve">Transforming Low Value Biomass </w:t>
            </w:r>
            <w:r>
              <w:rPr>
                <w:sz w:val="18"/>
                <w:szCs w:val="18"/>
              </w:rPr>
              <w:t>i</w:t>
            </w:r>
            <w:r w:rsidRPr="00F6036E">
              <w:rPr>
                <w:sz w:val="18"/>
                <w:szCs w:val="18"/>
              </w:rPr>
              <w:t>nto High Value Biomass</w:t>
            </w:r>
          </w:p>
        </w:tc>
        <w:tc>
          <w:tcPr>
            <w:tcW w:w="1589" w:type="dxa"/>
            <w:noWrap/>
          </w:tcPr>
          <w:p w14:paraId="286BE180" w14:textId="77777777" w:rsidR="00254D1D" w:rsidRPr="00F6036E" w:rsidRDefault="00254D1D">
            <w:pPr>
              <w:rPr>
                <w:sz w:val="18"/>
                <w:szCs w:val="18"/>
              </w:rPr>
            </w:pPr>
            <w:r w:rsidRPr="65E029B8">
              <w:rPr>
                <w:sz w:val="18"/>
                <w:szCs w:val="18"/>
              </w:rPr>
              <w:t>$</w:t>
            </w:r>
            <w:r w:rsidRPr="006040AD">
              <w:rPr>
                <w:sz w:val="18"/>
                <w:szCs w:val="18"/>
              </w:rPr>
              <w:t>15,000</w:t>
            </w:r>
          </w:p>
        </w:tc>
      </w:tr>
      <w:tr w:rsidR="00254D1D" w:rsidRPr="0012521E" w14:paraId="016D46D7" w14:textId="77777777">
        <w:tc>
          <w:tcPr>
            <w:tcW w:w="3397" w:type="dxa"/>
            <w:noWrap/>
          </w:tcPr>
          <w:p w14:paraId="76D496C0" w14:textId="77777777" w:rsidR="00254D1D" w:rsidRPr="00F6036E" w:rsidRDefault="00254D1D">
            <w:pPr>
              <w:rPr>
                <w:sz w:val="18"/>
                <w:szCs w:val="18"/>
              </w:rPr>
            </w:pPr>
            <w:r w:rsidRPr="00F6036E">
              <w:rPr>
                <w:sz w:val="18"/>
                <w:szCs w:val="18"/>
              </w:rPr>
              <w:t>Elmore Compost &amp; Organics Pty Ltd</w:t>
            </w:r>
          </w:p>
        </w:tc>
        <w:tc>
          <w:tcPr>
            <w:tcW w:w="3969" w:type="dxa"/>
            <w:noWrap/>
          </w:tcPr>
          <w:p w14:paraId="54A8380A" w14:textId="77777777" w:rsidR="00254D1D" w:rsidRPr="00F6036E" w:rsidRDefault="00254D1D">
            <w:pPr>
              <w:rPr>
                <w:sz w:val="18"/>
                <w:szCs w:val="18"/>
              </w:rPr>
            </w:pPr>
            <w:r w:rsidRPr="00F6036E">
              <w:rPr>
                <w:sz w:val="18"/>
                <w:szCs w:val="18"/>
              </w:rPr>
              <w:t xml:space="preserve">Deep Soil Amelioration Research </w:t>
            </w:r>
            <w:r>
              <w:rPr>
                <w:sz w:val="18"/>
                <w:szCs w:val="18"/>
              </w:rPr>
              <w:t>a</w:t>
            </w:r>
            <w:r w:rsidRPr="00F6036E">
              <w:rPr>
                <w:sz w:val="18"/>
                <w:szCs w:val="18"/>
              </w:rPr>
              <w:t>nd Demonstration Promotional Program</w:t>
            </w:r>
          </w:p>
        </w:tc>
        <w:tc>
          <w:tcPr>
            <w:tcW w:w="1589" w:type="dxa"/>
            <w:noWrap/>
          </w:tcPr>
          <w:p w14:paraId="547AADE0" w14:textId="77777777" w:rsidR="00254D1D" w:rsidRPr="00F6036E" w:rsidRDefault="00254D1D">
            <w:pPr>
              <w:rPr>
                <w:sz w:val="18"/>
                <w:szCs w:val="18"/>
              </w:rPr>
            </w:pPr>
            <w:r w:rsidRPr="00F6036E">
              <w:rPr>
                <w:sz w:val="18"/>
                <w:szCs w:val="18"/>
              </w:rPr>
              <w:t>$29,000</w:t>
            </w:r>
          </w:p>
        </w:tc>
      </w:tr>
      <w:tr w:rsidR="00254D1D" w:rsidRPr="0012521E" w14:paraId="75105EBA" w14:textId="77777777">
        <w:tc>
          <w:tcPr>
            <w:tcW w:w="3397" w:type="dxa"/>
            <w:noWrap/>
          </w:tcPr>
          <w:p w14:paraId="58435F20" w14:textId="77777777" w:rsidR="00254D1D" w:rsidRPr="00F6036E" w:rsidRDefault="00254D1D">
            <w:pPr>
              <w:rPr>
                <w:sz w:val="18"/>
                <w:szCs w:val="18"/>
              </w:rPr>
            </w:pPr>
            <w:r w:rsidRPr="00F6036E">
              <w:rPr>
                <w:sz w:val="18"/>
                <w:szCs w:val="18"/>
              </w:rPr>
              <w:t>Elmore Compost &amp; Organics Pty Ltd</w:t>
            </w:r>
          </w:p>
        </w:tc>
        <w:tc>
          <w:tcPr>
            <w:tcW w:w="3969" w:type="dxa"/>
            <w:noWrap/>
          </w:tcPr>
          <w:p w14:paraId="2BA5313C" w14:textId="77777777" w:rsidR="00254D1D" w:rsidRPr="00F6036E" w:rsidRDefault="00254D1D">
            <w:pPr>
              <w:rPr>
                <w:sz w:val="18"/>
                <w:szCs w:val="18"/>
              </w:rPr>
            </w:pPr>
            <w:r w:rsidRPr="00F6036E">
              <w:rPr>
                <w:sz w:val="18"/>
                <w:szCs w:val="18"/>
              </w:rPr>
              <w:t>Expansion of Elmore Compost &amp; Organics Facility</w:t>
            </w:r>
          </w:p>
        </w:tc>
        <w:tc>
          <w:tcPr>
            <w:tcW w:w="1589" w:type="dxa"/>
            <w:noWrap/>
          </w:tcPr>
          <w:p w14:paraId="7B5E8B3B" w14:textId="77777777" w:rsidR="00254D1D" w:rsidRPr="00F6036E" w:rsidRDefault="00254D1D">
            <w:pPr>
              <w:rPr>
                <w:sz w:val="18"/>
                <w:szCs w:val="18"/>
              </w:rPr>
            </w:pPr>
            <w:r w:rsidRPr="00F6036E">
              <w:rPr>
                <w:sz w:val="18"/>
                <w:szCs w:val="18"/>
              </w:rPr>
              <w:t>$336</w:t>
            </w:r>
            <w:r>
              <w:rPr>
                <w:sz w:val="18"/>
                <w:szCs w:val="18"/>
              </w:rPr>
              <w:t>,</w:t>
            </w:r>
            <w:r w:rsidRPr="00F6036E">
              <w:rPr>
                <w:sz w:val="18"/>
                <w:szCs w:val="18"/>
              </w:rPr>
              <w:t>930</w:t>
            </w:r>
          </w:p>
        </w:tc>
      </w:tr>
      <w:tr w:rsidR="00254D1D" w:rsidRPr="0012521E" w14:paraId="70D434B7" w14:textId="77777777">
        <w:tc>
          <w:tcPr>
            <w:tcW w:w="3397" w:type="dxa"/>
            <w:noWrap/>
          </w:tcPr>
          <w:p w14:paraId="100EEEFF" w14:textId="77777777" w:rsidR="00254D1D" w:rsidRPr="00CB71A5" w:rsidRDefault="00254D1D">
            <w:pPr>
              <w:rPr>
                <w:sz w:val="18"/>
                <w:szCs w:val="18"/>
              </w:rPr>
            </w:pPr>
            <w:r w:rsidRPr="00CB71A5">
              <w:rPr>
                <w:sz w:val="18"/>
                <w:szCs w:val="18"/>
              </w:rPr>
              <w:t xml:space="preserve">Enable Social Enterprises </w:t>
            </w:r>
            <w:r w:rsidRPr="2ADFB540">
              <w:rPr>
                <w:sz w:val="18"/>
                <w:szCs w:val="18"/>
              </w:rPr>
              <w:t>Ltd</w:t>
            </w:r>
          </w:p>
        </w:tc>
        <w:tc>
          <w:tcPr>
            <w:tcW w:w="3969" w:type="dxa"/>
            <w:noWrap/>
          </w:tcPr>
          <w:p w14:paraId="27F375FE" w14:textId="77777777" w:rsidR="00254D1D" w:rsidRPr="00CB71A5" w:rsidRDefault="00254D1D">
            <w:pPr>
              <w:rPr>
                <w:sz w:val="18"/>
                <w:szCs w:val="18"/>
              </w:rPr>
            </w:pPr>
            <w:r w:rsidRPr="00CB71A5">
              <w:rPr>
                <w:sz w:val="18"/>
                <w:szCs w:val="18"/>
              </w:rPr>
              <w:t>Connecting Communities</w:t>
            </w:r>
            <w:r w:rsidRPr="2ADFB540">
              <w:rPr>
                <w:sz w:val="18"/>
                <w:szCs w:val="18"/>
              </w:rPr>
              <w:t xml:space="preserve"> – Expanding tech recycling service</w:t>
            </w:r>
          </w:p>
        </w:tc>
        <w:tc>
          <w:tcPr>
            <w:tcW w:w="1589" w:type="dxa"/>
            <w:noWrap/>
          </w:tcPr>
          <w:p w14:paraId="42026472" w14:textId="77777777" w:rsidR="00254D1D" w:rsidRPr="00CB71A5" w:rsidRDefault="00254D1D">
            <w:pPr>
              <w:rPr>
                <w:sz w:val="18"/>
                <w:szCs w:val="18"/>
              </w:rPr>
            </w:pPr>
            <w:r w:rsidRPr="00CB71A5">
              <w:rPr>
                <w:sz w:val="18"/>
                <w:szCs w:val="18"/>
              </w:rPr>
              <w:t>$13,750</w:t>
            </w:r>
          </w:p>
        </w:tc>
      </w:tr>
      <w:tr w:rsidR="00254D1D" w:rsidRPr="0012521E" w14:paraId="3F6B282F" w14:textId="77777777">
        <w:tc>
          <w:tcPr>
            <w:tcW w:w="3397" w:type="dxa"/>
            <w:noWrap/>
          </w:tcPr>
          <w:p w14:paraId="17F73F61" w14:textId="77777777" w:rsidR="00254D1D" w:rsidRPr="00CB71A5" w:rsidRDefault="00254D1D">
            <w:pPr>
              <w:rPr>
                <w:sz w:val="18"/>
                <w:szCs w:val="18"/>
              </w:rPr>
            </w:pPr>
            <w:proofErr w:type="spellStart"/>
            <w:r w:rsidRPr="00CB71A5">
              <w:rPr>
                <w:sz w:val="18"/>
                <w:szCs w:val="18"/>
              </w:rPr>
              <w:t>Encoro</w:t>
            </w:r>
            <w:proofErr w:type="spellEnd"/>
            <w:r w:rsidRPr="00CB71A5">
              <w:rPr>
                <w:sz w:val="18"/>
                <w:szCs w:val="18"/>
              </w:rPr>
              <w:t xml:space="preserve"> Pty Ltd</w:t>
            </w:r>
          </w:p>
        </w:tc>
        <w:tc>
          <w:tcPr>
            <w:tcW w:w="3969" w:type="dxa"/>
            <w:noWrap/>
          </w:tcPr>
          <w:p w14:paraId="03471920" w14:textId="77777777" w:rsidR="00254D1D" w:rsidRPr="00CB71A5" w:rsidRDefault="00254D1D">
            <w:pPr>
              <w:rPr>
                <w:sz w:val="18"/>
                <w:szCs w:val="18"/>
              </w:rPr>
            </w:pPr>
            <w:r w:rsidRPr="00CB71A5">
              <w:rPr>
                <w:sz w:val="18"/>
                <w:szCs w:val="18"/>
              </w:rPr>
              <w:t xml:space="preserve">Growing </w:t>
            </w:r>
            <w:proofErr w:type="spellStart"/>
            <w:r w:rsidRPr="00CB71A5">
              <w:rPr>
                <w:sz w:val="18"/>
                <w:szCs w:val="18"/>
              </w:rPr>
              <w:t>Bettercup's</w:t>
            </w:r>
            <w:proofErr w:type="spellEnd"/>
            <w:r w:rsidRPr="00CB71A5">
              <w:rPr>
                <w:sz w:val="18"/>
                <w:szCs w:val="18"/>
              </w:rPr>
              <w:t xml:space="preserve"> Manufacturing Capacity </w:t>
            </w:r>
            <w:r>
              <w:rPr>
                <w:sz w:val="18"/>
                <w:szCs w:val="18"/>
              </w:rPr>
              <w:t>a</w:t>
            </w:r>
            <w:r w:rsidRPr="00CB71A5">
              <w:rPr>
                <w:sz w:val="18"/>
                <w:szCs w:val="18"/>
              </w:rPr>
              <w:t>nd Circular Support Services</w:t>
            </w:r>
          </w:p>
        </w:tc>
        <w:tc>
          <w:tcPr>
            <w:tcW w:w="1589" w:type="dxa"/>
            <w:noWrap/>
          </w:tcPr>
          <w:p w14:paraId="599B8C88" w14:textId="77777777" w:rsidR="00254D1D" w:rsidRPr="00CB71A5" w:rsidRDefault="00254D1D">
            <w:pPr>
              <w:rPr>
                <w:sz w:val="18"/>
                <w:szCs w:val="18"/>
              </w:rPr>
            </w:pPr>
            <w:r w:rsidRPr="00CB71A5">
              <w:rPr>
                <w:sz w:val="18"/>
                <w:szCs w:val="18"/>
              </w:rPr>
              <w:t>$307,151</w:t>
            </w:r>
          </w:p>
        </w:tc>
      </w:tr>
      <w:tr w:rsidR="00254D1D" w:rsidRPr="0012521E" w14:paraId="3AFEF1C6" w14:textId="77777777">
        <w:tc>
          <w:tcPr>
            <w:tcW w:w="3397" w:type="dxa"/>
            <w:noWrap/>
          </w:tcPr>
          <w:p w14:paraId="0CF15756" w14:textId="77777777" w:rsidR="00254D1D" w:rsidRPr="006A39EE" w:rsidRDefault="00254D1D">
            <w:pPr>
              <w:rPr>
                <w:sz w:val="18"/>
                <w:szCs w:val="18"/>
              </w:rPr>
            </w:pPr>
            <w:proofErr w:type="spellStart"/>
            <w:r w:rsidRPr="006A39EE">
              <w:rPr>
                <w:sz w:val="18"/>
                <w:szCs w:val="18"/>
              </w:rPr>
              <w:t>Envirostream</w:t>
            </w:r>
            <w:proofErr w:type="spellEnd"/>
            <w:r w:rsidRPr="006A39EE">
              <w:rPr>
                <w:sz w:val="18"/>
                <w:szCs w:val="18"/>
              </w:rPr>
              <w:t xml:space="preserve"> Australia Pty Ltd </w:t>
            </w:r>
          </w:p>
        </w:tc>
        <w:tc>
          <w:tcPr>
            <w:tcW w:w="3969" w:type="dxa"/>
            <w:noWrap/>
          </w:tcPr>
          <w:p w14:paraId="21B043ED" w14:textId="77777777" w:rsidR="00254D1D" w:rsidRPr="00102ACA" w:rsidRDefault="00254D1D">
            <w:pPr>
              <w:rPr>
                <w:sz w:val="18"/>
                <w:szCs w:val="18"/>
              </w:rPr>
            </w:pPr>
            <w:r w:rsidRPr="00102ACA">
              <w:rPr>
                <w:sz w:val="18"/>
                <w:szCs w:val="18"/>
              </w:rPr>
              <w:t>Electrolyte Management in Rechargeable Battery Recycling</w:t>
            </w:r>
          </w:p>
        </w:tc>
        <w:tc>
          <w:tcPr>
            <w:tcW w:w="1589" w:type="dxa"/>
            <w:noWrap/>
          </w:tcPr>
          <w:p w14:paraId="022AB218" w14:textId="77777777" w:rsidR="00254D1D" w:rsidRPr="00102ACA" w:rsidRDefault="00254D1D">
            <w:pPr>
              <w:rPr>
                <w:sz w:val="18"/>
                <w:szCs w:val="18"/>
              </w:rPr>
            </w:pPr>
            <w:r w:rsidRPr="00102ACA">
              <w:rPr>
                <w:sz w:val="18"/>
                <w:szCs w:val="18"/>
              </w:rPr>
              <w:t>$33,953</w:t>
            </w:r>
          </w:p>
        </w:tc>
      </w:tr>
      <w:tr w:rsidR="00254D1D" w:rsidRPr="0012521E" w14:paraId="2628C52F" w14:textId="77777777">
        <w:tc>
          <w:tcPr>
            <w:tcW w:w="3397" w:type="dxa"/>
            <w:noWrap/>
          </w:tcPr>
          <w:p w14:paraId="618E1577" w14:textId="77777777" w:rsidR="00254D1D" w:rsidRPr="005438E6" w:rsidRDefault="00254D1D">
            <w:pPr>
              <w:rPr>
                <w:sz w:val="18"/>
                <w:szCs w:val="18"/>
              </w:rPr>
            </w:pPr>
            <w:r w:rsidRPr="005438E6">
              <w:rPr>
                <w:sz w:val="18"/>
                <w:szCs w:val="18"/>
              </w:rPr>
              <w:t>EQ Plastics Pty Ltd</w:t>
            </w:r>
          </w:p>
        </w:tc>
        <w:tc>
          <w:tcPr>
            <w:tcW w:w="3969" w:type="dxa"/>
            <w:noWrap/>
          </w:tcPr>
          <w:p w14:paraId="22DA7396" w14:textId="77777777" w:rsidR="00254D1D" w:rsidRPr="005438E6" w:rsidRDefault="00254D1D">
            <w:pPr>
              <w:spacing w:line="240" w:lineRule="auto"/>
              <w:rPr>
                <w:sz w:val="18"/>
                <w:szCs w:val="18"/>
              </w:rPr>
            </w:pPr>
            <w:r w:rsidRPr="005438E6">
              <w:rPr>
                <w:sz w:val="18"/>
                <w:szCs w:val="18"/>
              </w:rPr>
              <w:t xml:space="preserve">Extrusion Line </w:t>
            </w:r>
            <w:r>
              <w:rPr>
                <w:sz w:val="18"/>
                <w:szCs w:val="18"/>
              </w:rPr>
              <w:t>t</w:t>
            </w:r>
            <w:r w:rsidRPr="005438E6">
              <w:rPr>
                <w:sz w:val="18"/>
                <w:szCs w:val="18"/>
              </w:rPr>
              <w:t xml:space="preserve">o Produce </w:t>
            </w:r>
            <w:proofErr w:type="spellStart"/>
            <w:r w:rsidRPr="005438E6">
              <w:rPr>
                <w:sz w:val="18"/>
                <w:szCs w:val="18"/>
              </w:rPr>
              <w:t>Pcr</w:t>
            </w:r>
            <w:proofErr w:type="spellEnd"/>
            <w:r w:rsidRPr="005438E6">
              <w:rPr>
                <w:sz w:val="18"/>
                <w:szCs w:val="18"/>
              </w:rPr>
              <w:t xml:space="preserve"> Pet Films</w:t>
            </w:r>
          </w:p>
        </w:tc>
        <w:tc>
          <w:tcPr>
            <w:tcW w:w="1589" w:type="dxa"/>
            <w:noWrap/>
          </w:tcPr>
          <w:p w14:paraId="319116E9" w14:textId="77777777" w:rsidR="00254D1D" w:rsidRPr="005438E6" w:rsidRDefault="00254D1D">
            <w:pPr>
              <w:rPr>
                <w:sz w:val="18"/>
                <w:szCs w:val="18"/>
              </w:rPr>
            </w:pPr>
            <w:r w:rsidRPr="005438E6">
              <w:rPr>
                <w:sz w:val="18"/>
                <w:szCs w:val="18"/>
              </w:rPr>
              <w:t>$7,450</w:t>
            </w:r>
          </w:p>
        </w:tc>
      </w:tr>
      <w:tr w:rsidR="00254D1D" w:rsidRPr="0012521E" w14:paraId="49F94337" w14:textId="77777777">
        <w:tc>
          <w:tcPr>
            <w:tcW w:w="3397" w:type="dxa"/>
            <w:noWrap/>
          </w:tcPr>
          <w:p w14:paraId="05215C11" w14:textId="77777777" w:rsidR="00254D1D" w:rsidRPr="00A86840" w:rsidRDefault="00254D1D">
            <w:pPr>
              <w:rPr>
                <w:sz w:val="18"/>
                <w:szCs w:val="18"/>
              </w:rPr>
            </w:pPr>
            <w:r w:rsidRPr="00A86840">
              <w:rPr>
                <w:sz w:val="18"/>
                <w:szCs w:val="18"/>
              </w:rPr>
              <w:t>FHAH Pty Ltd</w:t>
            </w:r>
          </w:p>
        </w:tc>
        <w:tc>
          <w:tcPr>
            <w:tcW w:w="3969" w:type="dxa"/>
            <w:noWrap/>
          </w:tcPr>
          <w:p w14:paraId="6BD5B04B" w14:textId="77777777" w:rsidR="00254D1D" w:rsidRPr="00A86840" w:rsidRDefault="00254D1D">
            <w:pPr>
              <w:rPr>
                <w:sz w:val="18"/>
                <w:szCs w:val="18"/>
              </w:rPr>
            </w:pPr>
            <w:r w:rsidRPr="0AD62B0D">
              <w:rPr>
                <w:sz w:val="18"/>
                <w:szCs w:val="18"/>
              </w:rPr>
              <w:t xml:space="preserve">Bio Energy Projects Feasibility </w:t>
            </w:r>
            <w:proofErr w:type="spellStart"/>
            <w:r w:rsidRPr="0AD62B0D">
              <w:rPr>
                <w:sz w:val="18"/>
                <w:szCs w:val="18"/>
              </w:rPr>
              <w:t>Flavorite</w:t>
            </w:r>
            <w:proofErr w:type="spellEnd"/>
            <w:r w:rsidRPr="0AD62B0D">
              <w:rPr>
                <w:sz w:val="18"/>
                <w:szCs w:val="18"/>
              </w:rPr>
              <w:t xml:space="preserve"> Group</w:t>
            </w:r>
          </w:p>
        </w:tc>
        <w:tc>
          <w:tcPr>
            <w:tcW w:w="1589" w:type="dxa"/>
            <w:noWrap/>
          </w:tcPr>
          <w:p w14:paraId="7FD92F51" w14:textId="77777777" w:rsidR="00254D1D" w:rsidRDefault="00254D1D">
            <w:pPr>
              <w:rPr>
                <w:sz w:val="18"/>
                <w:szCs w:val="18"/>
              </w:rPr>
            </w:pPr>
            <w:r w:rsidRPr="00A86840">
              <w:rPr>
                <w:sz w:val="18"/>
                <w:szCs w:val="18"/>
              </w:rPr>
              <w:t>$49,334</w:t>
            </w:r>
          </w:p>
        </w:tc>
      </w:tr>
      <w:tr w:rsidR="00254D1D" w:rsidRPr="0012521E" w14:paraId="63441513" w14:textId="77777777">
        <w:tc>
          <w:tcPr>
            <w:tcW w:w="3397" w:type="dxa"/>
            <w:noWrap/>
          </w:tcPr>
          <w:p w14:paraId="7A947A81" w14:textId="77777777" w:rsidR="00254D1D" w:rsidRPr="00CF2EC9" w:rsidRDefault="00254D1D">
            <w:pPr>
              <w:rPr>
                <w:sz w:val="18"/>
                <w:szCs w:val="18"/>
              </w:rPr>
            </w:pPr>
            <w:r w:rsidRPr="00CF2EC9">
              <w:rPr>
                <w:sz w:val="18"/>
                <w:szCs w:val="18"/>
              </w:rPr>
              <w:t>Frankston City Council</w:t>
            </w:r>
          </w:p>
        </w:tc>
        <w:tc>
          <w:tcPr>
            <w:tcW w:w="3969" w:type="dxa"/>
            <w:noWrap/>
          </w:tcPr>
          <w:p w14:paraId="2D2CABCA" w14:textId="77777777" w:rsidR="00254D1D" w:rsidRPr="00066C9A" w:rsidRDefault="00254D1D">
            <w:pPr>
              <w:rPr>
                <w:sz w:val="18"/>
                <w:szCs w:val="18"/>
              </w:rPr>
            </w:pPr>
            <w:r w:rsidRPr="00CF2EC9">
              <w:rPr>
                <w:sz w:val="18"/>
                <w:szCs w:val="18"/>
              </w:rPr>
              <w:t>CE Councils Frankston - Trim Your Bin Business Program</w:t>
            </w:r>
          </w:p>
        </w:tc>
        <w:tc>
          <w:tcPr>
            <w:tcW w:w="1589" w:type="dxa"/>
            <w:noWrap/>
          </w:tcPr>
          <w:p w14:paraId="25C720DA" w14:textId="77777777" w:rsidR="00254D1D" w:rsidRDefault="00254D1D">
            <w:pPr>
              <w:rPr>
                <w:sz w:val="18"/>
                <w:szCs w:val="18"/>
                <w:highlight w:val="yellow"/>
              </w:rPr>
            </w:pPr>
            <w:r w:rsidRPr="006934A9">
              <w:rPr>
                <w:sz w:val="18"/>
                <w:szCs w:val="18"/>
              </w:rPr>
              <w:t>$96,000</w:t>
            </w:r>
          </w:p>
        </w:tc>
      </w:tr>
      <w:tr w:rsidR="00254D1D" w:rsidRPr="0012521E" w14:paraId="0FA9F874" w14:textId="77777777">
        <w:tc>
          <w:tcPr>
            <w:tcW w:w="3397" w:type="dxa"/>
            <w:noWrap/>
          </w:tcPr>
          <w:p w14:paraId="45E9577D" w14:textId="77777777" w:rsidR="00254D1D" w:rsidRPr="00E22399" w:rsidRDefault="00254D1D">
            <w:pPr>
              <w:rPr>
                <w:sz w:val="18"/>
                <w:szCs w:val="18"/>
              </w:rPr>
            </w:pPr>
            <w:r w:rsidRPr="00E22399">
              <w:rPr>
                <w:sz w:val="18"/>
                <w:szCs w:val="18"/>
              </w:rPr>
              <w:t>Free To Ltd (Free to Feed)</w:t>
            </w:r>
          </w:p>
        </w:tc>
        <w:tc>
          <w:tcPr>
            <w:tcW w:w="3969" w:type="dxa"/>
            <w:noWrap/>
          </w:tcPr>
          <w:p w14:paraId="23CE2B3B" w14:textId="77777777" w:rsidR="00254D1D" w:rsidRPr="00066C9A" w:rsidRDefault="00254D1D">
            <w:pPr>
              <w:rPr>
                <w:sz w:val="18"/>
                <w:szCs w:val="18"/>
              </w:rPr>
            </w:pPr>
            <w:r w:rsidRPr="00E22399">
              <w:rPr>
                <w:sz w:val="18"/>
                <w:szCs w:val="18"/>
              </w:rPr>
              <w:t>The Round and Round Table</w:t>
            </w:r>
          </w:p>
        </w:tc>
        <w:tc>
          <w:tcPr>
            <w:tcW w:w="1589" w:type="dxa"/>
            <w:noWrap/>
          </w:tcPr>
          <w:p w14:paraId="375D4196" w14:textId="77777777" w:rsidR="00254D1D" w:rsidRDefault="00254D1D">
            <w:pPr>
              <w:rPr>
                <w:sz w:val="18"/>
                <w:szCs w:val="18"/>
              </w:rPr>
            </w:pPr>
            <w:r w:rsidRPr="00E22399">
              <w:rPr>
                <w:sz w:val="18"/>
                <w:szCs w:val="18"/>
              </w:rPr>
              <w:t>$1,600</w:t>
            </w:r>
          </w:p>
        </w:tc>
      </w:tr>
      <w:tr w:rsidR="00254D1D" w:rsidRPr="0012521E" w14:paraId="0CFB7426" w14:textId="77777777">
        <w:tc>
          <w:tcPr>
            <w:tcW w:w="3397" w:type="dxa"/>
            <w:noWrap/>
          </w:tcPr>
          <w:p w14:paraId="06AD2F45" w14:textId="77777777" w:rsidR="00254D1D" w:rsidRPr="00E52674" w:rsidRDefault="00254D1D">
            <w:pPr>
              <w:rPr>
                <w:sz w:val="18"/>
                <w:szCs w:val="18"/>
              </w:rPr>
            </w:pPr>
            <w:r w:rsidRPr="00E52674">
              <w:rPr>
                <w:sz w:val="18"/>
                <w:szCs w:val="18"/>
              </w:rPr>
              <w:t>Frontier Carbon Pty Ltd</w:t>
            </w:r>
          </w:p>
        </w:tc>
        <w:tc>
          <w:tcPr>
            <w:tcW w:w="3969" w:type="dxa"/>
            <w:noWrap/>
          </w:tcPr>
          <w:p w14:paraId="3CFB153A" w14:textId="77777777" w:rsidR="00254D1D" w:rsidRPr="00066C9A" w:rsidRDefault="00254D1D">
            <w:pPr>
              <w:rPr>
                <w:sz w:val="18"/>
                <w:szCs w:val="18"/>
              </w:rPr>
            </w:pPr>
            <w:r w:rsidRPr="00E52674">
              <w:rPr>
                <w:sz w:val="18"/>
                <w:szCs w:val="18"/>
              </w:rPr>
              <w:t>Mildura Biorefinery and Renewable Energy Park</w:t>
            </w:r>
          </w:p>
        </w:tc>
        <w:tc>
          <w:tcPr>
            <w:tcW w:w="1589" w:type="dxa"/>
            <w:noWrap/>
          </w:tcPr>
          <w:p w14:paraId="076A1D87" w14:textId="77777777" w:rsidR="00254D1D" w:rsidRDefault="00254D1D">
            <w:pPr>
              <w:rPr>
                <w:sz w:val="18"/>
                <w:szCs w:val="18"/>
              </w:rPr>
            </w:pPr>
            <w:r w:rsidRPr="00E52674">
              <w:rPr>
                <w:sz w:val="18"/>
                <w:szCs w:val="18"/>
              </w:rPr>
              <w:t>$10,000</w:t>
            </w:r>
          </w:p>
        </w:tc>
      </w:tr>
      <w:tr w:rsidR="00254D1D" w:rsidRPr="0012521E" w14:paraId="679189AC" w14:textId="77777777">
        <w:tc>
          <w:tcPr>
            <w:tcW w:w="3397" w:type="dxa"/>
            <w:noWrap/>
          </w:tcPr>
          <w:p w14:paraId="25A3A0CF" w14:textId="77777777" w:rsidR="00254D1D" w:rsidRPr="00AC1895" w:rsidRDefault="00254D1D">
            <w:pPr>
              <w:pStyle w:val="TableText"/>
              <w:rPr>
                <w:rFonts w:ascii="Arial" w:hAnsi="Arial" w:cs="Arial"/>
                <w:sz w:val="18"/>
                <w:szCs w:val="18"/>
              </w:rPr>
            </w:pPr>
            <w:r w:rsidRPr="001A11E4">
              <w:rPr>
                <w:rFonts w:ascii="Arial" w:hAnsi="Arial" w:cs="Arial"/>
                <w:sz w:val="18"/>
                <w:szCs w:val="18"/>
              </w:rPr>
              <w:t>Fulton Hogan Industries Pty Ltd</w:t>
            </w:r>
          </w:p>
        </w:tc>
        <w:tc>
          <w:tcPr>
            <w:tcW w:w="3969" w:type="dxa"/>
            <w:noWrap/>
          </w:tcPr>
          <w:p w14:paraId="115CF839" w14:textId="77777777" w:rsidR="00254D1D" w:rsidRPr="00066C9A" w:rsidRDefault="00254D1D">
            <w:pPr>
              <w:rPr>
                <w:sz w:val="18"/>
                <w:szCs w:val="18"/>
              </w:rPr>
            </w:pPr>
            <w:r w:rsidRPr="00053B10">
              <w:rPr>
                <w:sz w:val="18"/>
                <w:szCs w:val="18"/>
              </w:rPr>
              <w:t>Fulton Hogan Mobile Glass Crusher</w:t>
            </w:r>
          </w:p>
        </w:tc>
        <w:tc>
          <w:tcPr>
            <w:tcW w:w="1589" w:type="dxa"/>
            <w:noWrap/>
          </w:tcPr>
          <w:p w14:paraId="36AB6013" w14:textId="77777777" w:rsidR="00254D1D" w:rsidRDefault="00254D1D">
            <w:pPr>
              <w:rPr>
                <w:sz w:val="18"/>
                <w:szCs w:val="18"/>
              </w:rPr>
            </w:pPr>
            <w:r>
              <w:rPr>
                <w:sz w:val="18"/>
                <w:szCs w:val="18"/>
              </w:rPr>
              <w:t>$60,000</w:t>
            </w:r>
          </w:p>
        </w:tc>
      </w:tr>
      <w:tr w:rsidR="00254D1D" w:rsidRPr="0012521E" w14:paraId="24F1C22B" w14:textId="77777777">
        <w:tc>
          <w:tcPr>
            <w:tcW w:w="3397" w:type="dxa"/>
            <w:noWrap/>
          </w:tcPr>
          <w:p w14:paraId="555B8458" w14:textId="77777777" w:rsidR="00254D1D" w:rsidRPr="00AC1895" w:rsidRDefault="00254D1D">
            <w:pPr>
              <w:pStyle w:val="TableText"/>
              <w:rPr>
                <w:rFonts w:ascii="Arial" w:hAnsi="Arial" w:cs="Arial"/>
                <w:sz w:val="18"/>
                <w:szCs w:val="18"/>
              </w:rPr>
            </w:pPr>
            <w:r w:rsidRPr="004B307F">
              <w:rPr>
                <w:rFonts w:ascii="Arial" w:hAnsi="Arial" w:cs="Arial"/>
                <w:sz w:val="18"/>
                <w:szCs w:val="18"/>
              </w:rPr>
              <w:t xml:space="preserve">Gaia </w:t>
            </w:r>
            <w:proofErr w:type="spellStart"/>
            <w:r w:rsidRPr="004B307F">
              <w:rPr>
                <w:rFonts w:ascii="Arial" w:hAnsi="Arial" w:cs="Arial"/>
                <w:sz w:val="18"/>
                <w:szCs w:val="18"/>
              </w:rPr>
              <w:t>EnviroTech</w:t>
            </w:r>
            <w:proofErr w:type="spellEnd"/>
            <w:r w:rsidRPr="004B307F">
              <w:rPr>
                <w:rFonts w:ascii="Arial" w:hAnsi="Arial" w:cs="Arial"/>
                <w:sz w:val="18"/>
                <w:szCs w:val="18"/>
              </w:rPr>
              <w:t xml:space="preserve"> Pty Ltd</w:t>
            </w:r>
          </w:p>
        </w:tc>
        <w:tc>
          <w:tcPr>
            <w:tcW w:w="3969" w:type="dxa"/>
            <w:noWrap/>
          </w:tcPr>
          <w:p w14:paraId="32F0FD49" w14:textId="77777777" w:rsidR="00254D1D" w:rsidRPr="00066C9A" w:rsidRDefault="00254D1D">
            <w:pPr>
              <w:rPr>
                <w:sz w:val="18"/>
                <w:szCs w:val="18"/>
              </w:rPr>
            </w:pPr>
            <w:r w:rsidRPr="007D32C7">
              <w:rPr>
                <w:sz w:val="18"/>
                <w:szCs w:val="18"/>
              </w:rPr>
              <w:t>Commercializing F</w:t>
            </w:r>
            <w:r>
              <w:rPr>
                <w:sz w:val="18"/>
                <w:szCs w:val="18"/>
              </w:rPr>
              <w:t>OGO</w:t>
            </w:r>
            <w:r w:rsidRPr="007D32C7">
              <w:rPr>
                <w:sz w:val="18"/>
                <w:szCs w:val="18"/>
              </w:rPr>
              <w:t xml:space="preserve"> </w:t>
            </w:r>
            <w:r>
              <w:rPr>
                <w:sz w:val="18"/>
                <w:szCs w:val="18"/>
              </w:rPr>
              <w:t>a</w:t>
            </w:r>
            <w:r w:rsidRPr="007D32C7">
              <w:rPr>
                <w:sz w:val="18"/>
                <w:szCs w:val="18"/>
              </w:rPr>
              <w:t xml:space="preserve">nd </w:t>
            </w:r>
            <w:r>
              <w:rPr>
                <w:sz w:val="18"/>
                <w:szCs w:val="18"/>
              </w:rPr>
              <w:t>o</w:t>
            </w:r>
            <w:r w:rsidRPr="007D32C7">
              <w:rPr>
                <w:sz w:val="18"/>
                <w:szCs w:val="18"/>
              </w:rPr>
              <w:t>ther Organic Waste Using Anaerobic Digestion</w:t>
            </w:r>
          </w:p>
        </w:tc>
        <w:tc>
          <w:tcPr>
            <w:tcW w:w="1589" w:type="dxa"/>
            <w:noWrap/>
          </w:tcPr>
          <w:p w14:paraId="6231A0C6" w14:textId="77777777" w:rsidR="00254D1D" w:rsidRDefault="00254D1D">
            <w:pPr>
              <w:rPr>
                <w:sz w:val="18"/>
                <w:szCs w:val="18"/>
              </w:rPr>
            </w:pPr>
            <w:r>
              <w:rPr>
                <w:sz w:val="18"/>
                <w:szCs w:val="18"/>
              </w:rPr>
              <w:t>$40,000</w:t>
            </w:r>
          </w:p>
        </w:tc>
      </w:tr>
      <w:tr w:rsidR="00254D1D" w:rsidRPr="0012521E" w14:paraId="668DC061" w14:textId="77777777">
        <w:tc>
          <w:tcPr>
            <w:tcW w:w="3397" w:type="dxa"/>
            <w:noWrap/>
          </w:tcPr>
          <w:p w14:paraId="69B2B739" w14:textId="77777777" w:rsidR="00254D1D" w:rsidRPr="00AC1895" w:rsidRDefault="00254D1D">
            <w:pPr>
              <w:pStyle w:val="TableText"/>
              <w:rPr>
                <w:rFonts w:ascii="Arial" w:hAnsi="Arial" w:cs="Arial"/>
                <w:sz w:val="18"/>
                <w:szCs w:val="18"/>
              </w:rPr>
            </w:pPr>
            <w:r w:rsidRPr="001951D0">
              <w:rPr>
                <w:rFonts w:ascii="Arial" w:hAnsi="Arial" w:cs="Arial"/>
                <w:sz w:val="18"/>
                <w:szCs w:val="18"/>
              </w:rPr>
              <w:t>Garage Sale Trail Foundation Ltd</w:t>
            </w:r>
          </w:p>
        </w:tc>
        <w:tc>
          <w:tcPr>
            <w:tcW w:w="3969" w:type="dxa"/>
            <w:noWrap/>
          </w:tcPr>
          <w:p w14:paraId="082BEA1D" w14:textId="77777777" w:rsidR="00254D1D" w:rsidRPr="00066C9A" w:rsidRDefault="00254D1D">
            <w:pPr>
              <w:rPr>
                <w:sz w:val="18"/>
                <w:szCs w:val="18"/>
              </w:rPr>
            </w:pPr>
            <w:r w:rsidRPr="002D2CF6">
              <w:rPr>
                <w:sz w:val="18"/>
                <w:szCs w:val="18"/>
              </w:rPr>
              <w:t>Multi-Unit Dwelling Circular Economy Hubs</w:t>
            </w:r>
          </w:p>
        </w:tc>
        <w:tc>
          <w:tcPr>
            <w:tcW w:w="1589" w:type="dxa"/>
            <w:noWrap/>
          </w:tcPr>
          <w:p w14:paraId="17C11D4D" w14:textId="77777777" w:rsidR="00254D1D" w:rsidRDefault="00254D1D">
            <w:pPr>
              <w:rPr>
                <w:sz w:val="18"/>
                <w:szCs w:val="18"/>
              </w:rPr>
            </w:pPr>
            <w:r>
              <w:rPr>
                <w:sz w:val="18"/>
                <w:szCs w:val="18"/>
              </w:rPr>
              <w:t>$24,000</w:t>
            </w:r>
          </w:p>
        </w:tc>
      </w:tr>
      <w:tr w:rsidR="00254D1D" w:rsidRPr="0012521E" w14:paraId="1BE772C6" w14:textId="77777777">
        <w:tc>
          <w:tcPr>
            <w:tcW w:w="3397" w:type="dxa"/>
            <w:noWrap/>
          </w:tcPr>
          <w:p w14:paraId="671A25EC" w14:textId="77777777" w:rsidR="00254D1D" w:rsidRPr="00AC1895" w:rsidRDefault="00254D1D">
            <w:pPr>
              <w:pStyle w:val="TableText"/>
              <w:rPr>
                <w:rFonts w:ascii="Arial" w:hAnsi="Arial" w:cs="Arial"/>
                <w:sz w:val="18"/>
                <w:szCs w:val="18"/>
              </w:rPr>
            </w:pPr>
            <w:r>
              <w:rPr>
                <w:rFonts w:ascii="Arial" w:hAnsi="Arial" w:cs="Arial"/>
                <w:sz w:val="18"/>
                <w:szCs w:val="18"/>
              </w:rPr>
              <w:t>Garden City Planters Pty Ltd</w:t>
            </w:r>
          </w:p>
        </w:tc>
        <w:tc>
          <w:tcPr>
            <w:tcW w:w="3969" w:type="dxa"/>
            <w:noWrap/>
          </w:tcPr>
          <w:p w14:paraId="712DC305" w14:textId="77777777" w:rsidR="00254D1D" w:rsidRPr="00066C9A" w:rsidRDefault="00254D1D">
            <w:pPr>
              <w:rPr>
                <w:sz w:val="18"/>
                <w:szCs w:val="18"/>
              </w:rPr>
            </w:pPr>
            <w:r w:rsidRPr="00C8766F">
              <w:rPr>
                <w:sz w:val="18"/>
                <w:szCs w:val="18"/>
              </w:rPr>
              <w:t xml:space="preserve">Plastics </w:t>
            </w:r>
            <w:r>
              <w:rPr>
                <w:sz w:val="18"/>
                <w:szCs w:val="18"/>
              </w:rPr>
              <w:t>P</w:t>
            </w:r>
            <w:r w:rsidRPr="00C8766F">
              <w:rPr>
                <w:sz w:val="18"/>
                <w:szCs w:val="18"/>
              </w:rPr>
              <w:t xml:space="preserve">roduct </w:t>
            </w:r>
            <w:r>
              <w:rPr>
                <w:sz w:val="18"/>
                <w:szCs w:val="18"/>
              </w:rPr>
              <w:t>M</w:t>
            </w:r>
            <w:r w:rsidRPr="00C8766F">
              <w:rPr>
                <w:sz w:val="18"/>
                <w:szCs w:val="18"/>
              </w:rPr>
              <w:t xml:space="preserve">anufacture </w:t>
            </w:r>
            <w:r>
              <w:rPr>
                <w:sz w:val="18"/>
                <w:szCs w:val="18"/>
              </w:rPr>
              <w:t>U</w:t>
            </w:r>
            <w:r w:rsidRPr="00C8766F">
              <w:rPr>
                <w:sz w:val="18"/>
                <w:szCs w:val="18"/>
              </w:rPr>
              <w:t xml:space="preserve">pgrade &amp; </w:t>
            </w:r>
            <w:r>
              <w:rPr>
                <w:sz w:val="18"/>
                <w:szCs w:val="18"/>
              </w:rPr>
              <w:t>E</w:t>
            </w:r>
            <w:r w:rsidRPr="00C8766F">
              <w:rPr>
                <w:sz w:val="18"/>
                <w:szCs w:val="18"/>
              </w:rPr>
              <w:t>xpansion</w:t>
            </w:r>
          </w:p>
        </w:tc>
        <w:tc>
          <w:tcPr>
            <w:tcW w:w="1589" w:type="dxa"/>
            <w:noWrap/>
          </w:tcPr>
          <w:p w14:paraId="039F936D" w14:textId="77777777" w:rsidR="00254D1D" w:rsidRDefault="00254D1D">
            <w:pPr>
              <w:rPr>
                <w:sz w:val="18"/>
                <w:szCs w:val="18"/>
              </w:rPr>
            </w:pPr>
            <w:r>
              <w:rPr>
                <w:sz w:val="18"/>
                <w:szCs w:val="18"/>
              </w:rPr>
              <w:t>$583,977</w:t>
            </w:r>
          </w:p>
        </w:tc>
      </w:tr>
      <w:tr w:rsidR="00254D1D" w:rsidRPr="0012521E" w14:paraId="48DCBC7E" w14:textId="77777777">
        <w:tc>
          <w:tcPr>
            <w:tcW w:w="3397" w:type="dxa"/>
            <w:noWrap/>
          </w:tcPr>
          <w:p w14:paraId="192AD5EC" w14:textId="77777777" w:rsidR="00254D1D" w:rsidRPr="00AC1895" w:rsidRDefault="00254D1D">
            <w:pPr>
              <w:pStyle w:val="TableText"/>
              <w:rPr>
                <w:rFonts w:ascii="Arial" w:hAnsi="Arial" w:cs="Arial"/>
                <w:sz w:val="18"/>
                <w:szCs w:val="18"/>
              </w:rPr>
            </w:pPr>
            <w:r w:rsidRPr="008561F1">
              <w:rPr>
                <w:rFonts w:ascii="Arial" w:hAnsi="Arial" w:cs="Arial"/>
                <w:sz w:val="18"/>
                <w:szCs w:val="18"/>
              </w:rPr>
              <w:t>Geelong West Kindergarten Inc</w:t>
            </w:r>
          </w:p>
        </w:tc>
        <w:tc>
          <w:tcPr>
            <w:tcW w:w="3969" w:type="dxa"/>
            <w:noWrap/>
          </w:tcPr>
          <w:p w14:paraId="1B5D76DC" w14:textId="77777777" w:rsidR="00254D1D" w:rsidRPr="00066C9A" w:rsidRDefault="00254D1D">
            <w:pPr>
              <w:rPr>
                <w:sz w:val="18"/>
                <w:szCs w:val="18"/>
              </w:rPr>
            </w:pPr>
            <w:r w:rsidRPr="00D87522">
              <w:rPr>
                <w:sz w:val="18"/>
                <w:szCs w:val="18"/>
              </w:rPr>
              <w:t>CCCEA RD3 Energy Efficiency Upgrades - Geelong West Kindergarten Inc</w:t>
            </w:r>
          </w:p>
        </w:tc>
        <w:tc>
          <w:tcPr>
            <w:tcW w:w="1589" w:type="dxa"/>
            <w:noWrap/>
          </w:tcPr>
          <w:p w14:paraId="6BA58B45" w14:textId="77777777" w:rsidR="00254D1D" w:rsidRDefault="00254D1D">
            <w:pPr>
              <w:rPr>
                <w:sz w:val="18"/>
                <w:szCs w:val="18"/>
              </w:rPr>
            </w:pPr>
            <w:r>
              <w:rPr>
                <w:sz w:val="18"/>
                <w:szCs w:val="18"/>
              </w:rPr>
              <w:t>$3,374</w:t>
            </w:r>
          </w:p>
        </w:tc>
      </w:tr>
      <w:tr w:rsidR="00254D1D" w:rsidRPr="0012521E" w14:paraId="751FE94C" w14:textId="77777777">
        <w:tc>
          <w:tcPr>
            <w:tcW w:w="3397" w:type="dxa"/>
            <w:noWrap/>
          </w:tcPr>
          <w:p w14:paraId="5738134D" w14:textId="77777777" w:rsidR="00254D1D" w:rsidRPr="00AC1895" w:rsidRDefault="00254D1D">
            <w:pPr>
              <w:pStyle w:val="TableText"/>
              <w:rPr>
                <w:rFonts w:ascii="Arial" w:hAnsi="Arial" w:cs="Arial"/>
                <w:sz w:val="18"/>
                <w:szCs w:val="18"/>
              </w:rPr>
            </w:pPr>
            <w:r>
              <w:rPr>
                <w:rFonts w:ascii="Arial" w:hAnsi="Arial" w:cs="Arial"/>
                <w:sz w:val="18"/>
                <w:szCs w:val="18"/>
              </w:rPr>
              <w:t>Gekko Systems Pty Ltd</w:t>
            </w:r>
          </w:p>
        </w:tc>
        <w:tc>
          <w:tcPr>
            <w:tcW w:w="3969" w:type="dxa"/>
            <w:noWrap/>
          </w:tcPr>
          <w:p w14:paraId="1D494F89" w14:textId="77777777" w:rsidR="00254D1D" w:rsidRPr="00066C9A" w:rsidRDefault="00254D1D">
            <w:pPr>
              <w:rPr>
                <w:sz w:val="18"/>
                <w:szCs w:val="18"/>
              </w:rPr>
            </w:pPr>
            <w:r w:rsidRPr="00765F61">
              <w:rPr>
                <w:sz w:val="18"/>
                <w:szCs w:val="18"/>
              </w:rPr>
              <w:t>Central Highlands Bioenergy Hub - Feasibility Study</w:t>
            </w:r>
          </w:p>
        </w:tc>
        <w:tc>
          <w:tcPr>
            <w:tcW w:w="1589" w:type="dxa"/>
            <w:noWrap/>
          </w:tcPr>
          <w:p w14:paraId="207CF717" w14:textId="77777777" w:rsidR="00254D1D" w:rsidRDefault="00254D1D">
            <w:pPr>
              <w:rPr>
                <w:sz w:val="18"/>
                <w:szCs w:val="18"/>
              </w:rPr>
            </w:pPr>
            <w:r>
              <w:rPr>
                <w:sz w:val="18"/>
                <w:szCs w:val="18"/>
              </w:rPr>
              <w:t>$5,000</w:t>
            </w:r>
          </w:p>
        </w:tc>
      </w:tr>
      <w:tr w:rsidR="00254D1D" w:rsidRPr="0012521E" w14:paraId="6B360A2D" w14:textId="77777777">
        <w:tc>
          <w:tcPr>
            <w:tcW w:w="3397" w:type="dxa"/>
            <w:noWrap/>
          </w:tcPr>
          <w:p w14:paraId="6445EE6F" w14:textId="77777777" w:rsidR="00254D1D" w:rsidRPr="00AC1895" w:rsidRDefault="00254D1D">
            <w:pPr>
              <w:pStyle w:val="TableText"/>
              <w:rPr>
                <w:rFonts w:ascii="Arial" w:hAnsi="Arial" w:cs="Arial"/>
                <w:sz w:val="18"/>
                <w:szCs w:val="18"/>
              </w:rPr>
            </w:pPr>
            <w:r w:rsidRPr="00073A84">
              <w:rPr>
                <w:rFonts w:ascii="Arial" w:hAnsi="Arial" w:cs="Arial"/>
                <w:sz w:val="18"/>
                <w:szCs w:val="18"/>
              </w:rPr>
              <w:t>Glen Eira City Council</w:t>
            </w:r>
          </w:p>
        </w:tc>
        <w:tc>
          <w:tcPr>
            <w:tcW w:w="3969" w:type="dxa"/>
            <w:noWrap/>
          </w:tcPr>
          <w:p w14:paraId="69D912D4" w14:textId="77777777" w:rsidR="00254D1D" w:rsidRPr="00066C9A" w:rsidRDefault="00254D1D">
            <w:pPr>
              <w:rPr>
                <w:sz w:val="18"/>
                <w:szCs w:val="18"/>
              </w:rPr>
            </w:pPr>
            <w:r w:rsidRPr="00073A84">
              <w:rPr>
                <w:sz w:val="18"/>
                <w:szCs w:val="18"/>
              </w:rPr>
              <w:t>Glen Eira's 'Create Compost' Education Initiative – Household Education</w:t>
            </w:r>
          </w:p>
        </w:tc>
        <w:tc>
          <w:tcPr>
            <w:tcW w:w="1589" w:type="dxa"/>
            <w:noWrap/>
          </w:tcPr>
          <w:p w14:paraId="47B44E8B" w14:textId="77777777" w:rsidR="00254D1D" w:rsidRDefault="00254D1D">
            <w:pPr>
              <w:rPr>
                <w:sz w:val="18"/>
                <w:szCs w:val="18"/>
              </w:rPr>
            </w:pPr>
            <w:r w:rsidRPr="00073A84">
              <w:rPr>
                <w:sz w:val="18"/>
                <w:szCs w:val="18"/>
              </w:rPr>
              <w:t>$47,500</w:t>
            </w:r>
          </w:p>
        </w:tc>
      </w:tr>
      <w:tr w:rsidR="00254D1D" w:rsidRPr="0012521E" w14:paraId="2DEE11B1" w14:textId="77777777">
        <w:tc>
          <w:tcPr>
            <w:tcW w:w="3397" w:type="dxa"/>
            <w:noWrap/>
          </w:tcPr>
          <w:p w14:paraId="13315ED4" w14:textId="77777777" w:rsidR="00254D1D" w:rsidRPr="00AC1895" w:rsidRDefault="00254D1D">
            <w:pPr>
              <w:pStyle w:val="TableText"/>
              <w:rPr>
                <w:rFonts w:ascii="Arial" w:hAnsi="Arial" w:cs="Arial"/>
                <w:sz w:val="18"/>
                <w:szCs w:val="18"/>
              </w:rPr>
            </w:pPr>
            <w:r w:rsidRPr="006966FB">
              <w:rPr>
                <w:rFonts w:ascii="Arial" w:hAnsi="Arial" w:cs="Arial"/>
                <w:sz w:val="18"/>
                <w:szCs w:val="18"/>
              </w:rPr>
              <w:t>Glen Eira City Council</w:t>
            </w:r>
          </w:p>
        </w:tc>
        <w:tc>
          <w:tcPr>
            <w:tcW w:w="3969" w:type="dxa"/>
            <w:noWrap/>
          </w:tcPr>
          <w:p w14:paraId="680FB5DE" w14:textId="77777777" w:rsidR="00254D1D" w:rsidRPr="00066C9A" w:rsidRDefault="00254D1D">
            <w:pPr>
              <w:rPr>
                <w:sz w:val="18"/>
                <w:szCs w:val="18"/>
              </w:rPr>
            </w:pPr>
            <w:r w:rsidRPr="00341964">
              <w:rPr>
                <w:sz w:val="18"/>
                <w:szCs w:val="18"/>
              </w:rPr>
              <w:t>CE Councils Implementation Glen Eira Best Practice Reusable Nappy Program</w:t>
            </w:r>
          </w:p>
        </w:tc>
        <w:tc>
          <w:tcPr>
            <w:tcW w:w="1589" w:type="dxa"/>
            <w:noWrap/>
          </w:tcPr>
          <w:p w14:paraId="3DC0F119" w14:textId="77777777" w:rsidR="00254D1D" w:rsidRDefault="00254D1D">
            <w:pPr>
              <w:rPr>
                <w:sz w:val="18"/>
                <w:szCs w:val="18"/>
              </w:rPr>
            </w:pPr>
            <w:r>
              <w:rPr>
                <w:sz w:val="18"/>
                <w:szCs w:val="18"/>
              </w:rPr>
              <w:t>$68,000</w:t>
            </w:r>
          </w:p>
        </w:tc>
      </w:tr>
      <w:tr w:rsidR="00254D1D" w:rsidRPr="0012521E" w14:paraId="46E012BE" w14:textId="77777777">
        <w:tc>
          <w:tcPr>
            <w:tcW w:w="3397" w:type="dxa"/>
            <w:noWrap/>
          </w:tcPr>
          <w:p w14:paraId="21298354" w14:textId="77777777" w:rsidR="00254D1D" w:rsidRPr="00AC1895" w:rsidRDefault="00254D1D">
            <w:pPr>
              <w:pStyle w:val="TableText"/>
              <w:rPr>
                <w:rFonts w:ascii="Arial" w:hAnsi="Arial" w:cs="Arial"/>
                <w:sz w:val="18"/>
                <w:szCs w:val="18"/>
              </w:rPr>
            </w:pPr>
            <w:r w:rsidRPr="006966FB">
              <w:rPr>
                <w:rFonts w:ascii="Arial" w:hAnsi="Arial" w:cs="Arial"/>
                <w:sz w:val="18"/>
                <w:szCs w:val="18"/>
              </w:rPr>
              <w:t>Glen Eira City Council</w:t>
            </w:r>
          </w:p>
        </w:tc>
        <w:tc>
          <w:tcPr>
            <w:tcW w:w="3969" w:type="dxa"/>
            <w:noWrap/>
          </w:tcPr>
          <w:p w14:paraId="509FE0B1" w14:textId="77777777" w:rsidR="00254D1D" w:rsidRPr="00066C9A" w:rsidRDefault="00254D1D">
            <w:pPr>
              <w:rPr>
                <w:sz w:val="18"/>
                <w:szCs w:val="18"/>
              </w:rPr>
            </w:pPr>
            <w:r w:rsidRPr="00E50652">
              <w:rPr>
                <w:sz w:val="18"/>
                <w:szCs w:val="18"/>
              </w:rPr>
              <w:t>CCCEA RD2 Energy Efficiency Upgrades - Glen Eira City Council</w:t>
            </w:r>
          </w:p>
        </w:tc>
        <w:tc>
          <w:tcPr>
            <w:tcW w:w="1589" w:type="dxa"/>
            <w:noWrap/>
          </w:tcPr>
          <w:p w14:paraId="207BC277" w14:textId="77777777" w:rsidR="00254D1D" w:rsidRDefault="00254D1D">
            <w:pPr>
              <w:rPr>
                <w:sz w:val="18"/>
                <w:szCs w:val="18"/>
              </w:rPr>
            </w:pPr>
            <w:r>
              <w:rPr>
                <w:sz w:val="18"/>
                <w:szCs w:val="18"/>
              </w:rPr>
              <w:t>$10,624</w:t>
            </w:r>
          </w:p>
        </w:tc>
      </w:tr>
      <w:tr w:rsidR="00254D1D" w:rsidRPr="0012521E" w14:paraId="51E1606F" w14:textId="77777777">
        <w:tc>
          <w:tcPr>
            <w:tcW w:w="3397" w:type="dxa"/>
            <w:noWrap/>
          </w:tcPr>
          <w:p w14:paraId="1D3BCFC1" w14:textId="77777777" w:rsidR="00254D1D" w:rsidRPr="00AC1895" w:rsidRDefault="00254D1D">
            <w:pPr>
              <w:pStyle w:val="TableText"/>
              <w:rPr>
                <w:rFonts w:ascii="Arial" w:hAnsi="Arial" w:cs="Arial"/>
                <w:sz w:val="18"/>
                <w:szCs w:val="18"/>
              </w:rPr>
            </w:pPr>
            <w:r w:rsidRPr="001B0323">
              <w:rPr>
                <w:rFonts w:ascii="Arial" w:hAnsi="Arial" w:cs="Arial"/>
                <w:sz w:val="18"/>
                <w:szCs w:val="18"/>
              </w:rPr>
              <w:t>Golden Camel Mining Pty Ltd</w:t>
            </w:r>
          </w:p>
        </w:tc>
        <w:tc>
          <w:tcPr>
            <w:tcW w:w="3969" w:type="dxa"/>
            <w:noWrap/>
          </w:tcPr>
          <w:p w14:paraId="1A9DD297" w14:textId="77777777" w:rsidR="00254D1D" w:rsidRPr="00066C9A" w:rsidRDefault="00254D1D">
            <w:pPr>
              <w:rPr>
                <w:sz w:val="18"/>
                <w:szCs w:val="18"/>
              </w:rPr>
            </w:pPr>
            <w:r w:rsidRPr="007F10FA">
              <w:rPr>
                <w:sz w:val="18"/>
                <w:szCs w:val="18"/>
              </w:rPr>
              <w:t>Nagambie Biogas Project</w:t>
            </w:r>
          </w:p>
        </w:tc>
        <w:tc>
          <w:tcPr>
            <w:tcW w:w="1589" w:type="dxa"/>
            <w:noWrap/>
          </w:tcPr>
          <w:p w14:paraId="33A4BC87" w14:textId="77777777" w:rsidR="00254D1D" w:rsidRDefault="00254D1D">
            <w:pPr>
              <w:rPr>
                <w:sz w:val="18"/>
                <w:szCs w:val="18"/>
              </w:rPr>
            </w:pPr>
            <w:r w:rsidRPr="65E029B8">
              <w:rPr>
                <w:sz w:val="18"/>
                <w:szCs w:val="18"/>
              </w:rPr>
              <w:t>$</w:t>
            </w:r>
            <w:r w:rsidRPr="00C95AB5">
              <w:rPr>
                <w:sz w:val="18"/>
                <w:szCs w:val="18"/>
              </w:rPr>
              <w:t>25,000</w:t>
            </w:r>
          </w:p>
        </w:tc>
      </w:tr>
      <w:tr w:rsidR="00254D1D" w:rsidRPr="0012521E" w14:paraId="3CCA48FE" w14:textId="77777777">
        <w:tc>
          <w:tcPr>
            <w:tcW w:w="3397" w:type="dxa"/>
            <w:noWrap/>
          </w:tcPr>
          <w:p w14:paraId="4E3D508C" w14:textId="77777777" w:rsidR="00254D1D" w:rsidRPr="00AC1895" w:rsidRDefault="00254D1D">
            <w:pPr>
              <w:pStyle w:val="TableText"/>
              <w:rPr>
                <w:rFonts w:ascii="Arial" w:hAnsi="Arial" w:cs="Arial"/>
                <w:sz w:val="18"/>
                <w:szCs w:val="18"/>
              </w:rPr>
            </w:pPr>
            <w:r w:rsidRPr="00F67DAD">
              <w:rPr>
                <w:rFonts w:ascii="Arial" w:hAnsi="Arial" w:cs="Arial"/>
                <w:sz w:val="18"/>
                <w:szCs w:val="18"/>
              </w:rPr>
              <w:t>Golden Plains Shire Council</w:t>
            </w:r>
          </w:p>
        </w:tc>
        <w:tc>
          <w:tcPr>
            <w:tcW w:w="3969" w:type="dxa"/>
            <w:noWrap/>
          </w:tcPr>
          <w:p w14:paraId="2147FCFA" w14:textId="77777777" w:rsidR="00254D1D" w:rsidRPr="00066C9A" w:rsidRDefault="00254D1D">
            <w:pPr>
              <w:rPr>
                <w:sz w:val="18"/>
                <w:szCs w:val="18"/>
              </w:rPr>
            </w:pPr>
            <w:r w:rsidRPr="00F67DAD">
              <w:rPr>
                <w:sz w:val="18"/>
                <w:szCs w:val="18"/>
              </w:rPr>
              <w:t>Golden Plains Shire new 4-</w:t>
            </w:r>
            <w:r>
              <w:rPr>
                <w:sz w:val="18"/>
                <w:szCs w:val="18"/>
              </w:rPr>
              <w:t>S</w:t>
            </w:r>
            <w:r w:rsidRPr="00F67DAD">
              <w:rPr>
                <w:sz w:val="18"/>
                <w:szCs w:val="18"/>
              </w:rPr>
              <w:t>tream Recycling Service – Household Education</w:t>
            </w:r>
          </w:p>
        </w:tc>
        <w:tc>
          <w:tcPr>
            <w:tcW w:w="1589" w:type="dxa"/>
            <w:noWrap/>
          </w:tcPr>
          <w:p w14:paraId="61C0CECC" w14:textId="77777777" w:rsidR="00254D1D" w:rsidRDefault="00254D1D">
            <w:pPr>
              <w:rPr>
                <w:sz w:val="18"/>
                <w:szCs w:val="18"/>
              </w:rPr>
            </w:pPr>
            <w:r w:rsidRPr="00F67DAD">
              <w:rPr>
                <w:sz w:val="18"/>
                <w:szCs w:val="18"/>
              </w:rPr>
              <w:t>$28,988</w:t>
            </w:r>
          </w:p>
        </w:tc>
      </w:tr>
      <w:tr w:rsidR="00254D1D" w:rsidRPr="0012521E" w14:paraId="10EBFFC6" w14:textId="77777777">
        <w:tc>
          <w:tcPr>
            <w:tcW w:w="3397" w:type="dxa"/>
            <w:noWrap/>
          </w:tcPr>
          <w:p w14:paraId="375F0CCB" w14:textId="77777777" w:rsidR="00254D1D" w:rsidRPr="00AC1895" w:rsidRDefault="00254D1D">
            <w:pPr>
              <w:pStyle w:val="TableText"/>
              <w:rPr>
                <w:rFonts w:ascii="Arial" w:hAnsi="Arial" w:cs="Arial"/>
                <w:sz w:val="18"/>
                <w:szCs w:val="18"/>
              </w:rPr>
            </w:pPr>
            <w:r w:rsidRPr="00294041">
              <w:rPr>
                <w:rFonts w:ascii="Arial" w:hAnsi="Arial" w:cs="Arial"/>
                <w:sz w:val="18"/>
                <w:szCs w:val="18"/>
              </w:rPr>
              <w:t>Goulburn Valley Water</w:t>
            </w:r>
          </w:p>
        </w:tc>
        <w:tc>
          <w:tcPr>
            <w:tcW w:w="3969" w:type="dxa"/>
            <w:noWrap/>
          </w:tcPr>
          <w:p w14:paraId="547A9D63" w14:textId="77777777" w:rsidR="00254D1D" w:rsidRPr="00066C9A" w:rsidRDefault="00254D1D">
            <w:pPr>
              <w:rPr>
                <w:sz w:val="18"/>
                <w:szCs w:val="18"/>
              </w:rPr>
            </w:pPr>
            <w:r w:rsidRPr="00B44C19">
              <w:rPr>
                <w:sz w:val="18"/>
                <w:szCs w:val="18"/>
              </w:rPr>
              <w:t>Project GREAT (Green Energy and Technology) for Goulburn Valley</w:t>
            </w:r>
          </w:p>
        </w:tc>
        <w:tc>
          <w:tcPr>
            <w:tcW w:w="1589" w:type="dxa"/>
            <w:noWrap/>
          </w:tcPr>
          <w:p w14:paraId="7EF4D067" w14:textId="77777777" w:rsidR="00254D1D" w:rsidRDefault="00254D1D">
            <w:pPr>
              <w:rPr>
                <w:sz w:val="18"/>
                <w:szCs w:val="18"/>
              </w:rPr>
            </w:pPr>
            <w:r>
              <w:rPr>
                <w:sz w:val="18"/>
                <w:szCs w:val="18"/>
              </w:rPr>
              <w:t>$5,000</w:t>
            </w:r>
          </w:p>
        </w:tc>
      </w:tr>
      <w:tr w:rsidR="00254D1D" w:rsidRPr="0012521E" w14:paraId="20C6F773" w14:textId="77777777">
        <w:tc>
          <w:tcPr>
            <w:tcW w:w="3397" w:type="dxa"/>
            <w:noWrap/>
          </w:tcPr>
          <w:p w14:paraId="48C00840" w14:textId="77777777" w:rsidR="00254D1D" w:rsidRPr="00A6499D" w:rsidRDefault="00254D1D">
            <w:pPr>
              <w:pStyle w:val="TableText"/>
              <w:rPr>
                <w:rFonts w:ascii="Arial" w:hAnsi="Arial" w:cs="Arial"/>
                <w:sz w:val="18"/>
                <w:szCs w:val="18"/>
              </w:rPr>
            </w:pPr>
            <w:r w:rsidRPr="00A6499D">
              <w:rPr>
                <w:rFonts w:ascii="Arial" w:hAnsi="Arial" w:cs="Arial"/>
                <w:sz w:val="18"/>
                <w:szCs w:val="18"/>
              </w:rPr>
              <w:t>Grand Constructions (VIC) Pty Ltd</w:t>
            </w:r>
          </w:p>
        </w:tc>
        <w:tc>
          <w:tcPr>
            <w:tcW w:w="3969" w:type="dxa"/>
            <w:noWrap/>
          </w:tcPr>
          <w:p w14:paraId="0A09575F" w14:textId="77777777" w:rsidR="00254D1D" w:rsidRPr="00A6499D" w:rsidRDefault="00254D1D">
            <w:pPr>
              <w:rPr>
                <w:sz w:val="18"/>
                <w:szCs w:val="18"/>
              </w:rPr>
            </w:pPr>
            <w:r w:rsidRPr="00A6499D">
              <w:rPr>
                <w:sz w:val="18"/>
                <w:szCs w:val="18"/>
              </w:rPr>
              <w:t>7 Star Program</w:t>
            </w:r>
          </w:p>
        </w:tc>
        <w:tc>
          <w:tcPr>
            <w:tcW w:w="1589" w:type="dxa"/>
            <w:noWrap/>
          </w:tcPr>
          <w:p w14:paraId="23697C01" w14:textId="77777777" w:rsidR="00254D1D" w:rsidRPr="00A6499D" w:rsidRDefault="00254D1D">
            <w:pPr>
              <w:rPr>
                <w:sz w:val="18"/>
                <w:szCs w:val="18"/>
              </w:rPr>
            </w:pPr>
            <w:r w:rsidRPr="00A6499D">
              <w:rPr>
                <w:sz w:val="18"/>
                <w:szCs w:val="18"/>
              </w:rPr>
              <w:t>$4,000*</w:t>
            </w:r>
          </w:p>
        </w:tc>
      </w:tr>
      <w:tr w:rsidR="00254D1D" w:rsidRPr="0012521E" w14:paraId="4D3527F0" w14:textId="77777777">
        <w:tc>
          <w:tcPr>
            <w:tcW w:w="3397" w:type="dxa"/>
            <w:noWrap/>
          </w:tcPr>
          <w:p w14:paraId="0C0FBC64" w14:textId="77777777" w:rsidR="00254D1D" w:rsidRPr="00B460A5" w:rsidRDefault="00254D1D">
            <w:pPr>
              <w:pStyle w:val="TableText"/>
              <w:rPr>
                <w:rFonts w:ascii="Arial" w:hAnsi="Arial" w:cs="Arial"/>
                <w:sz w:val="18"/>
                <w:szCs w:val="18"/>
              </w:rPr>
            </w:pPr>
            <w:r w:rsidRPr="00B460A5">
              <w:rPr>
                <w:rFonts w:ascii="Arial" w:hAnsi="Arial" w:cs="Arial"/>
                <w:sz w:val="18"/>
                <w:szCs w:val="18"/>
              </w:rPr>
              <w:t>Greater Shepparton City Co</w:t>
            </w:r>
            <w:r w:rsidRPr="00B460A5">
              <w:rPr>
                <w:rFonts w:ascii="Calibri" w:eastAsia="Calibri" w:hAnsi="Calibri" w:cs="Calibri"/>
                <w:bCs w:val="0"/>
                <w:sz w:val="19"/>
                <w:szCs w:val="19"/>
              </w:rPr>
              <w:t xml:space="preserve">uncil </w:t>
            </w:r>
          </w:p>
        </w:tc>
        <w:tc>
          <w:tcPr>
            <w:tcW w:w="3969" w:type="dxa"/>
            <w:noWrap/>
          </w:tcPr>
          <w:p w14:paraId="52BAF1FD" w14:textId="77777777" w:rsidR="00254D1D" w:rsidRPr="00B460A5" w:rsidRDefault="00254D1D">
            <w:pPr>
              <w:rPr>
                <w:sz w:val="18"/>
                <w:szCs w:val="18"/>
              </w:rPr>
            </w:pPr>
            <w:r w:rsidRPr="00B460A5">
              <w:rPr>
                <w:sz w:val="18"/>
                <w:szCs w:val="18"/>
              </w:rPr>
              <w:t>Pilot Asbestos Disposal Point Shepparton</w:t>
            </w:r>
          </w:p>
        </w:tc>
        <w:tc>
          <w:tcPr>
            <w:tcW w:w="1589" w:type="dxa"/>
            <w:noWrap/>
          </w:tcPr>
          <w:p w14:paraId="68E25073" w14:textId="77777777" w:rsidR="00254D1D" w:rsidRPr="00B460A5" w:rsidRDefault="00254D1D">
            <w:pPr>
              <w:rPr>
                <w:sz w:val="18"/>
                <w:szCs w:val="18"/>
              </w:rPr>
            </w:pPr>
            <w:r w:rsidRPr="00B460A5">
              <w:rPr>
                <w:sz w:val="18"/>
                <w:szCs w:val="18"/>
              </w:rPr>
              <w:t>$20,000</w:t>
            </w:r>
          </w:p>
        </w:tc>
      </w:tr>
      <w:tr w:rsidR="00254D1D" w:rsidRPr="0012521E" w14:paraId="2B14AB21" w14:textId="77777777">
        <w:tc>
          <w:tcPr>
            <w:tcW w:w="3397" w:type="dxa"/>
            <w:noWrap/>
          </w:tcPr>
          <w:p w14:paraId="0B4A0C11" w14:textId="77777777" w:rsidR="00254D1D" w:rsidRPr="00AC1895" w:rsidRDefault="00254D1D">
            <w:pPr>
              <w:pStyle w:val="TableText"/>
              <w:rPr>
                <w:rFonts w:ascii="Arial" w:hAnsi="Arial" w:cs="Arial"/>
                <w:sz w:val="18"/>
                <w:szCs w:val="18"/>
              </w:rPr>
            </w:pPr>
            <w:r w:rsidRPr="00132A9F">
              <w:rPr>
                <w:rFonts w:ascii="Arial" w:hAnsi="Arial" w:cs="Arial"/>
                <w:sz w:val="18"/>
                <w:szCs w:val="18"/>
              </w:rPr>
              <w:t>Greater Shepparton City Council</w:t>
            </w:r>
          </w:p>
        </w:tc>
        <w:tc>
          <w:tcPr>
            <w:tcW w:w="3969" w:type="dxa"/>
            <w:noWrap/>
          </w:tcPr>
          <w:p w14:paraId="32BD8E8A" w14:textId="77777777" w:rsidR="00254D1D" w:rsidRPr="00066C9A" w:rsidRDefault="00254D1D">
            <w:pPr>
              <w:rPr>
                <w:sz w:val="18"/>
                <w:szCs w:val="18"/>
              </w:rPr>
            </w:pPr>
            <w:r w:rsidRPr="007F346F">
              <w:rPr>
                <w:sz w:val="18"/>
                <w:szCs w:val="18"/>
              </w:rPr>
              <w:t>CCCEA RD3 Energy Efficiency Upgrades - Greater Shepparton City Council</w:t>
            </w:r>
          </w:p>
        </w:tc>
        <w:tc>
          <w:tcPr>
            <w:tcW w:w="1589" w:type="dxa"/>
            <w:noWrap/>
          </w:tcPr>
          <w:p w14:paraId="2D121DF9" w14:textId="77777777" w:rsidR="00254D1D" w:rsidRDefault="00254D1D">
            <w:pPr>
              <w:rPr>
                <w:sz w:val="18"/>
                <w:szCs w:val="18"/>
              </w:rPr>
            </w:pPr>
            <w:r>
              <w:rPr>
                <w:sz w:val="18"/>
                <w:szCs w:val="18"/>
              </w:rPr>
              <w:t>$51,778</w:t>
            </w:r>
          </w:p>
        </w:tc>
      </w:tr>
      <w:tr w:rsidR="00254D1D" w:rsidRPr="0012521E" w14:paraId="7D629085" w14:textId="77777777">
        <w:tc>
          <w:tcPr>
            <w:tcW w:w="3397" w:type="dxa"/>
            <w:noWrap/>
          </w:tcPr>
          <w:p w14:paraId="52F5EA60" w14:textId="77777777" w:rsidR="00254D1D" w:rsidRPr="00AC1895" w:rsidRDefault="00254D1D">
            <w:pPr>
              <w:pStyle w:val="TableText"/>
              <w:rPr>
                <w:rFonts w:ascii="Arial" w:hAnsi="Arial" w:cs="Arial"/>
                <w:sz w:val="18"/>
                <w:szCs w:val="18"/>
              </w:rPr>
            </w:pPr>
            <w:r w:rsidRPr="005D02EA">
              <w:rPr>
                <w:rFonts w:ascii="Arial" w:hAnsi="Arial" w:cs="Arial"/>
                <w:sz w:val="18"/>
                <w:szCs w:val="18"/>
              </w:rPr>
              <w:t>Green Collect Limited</w:t>
            </w:r>
          </w:p>
        </w:tc>
        <w:tc>
          <w:tcPr>
            <w:tcW w:w="3969" w:type="dxa"/>
            <w:noWrap/>
          </w:tcPr>
          <w:p w14:paraId="3F2D5977" w14:textId="77777777" w:rsidR="00254D1D" w:rsidRPr="00066C9A" w:rsidRDefault="00254D1D">
            <w:pPr>
              <w:rPr>
                <w:sz w:val="18"/>
                <w:szCs w:val="18"/>
              </w:rPr>
            </w:pPr>
            <w:r w:rsidRPr="004D4315">
              <w:rPr>
                <w:sz w:val="18"/>
                <w:szCs w:val="18"/>
              </w:rPr>
              <w:t>Piloting the Circular Capabilities Package</w:t>
            </w:r>
          </w:p>
        </w:tc>
        <w:tc>
          <w:tcPr>
            <w:tcW w:w="1589" w:type="dxa"/>
            <w:noWrap/>
          </w:tcPr>
          <w:p w14:paraId="49CDF5FC" w14:textId="77777777" w:rsidR="00254D1D" w:rsidRDefault="00254D1D">
            <w:pPr>
              <w:rPr>
                <w:sz w:val="18"/>
                <w:szCs w:val="18"/>
                <w:highlight w:val="yellow"/>
              </w:rPr>
            </w:pPr>
            <w:r w:rsidRPr="007F1B38">
              <w:rPr>
                <w:sz w:val="18"/>
                <w:szCs w:val="18"/>
              </w:rPr>
              <w:t>$173,166</w:t>
            </w:r>
          </w:p>
        </w:tc>
      </w:tr>
      <w:tr w:rsidR="00254D1D" w:rsidRPr="0012521E" w14:paraId="157C3927" w14:textId="77777777">
        <w:tc>
          <w:tcPr>
            <w:tcW w:w="3397" w:type="dxa"/>
            <w:noWrap/>
          </w:tcPr>
          <w:p w14:paraId="494F4590" w14:textId="77777777" w:rsidR="00254D1D" w:rsidRPr="00AC1895" w:rsidRDefault="00254D1D">
            <w:pPr>
              <w:pStyle w:val="TableText"/>
              <w:rPr>
                <w:rFonts w:ascii="Arial" w:hAnsi="Arial" w:cs="Arial"/>
                <w:sz w:val="18"/>
                <w:szCs w:val="18"/>
              </w:rPr>
            </w:pPr>
            <w:r>
              <w:rPr>
                <w:rFonts w:ascii="Arial" w:hAnsi="Arial" w:cs="Arial"/>
                <w:sz w:val="18"/>
                <w:szCs w:val="18"/>
              </w:rPr>
              <w:t>Green Chip Recycling</w:t>
            </w:r>
          </w:p>
        </w:tc>
        <w:tc>
          <w:tcPr>
            <w:tcW w:w="3969" w:type="dxa"/>
            <w:noWrap/>
          </w:tcPr>
          <w:p w14:paraId="012C79E9" w14:textId="77777777" w:rsidR="00254D1D" w:rsidRPr="00066C9A" w:rsidRDefault="00254D1D">
            <w:pPr>
              <w:rPr>
                <w:sz w:val="18"/>
                <w:szCs w:val="18"/>
              </w:rPr>
            </w:pPr>
            <w:r w:rsidRPr="00396E55">
              <w:rPr>
                <w:sz w:val="18"/>
                <w:szCs w:val="18"/>
              </w:rPr>
              <w:t>Carbon Pellet Soil Improver Project</w:t>
            </w:r>
          </w:p>
        </w:tc>
        <w:tc>
          <w:tcPr>
            <w:tcW w:w="1589" w:type="dxa"/>
            <w:noWrap/>
          </w:tcPr>
          <w:p w14:paraId="224D95E5" w14:textId="77777777" w:rsidR="00254D1D" w:rsidRDefault="00254D1D">
            <w:pPr>
              <w:rPr>
                <w:sz w:val="18"/>
                <w:szCs w:val="18"/>
              </w:rPr>
            </w:pPr>
            <w:r>
              <w:rPr>
                <w:sz w:val="18"/>
                <w:szCs w:val="18"/>
              </w:rPr>
              <w:t>$</w:t>
            </w:r>
            <w:r w:rsidRPr="00A41F80">
              <w:rPr>
                <w:sz w:val="18"/>
                <w:szCs w:val="18"/>
              </w:rPr>
              <w:t>89,600</w:t>
            </w:r>
          </w:p>
        </w:tc>
      </w:tr>
      <w:tr w:rsidR="00254D1D" w14:paraId="26551F4E" w14:textId="77777777">
        <w:trPr>
          <w:trHeight w:val="300"/>
        </w:trPr>
        <w:tc>
          <w:tcPr>
            <w:tcW w:w="3397" w:type="dxa"/>
            <w:noWrap/>
          </w:tcPr>
          <w:p w14:paraId="59A94CAB" w14:textId="77777777" w:rsidR="00254D1D" w:rsidRPr="00CD6917" w:rsidRDefault="00254D1D">
            <w:pPr>
              <w:pStyle w:val="TableText"/>
            </w:pPr>
            <w:r w:rsidRPr="00CD6917">
              <w:rPr>
                <w:rFonts w:ascii="Arial" w:hAnsi="Arial" w:cs="Arial"/>
                <w:sz w:val="18"/>
                <w:szCs w:val="18"/>
              </w:rPr>
              <w:t>G T Recycling Pty Ltd</w:t>
            </w:r>
          </w:p>
        </w:tc>
        <w:tc>
          <w:tcPr>
            <w:tcW w:w="3969" w:type="dxa"/>
            <w:noWrap/>
          </w:tcPr>
          <w:p w14:paraId="4EEF26DB" w14:textId="77777777" w:rsidR="00254D1D" w:rsidRPr="00CD6917" w:rsidRDefault="00254D1D">
            <w:pPr>
              <w:rPr>
                <w:sz w:val="18"/>
                <w:szCs w:val="18"/>
              </w:rPr>
            </w:pPr>
            <w:r w:rsidRPr="00CD6917">
              <w:rPr>
                <w:sz w:val="18"/>
                <w:szCs w:val="18"/>
              </w:rPr>
              <w:t>Flexible Plastic Capacity and Technology Upgrade</w:t>
            </w:r>
          </w:p>
        </w:tc>
        <w:tc>
          <w:tcPr>
            <w:tcW w:w="1589" w:type="dxa"/>
            <w:noWrap/>
          </w:tcPr>
          <w:p w14:paraId="47B282EA" w14:textId="77777777" w:rsidR="00254D1D" w:rsidRPr="00CD6917" w:rsidRDefault="00254D1D">
            <w:pPr>
              <w:rPr>
                <w:sz w:val="18"/>
                <w:szCs w:val="18"/>
              </w:rPr>
            </w:pPr>
            <w:r w:rsidRPr="00CD6917">
              <w:rPr>
                <w:sz w:val="18"/>
                <w:szCs w:val="18"/>
              </w:rPr>
              <w:t>$1,260,000</w:t>
            </w:r>
          </w:p>
        </w:tc>
      </w:tr>
      <w:tr w:rsidR="00254D1D" w:rsidRPr="0012521E" w14:paraId="22CC718E" w14:textId="77777777">
        <w:tc>
          <w:tcPr>
            <w:tcW w:w="3397" w:type="dxa"/>
            <w:noWrap/>
          </w:tcPr>
          <w:p w14:paraId="2A9EB413" w14:textId="77777777" w:rsidR="00254D1D" w:rsidRPr="00AC1895" w:rsidRDefault="00254D1D">
            <w:pPr>
              <w:pStyle w:val="TableText"/>
              <w:rPr>
                <w:rFonts w:ascii="Arial" w:hAnsi="Arial" w:cs="Arial"/>
                <w:sz w:val="18"/>
                <w:szCs w:val="18"/>
              </w:rPr>
            </w:pPr>
            <w:r>
              <w:rPr>
                <w:rFonts w:ascii="Arial" w:hAnsi="Arial" w:cs="Arial"/>
                <w:sz w:val="18"/>
                <w:szCs w:val="18"/>
              </w:rPr>
              <w:t xml:space="preserve">Healesville Community Renewable Energy Inc (Healesville </w:t>
            </w:r>
            <w:proofErr w:type="spellStart"/>
            <w:r>
              <w:rPr>
                <w:rFonts w:ascii="Arial" w:hAnsi="Arial" w:cs="Arial"/>
                <w:sz w:val="18"/>
                <w:szCs w:val="18"/>
              </w:rPr>
              <w:t>CoRE</w:t>
            </w:r>
            <w:proofErr w:type="spellEnd"/>
            <w:r>
              <w:rPr>
                <w:rFonts w:ascii="Arial" w:hAnsi="Arial" w:cs="Arial"/>
                <w:sz w:val="18"/>
                <w:szCs w:val="18"/>
              </w:rPr>
              <w:t>)</w:t>
            </w:r>
          </w:p>
        </w:tc>
        <w:tc>
          <w:tcPr>
            <w:tcW w:w="3969" w:type="dxa"/>
            <w:noWrap/>
          </w:tcPr>
          <w:p w14:paraId="256F1458" w14:textId="77777777" w:rsidR="00254D1D" w:rsidRPr="00066C9A" w:rsidRDefault="00254D1D">
            <w:pPr>
              <w:rPr>
                <w:sz w:val="18"/>
                <w:szCs w:val="18"/>
              </w:rPr>
            </w:pPr>
            <w:r w:rsidRPr="002541EC">
              <w:rPr>
                <w:sz w:val="18"/>
                <w:szCs w:val="18"/>
              </w:rPr>
              <w:t xml:space="preserve">Community Clean Energy Education </w:t>
            </w:r>
            <w:r>
              <w:rPr>
                <w:sz w:val="18"/>
                <w:szCs w:val="18"/>
              </w:rPr>
              <w:t>a</w:t>
            </w:r>
            <w:r w:rsidRPr="002541EC">
              <w:rPr>
                <w:sz w:val="18"/>
                <w:szCs w:val="18"/>
              </w:rPr>
              <w:t>nd Home Energy Improvements</w:t>
            </w:r>
          </w:p>
        </w:tc>
        <w:tc>
          <w:tcPr>
            <w:tcW w:w="1589" w:type="dxa"/>
            <w:noWrap/>
          </w:tcPr>
          <w:p w14:paraId="316C4CD6" w14:textId="77777777" w:rsidR="00254D1D" w:rsidRDefault="00254D1D">
            <w:pPr>
              <w:rPr>
                <w:sz w:val="18"/>
                <w:szCs w:val="18"/>
              </w:rPr>
            </w:pPr>
            <w:r>
              <w:rPr>
                <w:sz w:val="18"/>
                <w:szCs w:val="18"/>
              </w:rPr>
              <w:t>$55,000</w:t>
            </w:r>
          </w:p>
        </w:tc>
      </w:tr>
      <w:tr w:rsidR="00254D1D" w:rsidRPr="0012521E" w14:paraId="6C449BDB" w14:textId="77777777">
        <w:tc>
          <w:tcPr>
            <w:tcW w:w="3397" w:type="dxa"/>
            <w:noWrap/>
          </w:tcPr>
          <w:p w14:paraId="182D16D3" w14:textId="77777777" w:rsidR="00254D1D" w:rsidRPr="00AC1895" w:rsidRDefault="00254D1D">
            <w:pPr>
              <w:pStyle w:val="TableText"/>
              <w:rPr>
                <w:rFonts w:ascii="Arial" w:hAnsi="Arial" w:cs="Arial"/>
                <w:sz w:val="18"/>
                <w:szCs w:val="18"/>
              </w:rPr>
            </w:pPr>
            <w:r>
              <w:rPr>
                <w:rFonts w:ascii="Arial" w:hAnsi="Arial" w:cs="Arial"/>
                <w:sz w:val="18"/>
                <w:szCs w:val="18"/>
              </w:rPr>
              <w:t>Heathcote Winegrowers Association Inc</w:t>
            </w:r>
          </w:p>
        </w:tc>
        <w:tc>
          <w:tcPr>
            <w:tcW w:w="3969" w:type="dxa"/>
            <w:noWrap/>
          </w:tcPr>
          <w:p w14:paraId="14D16603" w14:textId="77777777" w:rsidR="00254D1D" w:rsidRPr="00066C9A" w:rsidRDefault="00254D1D">
            <w:pPr>
              <w:rPr>
                <w:sz w:val="18"/>
                <w:szCs w:val="18"/>
              </w:rPr>
            </w:pPr>
            <w:r w:rsidRPr="00CA3773">
              <w:rPr>
                <w:sz w:val="18"/>
                <w:szCs w:val="18"/>
              </w:rPr>
              <w:t xml:space="preserve">Turning Green Waste </w:t>
            </w:r>
            <w:r>
              <w:rPr>
                <w:sz w:val="18"/>
                <w:szCs w:val="18"/>
              </w:rPr>
              <w:t>i</w:t>
            </w:r>
            <w:r w:rsidRPr="00CA3773">
              <w:rPr>
                <w:sz w:val="18"/>
                <w:szCs w:val="18"/>
              </w:rPr>
              <w:t>nto Wine</w:t>
            </w:r>
          </w:p>
        </w:tc>
        <w:tc>
          <w:tcPr>
            <w:tcW w:w="1589" w:type="dxa"/>
            <w:noWrap/>
          </w:tcPr>
          <w:p w14:paraId="40432DE6" w14:textId="77777777" w:rsidR="00254D1D" w:rsidRDefault="00254D1D">
            <w:pPr>
              <w:rPr>
                <w:sz w:val="18"/>
                <w:szCs w:val="18"/>
                <w:highlight w:val="yellow"/>
              </w:rPr>
            </w:pPr>
            <w:r w:rsidRPr="009724E8">
              <w:rPr>
                <w:sz w:val="18"/>
                <w:szCs w:val="18"/>
              </w:rPr>
              <w:t>$198,000</w:t>
            </w:r>
          </w:p>
        </w:tc>
      </w:tr>
      <w:tr w:rsidR="00254D1D" w:rsidRPr="0012521E" w14:paraId="162ED893" w14:textId="77777777">
        <w:tc>
          <w:tcPr>
            <w:tcW w:w="3397" w:type="dxa"/>
            <w:noWrap/>
          </w:tcPr>
          <w:p w14:paraId="1F1C0F74" w14:textId="77777777" w:rsidR="00254D1D" w:rsidRPr="00AC1895" w:rsidRDefault="00254D1D">
            <w:pPr>
              <w:pStyle w:val="TableText"/>
              <w:rPr>
                <w:rFonts w:ascii="Arial" w:hAnsi="Arial" w:cs="Arial"/>
                <w:sz w:val="18"/>
                <w:szCs w:val="18"/>
              </w:rPr>
            </w:pPr>
            <w:r w:rsidRPr="00D916AF">
              <w:rPr>
                <w:rFonts w:ascii="Arial" w:hAnsi="Arial" w:cs="Arial"/>
                <w:sz w:val="18"/>
                <w:szCs w:val="18"/>
              </w:rPr>
              <w:t>Hepburn Shire Council</w:t>
            </w:r>
          </w:p>
        </w:tc>
        <w:tc>
          <w:tcPr>
            <w:tcW w:w="3969" w:type="dxa"/>
            <w:noWrap/>
          </w:tcPr>
          <w:p w14:paraId="1289A864" w14:textId="77777777" w:rsidR="00254D1D" w:rsidRPr="00066C9A" w:rsidRDefault="00254D1D">
            <w:pPr>
              <w:rPr>
                <w:sz w:val="18"/>
                <w:szCs w:val="18"/>
              </w:rPr>
            </w:pPr>
            <w:r w:rsidRPr="00C10F5D">
              <w:rPr>
                <w:sz w:val="18"/>
                <w:szCs w:val="18"/>
              </w:rPr>
              <w:t xml:space="preserve">Hepburn Shire's New Household Food </w:t>
            </w:r>
            <w:r>
              <w:rPr>
                <w:sz w:val="18"/>
                <w:szCs w:val="18"/>
              </w:rPr>
              <w:t>a</w:t>
            </w:r>
            <w:r w:rsidRPr="00C10F5D">
              <w:rPr>
                <w:sz w:val="18"/>
                <w:szCs w:val="18"/>
              </w:rPr>
              <w:t>nd Garden Organics Recycling Service</w:t>
            </w:r>
            <w:r>
              <w:rPr>
                <w:sz w:val="18"/>
                <w:szCs w:val="18"/>
              </w:rPr>
              <w:t xml:space="preserve"> – Household Education</w:t>
            </w:r>
          </w:p>
        </w:tc>
        <w:tc>
          <w:tcPr>
            <w:tcW w:w="1589" w:type="dxa"/>
            <w:noWrap/>
          </w:tcPr>
          <w:p w14:paraId="460DB03C" w14:textId="77777777" w:rsidR="00254D1D" w:rsidRDefault="00254D1D">
            <w:pPr>
              <w:rPr>
                <w:sz w:val="18"/>
                <w:szCs w:val="18"/>
                <w:highlight w:val="yellow"/>
              </w:rPr>
            </w:pPr>
            <w:r w:rsidRPr="0084726F">
              <w:rPr>
                <w:sz w:val="18"/>
                <w:szCs w:val="18"/>
              </w:rPr>
              <w:t>$42,560</w:t>
            </w:r>
          </w:p>
        </w:tc>
      </w:tr>
      <w:tr w:rsidR="00254D1D" w:rsidRPr="0012521E" w14:paraId="3F578BC3" w14:textId="77777777">
        <w:tc>
          <w:tcPr>
            <w:tcW w:w="3397" w:type="dxa"/>
            <w:noWrap/>
          </w:tcPr>
          <w:p w14:paraId="1E372CA9" w14:textId="77777777" w:rsidR="00254D1D" w:rsidRPr="00AC1895" w:rsidRDefault="00254D1D">
            <w:pPr>
              <w:pStyle w:val="TableText"/>
              <w:rPr>
                <w:rFonts w:ascii="Arial" w:hAnsi="Arial" w:cs="Arial"/>
                <w:sz w:val="18"/>
                <w:szCs w:val="18"/>
              </w:rPr>
            </w:pPr>
            <w:r w:rsidRPr="002123A8">
              <w:rPr>
                <w:rFonts w:ascii="Arial" w:hAnsi="Arial" w:cs="Arial"/>
                <w:sz w:val="18"/>
                <w:szCs w:val="18"/>
              </w:rPr>
              <w:t>Hindmarsh Shire Council</w:t>
            </w:r>
          </w:p>
        </w:tc>
        <w:tc>
          <w:tcPr>
            <w:tcW w:w="3969" w:type="dxa"/>
            <w:noWrap/>
          </w:tcPr>
          <w:p w14:paraId="45B91E25" w14:textId="77777777" w:rsidR="00254D1D" w:rsidRPr="00066C9A" w:rsidRDefault="00254D1D">
            <w:pPr>
              <w:rPr>
                <w:sz w:val="18"/>
                <w:szCs w:val="18"/>
              </w:rPr>
            </w:pPr>
            <w:r w:rsidRPr="00F92511">
              <w:rPr>
                <w:sz w:val="18"/>
                <w:szCs w:val="18"/>
              </w:rPr>
              <w:t xml:space="preserve">Hindmarsh Shire new Glass </w:t>
            </w:r>
            <w:r>
              <w:rPr>
                <w:sz w:val="18"/>
                <w:szCs w:val="18"/>
              </w:rPr>
              <w:t>C</w:t>
            </w:r>
            <w:r w:rsidRPr="00F92511">
              <w:rPr>
                <w:sz w:val="18"/>
                <w:szCs w:val="18"/>
              </w:rPr>
              <w:t>ollection</w:t>
            </w:r>
            <w:r>
              <w:rPr>
                <w:sz w:val="18"/>
                <w:szCs w:val="18"/>
              </w:rPr>
              <w:t xml:space="preserve"> – Household Education</w:t>
            </w:r>
          </w:p>
        </w:tc>
        <w:tc>
          <w:tcPr>
            <w:tcW w:w="1589" w:type="dxa"/>
            <w:noWrap/>
          </w:tcPr>
          <w:p w14:paraId="69C6479B" w14:textId="77777777" w:rsidR="00254D1D" w:rsidRPr="00581BE6" w:rsidRDefault="00254D1D">
            <w:pPr>
              <w:rPr>
                <w:sz w:val="18"/>
                <w:szCs w:val="18"/>
              </w:rPr>
            </w:pPr>
            <w:r>
              <w:rPr>
                <w:sz w:val="18"/>
                <w:szCs w:val="18"/>
              </w:rPr>
              <w:t>$</w:t>
            </w:r>
            <w:r w:rsidRPr="00581BE6">
              <w:rPr>
                <w:sz w:val="18"/>
                <w:szCs w:val="18"/>
              </w:rPr>
              <w:t>8,843</w:t>
            </w:r>
          </w:p>
          <w:p w14:paraId="76B60129" w14:textId="77777777" w:rsidR="00254D1D" w:rsidRDefault="00254D1D">
            <w:pPr>
              <w:rPr>
                <w:sz w:val="18"/>
                <w:szCs w:val="18"/>
              </w:rPr>
            </w:pPr>
          </w:p>
        </w:tc>
      </w:tr>
      <w:tr w:rsidR="00254D1D" w:rsidRPr="0012521E" w14:paraId="066F7916" w14:textId="77777777">
        <w:tc>
          <w:tcPr>
            <w:tcW w:w="3397" w:type="dxa"/>
            <w:noWrap/>
          </w:tcPr>
          <w:p w14:paraId="1C999A13" w14:textId="77777777" w:rsidR="00254D1D" w:rsidRPr="00AC1895" w:rsidRDefault="00254D1D">
            <w:pPr>
              <w:pStyle w:val="TableText"/>
              <w:rPr>
                <w:rFonts w:ascii="Arial" w:hAnsi="Arial" w:cs="Arial"/>
                <w:sz w:val="18"/>
                <w:szCs w:val="18"/>
              </w:rPr>
            </w:pPr>
            <w:r w:rsidRPr="006F2C15">
              <w:rPr>
                <w:rFonts w:ascii="Arial" w:hAnsi="Arial" w:cs="Arial"/>
                <w:sz w:val="18"/>
                <w:szCs w:val="18"/>
              </w:rPr>
              <w:t>Hobsons Bay City Council</w:t>
            </w:r>
          </w:p>
        </w:tc>
        <w:tc>
          <w:tcPr>
            <w:tcW w:w="3969" w:type="dxa"/>
            <w:noWrap/>
          </w:tcPr>
          <w:p w14:paraId="4BB88366" w14:textId="77777777" w:rsidR="00254D1D" w:rsidRPr="00066C9A" w:rsidRDefault="00254D1D">
            <w:pPr>
              <w:rPr>
                <w:sz w:val="18"/>
                <w:szCs w:val="18"/>
              </w:rPr>
            </w:pPr>
            <w:r w:rsidRPr="00C15DD1">
              <w:rPr>
                <w:sz w:val="18"/>
                <w:szCs w:val="18"/>
              </w:rPr>
              <w:t xml:space="preserve">Hobsons Bay City Council 4 </w:t>
            </w:r>
            <w:r>
              <w:rPr>
                <w:sz w:val="18"/>
                <w:szCs w:val="18"/>
              </w:rPr>
              <w:t>S</w:t>
            </w:r>
            <w:r w:rsidRPr="00C15DD1">
              <w:rPr>
                <w:sz w:val="18"/>
                <w:szCs w:val="18"/>
              </w:rPr>
              <w:t xml:space="preserve">tream </w:t>
            </w:r>
            <w:r>
              <w:rPr>
                <w:sz w:val="18"/>
                <w:szCs w:val="18"/>
              </w:rPr>
              <w:t>R</w:t>
            </w:r>
            <w:r w:rsidRPr="00C15DD1">
              <w:rPr>
                <w:sz w:val="18"/>
                <w:szCs w:val="18"/>
              </w:rPr>
              <w:t xml:space="preserve">ecycling </w:t>
            </w:r>
            <w:r>
              <w:rPr>
                <w:sz w:val="18"/>
                <w:szCs w:val="18"/>
              </w:rPr>
              <w:t>S</w:t>
            </w:r>
            <w:r w:rsidRPr="00C15DD1">
              <w:rPr>
                <w:sz w:val="18"/>
                <w:szCs w:val="18"/>
              </w:rPr>
              <w:t>ervice</w:t>
            </w:r>
            <w:r>
              <w:rPr>
                <w:sz w:val="18"/>
                <w:szCs w:val="18"/>
              </w:rPr>
              <w:t xml:space="preserve"> -– Household Education</w:t>
            </w:r>
          </w:p>
        </w:tc>
        <w:tc>
          <w:tcPr>
            <w:tcW w:w="1589" w:type="dxa"/>
            <w:noWrap/>
          </w:tcPr>
          <w:p w14:paraId="0095B840" w14:textId="77777777" w:rsidR="00254D1D" w:rsidRPr="005C10EF" w:rsidRDefault="00254D1D">
            <w:pPr>
              <w:rPr>
                <w:sz w:val="18"/>
                <w:szCs w:val="18"/>
              </w:rPr>
            </w:pPr>
            <w:r w:rsidRPr="005C10EF">
              <w:rPr>
                <w:sz w:val="18"/>
                <w:szCs w:val="18"/>
              </w:rPr>
              <w:t>$25,470</w:t>
            </w:r>
          </w:p>
          <w:p w14:paraId="0ACA1AB6" w14:textId="77777777" w:rsidR="00254D1D" w:rsidRDefault="00254D1D">
            <w:pPr>
              <w:rPr>
                <w:sz w:val="18"/>
                <w:szCs w:val="18"/>
                <w:highlight w:val="yellow"/>
              </w:rPr>
            </w:pPr>
          </w:p>
        </w:tc>
      </w:tr>
      <w:tr w:rsidR="00254D1D" w:rsidRPr="0012521E" w14:paraId="17F32338" w14:textId="77777777">
        <w:tc>
          <w:tcPr>
            <w:tcW w:w="3397" w:type="dxa"/>
            <w:noWrap/>
          </w:tcPr>
          <w:p w14:paraId="7D84EC1C" w14:textId="77777777" w:rsidR="00254D1D" w:rsidRPr="00AC1895" w:rsidRDefault="00254D1D">
            <w:pPr>
              <w:pStyle w:val="TableText"/>
              <w:rPr>
                <w:rFonts w:ascii="Arial" w:hAnsi="Arial" w:cs="Arial"/>
                <w:sz w:val="18"/>
                <w:szCs w:val="18"/>
              </w:rPr>
            </w:pPr>
            <w:r w:rsidRPr="0099219F">
              <w:rPr>
                <w:rFonts w:ascii="Arial" w:hAnsi="Arial" w:cs="Arial"/>
                <w:sz w:val="18"/>
                <w:szCs w:val="18"/>
              </w:rPr>
              <w:t>Horsham Rural City Council</w:t>
            </w:r>
          </w:p>
        </w:tc>
        <w:tc>
          <w:tcPr>
            <w:tcW w:w="3969" w:type="dxa"/>
            <w:noWrap/>
          </w:tcPr>
          <w:p w14:paraId="6F62EFAF" w14:textId="77777777" w:rsidR="00254D1D" w:rsidRPr="00066C9A" w:rsidRDefault="00254D1D">
            <w:pPr>
              <w:rPr>
                <w:sz w:val="18"/>
                <w:szCs w:val="18"/>
              </w:rPr>
            </w:pPr>
            <w:r w:rsidRPr="00624C69">
              <w:rPr>
                <w:sz w:val="18"/>
                <w:szCs w:val="18"/>
              </w:rPr>
              <w:t>Horsham Rural City Council Recycling Education &amp; Behaviour Change Project</w:t>
            </w:r>
            <w:r>
              <w:rPr>
                <w:sz w:val="18"/>
                <w:szCs w:val="18"/>
              </w:rPr>
              <w:t xml:space="preserve"> – Household Education</w:t>
            </w:r>
          </w:p>
        </w:tc>
        <w:tc>
          <w:tcPr>
            <w:tcW w:w="1589" w:type="dxa"/>
            <w:noWrap/>
          </w:tcPr>
          <w:p w14:paraId="4191F865" w14:textId="77777777" w:rsidR="00254D1D" w:rsidRDefault="00254D1D">
            <w:r w:rsidRPr="00A1005E">
              <w:rPr>
                <w:sz w:val="18"/>
                <w:szCs w:val="18"/>
              </w:rPr>
              <w:t>$22,720</w:t>
            </w:r>
          </w:p>
        </w:tc>
      </w:tr>
      <w:tr w:rsidR="00254D1D" w:rsidRPr="0012521E" w14:paraId="232FAE0E" w14:textId="77777777">
        <w:tc>
          <w:tcPr>
            <w:tcW w:w="3397" w:type="dxa"/>
            <w:noWrap/>
          </w:tcPr>
          <w:p w14:paraId="659ADDBA" w14:textId="77777777" w:rsidR="00254D1D" w:rsidRPr="00AC1895" w:rsidRDefault="00254D1D">
            <w:pPr>
              <w:pStyle w:val="TableText"/>
              <w:rPr>
                <w:rFonts w:ascii="Arial" w:hAnsi="Arial" w:cs="Arial"/>
                <w:sz w:val="18"/>
                <w:szCs w:val="18"/>
              </w:rPr>
            </w:pPr>
            <w:r w:rsidRPr="0099219F">
              <w:rPr>
                <w:rFonts w:ascii="Arial" w:hAnsi="Arial" w:cs="Arial"/>
                <w:sz w:val="18"/>
                <w:szCs w:val="18"/>
              </w:rPr>
              <w:t>Horsham Rural City Council</w:t>
            </w:r>
          </w:p>
        </w:tc>
        <w:tc>
          <w:tcPr>
            <w:tcW w:w="3969" w:type="dxa"/>
            <w:noWrap/>
          </w:tcPr>
          <w:p w14:paraId="0139263B" w14:textId="77777777" w:rsidR="00254D1D" w:rsidRPr="00066C9A" w:rsidRDefault="00254D1D">
            <w:pPr>
              <w:rPr>
                <w:sz w:val="18"/>
                <w:szCs w:val="18"/>
              </w:rPr>
            </w:pPr>
            <w:r w:rsidRPr="00621553">
              <w:rPr>
                <w:sz w:val="18"/>
                <w:szCs w:val="18"/>
              </w:rPr>
              <w:t xml:space="preserve">Wimmera Riverfront Activation - a </w:t>
            </w:r>
            <w:r>
              <w:rPr>
                <w:sz w:val="18"/>
                <w:szCs w:val="18"/>
              </w:rPr>
              <w:t>S</w:t>
            </w:r>
            <w:r w:rsidRPr="00621553">
              <w:rPr>
                <w:sz w:val="18"/>
                <w:szCs w:val="18"/>
              </w:rPr>
              <w:t xml:space="preserve">ustainable </w:t>
            </w:r>
            <w:r>
              <w:rPr>
                <w:sz w:val="18"/>
                <w:szCs w:val="18"/>
              </w:rPr>
              <w:t>A</w:t>
            </w:r>
            <w:r w:rsidRPr="00621553">
              <w:rPr>
                <w:sz w:val="18"/>
                <w:szCs w:val="18"/>
              </w:rPr>
              <w:t>pproach</w:t>
            </w:r>
          </w:p>
        </w:tc>
        <w:tc>
          <w:tcPr>
            <w:tcW w:w="1589" w:type="dxa"/>
            <w:noWrap/>
          </w:tcPr>
          <w:p w14:paraId="087C4A01" w14:textId="77777777" w:rsidR="00254D1D" w:rsidRDefault="00254D1D">
            <w:pPr>
              <w:rPr>
                <w:sz w:val="18"/>
                <w:szCs w:val="18"/>
              </w:rPr>
            </w:pPr>
            <w:r>
              <w:rPr>
                <w:sz w:val="18"/>
                <w:szCs w:val="18"/>
              </w:rPr>
              <w:t>$</w:t>
            </w:r>
            <w:r w:rsidRPr="00457FA8">
              <w:rPr>
                <w:sz w:val="18"/>
                <w:szCs w:val="18"/>
              </w:rPr>
              <w:t>12,225</w:t>
            </w:r>
          </w:p>
        </w:tc>
      </w:tr>
      <w:tr w:rsidR="00254D1D" w:rsidRPr="0012521E" w14:paraId="56FB6A63" w14:textId="77777777">
        <w:tc>
          <w:tcPr>
            <w:tcW w:w="3397" w:type="dxa"/>
            <w:noWrap/>
          </w:tcPr>
          <w:p w14:paraId="77351C12" w14:textId="77777777" w:rsidR="00254D1D" w:rsidRPr="002D047D" w:rsidRDefault="00254D1D">
            <w:pPr>
              <w:pStyle w:val="TableText"/>
              <w:rPr>
                <w:rFonts w:ascii="Arial" w:hAnsi="Arial" w:cs="Arial"/>
                <w:sz w:val="18"/>
                <w:szCs w:val="18"/>
              </w:rPr>
            </w:pPr>
            <w:proofErr w:type="spellStart"/>
            <w:r w:rsidRPr="002D047D">
              <w:rPr>
                <w:rFonts w:ascii="Arial" w:hAnsi="Arial" w:cs="Arial"/>
                <w:sz w:val="18"/>
                <w:szCs w:val="18"/>
              </w:rPr>
              <w:t>Huskee</w:t>
            </w:r>
            <w:proofErr w:type="spellEnd"/>
            <w:r w:rsidRPr="002D047D">
              <w:rPr>
                <w:rFonts w:ascii="Arial" w:hAnsi="Arial" w:cs="Arial"/>
                <w:sz w:val="18"/>
                <w:szCs w:val="18"/>
              </w:rPr>
              <w:t xml:space="preserve"> Pty Ltd</w:t>
            </w:r>
          </w:p>
          <w:p w14:paraId="4B82E3F3" w14:textId="77777777" w:rsidR="00254D1D" w:rsidRPr="00AC1895" w:rsidRDefault="00254D1D">
            <w:pPr>
              <w:pStyle w:val="TableText"/>
              <w:rPr>
                <w:rFonts w:ascii="Arial" w:hAnsi="Arial" w:cs="Arial"/>
                <w:sz w:val="18"/>
                <w:szCs w:val="18"/>
              </w:rPr>
            </w:pPr>
          </w:p>
        </w:tc>
        <w:tc>
          <w:tcPr>
            <w:tcW w:w="3969" w:type="dxa"/>
            <w:noWrap/>
          </w:tcPr>
          <w:p w14:paraId="776FB7D1" w14:textId="77777777" w:rsidR="00254D1D" w:rsidRPr="00066C9A" w:rsidRDefault="00254D1D">
            <w:pPr>
              <w:rPr>
                <w:sz w:val="18"/>
                <w:szCs w:val="18"/>
              </w:rPr>
            </w:pPr>
            <w:proofErr w:type="spellStart"/>
            <w:r w:rsidRPr="00645695">
              <w:rPr>
                <w:sz w:val="18"/>
                <w:szCs w:val="18"/>
              </w:rPr>
              <w:t>HuskeeSwap</w:t>
            </w:r>
            <w:proofErr w:type="spellEnd"/>
            <w:r w:rsidRPr="00645695">
              <w:rPr>
                <w:sz w:val="18"/>
                <w:szCs w:val="18"/>
              </w:rPr>
              <w:t xml:space="preserve"> Collaboration with </w:t>
            </w:r>
            <w:proofErr w:type="spellStart"/>
            <w:r w:rsidRPr="00645695">
              <w:rPr>
                <w:sz w:val="18"/>
                <w:szCs w:val="18"/>
              </w:rPr>
              <w:t>CoGround</w:t>
            </w:r>
            <w:proofErr w:type="spellEnd"/>
            <w:r w:rsidRPr="00645695">
              <w:rPr>
                <w:sz w:val="18"/>
                <w:szCs w:val="18"/>
              </w:rPr>
              <w:t xml:space="preserve"> Social Enterprise</w:t>
            </w:r>
          </w:p>
        </w:tc>
        <w:tc>
          <w:tcPr>
            <w:tcW w:w="1589" w:type="dxa"/>
            <w:noWrap/>
          </w:tcPr>
          <w:p w14:paraId="13EBC543" w14:textId="77777777" w:rsidR="00254D1D" w:rsidRDefault="00254D1D">
            <w:pPr>
              <w:rPr>
                <w:sz w:val="18"/>
                <w:szCs w:val="18"/>
              </w:rPr>
            </w:pPr>
            <w:r>
              <w:rPr>
                <w:sz w:val="18"/>
                <w:szCs w:val="18"/>
              </w:rPr>
              <w:t>$2,000</w:t>
            </w:r>
          </w:p>
        </w:tc>
      </w:tr>
      <w:tr w:rsidR="00254D1D" w:rsidRPr="0012521E" w14:paraId="220B561F" w14:textId="77777777">
        <w:tc>
          <w:tcPr>
            <w:tcW w:w="3397" w:type="dxa"/>
            <w:noWrap/>
          </w:tcPr>
          <w:p w14:paraId="062D4A02" w14:textId="77777777" w:rsidR="00254D1D" w:rsidRPr="00AC1895" w:rsidRDefault="00254D1D">
            <w:pPr>
              <w:pStyle w:val="TableText"/>
              <w:rPr>
                <w:rFonts w:ascii="Arial" w:hAnsi="Arial" w:cs="Arial"/>
                <w:sz w:val="18"/>
                <w:szCs w:val="18"/>
              </w:rPr>
            </w:pPr>
            <w:r w:rsidRPr="0027266B">
              <w:rPr>
                <w:rFonts w:ascii="Arial" w:hAnsi="Arial" w:cs="Arial"/>
                <w:sz w:val="18"/>
                <w:szCs w:val="18"/>
              </w:rPr>
              <w:t>Indigo Power</w:t>
            </w:r>
            <w:r>
              <w:rPr>
                <w:rFonts w:ascii="Arial" w:hAnsi="Arial" w:cs="Arial"/>
                <w:sz w:val="18"/>
                <w:szCs w:val="18"/>
              </w:rPr>
              <w:t xml:space="preserve"> Ltd</w:t>
            </w:r>
          </w:p>
        </w:tc>
        <w:tc>
          <w:tcPr>
            <w:tcW w:w="3969" w:type="dxa"/>
            <w:noWrap/>
          </w:tcPr>
          <w:p w14:paraId="127CF3BD" w14:textId="77777777" w:rsidR="00254D1D" w:rsidRPr="00066C9A" w:rsidRDefault="00254D1D">
            <w:pPr>
              <w:rPr>
                <w:sz w:val="18"/>
                <w:szCs w:val="18"/>
              </w:rPr>
            </w:pPr>
            <w:r w:rsidRPr="000B26CE">
              <w:rPr>
                <w:sz w:val="18"/>
                <w:szCs w:val="18"/>
              </w:rPr>
              <w:t xml:space="preserve">A Community Clean Energy Blueprint </w:t>
            </w:r>
            <w:r>
              <w:rPr>
                <w:sz w:val="18"/>
                <w:szCs w:val="18"/>
              </w:rPr>
              <w:t>f</w:t>
            </w:r>
            <w:r w:rsidRPr="000B26CE">
              <w:rPr>
                <w:sz w:val="18"/>
                <w:szCs w:val="18"/>
              </w:rPr>
              <w:t>or Benambra</w:t>
            </w:r>
          </w:p>
        </w:tc>
        <w:tc>
          <w:tcPr>
            <w:tcW w:w="1589" w:type="dxa"/>
            <w:noWrap/>
          </w:tcPr>
          <w:p w14:paraId="5E9F584C" w14:textId="77777777" w:rsidR="00254D1D" w:rsidRDefault="00254D1D">
            <w:pPr>
              <w:rPr>
                <w:sz w:val="18"/>
                <w:szCs w:val="18"/>
              </w:rPr>
            </w:pPr>
            <w:r>
              <w:rPr>
                <w:sz w:val="18"/>
                <w:szCs w:val="18"/>
              </w:rPr>
              <w:t>$65,000</w:t>
            </w:r>
          </w:p>
        </w:tc>
      </w:tr>
      <w:tr w:rsidR="00254D1D" w:rsidRPr="0012521E" w14:paraId="67CB0377" w14:textId="77777777">
        <w:tc>
          <w:tcPr>
            <w:tcW w:w="3397" w:type="dxa"/>
            <w:noWrap/>
          </w:tcPr>
          <w:p w14:paraId="27F39611" w14:textId="77777777" w:rsidR="00254D1D" w:rsidRPr="00AC1895" w:rsidRDefault="00254D1D">
            <w:pPr>
              <w:pStyle w:val="TableText"/>
              <w:rPr>
                <w:rFonts w:ascii="Arial" w:hAnsi="Arial" w:cs="Arial"/>
                <w:sz w:val="18"/>
                <w:szCs w:val="18"/>
              </w:rPr>
            </w:pPr>
            <w:r w:rsidRPr="00D107DE">
              <w:rPr>
                <w:rFonts w:ascii="Arial" w:hAnsi="Arial" w:cs="Arial"/>
                <w:sz w:val="18"/>
                <w:szCs w:val="18"/>
              </w:rPr>
              <w:t>Infinity Sustainable Solutions</w:t>
            </w:r>
            <w:r>
              <w:rPr>
                <w:rFonts w:ascii="Arial" w:hAnsi="Arial" w:cs="Arial"/>
                <w:sz w:val="18"/>
                <w:szCs w:val="18"/>
              </w:rPr>
              <w:t xml:space="preserve"> Pty Ltd (Infinity Box)</w:t>
            </w:r>
          </w:p>
        </w:tc>
        <w:tc>
          <w:tcPr>
            <w:tcW w:w="3969" w:type="dxa"/>
            <w:noWrap/>
          </w:tcPr>
          <w:p w14:paraId="46D0C37F" w14:textId="77777777" w:rsidR="00254D1D" w:rsidRPr="00066C9A" w:rsidRDefault="00254D1D">
            <w:pPr>
              <w:rPr>
                <w:sz w:val="18"/>
                <w:szCs w:val="18"/>
              </w:rPr>
            </w:pPr>
            <w:r w:rsidRPr="005F4213">
              <w:rPr>
                <w:sz w:val="18"/>
                <w:szCs w:val="18"/>
              </w:rPr>
              <w:t xml:space="preserve">Sorrento </w:t>
            </w:r>
            <w:proofErr w:type="spellStart"/>
            <w:r w:rsidRPr="005F4213">
              <w:rPr>
                <w:sz w:val="18"/>
                <w:szCs w:val="18"/>
              </w:rPr>
              <w:t>Returnables</w:t>
            </w:r>
            <w:proofErr w:type="spellEnd"/>
            <w:r w:rsidRPr="005F4213">
              <w:rPr>
                <w:sz w:val="18"/>
                <w:szCs w:val="18"/>
              </w:rPr>
              <w:t xml:space="preserve"> </w:t>
            </w:r>
            <w:r>
              <w:rPr>
                <w:sz w:val="18"/>
                <w:szCs w:val="18"/>
              </w:rPr>
              <w:t>P</w:t>
            </w:r>
            <w:r w:rsidRPr="005F4213">
              <w:rPr>
                <w:sz w:val="18"/>
                <w:szCs w:val="18"/>
              </w:rPr>
              <w:t>ilot</w:t>
            </w:r>
          </w:p>
        </w:tc>
        <w:tc>
          <w:tcPr>
            <w:tcW w:w="1589" w:type="dxa"/>
            <w:noWrap/>
          </w:tcPr>
          <w:p w14:paraId="51E8B740" w14:textId="77777777" w:rsidR="00254D1D" w:rsidRDefault="00254D1D">
            <w:pPr>
              <w:rPr>
                <w:sz w:val="18"/>
                <w:szCs w:val="18"/>
              </w:rPr>
            </w:pPr>
            <w:r>
              <w:rPr>
                <w:sz w:val="18"/>
                <w:szCs w:val="18"/>
              </w:rPr>
              <w:t>$12,010</w:t>
            </w:r>
          </w:p>
        </w:tc>
      </w:tr>
      <w:tr w:rsidR="00254D1D" w:rsidRPr="0012521E" w14:paraId="4C65A979" w14:textId="77777777">
        <w:tc>
          <w:tcPr>
            <w:tcW w:w="3397" w:type="dxa"/>
            <w:noWrap/>
          </w:tcPr>
          <w:p w14:paraId="7250D7AD" w14:textId="77777777" w:rsidR="00254D1D" w:rsidRPr="00AC1895" w:rsidRDefault="00254D1D">
            <w:pPr>
              <w:pStyle w:val="TableText"/>
              <w:rPr>
                <w:rFonts w:ascii="Arial" w:hAnsi="Arial" w:cs="Arial"/>
                <w:sz w:val="18"/>
                <w:szCs w:val="18"/>
              </w:rPr>
            </w:pPr>
            <w:r w:rsidRPr="00A77590">
              <w:rPr>
                <w:rFonts w:ascii="Arial" w:hAnsi="Arial" w:cs="Arial"/>
                <w:sz w:val="18"/>
                <w:szCs w:val="18"/>
              </w:rPr>
              <w:t>Innovative Mechatronics Group Pty Ltd</w:t>
            </w:r>
          </w:p>
        </w:tc>
        <w:tc>
          <w:tcPr>
            <w:tcW w:w="3969" w:type="dxa"/>
            <w:noWrap/>
          </w:tcPr>
          <w:p w14:paraId="226EF3D2" w14:textId="77777777" w:rsidR="00254D1D" w:rsidRPr="00066C9A" w:rsidRDefault="00254D1D">
            <w:pPr>
              <w:rPr>
                <w:sz w:val="18"/>
                <w:szCs w:val="18"/>
              </w:rPr>
            </w:pPr>
            <w:r w:rsidRPr="0007360F">
              <w:rPr>
                <w:sz w:val="18"/>
                <w:szCs w:val="18"/>
              </w:rPr>
              <w:t xml:space="preserve">Commercialisation of Retired Electric Vehicle </w:t>
            </w:r>
            <w:r>
              <w:rPr>
                <w:sz w:val="18"/>
                <w:szCs w:val="18"/>
              </w:rPr>
              <w:t>B</w:t>
            </w:r>
            <w:r w:rsidRPr="0007360F">
              <w:rPr>
                <w:sz w:val="18"/>
                <w:szCs w:val="18"/>
              </w:rPr>
              <w:t>atteries for Energy Storage (BESS)</w:t>
            </w:r>
          </w:p>
        </w:tc>
        <w:tc>
          <w:tcPr>
            <w:tcW w:w="1589" w:type="dxa"/>
            <w:noWrap/>
          </w:tcPr>
          <w:p w14:paraId="158C8F64" w14:textId="77777777" w:rsidR="00254D1D" w:rsidRDefault="00254D1D">
            <w:pPr>
              <w:rPr>
                <w:sz w:val="18"/>
                <w:szCs w:val="18"/>
              </w:rPr>
            </w:pPr>
            <w:r>
              <w:rPr>
                <w:sz w:val="18"/>
                <w:szCs w:val="18"/>
              </w:rPr>
              <w:t>$282,000</w:t>
            </w:r>
          </w:p>
        </w:tc>
      </w:tr>
      <w:tr w:rsidR="00254D1D" w:rsidRPr="0012521E" w14:paraId="427FBA76" w14:textId="77777777">
        <w:tc>
          <w:tcPr>
            <w:tcW w:w="3397" w:type="dxa"/>
            <w:noWrap/>
          </w:tcPr>
          <w:p w14:paraId="73235EFF" w14:textId="77777777" w:rsidR="00254D1D" w:rsidRPr="00A77590" w:rsidRDefault="00254D1D">
            <w:pPr>
              <w:pStyle w:val="TableText"/>
              <w:rPr>
                <w:rFonts w:ascii="Arial" w:hAnsi="Arial" w:cs="Arial"/>
                <w:sz w:val="18"/>
                <w:szCs w:val="18"/>
              </w:rPr>
            </w:pPr>
            <w:proofErr w:type="spellStart"/>
            <w:r w:rsidRPr="0016321C">
              <w:rPr>
                <w:rFonts w:ascii="Arial" w:hAnsi="Arial" w:cs="Arial"/>
                <w:sz w:val="18"/>
                <w:szCs w:val="18"/>
              </w:rPr>
              <w:t>Investa</w:t>
            </w:r>
            <w:proofErr w:type="spellEnd"/>
            <w:r w:rsidRPr="0016321C">
              <w:rPr>
                <w:rFonts w:ascii="Arial" w:hAnsi="Arial" w:cs="Arial"/>
                <w:sz w:val="18"/>
                <w:szCs w:val="18"/>
              </w:rPr>
              <w:t xml:space="preserve"> Asset Management Pty Ltd</w:t>
            </w:r>
          </w:p>
        </w:tc>
        <w:tc>
          <w:tcPr>
            <w:tcW w:w="3969" w:type="dxa"/>
            <w:noWrap/>
          </w:tcPr>
          <w:p w14:paraId="2F0046E3" w14:textId="77777777" w:rsidR="00254D1D" w:rsidRPr="0007360F" w:rsidRDefault="00254D1D">
            <w:pPr>
              <w:rPr>
                <w:sz w:val="18"/>
                <w:szCs w:val="18"/>
              </w:rPr>
            </w:pPr>
            <w:r w:rsidRPr="00BE0147">
              <w:rPr>
                <w:sz w:val="18"/>
                <w:szCs w:val="18"/>
              </w:rPr>
              <w:t>Eliminate SUP @ 567 Collins</w:t>
            </w:r>
          </w:p>
        </w:tc>
        <w:tc>
          <w:tcPr>
            <w:tcW w:w="1589" w:type="dxa"/>
            <w:noWrap/>
          </w:tcPr>
          <w:p w14:paraId="38AC3BD2" w14:textId="77777777" w:rsidR="00254D1D" w:rsidRDefault="00254D1D">
            <w:pPr>
              <w:rPr>
                <w:sz w:val="18"/>
                <w:szCs w:val="18"/>
              </w:rPr>
            </w:pPr>
            <w:r>
              <w:rPr>
                <w:sz w:val="18"/>
                <w:szCs w:val="18"/>
              </w:rPr>
              <w:t>$3,860</w:t>
            </w:r>
          </w:p>
        </w:tc>
      </w:tr>
      <w:tr w:rsidR="00254D1D" w:rsidRPr="0012521E" w14:paraId="500A61CC" w14:textId="77777777">
        <w:tc>
          <w:tcPr>
            <w:tcW w:w="3397" w:type="dxa"/>
            <w:noWrap/>
          </w:tcPr>
          <w:p w14:paraId="39210C2C" w14:textId="77777777" w:rsidR="00254D1D" w:rsidRPr="0016321C" w:rsidRDefault="00254D1D">
            <w:pPr>
              <w:pStyle w:val="TableText"/>
              <w:rPr>
                <w:rFonts w:ascii="Arial" w:hAnsi="Arial" w:cs="Arial"/>
                <w:sz w:val="18"/>
                <w:szCs w:val="18"/>
              </w:rPr>
            </w:pPr>
            <w:r w:rsidRPr="00D74175">
              <w:rPr>
                <w:rFonts w:ascii="Arial" w:hAnsi="Arial" w:cs="Arial"/>
                <w:sz w:val="18"/>
                <w:szCs w:val="18"/>
              </w:rPr>
              <w:t>J.J. Richards and Sons Pty Ltd</w:t>
            </w:r>
          </w:p>
        </w:tc>
        <w:tc>
          <w:tcPr>
            <w:tcW w:w="3969" w:type="dxa"/>
            <w:noWrap/>
          </w:tcPr>
          <w:p w14:paraId="43DCBC84" w14:textId="77777777" w:rsidR="00254D1D" w:rsidRPr="00BE0147" w:rsidRDefault="00254D1D">
            <w:pPr>
              <w:rPr>
                <w:sz w:val="18"/>
                <w:szCs w:val="18"/>
              </w:rPr>
            </w:pPr>
            <w:r w:rsidRPr="00D66F2B">
              <w:rPr>
                <w:sz w:val="18"/>
                <w:szCs w:val="18"/>
              </w:rPr>
              <w:t>Wangaratta and Bendigo</w:t>
            </w:r>
            <w:r>
              <w:rPr>
                <w:sz w:val="18"/>
                <w:szCs w:val="18"/>
              </w:rPr>
              <w:t xml:space="preserve"> Materials Recovery Facility U</w:t>
            </w:r>
            <w:r w:rsidRPr="00D66F2B">
              <w:rPr>
                <w:sz w:val="18"/>
                <w:szCs w:val="18"/>
              </w:rPr>
              <w:t>pgrades</w:t>
            </w:r>
          </w:p>
        </w:tc>
        <w:tc>
          <w:tcPr>
            <w:tcW w:w="1589" w:type="dxa"/>
            <w:noWrap/>
          </w:tcPr>
          <w:p w14:paraId="0638E734" w14:textId="77777777" w:rsidR="00254D1D" w:rsidRDefault="00254D1D">
            <w:pPr>
              <w:rPr>
                <w:sz w:val="18"/>
                <w:szCs w:val="18"/>
              </w:rPr>
            </w:pPr>
            <w:r>
              <w:rPr>
                <w:sz w:val="18"/>
                <w:szCs w:val="18"/>
              </w:rPr>
              <w:t>$9,350</w:t>
            </w:r>
          </w:p>
        </w:tc>
      </w:tr>
      <w:tr w:rsidR="00254D1D" w:rsidRPr="0012521E" w14:paraId="36842E2C" w14:textId="77777777">
        <w:tc>
          <w:tcPr>
            <w:tcW w:w="3397" w:type="dxa"/>
            <w:noWrap/>
          </w:tcPr>
          <w:p w14:paraId="3956B9E2" w14:textId="77777777" w:rsidR="00254D1D" w:rsidRPr="00D74175" w:rsidRDefault="00254D1D">
            <w:pPr>
              <w:pStyle w:val="TableText"/>
              <w:rPr>
                <w:rFonts w:ascii="Arial" w:hAnsi="Arial" w:cs="Arial"/>
                <w:sz w:val="18"/>
                <w:szCs w:val="18"/>
              </w:rPr>
            </w:pPr>
            <w:r w:rsidRPr="00F523C5">
              <w:rPr>
                <w:rFonts w:ascii="Arial" w:hAnsi="Arial" w:cs="Arial"/>
                <w:sz w:val="18"/>
                <w:szCs w:val="18"/>
              </w:rPr>
              <w:t>Jesuit Social Services L</w:t>
            </w:r>
            <w:r>
              <w:rPr>
                <w:rFonts w:ascii="Arial" w:hAnsi="Arial" w:cs="Arial"/>
                <w:sz w:val="18"/>
                <w:szCs w:val="18"/>
              </w:rPr>
              <w:t>td</w:t>
            </w:r>
          </w:p>
        </w:tc>
        <w:tc>
          <w:tcPr>
            <w:tcW w:w="3969" w:type="dxa"/>
            <w:noWrap/>
          </w:tcPr>
          <w:p w14:paraId="4F25E6B9" w14:textId="77777777" w:rsidR="00254D1D" w:rsidRPr="00D66F2B" w:rsidRDefault="00254D1D">
            <w:pPr>
              <w:rPr>
                <w:sz w:val="18"/>
                <w:szCs w:val="18"/>
              </w:rPr>
            </w:pPr>
            <w:r w:rsidRPr="00101876">
              <w:rPr>
                <w:sz w:val="18"/>
                <w:szCs w:val="18"/>
              </w:rPr>
              <w:t>Regenerative Plastics: A Community Education Project</w:t>
            </w:r>
          </w:p>
        </w:tc>
        <w:tc>
          <w:tcPr>
            <w:tcW w:w="1589" w:type="dxa"/>
            <w:noWrap/>
          </w:tcPr>
          <w:p w14:paraId="7C1115F4" w14:textId="77777777" w:rsidR="00254D1D" w:rsidRDefault="00254D1D">
            <w:pPr>
              <w:rPr>
                <w:sz w:val="18"/>
                <w:szCs w:val="18"/>
              </w:rPr>
            </w:pPr>
            <w:r>
              <w:rPr>
                <w:sz w:val="18"/>
                <w:szCs w:val="18"/>
              </w:rPr>
              <w:t>$29,000</w:t>
            </w:r>
          </w:p>
        </w:tc>
      </w:tr>
      <w:tr w:rsidR="00254D1D" w:rsidRPr="0012521E" w14:paraId="7B1E4F5D" w14:textId="77777777">
        <w:tc>
          <w:tcPr>
            <w:tcW w:w="3397" w:type="dxa"/>
            <w:noWrap/>
          </w:tcPr>
          <w:p w14:paraId="07EC23A2" w14:textId="77777777" w:rsidR="00254D1D" w:rsidRPr="00F523C5" w:rsidRDefault="00254D1D">
            <w:pPr>
              <w:pStyle w:val="TableText"/>
              <w:rPr>
                <w:rFonts w:ascii="Arial" w:hAnsi="Arial" w:cs="Arial"/>
                <w:sz w:val="18"/>
                <w:szCs w:val="18"/>
              </w:rPr>
            </w:pPr>
            <w:r w:rsidRPr="00F523C5">
              <w:rPr>
                <w:rFonts w:ascii="Arial" w:hAnsi="Arial" w:cs="Arial"/>
                <w:sz w:val="18"/>
                <w:szCs w:val="18"/>
              </w:rPr>
              <w:t>Jesuit Social Services L</w:t>
            </w:r>
            <w:r>
              <w:rPr>
                <w:rFonts w:ascii="Arial" w:hAnsi="Arial" w:cs="Arial"/>
                <w:sz w:val="18"/>
                <w:szCs w:val="18"/>
              </w:rPr>
              <w:t>td</w:t>
            </w:r>
          </w:p>
        </w:tc>
        <w:tc>
          <w:tcPr>
            <w:tcW w:w="3969" w:type="dxa"/>
            <w:noWrap/>
          </w:tcPr>
          <w:p w14:paraId="091FA292" w14:textId="77777777" w:rsidR="00254D1D" w:rsidRPr="00101876" w:rsidRDefault="00254D1D">
            <w:pPr>
              <w:rPr>
                <w:sz w:val="18"/>
                <w:szCs w:val="18"/>
              </w:rPr>
            </w:pPr>
            <w:r w:rsidRPr="00A955A4">
              <w:rPr>
                <w:sz w:val="18"/>
                <w:szCs w:val="18"/>
              </w:rPr>
              <w:t>Merri-</w:t>
            </w:r>
            <w:proofErr w:type="spellStart"/>
            <w:r w:rsidRPr="00A955A4">
              <w:rPr>
                <w:sz w:val="18"/>
                <w:szCs w:val="18"/>
              </w:rPr>
              <w:t>bek</w:t>
            </w:r>
            <w:proofErr w:type="spellEnd"/>
            <w:r w:rsidRPr="00A955A4">
              <w:rPr>
                <w:sz w:val="18"/>
                <w:szCs w:val="18"/>
              </w:rPr>
              <w:t xml:space="preserve"> Organic Waste Composting Pilot Program</w:t>
            </w:r>
          </w:p>
        </w:tc>
        <w:tc>
          <w:tcPr>
            <w:tcW w:w="1589" w:type="dxa"/>
            <w:noWrap/>
          </w:tcPr>
          <w:p w14:paraId="1DAC6EAB" w14:textId="77777777" w:rsidR="00254D1D" w:rsidRDefault="00254D1D">
            <w:pPr>
              <w:rPr>
                <w:sz w:val="18"/>
                <w:szCs w:val="18"/>
              </w:rPr>
            </w:pPr>
            <w:r w:rsidRPr="65E029B8">
              <w:rPr>
                <w:sz w:val="18"/>
                <w:szCs w:val="18"/>
              </w:rPr>
              <w:t>$55,0010</w:t>
            </w:r>
          </w:p>
        </w:tc>
      </w:tr>
      <w:tr w:rsidR="00254D1D" w:rsidRPr="0012521E" w14:paraId="17F22510" w14:textId="77777777">
        <w:tc>
          <w:tcPr>
            <w:tcW w:w="3397" w:type="dxa"/>
            <w:noWrap/>
          </w:tcPr>
          <w:p w14:paraId="54D79A4B" w14:textId="77777777" w:rsidR="00254D1D" w:rsidRPr="00F523C5" w:rsidRDefault="00254D1D">
            <w:pPr>
              <w:pStyle w:val="TableText"/>
              <w:rPr>
                <w:rFonts w:ascii="Arial" w:hAnsi="Arial" w:cs="Arial"/>
                <w:sz w:val="18"/>
                <w:szCs w:val="18"/>
              </w:rPr>
            </w:pPr>
            <w:proofErr w:type="spellStart"/>
            <w:r w:rsidRPr="002D0885">
              <w:rPr>
                <w:rFonts w:ascii="Arial" w:hAnsi="Arial" w:cs="Arial"/>
                <w:sz w:val="18"/>
                <w:szCs w:val="18"/>
              </w:rPr>
              <w:t>Kadampa</w:t>
            </w:r>
            <w:proofErr w:type="spellEnd"/>
            <w:r w:rsidRPr="002D0885">
              <w:rPr>
                <w:rFonts w:ascii="Arial" w:hAnsi="Arial" w:cs="Arial"/>
                <w:sz w:val="18"/>
                <w:szCs w:val="18"/>
              </w:rPr>
              <w:t xml:space="preserve"> Meditation Centre Australia</w:t>
            </w:r>
          </w:p>
        </w:tc>
        <w:tc>
          <w:tcPr>
            <w:tcW w:w="3969" w:type="dxa"/>
            <w:noWrap/>
          </w:tcPr>
          <w:p w14:paraId="6E4724A8" w14:textId="77777777" w:rsidR="00254D1D" w:rsidRPr="00A955A4" w:rsidRDefault="00254D1D">
            <w:pPr>
              <w:rPr>
                <w:sz w:val="18"/>
                <w:szCs w:val="18"/>
              </w:rPr>
            </w:pPr>
            <w:r w:rsidRPr="002958D6">
              <w:rPr>
                <w:sz w:val="18"/>
                <w:szCs w:val="18"/>
              </w:rPr>
              <w:t xml:space="preserve">CCCEA RD2 Energy Efficiency Upgrades - </w:t>
            </w:r>
            <w:proofErr w:type="spellStart"/>
            <w:r w:rsidRPr="002958D6">
              <w:rPr>
                <w:sz w:val="18"/>
                <w:szCs w:val="18"/>
              </w:rPr>
              <w:t>Kadampa</w:t>
            </w:r>
            <w:proofErr w:type="spellEnd"/>
            <w:r w:rsidRPr="002958D6">
              <w:rPr>
                <w:sz w:val="18"/>
                <w:szCs w:val="18"/>
              </w:rPr>
              <w:t xml:space="preserve"> Meditation Centre Australia</w:t>
            </w:r>
          </w:p>
        </w:tc>
        <w:tc>
          <w:tcPr>
            <w:tcW w:w="1589" w:type="dxa"/>
            <w:noWrap/>
          </w:tcPr>
          <w:p w14:paraId="3A563313" w14:textId="77777777" w:rsidR="00254D1D" w:rsidRDefault="00254D1D">
            <w:pPr>
              <w:rPr>
                <w:sz w:val="18"/>
                <w:szCs w:val="18"/>
              </w:rPr>
            </w:pPr>
            <w:r>
              <w:rPr>
                <w:sz w:val="18"/>
                <w:szCs w:val="18"/>
              </w:rPr>
              <w:t>$9,607</w:t>
            </w:r>
          </w:p>
        </w:tc>
      </w:tr>
      <w:tr w:rsidR="00254D1D" w:rsidRPr="0012521E" w14:paraId="59E6CFCD" w14:textId="77777777">
        <w:tc>
          <w:tcPr>
            <w:tcW w:w="3397" w:type="dxa"/>
            <w:noWrap/>
          </w:tcPr>
          <w:p w14:paraId="3F84A364" w14:textId="77777777" w:rsidR="00254D1D" w:rsidRDefault="00254D1D">
            <w:pPr>
              <w:pStyle w:val="TableText"/>
              <w:rPr>
                <w:rFonts w:ascii="Arial" w:hAnsi="Arial" w:cs="Arial"/>
                <w:sz w:val="18"/>
                <w:szCs w:val="18"/>
              </w:rPr>
            </w:pPr>
            <w:proofErr w:type="spellStart"/>
            <w:r w:rsidRPr="00A00A14">
              <w:rPr>
                <w:rFonts w:ascii="Arial" w:hAnsi="Arial" w:cs="Arial"/>
                <w:sz w:val="18"/>
                <w:szCs w:val="18"/>
              </w:rPr>
              <w:t>Kantfield</w:t>
            </w:r>
            <w:proofErr w:type="spellEnd"/>
            <w:r w:rsidRPr="00A00A14">
              <w:rPr>
                <w:rFonts w:ascii="Arial" w:hAnsi="Arial" w:cs="Arial"/>
                <w:sz w:val="18"/>
                <w:szCs w:val="18"/>
              </w:rPr>
              <w:t xml:space="preserve"> Pty Ltd </w:t>
            </w:r>
          </w:p>
          <w:p w14:paraId="5E7CFF3B" w14:textId="77777777" w:rsidR="00254D1D" w:rsidRPr="00A00A14" w:rsidRDefault="00254D1D">
            <w:pPr>
              <w:pStyle w:val="TableText"/>
              <w:rPr>
                <w:rFonts w:ascii="Arial" w:hAnsi="Arial" w:cs="Arial"/>
                <w:sz w:val="18"/>
                <w:szCs w:val="18"/>
              </w:rPr>
            </w:pPr>
            <w:r w:rsidRPr="00A00A14">
              <w:rPr>
                <w:rFonts w:ascii="Arial" w:hAnsi="Arial" w:cs="Arial"/>
                <w:sz w:val="18"/>
                <w:szCs w:val="18"/>
              </w:rPr>
              <w:t>(</w:t>
            </w:r>
            <w:proofErr w:type="spellStart"/>
            <w:r w:rsidRPr="00A00A14">
              <w:rPr>
                <w:rFonts w:ascii="Arial" w:hAnsi="Arial" w:cs="Arial"/>
                <w:sz w:val="18"/>
                <w:szCs w:val="18"/>
              </w:rPr>
              <w:t>Martogg</w:t>
            </w:r>
            <w:proofErr w:type="spellEnd"/>
            <w:r w:rsidRPr="00A00A14">
              <w:rPr>
                <w:rFonts w:ascii="Arial" w:hAnsi="Arial" w:cs="Arial"/>
                <w:sz w:val="18"/>
                <w:szCs w:val="18"/>
              </w:rPr>
              <w:t xml:space="preserve"> and Company)</w:t>
            </w:r>
          </w:p>
        </w:tc>
        <w:tc>
          <w:tcPr>
            <w:tcW w:w="3969" w:type="dxa"/>
            <w:noWrap/>
          </w:tcPr>
          <w:p w14:paraId="7C585458" w14:textId="77777777" w:rsidR="00254D1D" w:rsidRPr="00A00A14" w:rsidRDefault="00254D1D">
            <w:pPr>
              <w:rPr>
                <w:sz w:val="18"/>
                <w:szCs w:val="18"/>
              </w:rPr>
            </w:pPr>
            <w:proofErr w:type="spellStart"/>
            <w:r w:rsidRPr="00A00A14">
              <w:rPr>
                <w:sz w:val="18"/>
                <w:szCs w:val="18"/>
              </w:rPr>
              <w:t>Martogg</w:t>
            </w:r>
            <w:proofErr w:type="spellEnd"/>
            <w:r w:rsidRPr="00A00A14">
              <w:rPr>
                <w:sz w:val="18"/>
                <w:szCs w:val="18"/>
              </w:rPr>
              <w:t xml:space="preserve"> PET Hot Wash Flake Plant</w:t>
            </w:r>
          </w:p>
        </w:tc>
        <w:tc>
          <w:tcPr>
            <w:tcW w:w="1589" w:type="dxa"/>
            <w:noWrap/>
          </w:tcPr>
          <w:p w14:paraId="63A8B2F8" w14:textId="77777777" w:rsidR="00254D1D" w:rsidRPr="00A00A14" w:rsidRDefault="00254D1D">
            <w:pPr>
              <w:rPr>
                <w:sz w:val="18"/>
                <w:szCs w:val="18"/>
                <w:highlight w:val="yellow"/>
              </w:rPr>
            </w:pPr>
            <w:r w:rsidRPr="00314B3A">
              <w:rPr>
                <w:sz w:val="18"/>
                <w:szCs w:val="18"/>
              </w:rPr>
              <w:t>$1,110,000</w:t>
            </w:r>
          </w:p>
        </w:tc>
      </w:tr>
      <w:tr w:rsidR="00254D1D" w:rsidRPr="0012521E" w14:paraId="26FFBA9B" w14:textId="77777777">
        <w:tc>
          <w:tcPr>
            <w:tcW w:w="3397" w:type="dxa"/>
            <w:noWrap/>
          </w:tcPr>
          <w:p w14:paraId="06BEC10B" w14:textId="77777777" w:rsidR="00254D1D" w:rsidRPr="002D0885" w:rsidRDefault="00254D1D">
            <w:pPr>
              <w:pStyle w:val="TableText"/>
              <w:rPr>
                <w:rFonts w:ascii="Arial" w:hAnsi="Arial" w:cs="Arial"/>
                <w:sz w:val="18"/>
                <w:szCs w:val="18"/>
              </w:rPr>
            </w:pPr>
            <w:r>
              <w:rPr>
                <w:rFonts w:ascii="Arial" w:hAnsi="Arial" w:cs="Arial"/>
                <w:sz w:val="18"/>
                <w:szCs w:val="18"/>
              </w:rPr>
              <w:t>Kathmandu Pty Ltd</w:t>
            </w:r>
          </w:p>
        </w:tc>
        <w:tc>
          <w:tcPr>
            <w:tcW w:w="3969" w:type="dxa"/>
            <w:noWrap/>
          </w:tcPr>
          <w:p w14:paraId="5F00871B" w14:textId="77777777" w:rsidR="00254D1D" w:rsidRPr="002958D6" w:rsidRDefault="00254D1D">
            <w:pPr>
              <w:rPr>
                <w:sz w:val="18"/>
                <w:szCs w:val="18"/>
              </w:rPr>
            </w:pPr>
            <w:r>
              <w:rPr>
                <w:sz w:val="18"/>
                <w:szCs w:val="18"/>
              </w:rPr>
              <w:t xml:space="preserve">CE </w:t>
            </w:r>
            <w:r w:rsidRPr="00DD7179">
              <w:rPr>
                <w:sz w:val="18"/>
                <w:szCs w:val="18"/>
              </w:rPr>
              <w:t>Innovation</w:t>
            </w:r>
            <w:r>
              <w:rPr>
                <w:sz w:val="18"/>
                <w:szCs w:val="18"/>
              </w:rPr>
              <w:t xml:space="preserve"> </w:t>
            </w:r>
            <w:r w:rsidRPr="00DD7179">
              <w:rPr>
                <w:sz w:val="18"/>
                <w:szCs w:val="18"/>
              </w:rPr>
              <w:t>-</w:t>
            </w:r>
            <w:r>
              <w:rPr>
                <w:sz w:val="18"/>
                <w:szCs w:val="18"/>
              </w:rPr>
              <w:t xml:space="preserve"> </w:t>
            </w:r>
            <w:r w:rsidRPr="00DD7179">
              <w:rPr>
                <w:sz w:val="18"/>
                <w:szCs w:val="18"/>
              </w:rPr>
              <w:t>Kathmandu Apparel Life Extension Pilot with</w:t>
            </w:r>
            <w:r>
              <w:rPr>
                <w:sz w:val="18"/>
                <w:szCs w:val="18"/>
              </w:rPr>
              <w:t xml:space="preserve"> T</w:t>
            </w:r>
            <w:r w:rsidRPr="00DD7179">
              <w:rPr>
                <w:sz w:val="18"/>
                <w:szCs w:val="18"/>
              </w:rPr>
              <w:t>he Renewal Workshop</w:t>
            </w:r>
          </w:p>
        </w:tc>
        <w:tc>
          <w:tcPr>
            <w:tcW w:w="1589" w:type="dxa"/>
            <w:noWrap/>
          </w:tcPr>
          <w:p w14:paraId="324BF4EB" w14:textId="77777777" w:rsidR="00254D1D" w:rsidRDefault="00254D1D">
            <w:pPr>
              <w:rPr>
                <w:sz w:val="18"/>
                <w:szCs w:val="18"/>
              </w:rPr>
            </w:pPr>
            <w:r>
              <w:rPr>
                <w:sz w:val="18"/>
                <w:szCs w:val="18"/>
              </w:rPr>
              <w:t>$135,000</w:t>
            </w:r>
          </w:p>
        </w:tc>
      </w:tr>
      <w:tr w:rsidR="00254D1D" w:rsidRPr="0012521E" w14:paraId="07FC8C5C" w14:textId="77777777">
        <w:trPr>
          <w:trHeight w:val="357"/>
        </w:trPr>
        <w:tc>
          <w:tcPr>
            <w:tcW w:w="3397" w:type="dxa"/>
            <w:noWrap/>
          </w:tcPr>
          <w:p w14:paraId="3BA6A0FA" w14:textId="77777777" w:rsidR="00254D1D" w:rsidRDefault="00254D1D">
            <w:pPr>
              <w:pStyle w:val="TableText"/>
              <w:rPr>
                <w:rFonts w:ascii="Arial" w:hAnsi="Arial" w:cs="Arial"/>
                <w:sz w:val="18"/>
                <w:szCs w:val="18"/>
              </w:rPr>
            </w:pPr>
            <w:r w:rsidRPr="003129B0">
              <w:rPr>
                <w:rFonts w:ascii="Arial" w:hAnsi="Arial" w:cs="Arial"/>
                <w:sz w:val="18"/>
                <w:szCs w:val="18"/>
              </w:rPr>
              <w:t xml:space="preserve">Katunga Fresh </w:t>
            </w:r>
            <w:r>
              <w:rPr>
                <w:rFonts w:ascii="Arial" w:hAnsi="Arial" w:cs="Arial"/>
                <w:sz w:val="18"/>
                <w:szCs w:val="18"/>
              </w:rPr>
              <w:t>Trading Pty Ltd</w:t>
            </w:r>
          </w:p>
        </w:tc>
        <w:tc>
          <w:tcPr>
            <w:tcW w:w="3969" w:type="dxa"/>
            <w:noWrap/>
          </w:tcPr>
          <w:p w14:paraId="027A7A67" w14:textId="77777777" w:rsidR="00254D1D" w:rsidRDefault="00254D1D">
            <w:pPr>
              <w:rPr>
                <w:sz w:val="18"/>
                <w:szCs w:val="18"/>
              </w:rPr>
            </w:pPr>
            <w:r w:rsidRPr="00A83710">
              <w:rPr>
                <w:sz w:val="18"/>
                <w:szCs w:val="18"/>
              </w:rPr>
              <w:t>Northern Victoria Bioenergy Project</w:t>
            </w:r>
          </w:p>
        </w:tc>
        <w:tc>
          <w:tcPr>
            <w:tcW w:w="1589" w:type="dxa"/>
            <w:noWrap/>
          </w:tcPr>
          <w:p w14:paraId="2FB68441" w14:textId="77777777" w:rsidR="00254D1D" w:rsidRDefault="00254D1D">
            <w:pPr>
              <w:rPr>
                <w:sz w:val="18"/>
                <w:szCs w:val="18"/>
              </w:rPr>
            </w:pPr>
            <w:r w:rsidRPr="00BF7C1B">
              <w:rPr>
                <w:sz w:val="18"/>
                <w:szCs w:val="18"/>
              </w:rPr>
              <w:t>$600,000</w:t>
            </w:r>
          </w:p>
        </w:tc>
      </w:tr>
      <w:tr w:rsidR="00254D1D" w:rsidRPr="0012521E" w14:paraId="0E2C1B15" w14:textId="77777777">
        <w:tc>
          <w:tcPr>
            <w:tcW w:w="3397" w:type="dxa"/>
            <w:noWrap/>
          </w:tcPr>
          <w:p w14:paraId="7EA14843" w14:textId="77777777" w:rsidR="00254D1D" w:rsidRDefault="00254D1D">
            <w:pPr>
              <w:pStyle w:val="TableText"/>
              <w:rPr>
                <w:rFonts w:ascii="Arial" w:hAnsi="Arial" w:cs="Arial"/>
                <w:sz w:val="18"/>
                <w:szCs w:val="18"/>
              </w:rPr>
            </w:pPr>
            <w:proofErr w:type="spellStart"/>
            <w:r w:rsidRPr="007B0397">
              <w:rPr>
                <w:rFonts w:ascii="Arial" w:hAnsi="Arial" w:cs="Arial"/>
                <w:sz w:val="18"/>
                <w:szCs w:val="18"/>
              </w:rPr>
              <w:t>Kebet</w:t>
            </w:r>
            <w:proofErr w:type="spellEnd"/>
            <w:r w:rsidRPr="007B0397">
              <w:rPr>
                <w:rFonts w:ascii="Arial" w:hAnsi="Arial" w:cs="Arial"/>
                <w:sz w:val="18"/>
                <w:szCs w:val="18"/>
              </w:rPr>
              <w:t xml:space="preserve"> Packaging Services Pty Ltd</w:t>
            </w:r>
          </w:p>
        </w:tc>
        <w:tc>
          <w:tcPr>
            <w:tcW w:w="3969" w:type="dxa"/>
            <w:noWrap/>
          </w:tcPr>
          <w:p w14:paraId="0C5E1DF1" w14:textId="77777777" w:rsidR="00254D1D" w:rsidRDefault="00254D1D">
            <w:pPr>
              <w:rPr>
                <w:sz w:val="18"/>
                <w:szCs w:val="18"/>
              </w:rPr>
            </w:pPr>
            <w:r w:rsidRPr="007B0397">
              <w:rPr>
                <w:sz w:val="18"/>
                <w:szCs w:val="18"/>
              </w:rPr>
              <w:t xml:space="preserve">Arts and Culture: Let's </w:t>
            </w:r>
            <w:r>
              <w:rPr>
                <w:sz w:val="18"/>
                <w:szCs w:val="18"/>
              </w:rPr>
              <w:t>C</w:t>
            </w:r>
            <w:r w:rsidRPr="007B0397">
              <w:rPr>
                <w:sz w:val="18"/>
                <w:szCs w:val="18"/>
              </w:rPr>
              <w:t xml:space="preserve">lose the </w:t>
            </w:r>
            <w:r>
              <w:rPr>
                <w:sz w:val="18"/>
                <w:szCs w:val="18"/>
              </w:rPr>
              <w:t>L</w:t>
            </w:r>
            <w:r w:rsidRPr="007B0397">
              <w:rPr>
                <w:sz w:val="18"/>
                <w:szCs w:val="18"/>
              </w:rPr>
              <w:t>oop</w:t>
            </w:r>
          </w:p>
        </w:tc>
        <w:tc>
          <w:tcPr>
            <w:tcW w:w="1589" w:type="dxa"/>
            <w:noWrap/>
          </w:tcPr>
          <w:p w14:paraId="11AF53BC" w14:textId="77777777" w:rsidR="00254D1D" w:rsidRDefault="00254D1D">
            <w:pPr>
              <w:rPr>
                <w:sz w:val="18"/>
                <w:szCs w:val="18"/>
              </w:rPr>
            </w:pPr>
            <w:r>
              <w:rPr>
                <w:sz w:val="18"/>
                <w:szCs w:val="18"/>
              </w:rPr>
              <w:t>$113,640</w:t>
            </w:r>
          </w:p>
        </w:tc>
      </w:tr>
      <w:tr w:rsidR="00254D1D" w:rsidRPr="0012521E" w14:paraId="39037D58" w14:textId="77777777">
        <w:tc>
          <w:tcPr>
            <w:tcW w:w="3397" w:type="dxa"/>
            <w:noWrap/>
          </w:tcPr>
          <w:p w14:paraId="4D17A88E" w14:textId="77777777" w:rsidR="00254D1D" w:rsidRPr="007B0397" w:rsidRDefault="00254D1D">
            <w:pPr>
              <w:pStyle w:val="TableText"/>
              <w:rPr>
                <w:rFonts w:ascii="Arial" w:hAnsi="Arial" w:cs="Arial"/>
                <w:sz w:val="18"/>
                <w:szCs w:val="18"/>
              </w:rPr>
            </w:pPr>
            <w:r w:rsidRPr="006A5F75">
              <w:rPr>
                <w:rFonts w:ascii="Arial" w:hAnsi="Arial" w:cs="Arial"/>
                <w:sz w:val="18"/>
                <w:szCs w:val="18"/>
              </w:rPr>
              <w:t>Kensington Neighbourhood House</w:t>
            </w:r>
            <w:r>
              <w:rPr>
                <w:rFonts w:ascii="Arial" w:hAnsi="Arial" w:cs="Arial"/>
                <w:sz w:val="18"/>
                <w:szCs w:val="18"/>
              </w:rPr>
              <w:t xml:space="preserve"> Inc</w:t>
            </w:r>
          </w:p>
        </w:tc>
        <w:tc>
          <w:tcPr>
            <w:tcW w:w="3969" w:type="dxa"/>
            <w:noWrap/>
          </w:tcPr>
          <w:p w14:paraId="1FAA24B5" w14:textId="77777777" w:rsidR="00254D1D" w:rsidRPr="007B0397" w:rsidRDefault="00254D1D">
            <w:pPr>
              <w:rPr>
                <w:sz w:val="18"/>
                <w:szCs w:val="18"/>
              </w:rPr>
            </w:pPr>
            <w:r w:rsidRPr="007126C3">
              <w:rPr>
                <w:sz w:val="18"/>
                <w:szCs w:val="18"/>
              </w:rPr>
              <w:t>Kensington Community Waste Wisdoms Program (KCWWP)</w:t>
            </w:r>
          </w:p>
        </w:tc>
        <w:tc>
          <w:tcPr>
            <w:tcW w:w="1589" w:type="dxa"/>
            <w:shd w:val="clear" w:color="auto" w:fill="auto"/>
            <w:noWrap/>
          </w:tcPr>
          <w:p w14:paraId="5D4EF46A" w14:textId="77777777" w:rsidR="00254D1D" w:rsidRDefault="00254D1D">
            <w:pPr>
              <w:rPr>
                <w:sz w:val="18"/>
                <w:szCs w:val="18"/>
                <w:highlight w:val="yellow"/>
              </w:rPr>
            </w:pPr>
            <w:r w:rsidRPr="002B76CF">
              <w:rPr>
                <w:sz w:val="18"/>
                <w:szCs w:val="18"/>
              </w:rPr>
              <w:t>$25,594</w:t>
            </w:r>
          </w:p>
        </w:tc>
      </w:tr>
      <w:tr w:rsidR="00254D1D" w:rsidRPr="0012521E" w14:paraId="1C9F5A3D" w14:textId="77777777">
        <w:tc>
          <w:tcPr>
            <w:tcW w:w="3397" w:type="dxa"/>
            <w:noWrap/>
          </w:tcPr>
          <w:p w14:paraId="55EC75F4" w14:textId="77777777" w:rsidR="00254D1D" w:rsidRPr="006A5F75" w:rsidRDefault="00254D1D">
            <w:pPr>
              <w:pStyle w:val="TableText"/>
              <w:rPr>
                <w:rFonts w:ascii="Arial" w:hAnsi="Arial" w:cs="Arial"/>
                <w:sz w:val="18"/>
                <w:szCs w:val="18"/>
              </w:rPr>
            </w:pPr>
            <w:proofErr w:type="spellStart"/>
            <w:r w:rsidRPr="007D5F86">
              <w:rPr>
                <w:rFonts w:ascii="Arial" w:hAnsi="Arial" w:cs="Arial"/>
                <w:sz w:val="18"/>
                <w:szCs w:val="18"/>
              </w:rPr>
              <w:t>Kororoit</w:t>
            </w:r>
            <w:proofErr w:type="spellEnd"/>
            <w:r w:rsidRPr="007D5F86">
              <w:rPr>
                <w:rFonts w:ascii="Arial" w:hAnsi="Arial" w:cs="Arial"/>
                <w:sz w:val="18"/>
                <w:szCs w:val="18"/>
              </w:rPr>
              <w:t xml:space="preserve"> Creek Neighbourhood House Association In</w:t>
            </w:r>
            <w:r>
              <w:rPr>
                <w:rFonts w:ascii="Arial" w:hAnsi="Arial" w:cs="Arial"/>
                <w:sz w:val="18"/>
                <w:szCs w:val="18"/>
              </w:rPr>
              <w:t>c</w:t>
            </w:r>
          </w:p>
        </w:tc>
        <w:tc>
          <w:tcPr>
            <w:tcW w:w="3969" w:type="dxa"/>
            <w:noWrap/>
          </w:tcPr>
          <w:p w14:paraId="6B75FB70" w14:textId="77777777" w:rsidR="00254D1D" w:rsidRPr="007126C3" w:rsidRDefault="00254D1D">
            <w:pPr>
              <w:rPr>
                <w:sz w:val="18"/>
                <w:szCs w:val="18"/>
              </w:rPr>
            </w:pPr>
            <w:proofErr w:type="spellStart"/>
            <w:r w:rsidRPr="009F6D86">
              <w:rPr>
                <w:sz w:val="18"/>
                <w:szCs w:val="18"/>
              </w:rPr>
              <w:t>Brimbank</w:t>
            </w:r>
            <w:proofErr w:type="spellEnd"/>
            <w:r w:rsidRPr="009F6D86">
              <w:rPr>
                <w:sz w:val="18"/>
                <w:szCs w:val="18"/>
              </w:rPr>
              <w:t xml:space="preserve"> Repair Cafe and Workshop Series</w:t>
            </w:r>
          </w:p>
        </w:tc>
        <w:tc>
          <w:tcPr>
            <w:tcW w:w="1589" w:type="dxa"/>
            <w:noWrap/>
          </w:tcPr>
          <w:p w14:paraId="283BE3D0" w14:textId="77777777" w:rsidR="00254D1D" w:rsidRPr="00950744" w:rsidRDefault="00254D1D">
            <w:pPr>
              <w:rPr>
                <w:sz w:val="18"/>
                <w:szCs w:val="18"/>
              </w:rPr>
            </w:pPr>
            <w:r w:rsidRPr="00950744">
              <w:rPr>
                <w:sz w:val="18"/>
                <w:szCs w:val="18"/>
              </w:rPr>
              <w:t>$21,120</w:t>
            </w:r>
          </w:p>
        </w:tc>
      </w:tr>
      <w:tr w:rsidR="00254D1D" w14:paraId="4376AF87" w14:textId="77777777">
        <w:trPr>
          <w:trHeight w:val="300"/>
        </w:trPr>
        <w:tc>
          <w:tcPr>
            <w:tcW w:w="3397" w:type="dxa"/>
            <w:noWrap/>
          </w:tcPr>
          <w:p w14:paraId="28558810" w14:textId="77777777" w:rsidR="00254D1D" w:rsidRPr="00080FFE" w:rsidRDefault="00254D1D">
            <w:pPr>
              <w:pStyle w:val="TableText"/>
              <w:rPr>
                <w:rFonts w:ascii="Arial" w:hAnsi="Arial" w:cs="Arial"/>
                <w:sz w:val="18"/>
                <w:szCs w:val="18"/>
              </w:rPr>
            </w:pPr>
            <w:r w:rsidRPr="00080FFE">
              <w:rPr>
                <w:rFonts w:ascii="Arial" w:hAnsi="Arial" w:cs="Arial"/>
                <w:sz w:val="18"/>
                <w:szCs w:val="18"/>
              </w:rPr>
              <w:t>La Trobe University</w:t>
            </w:r>
          </w:p>
        </w:tc>
        <w:tc>
          <w:tcPr>
            <w:tcW w:w="3969" w:type="dxa"/>
            <w:noWrap/>
          </w:tcPr>
          <w:p w14:paraId="7451A69A" w14:textId="77777777" w:rsidR="00254D1D" w:rsidRPr="00080FFE" w:rsidRDefault="00254D1D">
            <w:pPr>
              <w:rPr>
                <w:sz w:val="18"/>
                <w:szCs w:val="18"/>
              </w:rPr>
            </w:pPr>
            <w:r w:rsidRPr="00080FFE">
              <w:rPr>
                <w:sz w:val="18"/>
                <w:szCs w:val="18"/>
              </w:rPr>
              <w:t>Product Assessment of a Novel Plastic Waste Recycling Technology</w:t>
            </w:r>
          </w:p>
        </w:tc>
        <w:tc>
          <w:tcPr>
            <w:tcW w:w="1589" w:type="dxa"/>
            <w:noWrap/>
          </w:tcPr>
          <w:p w14:paraId="7B714526" w14:textId="77777777" w:rsidR="00254D1D" w:rsidRPr="00080FFE" w:rsidRDefault="00254D1D">
            <w:pPr>
              <w:rPr>
                <w:sz w:val="18"/>
                <w:szCs w:val="18"/>
              </w:rPr>
            </w:pPr>
            <w:r w:rsidRPr="00080FFE">
              <w:rPr>
                <w:sz w:val="18"/>
                <w:szCs w:val="18"/>
              </w:rPr>
              <w:t>$45,000</w:t>
            </w:r>
          </w:p>
        </w:tc>
      </w:tr>
      <w:tr w:rsidR="00254D1D" w:rsidRPr="0012521E" w14:paraId="55F0E598" w14:textId="77777777">
        <w:tc>
          <w:tcPr>
            <w:tcW w:w="3397" w:type="dxa"/>
            <w:noWrap/>
          </w:tcPr>
          <w:p w14:paraId="3B389719" w14:textId="77777777" w:rsidR="00254D1D" w:rsidRPr="007D5F86" w:rsidRDefault="00254D1D">
            <w:pPr>
              <w:pStyle w:val="TableText"/>
              <w:rPr>
                <w:rFonts w:ascii="Arial" w:hAnsi="Arial" w:cs="Arial"/>
                <w:sz w:val="18"/>
                <w:szCs w:val="18"/>
              </w:rPr>
            </w:pPr>
            <w:r w:rsidRPr="00480496">
              <w:rPr>
                <w:rFonts w:ascii="Arial" w:hAnsi="Arial" w:cs="Arial"/>
                <w:sz w:val="18"/>
                <w:szCs w:val="18"/>
              </w:rPr>
              <w:t>Lalor Living and Learning Centre</w:t>
            </w:r>
            <w:r>
              <w:rPr>
                <w:rFonts w:ascii="Arial" w:hAnsi="Arial" w:cs="Arial"/>
                <w:sz w:val="18"/>
                <w:szCs w:val="18"/>
              </w:rPr>
              <w:t xml:space="preserve"> Inc</w:t>
            </w:r>
          </w:p>
        </w:tc>
        <w:tc>
          <w:tcPr>
            <w:tcW w:w="3969" w:type="dxa"/>
            <w:noWrap/>
          </w:tcPr>
          <w:p w14:paraId="050977BF" w14:textId="77777777" w:rsidR="00254D1D" w:rsidRPr="009F6D86" w:rsidRDefault="00254D1D">
            <w:pPr>
              <w:rPr>
                <w:sz w:val="18"/>
                <w:szCs w:val="18"/>
              </w:rPr>
            </w:pPr>
            <w:r w:rsidRPr="008D2FE6">
              <w:rPr>
                <w:sz w:val="18"/>
                <w:szCs w:val="18"/>
              </w:rPr>
              <w:t xml:space="preserve">Lalor Interactive Arts, Permaculture </w:t>
            </w:r>
            <w:r>
              <w:rPr>
                <w:sz w:val="18"/>
                <w:szCs w:val="18"/>
              </w:rPr>
              <w:t>a</w:t>
            </w:r>
            <w:r w:rsidRPr="008D2FE6">
              <w:rPr>
                <w:sz w:val="18"/>
                <w:szCs w:val="18"/>
              </w:rPr>
              <w:t>nd Waste Reduction Precinct Project</w:t>
            </w:r>
          </w:p>
        </w:tc>
        <w:tc>
          <w:tcPr>
            <w:tcW w:w="1589" w:type="dxa"/>
            <w:noWrap/>
          </w:tcPr>
          <w:p w14:paraId="57438FCF" w14:textId="77777777" w:rsidR="00254D1D" w:rsidRDefault="00254D1D">
            <w:pPr>
              <w:rPr>
                <w:sz w:val="18"/>
                <w:szCs w:val="18"/>
              </w:rPr>
            </w:pPr>
            <w:r>
              <w:rPr>
                <w:sz w:val="18"/>
                <w:szCs w:val="18"/>
              </w:rPr>
              <w:t>$32,450</w:t>
            </w:r>
          </w:p>
        </w:tc>
      </w:tr>
      <w:tr w:rsidR="00254D1D" w:rsidRPr="0012521E" w14:paraId="26AD623F" w14:textId="77777777">
        <w:tc>
          <w:tcPr>
            <w:tcW w:w="3397" w:type="dxa"/>
            <w:noWrap/>
          </w:tcPr>
          <w:p w14:paraId="15A4D98E" w14:textId="77777777" w:rsidR="00254D1D" w:rsidRPr="00480496" w:rsidRDefault="00254D1D">
            <w:pPr>
              <w:pStyle w:val="TableText"/>
              <w:rPr>
                <w:rFonts w:ascii="Arial" w:hAnsi="Arial" w:cs="Arial"/>
                <w:sz w:val="18"/>
                <w:szCs w:val="18"/>
              </w:rPr>
            </w:pPr>
            <w:r w:rsidRPr="00EA452C">
              <w:rPr>
                <w:rFonts w:ascii="Arial" w:hAnsi="Arial" w:cs="Arial"/>
                <w:sz w:val="18"/>
                <w:szCs w:val="18"/>
              </w:rPr>
              <w:t>Latrobe City Council</w:t>
            </w:r>
          </w:p>
        </w:tc>
        <w:tc>
          <w:tcPr>
            <w:tcW w:w="3969" w:type="dxa"/>
            <w:noWrap/>
          </w:tcPr>
          <w:p w14:paraId="703ACE30" w14:textId="77777777" w:rsidR="00254D1D" w:rsidRPr="008D2FE6" w:rsidRDefault="00254D1D">
            <w:pPr>
              <w:rPr>
                <w:sz w:val="18"/>
                <w:szCs w:val="18"/>
              </w:rPr>
            </w:pPr>
            <w:r w:rsidRPr="00DD206D">
              <w:rPr>
                <w:sz w:val="18"/>
                <w:szCs w:val="18"/>
              </w:rPr>
              <w:t>Latrobe City Sustainability Education Program</w:t>
            </w:r>
          </w:p>
        </w:tc>
        <w:tc>
          <w:tcPr>
            <w:tcW w:w="1589" w:type="dxa"/>
            <w:noWrap/>
          </w:tcPr>
          <w:p w14:paraId="1B04EAB8" w14:textId="77777777" w:rsidR="00254D1D" w:rsidRDefault="00254D1D">
            <w:pPr>
              <w:rPr>
                <w:sz w:val="18"/>
                <w:szCs w:val="18"/>
              </w:rPr>
            </w:pPr>
            <w:r>
              <w:rPr>
                <w:sz w:val="18"/>
                <w:szCs w:val="18"/>
              </w:rPr>
              <w:t>$37,400</w:t>
            </w:r>
          </w:p>
        </w:tc>
      </w:tr>
      <w:tr w:rsidR="00254D1D" w:rsidRPr="0012521E" w14:paraId="40D68E8C" w14:textId="77777777">
        <w:tc>
          <w:tcPr>
            <w:tcW w:w="3397" w:type="dxa"/>
            <w:noWrap/>
          </w:tcPr>
          <w:p w14:paraId="649ED6B6" w14:textId="77777777" w:rsidR="00254D1D" w:rsidRPr="00E611C7" w:rsidRDefault="00254D1D">
            <w:pPr>
              <w:rPr>
                <w:rFonts w:cs="Arial"/>
                <w:sz w:val="18"/>
                <w:szCs w:val="20"/>
              </w:rPr>
            </w:pPr>
            <w:proofErr w:type="spellStart"/>
            <w:r w:rsidRPr="00E611C7">
              <w:rPr>
                <w:rFonts w:cs="Arial"/>
                <w:sz w:val="18"/>
                <w:szCs w:val="20"/>
              </w:rPr>
              <w:t>Lerunter</w:t>
            </w:r>
            <w:proofErr w:type="spellEnd"/>
            <w:r w:rsidRPr="00E611C7">
              <w:rPr>
                <w:rFonts w:cs="Arial"/>
                <w:sz w:val="18"/>
                <w:szCs w:val="20"/>
              </w:rPr>
              <w:t xml:space="preserve"> Pty Ltd</w:t>
            </w:r>
          </w:p>
          <w:p w14:paraId="3C9FFD6D" w14:textId="77777777" w:rsidR="00254D1D" w:rsidRPr="00E611C7" w:rsidRDefault="00254D1D">
            <w:pPr>
              <w:pStyle w:val="TableText"/>
              <w:rPr>
                <w:rFonts w:ascii="Arial" w:hAnsi="Arial" w:cs="Arial"/>
                <w:sz w:val="18"/>
                <w:szCs w:val="18"/>
              </w:rPr>
            </w:pPr>
            <w:r w:rsidRPr="00E611C7">
              <w:rPr>
                <w:rFonts w:ascii="Arial" w:hAnsi="Arial" w:cs="Arial"/>
                <w:sz w:val="18"/>
                <w:szCs w:val="20"/>
              </w:rPr>
              <w:t>(Remote Equipment Repairs)</w:t>
            </w:r>
          </w:p>
        </w:tc>
        <w:tc>
          <w:tcPr>
            <w:tcW w:w="3969" w:type="dxa"/>
            <w:noWrap/>
          </w:tcPr>
          <w:p w14:paraId="60CA1B5B" w14:textId="77777777" w:rsidR="00254D1D" w:rsidRPr="00E611C7" w:rsidRDefault="00254D1D">
            <w:pPr>
              <w:rPr>
                <w:rFonts w:cs="Arial"/>
                <w:sz w:val="18"/>
                <w:szCs w:val="18"/>
              </w:rPr>
            </w:pPr>
            <w:r w:rsidRPr="00E611C7">
              <w:rPr>
                <w:rFonts w:cs="Arial"/>
                <w:sz w:val="18"/>
                <w:szCs w:val="20"/>
              </w:rPr>
              <w:t>R4 Circular Solutions for Textiles</w:t>
            </w:r>
          </w:p>
        </w:tc>
        <w:tc>
          <w:tcPr>
            <w:tcW w:w="1589" w:type="dxa"/>
            <w:noWrap/>
          </w:tcPr>
          <w:p w14:paraId="44886D51" w14:textId="77777777" w:rsidR="00254D1D" w:rsidRPr="00E611C7" w:rsidRDefault="00254D1D">
            <w:pPr>
              <w:rPr>
                <w:sz w:val="18"/>
                <w:szCs w:val="18"/>
              </w:rPr>
            </w:pPr>
            <w:r w:rsidRPr="00E611C7">
              <w:rPr>
                <w:sz w:val="18"/>
                <w:szCs w:val="18"/>
              </w:rPr>
              <w:t>$42,130</w:t>
            </w:r>
          </w:p>
        </w:tc>
      </w:tr>
      <w:tr w:rsidR="00254D1D" w:rsidRPr="0012521E" w14:paraId="05C3C837" w14:textId="77777777">
        <w:tc>
          <w:tcPr>
            <w:tcW w:w="3397" w:type="dxa"/>
            <w:noWrap/>
          </w:tcPr>
          <w:p w14:paraId="02276DB3" w14:textId="77777777" w:rsidR="00254D1D" w:rsidRPr="00EA452C" w:rsidRDefault="00254D1D">
            <w:pPr>
              <w:pStyle w:val="TableText"/>
              <w:rPr>
                <w:rFonts w:ascii="Arial" w:hAnsi="Arial" w:cs="Arial"/>
                <w:sz w:val="18"/>
                <w:szCs w:val="18"/>
              </w:rPr>
            </w:pPr>
            <w:r w:rsidRPr="007B7F52">
              <w:rPr>
                <w:rFonts w:ascii="Arial" w:hAnsi="Arial" w:cs="Arial"/>
                <w:sz w:val="18"/>
                <w:szCs w:val="18"/>
              </w:rPr>
              <w:t>LMS Energy Pty Ltd</w:t>
            </w:r>
          </w:p>
        </w:tc>
        <w:tc>
          <w:tcPr>
            <w:tcW w:w="3969" w:type="dxa"/>
            <w:noWrap/>
          </w:tcPr>
          <w:p w14:paraId="3DA82187" w14:textId="77777777" w:rsidR="00254D1D" w:rsidRPr="00DD206D" w:rsidRDefault="00254D1D">
            <w:pPr>
              <w:rPr>
                <w:sz w:val="18"/>
                <w:szCs w:val="18"/>
              </w:rPr>
            </w:pPr>
            <w:r w:rsidRPr="00FA4729">
              <w:rPr>
                <w:sz w:val="18"/>
                <w:szCs w:val="18"/>
              </w:rPr>
              <w:t xml:space="preserve">LMS Dry Anaerobic Digesters: Modular </w:t>
            </w:r>
            <w:r>
              <w:rPr>
                <w:sz w:val="18"/>
                <w:szCs w:val="18"/>
              </w:rPr>
              <w:t>O</w:t>
            </w:r>
            <w:r w:rsidRPr="00FA4729">
              <w:rPr>
                <w:sz w:val="18"/>
                <w:szCs w:val="18"/>
              </w:rPr>
              <w:t xml:space="preserve">rganics and </w:t>
            </w:r>
            <w:r>
              <w:rPr>
                <w:sz w:val="18"/>
                <w:szCs w:val="18"/>
              </w:rPr>
              <w:t>E</w:t>
            </w:r>
            <w:r w:rsidRPr="00FA4729">
              <w:rPr>
                <w:sz w:val="18"/>
                <w:szCs w:val="18"/>
              </w:rPr>
              <w:t xml:space="preserve">nergy </w:t>
            </w:r>
            <w:r>
              <w:rPr>
                <w:sz w:val="18"/>
                <w:szCs w:val="18"/>
              </w:rPr>
              <w:t>Re</w:t>
            </w:r>
            <w:r w:rsidRPr="00FA4729">
              <w:rPr>
                <w:sz w:val="18"/>
                <w:szCs w:val="18"/>
              </w:rPr>
              <w:t xml:space="preserve">covery </w:t>
            </w:r>
            <w:r>
              <w:rPr>
                <w:sz w:val="18"/>
                <w:szCs w:val="18"/>
              </w:rPr>
              <w:t>S</w:t>
            </w:r>
            <w:r w:rsidRPr="00FA4729">
              <w:rPr>
                <w:sz w:val="18"/>
                <w:szCs w:val="18"/>
              </w:rPr>
              <w:t>olutions</w:t>
            </w:r>
          </w:p>
        </w:tc>
        <w:tc>
          <w:tcPr>
            <w:tcW w:w="1589" w:type="dxa"/>
            <w:noWrap/>
          </w:tcPr>
          <w:p w14:paraId="761B060B" w14:textId="77777777" w:rsidR="00254D1D" w:rsidRDefault="00254D1D">
            <w:pPr>
              <w:rPr>
                <w:sz w:val="18"/>
                <w:szCs w:val="18"/>
              </w:rPr>
            </w:pPr>
            <w:r>
              <w:rPr>
                <w:sz w:val="18"/>
                <w:szCs w:val="18"/>
              </w:rPr>
              <w:t>$10,000</w:t>
            </w:r>
          </w:p>
        </w:tc>
      </w:tr>
      <w:tr w:rsidR="00254D1D" w14:paraId="663AC67F" w14:textId="77777777">
        <w:trPr>
          <w:trHeight w:val="300"/>
        </w:trPr>
        <w:tc>
          <w:tcPr>
            <w:tcW w:w="3397" w:type="dxa"/>
            <w:noWrap/>
          </w:tcPr>
          <w:p w14:paraId="42E48EF7" w14:textId="77777777" w:rsidR="00254D1D" w:rsidRPr="00540644" w:rsidRDefault="00254D1D">
            <w:pPr>
              <w:pStyle w:val="TableText"/>
              <w:rPr>
                <w:rFonts w:ascii="Arial" w:hAnsi="Arial" w:cs="Arial"/>
                <w:sz w:val="18"/>
                <w:szCs w:val="18"/>
              </w:rPr>
            </w:pPr>
            <w:r w:rsidRPr="00540644">
              <w:rPr>
                <w:rFonts w:ascii="Arial" w:hAnsi="Arial" w:cs="Arial"/>
                <w:sz w:val="18"/>
                <w:szCs w:val="18"/>
              </w:rPr>
              <w:t>Lotus Energy Recycling Pty Ltd</w:t>
            </w:r>
          </w:p>
        </w:tc>
        <w:tc>
          <w:tcPr>
            <w:tcW w:w="3969" w:type="dxa"/>
            <w:noWrap/>
          </w:tcPr>
          <w:p w14:paraId="554D8148" w14:textId="77777777" w:rsidR="00254D1D" w:rsidRPr="00540644" w:rsidRDefault="00254D1D">
            <w:pPr>
              <w:rPr>
                <w:sz w:val="18"/>
                <w:szCs w:val="18"/>
              </w:rPr>
            </w:pPr>
            <w:r w:rsidRPr="00540644">
              <w:rPr>
                <w:sz w:val="18"/>
                <w:szCs w:val="18"/>
              </w:rPr>
              <w:t>Solar-PV REUSE Protocols and National Accredited Training Program Development</w:t>
            </w:r>
          </w:p>
        </w:tc>
        <w:tc>
          <w:tcPr>
            <w:tcW w:w="1589" w:type="dxa"/>
            <w:noWrap/>
          </w:tcPr>
          <w:p w14:paraId="1965820C" w14:textId="77777777" w:rsidR="00254D1D" w:rsidRPr="00540644" w:rsidRDefault="00254D1D">
            <w:pPr>
              <w:rPr>
                <w:sz w:val="18"/>
                <w:szCs w:val="18"/>
              </w:rPr>
            </w:pPr>
            <w:r w:rsidRPr="00540644">
              <w:rPr>
                <w:sz w:val="18"/>
                <w:szCs w:val="18"/>
              </w:rPr>
              <w:t>$141,225</w:t>
            </w:r>
          </w:p>
        </w:tc>
      </w:tr>
      <w:tr w:rsidR="00254D1D" w:rsidRPr="0012521E" w14:paraId="4CFF0D83" w14:textId="77777777">
        <w:tc>
          <w:tcPr>
            <w:tcW w:w="3397" w:type="dxa"/>
            <w:noWrap/>
          </w:tcPr>
          <w:p w14:paraId="77DDE28E" w14:textId="77777777" w:rsidR="00254D1D" w:rsidRPr="007B7F52" w:rsidRDefault="00254D1D">
            <w:pPr>
              <w:pStyle w:val="TableText"/>
              <w:rPr>
                <w:rFonts w:ascii="Arial" w:hAnsi="Arial" w:cs="Arial"/>
                <w:sz w:val="18"/>
                <w:szCs w:val="18"/>
              </w:rPr>
            </w:pPr>
            <w:r w:rsidRPr="0068149F">
              <w:rPr>
                <w:rFonts w:ascii="Arial" w:hAnsi="Arial" w:cs="Arial"/>
                <w:sz w:val="18"/>
                <w:szCs w:val="18"/>
              </w:rPr>
              <w:t>Macedon Ranges Shire Council</w:t>
            </w:r>
          </w:p>
        </w:tc>
        <w:tc>
          <w:tcPr>
            <w:tcW w:w="3969" w:type="dxa"/>
            <w:noWrap/>
          </w:tcPr>
          <w:p w14:paraId="16495B6C" w14:textId="77777777" w:rsidR="00254D1D" w:rsidRPr="00FA4729" w:rsidRDefault="00254D1D">
            <w:pPr>
              <w:rPr>
                <w:sz w:val="18"/>
                <w:szCs w:val="18"/>
              </w:rPr>
            </w:pPr>
            <w:r w:rsidRPr="00222573">
              <w:rPr>
                <w:sz w:val="18"/>
                <w:szCs w:val="18"/>
              </w:rPr>
              <w:t>Macedon Ranges Shire Council - Let's Get Sorted</w:t>
            </w:r>
            <w:r>
              <w:rPr>
                <w:sz w:val="18"/>
                <w:szCs w:val="18"/>
              </w:rPr>
              <w:t xml:space="preserve"> - Household Education</w:t>
            </w:r>
          </w:p>
        </w:tc>
        <w:tc>
          <w:tcPr>
            <w:tcW w:w="1589" w:type="dxa"/>
            <w:noWrap/>
          </w:tcPr>
          <w:p w14:paraId="1744FF33" w14:textId="77777777" w:rsidR="00254D1D" w:rsidRDefault="00254D1D">
            <w:pPr>
              <w:rPr>
                <w:sz w:val="18"/>
                <w:szCs w:val="18"/>
              </w:rPr>
            </w:pPr>
            <w:r>
              <w:rPr>
                <w:sz w:val="18"/>
                <w:szCs w:val="18"/>
              </w:rPr>
              <w:t>$27,520</w:t>
            </w:r>
          </w:p>
        </w:tc>
      </w:tr>
      <w:tr w:rsidR="00254D1D" w:rsidRPr="0012521E" w14:paraId="714C6DA7" w14:textId="77777777">
        <w:tc>
          <w:tcPr>
            <w:tcW w:w="3397" w:type="dxa"/>
            <w:noWrap/>
          </w:tcPr>
          <w:p w14:paraId="6FB62717" w14:textId="77777777" w:rsidR="00254D1D" w:rsidRPr="0068149F" w:rsidRDefault="00254D1D">
            <w:pPr>
              <w:pStyle w:val="TableText"/>
              <w:rPr>
                <w:rFonts w:ascii="Arial" w:hAnsi="Arial" w:cs="Arial"/>
                <w:sz w:val="18"/>
                <w:szCs w:val="18"/>
              </w:rPr>
            </w:pPr>
            <w:r w:rsidRPr="0068149F">
              <w:rPr>
                <w:rFonts w:ascii="Arial" w:hAnsi="Arial" w:cs="Arial"/>
                <w:sz w:val="18"/>
                <w:szCs w:val="18"/>
              </w:rPr>
              <w:t>Macedon Ranges Shire Council</w:t>
            </w:r>
          </w:p>
        </w:tc>
        <w:tc>
          <w:tcPr>
            <w:tcW w:w="3969" w:type="dxa"/>
            <w:noWrap/>
          </w:tcPr>
          <w:p w14:paraId="3A0688A7" w14:textId="77777777" w:rsidR="00254D1D" w:rsidRPr="00222573" w:rsidRDefault="00254D1D">
            <w:pPr>
              <w:rPr>
                <w:sz w:val="18"/>
                <w:szCs w:val="18"/>
              </w:rPr>
            </w:pPr>
            <w:r w:rsidRPr="00A164C1">
              <w:rPr>
                <w:sz w:val="18"/>
                <w:szCs w:val="18"/>
              </w:rPr>
              <w:t xml:space="preserve">CE Councils Macedon Ranges Shire Council </w:t>
            </w:r>
            <w:proofErr w:type="spellStart"/>
            <w:r w:rsidRPr="00A164C1">
              <w:rPr>
                <w:sz w:val="18"/>
                <w:szCs w:val="18"/>
              </w:rPr>
              <w:t>ReSale</w:t>
            </w:r>
            <w:proofErr w:type="spellEnd"/>
            <w:r w:rsidRPr="00A164C1">
              <w:rPr>
                <w:sz w:val="18"/>
                <w:szCs w:val="18"/>
              </w:rPr>
              <w:t xml:space="preserve"> </w:t>
            </w:r>
            <w:r>
              <w:rPr>
                <w:sz w:val="18"/>
                <w:szCs w:val="18"/>
              </w:rPr>
              <w:t>S</w:t>
            </w:r>
            <w:r w:rsidRPr="00A164C1">
              <w:rPr>
                <w:sz w:val="18"/>
                <w:szCs w:val="18"/>
              </w:rPr>
              <w:t>hops at Romsey and Kyneton</w:t>
            </w:r>
          </w:p>
        </w:tc>
        <w:tc>
          <w:tcPr>
            <w:tcW w:w="1589" w:type="dxa"/>
            <w:noWrap/>
          </w:tcPr>
          <w:p w14:paraId="27B54CB4" w14:textId="77777777" w:rsidR="00254D1D" w:rsidRDefault="00254D1D">
            <w:pPr>
              <w:rPr>
                <w:sz w:val="18"/>
                <w:szCs w:val="18"/>
                <w:highlight w:val="yellow"/>
              </w:rPr>
            </w:pPr>
            <w:r w:rsidRPr="002C264D">
              <w:rPr>
                <w:sz w:val="18"/>
                <w:szCs w:val="18"/>
              </w:rPr>
              <w:t>$150,066</w:t>
            </w:r>
          </w:p>
        </w:tc>
      </w:tr>
      <w:tr w:rsidR="00254D1D" w:rsidRPr="0012521E" w14:paraId="50709A02" w14:textId="77777777">
        <w:tc>
          <w:tcPr>
            <w:tcW w:w="3397" w:type="dxa"/>
            <w:noWrap/>
          </w:tcPr>
          <w:p w14:paraId="1C179ED3" w14:textId="77777777" w:rsidR="00254D1D" w:rsidRPr="0068149F" w:rsidRDefault="00254D1D">
            <w:pPr>
              <w:pStyle w:val="TableText"/>
              <w:rPr>
                <w:rFonts w:ascii="Arial" w:hAnsi="Arial" w:cs="Arial"/>
                <w:sz w:val="18"/>
                <w:szCs w:val="18"/>
              </w:rPr>
            </w:pPr>
            <w:r w:rsidRPr="0068149F">
              <w:rPr>
                <w:rFonts w:ascii="Arial" w:hAnsi="Arial" w:cs="Arial"/>
                <w:sz w:val="18"/>
                <w:szCs w:val="18"/>
              </w:rPr>
              <w:t>Macedon Ranges Shire Council</w:t>
            </w:r>
          </w:p>
        </w:tc>
        <w:tc>
          <w:tcPr>
            <w:tcW w:w="3969" w:type="dxa"/>
            <w:noWrap/>
          </w:tcPr>
          <w:p w14:paraId="5134C191" w14:textId="77777777" w:rsidR="00254D1D" w:rsidRPr="00A164C1" w:rsidRDefault="00254D1D">
            <w:pPr>
              <w:rPr>
                <w:sz w:val="18"/>
                <w:szCs w:val="18"/>
              </w:rPr>
            </w:pPr>
            <w:r w:rsidRPr="004B4EC9">
              <w:rPr>
                <w:sz w:val="18"/>
                <w:szCs w:val="18"/>
              </w:rPr>
              <w:t>CCCEA RD3 Energy Efficiency Upgrades - Macedon Ranges Shire Council</w:t>
            </w:r>
          </w:p>
        </w:tc>
        <w:tc>
          <w:tcPr>
            <w:tcW w:w="1589" w:type="dxa"/>
            <w:noWrap/>
          </w:tcPr>
          <w:p w14:paraId="6FF2CB5D" w14:textId="77777777" w:rsidR="00254D1D" w:rsidRDefault="00254D1D">
            <w:pPr>
              <w:rPr>
                <w:sz w:val="18"/>
                <w:szCs w:val="18"/>
              </w:rPr>
            </w:pPr>
            <w:r>
              <w:rPr>
                <w:sz w:val="18"/>
                <w:szCs w:val="18"/>
              </w:rPr>
              <w:t>$3,361</w:t>
            </w:r>
          </w:p>
        </w:tc>
      </w:tr>
      <w:tr w:rsidR="00254D1D" w:rsidRPr="0012521E" w14:paraId="19ED6ACC" w14:textId="77777777">
        <w:tc>
          <w:tcPr>
            <w:tcW w:w="3397" w:type="dxa"/>
            <w:noWrap/>
          </w:tcPr>
          <w:p w14:paraId="0AD115DF" w14:textId="77777777" w:rsidR="00254D1D" w:rsidRPr="0068149F" w:rsidRDefault="00254D1D">
            <w:pPr>
              <w:pStyle w:val="TableText"/>
              <w:rPr>
                <w:rFonts w:ascii="Arial" w:hAnsi="Arial" w:cs="Arial"/>
                <w:sz w:val="18"/>
                <w:szCs w:val="18"/>
              </w:rPr>
            </w:pPr>
            <w:r w:rsidRPr="007911F5">
              <w:rPr>
                <w:rFonts w:ascii="Arial" w:hAnsi="Arial" w:cs="Arial"/>
                <w:sz w:val="18"/>
                <w:szCs w:val="18"/>
              </w:rPr>
              <w:t>Manningtree Corporation Pty Ltd</w:t>
            </w:r>
          </w:p>
        </w:tc>
        <w:tc>
          <w:tcPr>
            <w:tcW w:w="3969" w:type="dxa"/>
            <w:noWrap/>
          </w:tcPr>
          <w:p w14:paraId="1240C902" w14:textId="77777777" w:rsidR="00254D1D" w:rsidRPr="004B4EC9" w:rsidRDefault="00254D1D">
            <w:pPr>
              <w:rPr>
                <w:sz w:val="18"/>
                <w:szCs w:val="18"/>
              </w:rPr>
            </w:pPr>
            <w:proofErr w:type="spellStart"/>
            <w:r w:rsidRPr="008864F0">
              <w:rPr>
                <w:sz w:val="18"/>
                <w:szCs w:val="18"/>
              </w:rPr>
              <w:t>BioChar</w:t>
            </w:r>
            <w:proofErr w:type="spellEnd"/>
            <w:r w:rsidRPr="008864F0">
              <w:rPr>
                <w:sz w:val="18"/>
                <w:szCs w:val="18"/>
              </w:rPr>
              <w:t xml:space="preserve"> Elmore – Reducing Organic Waste to Landfill</w:t>
            </w:r>
          </w:p>
        </w:tc>
        <w:tc>
          <w:tcPr>
            <w:tcW w:w="1589" w:type="dxa"/>
            <w:noWrap/>
          </w:tcPr>
          <w:p w14:paraId="5A6BFFA8" w14:textId="77777777" w:rsidR="00254D1D" w:rsidRPr="00F32EDE" w:rsidRDefault="00254D1D">
            <w:pPr>
              <w:rPr>
                <w:sz w:val="18"/>
                <w:szCs w:val="18"/>
              </w:rPr>
            </w:pPr>
            <w:r>
              <w:rPr>
                <w:sz w:val="18"/>
                <w:szCs w:val="18"/>
              </w:rPr>
              <w:t>$</w:t>
            </w:r>
            <w:r w:rsidRPr="00F32EDE">
              <w:rPr>
                <w:sz w:val="18"/>
                <w:szCs w:val="18"/>
              </w:rPr>
              <w:t>80,000</w:t>
            </w:r>
          </w:p>
          <w:p w14:paraId="7C3BB721" w14:textId="77777777" w:rsidR="00254D1D" w:rsidRDefault="00254D1D">
            <w:pPr>
              <w:rPr>
                <w:sz w:val="18"/>
                <w:szCs w:val="18"/>
              </w:rPr>
            </w:pPr>
          </w:p>
        </w:tc>
      </w:tr>
      <w:tr w:rsidR="00254D1D" w:rsidRPr="0012521E" w14:paraId="57EA8F18" w14:textId="77777777">
        <w:tc>
          <w:tcPr>
            <w:tcW w:w="3397" w:type="dxa"/>
            <w:noWrap/>
          </w:tcPr>
          <w:p w14:paraId="4426C6B0" w14:textId="77777777" w:rsidR="00254D1D" w:rsidRPr="007911F5" w:rsidRDefault="00254D1D">
            <w:pPr>
              <w:pStyle w:val="TableText"/>
              <w:rPr>
                <w:rFonts w:ascii="Arial" w:hAnsi="Arial" w:cs="Arial"/>
                <w:sz w:val="18"/>
                <w:szCs w:val="18"/>
              </w:rPr>
            </w:pPr>
            <w:r w:rsidRPr="00507FDC">
              <w:rPr>
                <w:rFonts w:ascii="Arial" w:hAnsi="Arial" w:cs="Arial"/>
                <w:sz w:val="18"/>
                <w:szCs w:val="18"/>
              </w:rPr>
              <w:t>Mansfield Shire Council</w:t>
            </w:r>
          </w:p>
        </w:tc>
        <w:tc>
          <w:tcPr>
            <w:tcW w:w="3969" w:type="dxa"/>
            <w:noWrap/>
          </w:tcPr>
          <w:p w14:paraId="1EA118B8" w14:textId="77777777" w:rsidR="00254D1D" w:rsidRPr="008864F0" w:rsidRDefault="00254D1D">
            <w:pPr>
              <w:rPr>
                <w:sz w:val="18"/>
                <w:szCs w:val="18"/>
              </w:rPr>
            </w:pPr>
            <w:r w:rsidRPr="00C70827">
              <w:rPr>
                <w:sz w:val="18"/>
                <w:szCs w:val="18"/>
              </w:rPr>
              <w:t xml:space="preserve">Mansfield </w:t>
            </w:r>
            <w:r>
              <w:rPr>
                <w:sz w:val="18"/>
                <w:szCs w:val="18"/>
              </w:rPr>
              <w:t>S</w:t>
            </w:r>
            <w:r w:rsidRPr="00C70827">
              <w:rPr>
                <w:sz w:val="18"/>
                <w:szCs w:val="18"/>
              </w:rPr>
              <w:t xml:space="preserve">hire's </w:t>
            </w:r>
            <w:r>
              <w:rPr>
                <w:sz w:val="18"/>
                <w:szCs w:val="18"/>
              </w:rPr>
              <w:t>I</w:t>
            </w:r>
            <w:r w:rsidRPr="00C70827">
              <w:rPr>
                <w:sz w:val="18"/>
                <w:szCs w:val="18"/>
              </w:rPr>
              <w:t xml:space="preserve">mprovement and </w:t>
            </w:r>
            <w:r>
              <w:rPr>
                <w:sz w:val="18"/>
                <w:szCs w:val="18"/>
              </w:rPr>
              <w:t>P</w:t>
            </w:r>
            <w:r w:rsidRPr="00C70827">
              <w:rPr>
                <w:sz w:val="18"/>
                <w:szCs w:val="18"/>
              </w:rPr>
              <w:t xml:space="preserve">romotion of </w:t>
            </w:r>
            <w:r>
              <w:rPr>
                <w:sz w:val="18"/>
                <w:szCs w:val="18"/>
              </w:rPr>
              <w:t>R</w:t>
            </w:r>
            <w:r w:rsidRPr="00C70827">
              <w:rPr>
                <w:sz w:val="18"/>
                <w:szCs w:val="18"/>
              </w:rPr>
              <w:t xml:space="preserve">ecycling </w:t>
            </w:r>
            <w:r>
              <w:rPr>
                <w:sz w:val="18"/>
                <w:szCs w:val="18"/>
              </w:rPr>
              <w:t>S</w:t>
            </w:r>
            <w:r w:rsidRPr="00C70827">
              <w:rPr>
                <w:sz w:val="18"/>
                <w:szCs w:val="18"/>
              </w:rPr>
              <w:t>ervice</w:t>
            </w:r>
            <w:r>
              <w:rPr>
                <w:sz w:val="18"/>
                <w:szCs w:val="18"/>
              </w:rPr>
              <w:t>s – Household Education</w:t>
            </w:r>
          </w:p>
        </w:tc>
        <w:tc>
          <w:tcPr>
            <w:tcW w:w="1589" w:type="dxa"/>
            <w:noWrap/>
          </w:tcPr>
          <w:p w14:paraId="253E08F6" w14:textId="77777777" w:rsidR="00254D1D" w:rsidRDefault="00254D1D">
            <w:pPr>
              <w:rPr>
                <w:sz w:val="18"/>
                <w:szCs w:val="18"/>
              </w:rPr>
            </w:pPr>
            <w:r>
              <w:rPr>
                <w:sz w:val="18"/>
                <w:szCs w:val="18"/>
              </w:rPr>
              <w:t>$23,850</w:t>
            </w:r>
          </w:p>
        </w:tc>
      </w:tr>
      <w:tr w:rsidR="00254D1D" w:rsidRPr="0012521E" w14:paraId="34F9BBA2" w14:textId="77777777">
        <w:tc>
          <w:tcPr>
            <w:tcW w:w="3397" w:type="dxa"/>
            <w:noWrap/>
          </w:tcPr>
          <w:p w14:paraId="5C8081BB" w14:textId="77777777" w:rsidR="00254D1D" w:rsidRDefault="00254D1D">
            <w:pPr>
              <w:pStyle w:val="TableText"/>
              <w:rPr>
                <w:rFonts w:ascii="Arial" w:hAnsi="Arial" w:cs="Arial"/>
                <w:sz w:val="18"/>
                <w:szCs w:val="18"/>
              </w:rPr>
            </w:pPr>
            <w:r w:rsidRPr="0050768D">
              <w:rPr>
                <w:rFonts w:ascii="Arial" w:hAnsi="Arial" w:cs="Arial"/>
                <w:sz w:val="18"/>
                <w:szCs w:val="18"/>
              </w:rPr>
              <w:t xml:space="preserve">Max </w:t>
            </w:r>
            <w:proofErr w:type="spellStart"/>
            <w:r w:rsidRPr="0050768D">
              <w:rPr>
                <w:rFonts w:ascii="Arial" w:hAnsi="Arial" w:cs="Arial"/>
                <w:sz w:val="18"/>
                <w:szCs w:val="18"/>
              </w:rPr>
              <w:t>Biocare</w:t>
            </w:r>
            <w:proofErr w:type="spellEnd"/>
            <w:r w:rsidRPr="0050768D">
              <w:rPr>
                <w:rFonts w:ascii="Arial" w:hAnsi="Arial" w:cs="Arial"/>
                <w:sz w:val="18"/>
                <w:szCs w:val="18"/>
              </w:rPr>
              <w:t xml:space="preserve"> Pty Ltd</w:t>
            </w:r>
          </w:p>
        </w:tc>
        <w:tc>
          <w:tcPr>
            <w:tcW w:w="3969" w:type="dxa"/>
            <w:noWrap/>
          </w:tcPr>
          <w:p w14:paraId="48FDBFFF" w14:textId="77777777" w:rsidR="00254D1D" w:rsidRPr="00BE592B" w:rsidRDefault="00254D1D">
            <w:pPr>
              <w:rPr>
                <w:rFonts w:cs="Arial"/>
                <w:sz w:val="18"/>
                <w:szCs w:val="18"/>
              </w:rPr>
            </w:pPr>
            <w:r w:rsidRPr="00BA1513">
              <w:rPr>
                <w:rFonts w:cs="Arial"/>
                <w:sz w:val="18"/>
                <w:szCs w:val="18"/>
              </w:rPr>
              <w:t xml:space="preserve">Fungi in </w:t>
            </w:r>
            <w:proofErr w:type="spellStart"/>
            <w:r w:rsidRPr="00BA1513">
              <w:rPr>
                <w:rFonts w:cs="Arial"/>
                <w:sz w:val="18"/>
                <w:szCs w:val="18"/>
              </w:rPr>
              <w:t>BioEnergy</w:t>
            </w:r>
            <w:proofErr w:type="spellEnd"/>
          </w:p>
        </w:tc>
        <w:tc>
          <w:tcPr>
            <w:tcW w:w="1589" w:type="dxa"/>
            <w:noWrap/>
          </w:tcPr>
          <w:p w14:paraId="49BB640A" w14:textId="77777777" w:rsidR="00254D1D" w:rsidRDefault="00254D1D">
            <w:pPr>
              <w:rPr>
                <w:sz w:val="18"/>
                <w:szCs w:val="18"/>
                <w:highlight w:val="yellow"/>
              </w:rPr>
            </w:pPr>
            <w:r w:rsidRPr="0001066C">
              <w:rPr>
                <w:sz w:val="18"/>
                <w:szCs w:val="18"/>
              </w:rPr>
              <w:t>$18,000</w:t>
            </w:r>
          </w:p>
        </w:tc>
      </w:tr>
      <w:tr w:rsidR="00254D1D" w:rsidRPr="0012521E" w14:paraId="143530B4" w14:textId="77777777">
        <w:tc>
          <w:tcPr>
            <w:tcW w:w="3397" w:type="dxa"/>
            <w:noWrap/>
          </w:tcPr>
          <w:p w14:paraId="6BA0142F" w14:textId="77777777" w:rsidR="00254D1D" w:rsidRDefault="00254D1D">
            <w:pPr>
              <w:pStyle w:val="TableText"/>
              <w:rPr>
                <w:rFonts w:ascii="Arial" w:hAnsi="Arial" w:cs="Arial"/>
                <w:sz w:val="18"/>
                <w:szCs w:val="18"/>
              </w:rPr>
            </w:pPr>
            <w:r w:rsidRPr="00C5082C">
              <w:rPr>
                <w:rFonts w:ascii="Arial" w:hAnsi="Arial" w:cs="Arial"/>
                <w:sz w:val="18"/>
                <w:szCs w:val="18"/>
              </w:rPr>
              <w:t>Melbourne City Council</w:t>
            </w:r>
            <w:r>
              <w:rPr>
                <w:rFonts w:ascii="Arial" w:hAnsi="Arial" w:cs="Arial"/>
                <w:sz w:val="18"/>
                <w:szCs w:val="18"/>
              </w:rPr>
              <w:t xml:space="preserve"> </w:t>
            </w:r>
          </w:p>
          <w:p w14:paraId="77334336" w14:textId="77777777" w:rsidR="00254D1D" w:rsidRDefault="00254D1D">
            <w:pPr>
              <w:pStyle w:val="TableText"/>
              <w:rPr>
                <w:rFonts w:ascii="Arial" w:hAnsi="Arial" w:cs="Arial"/>
                <w:sz w:val="18"/>
                <w:szCs w:val="18"/>
              </w:rPr>
            </w:pPr>
            <w:r>
              <w:rPr>
                <w:rFonts w:ascii="Arial" w:hAnsi="Arial" w:cs="Arial"/>
                <w:sz w:val="18"/>
                <w:szCs w:val="18"/>
              </w:rPr>
              <w:t>(City of Melbourne)</w:t>
            </w:r>
          </w:p>
        </w:tc>
        <w:tc>
          <w:tcPr>
            <w:tcW w:w="3969" w:type="dxa"/>
            <w:noWrap/>
          </w:tcPr>
          <w:p w14:paraId="04A65D71" w14:textId="77777777" w:rsidR="00254D1D" w:rsidRDefault="00254D1D">
            <w:pPr>
              <w:rPr>
                <w:rFonts w:cs="Arial"/>
                <w:sz w:val="18"/>
                <w:szCs w:val="18"/>
              </w:rPr>
            </w:pPr>
            <w:r w:rsidRPr="002D5CC4">
              <w:rPr>
                <w:rFonts w:cs="Arial"/>
                <w:sz w:val="18"/>
                <w:szCs w:val="18"/>
              </w:rPr>
              <w:t xml:space="preserve">City of Melbourne's </w:t>
            </w:r>
            <w:r>
              <w:rPr>
                <w:rFonts w:cs="Arial"/>
                <w:sz w:val="18"/>
                <w:szCs w:val="18"/>
              </w:rPr>
              <w:t>S</w:t>
            </w:r>
            <w:r w:rsidRPr="002D5CC4">
              <w:rPr>
                <w:rFonts w:cs="Arial"/>
                <w:sz w:val="18"/>
                <w:szCs w:val="18"/>
              </w:rPr>
              <w:t xml:space="preserve">taged </w:t>
            </w:r>
            <w:r>
              <w:rPr>
                <w:rFonts w:cs="Arial"/>
                <w:sz w:val="18"/>
                <w:szCs w:val="18"/>
              </w:rPr>
              <w:t>O</w:t>
            </w:r>
            <w:r w:rsidRPr="002D5CC4">
              <w:rPr>
                <w:rFonts w:cs="Arial"/>
                <w:sz w:val="18"/>
                <w:szCs w:val="18"/>
              </w:rPr>
              <w:t xml:space="preserve">rganics </w:t>
            </w:r>
            <w:r>
              <w:rPr>
                <w:rFonts w:cs="Arial"/>
                <w:sz w:val="18"/>
                <w:szCs w:val="18"/>
              </w:rPr>
              <w:t>C</w:t>
            </w:r>
            <w:r w:rsidRPr="002D5CC4">
              <w:rPr>
                <w:rFonts w:cs="Arial"/>
                <w:sz w:val="18"/>
                <w:szCs w:val="18"/>
              </w:rPr>
              <w:t xml:space="preserve">ollection </w:t>
            </w:r>
            <w:r>
              <w:rPr>
                <w:rFonts w:cs="Arial"/>
                <w:sz w:val="18"/>
                <w:szCs w:val="18"/>
              </w:rPr>
              <w:t>S</w:t>
            </w:r>
            <w:r w:rsidRPr="002D5CC4">
              <w:rPr>
                <w:rFonts w:cs="Arial"/>
                <w:sz w:val="18"/>
                <w:szCs w:val="18"/>
              </w:rPr>
              <w:t xml:space="preserve">ervice </w:t>
            </w:r>
            <w:r>
              <w:rPr>
                <w:rFonts w:cs="Arial"/>
                <w:sz w:val="18"/>
                <w:szCs w:val="18"/>
              </w:rPr>
              <w:t>R</w:t>
            </w:r>
            <w:r w:rsidRPr="002D5CC4">
              <w:rPr>
                <w:rFonts w:cs="Arial"/>
                <w:sz w:val="18"/>
                <w:szCs w:val="18"/>
              </w:rPr>
              <w:t xml:space="preserve">ollout for </w:t>
            </w:r>
            <w:r>
              <w:rPr>
                <w:rFonts w:cs="Arial"/>
                <w:sz w:val="18"/>
                <w:szCs w:val="18"/>
              </w:rPr>
              <w:t>L</w:t>
            </w:r>
            <w:r w:rsidRPr="002D5CC4">
              <w:rPr>
                <w:rFonts w:cs="Arial"/>
                <w:sz w:val="18"/>
                <w:szCs w:val="18"/>
              </w:rPr>
              <w:t>ow</w:t>
            </w:r>
            <w:r>
              <w:rPr>
                <w:rFonts w:cs="Arial"/>
                <w:sz w:val="18"/>
                <w:szCs w:val="18"/>
              </w:rPr>
              <w:t xml:space="preserve"> R</w:t>
            </w:r>
            <w:r w:rsidRPr="002D5CC4">
              <w:rPr>
                <w:rFonts w:cs="Arial"/>
                <w:sz w:val="18"/>
                <w:szCs w:val="18"/>
              </w:rPr>
              <w:t xml:space="preserve">ise </w:t>
            </w:r>
          </w:p>
          <w:p w14:paraId="7D5B5E09" w14:textId="77777777" w:rsidR="00254D1D" w:rsidRPr="00BE592B" w:rsidRDefault="00254D1D">
            <w:pPr>
              <w:rPr>
                <w:rFonts w:cs="Arial"/>
                <w:sz w:val="18"/>
                <w:szCs w:val="18"/>
              </w:rPr>
            </w:pPr>
            <w:r>
              <w:rPr>
                <w:rFonts w:cs="Arial"/>
                <w:sz w:val="18"/>
                <w:szCs w:val="18"/>
              </w:rPr>
              <w:t>Multi-use Dwellings – Household Education</w:t>
            </w:r>
          </w:p>
        </w:tc>
        <w:tc>
          <w:tcPr>
            <w:tcW w:w="1589" w:type="dxa"/>
            <w:noWrap/>
          </w:tcPr>
          <w:p w14:paraId="353382FF" w14:textId="77777777" w:rsidR="00254D1D" w:rsidRDefault="00254D1D">
            <w:pPr>
              <w:rPr>
                <w:sz w:val="18"/>
                <w:szCs w:val="18"/>
              </w:rPr>
            </w:pPr>
            <w:r w:rsidRPr="65E029B8">
              <w:rPr>
                <w:sz w:val="18"/>
                <w:szCs w:val="18"/>
              </w:rPr>
              <w:t>$10,430</w:t>
            </w:r>
          </w:p>
        </w:tc>
      </w:tr>
      <w:tr w:rsidR="00254D1D" w:rsidRPr="0012521E" w14:paraId="04E59823" w14:textId="77777777">
        <w:tc>
          <w:tcPr>
            <w:tcW w:w="3397" w:type="dxa"/>
            <w:noWrap/>
          </w:tcPr>
          <w:p w14:paraId="579A287B" w14:textId="77777777" w:rsidR="00254D1D" w:rsidRDefault="00254D1D">
            <w:pPr>
              <w:pStyle w:val="TableText"/>
              <w:rPr>
                <w:rFonts w:ascii="Arial" w:hAnsi="Arial" w:cs="Arial"/>
                <w:sz w:val="18"/>
                <w:szCs w:val="18"/>
              </w:rPr>
            </w:pPr>
            <w:r w:rsidRPr="00C5082C">
              <w:rPr>
                <w:rFonts w:ascii="Arial" w:hAnsi="Arial" w:cs="Arial"/>
                <w:sz w:val="18"/>
                <w:szCs w:val="18"/>
              </w:rPr>
              <w:t>Melbourne City Council</w:t>
            </w:r>
            <w:r>
              <w:rPr>
                <w:rFonts w:ascii="Arial" w:hAnsi="Arial" w:cs="Arial"/>
                <w:sz w:val="18"/>
                <w:szCs w:val="18"/>
              </w:rPr>
              <w:t xml:space="preserve"> </w:t>
            </w:r>
          </w:p>
          <w:p w14:paraId="500FCE46" w14:textId="77777777" w:rsidR="00254D1D" w:rsidRPr="00C5082C" w:rsidRDefault="00254D1D">
            <w:pPr>
              <w:pStyle w:val="TableText"/>
              <w:rPr>
                <w:rFonts w:ascii="Arial" w:hAnsi="Arial" w:cs="Arial"/>
                <w:sz w:val="18"/>
                <w:szCs w:val="18"/>
              </w:rPr>
            </w:pPr>
            <w:r>
              <w:rPr>
                <w:rFonts w:ascii="Arial" w:hAnsi="Arial" w:cs="Arial"/>
                <w:sz w:val="18"/>
                <w:szCs w:val="18"/>
              </w:rPr>
              <w:t>(City of Melbourne)</w:t>
            </w:r>
          </w:p>
        </w:tc>
        <w:tc>
          <w:tcPr>
            <w:tcW w:w="3969" w:type="dxa"/>
            <w:noWrap/>
          </w:tcPr>
          <w:p w14:paraId="09693A3C" w14:textId="77777777" w:rsidR="00254D1D" w:rsidRPr="002D5CC4" w:rsidRDefault="00254D1D">
            <w:pPr>
              <w:rPr>
                <w:rFonts w:cs="Arial"/>
                <w:sz w:val="18"/>
                <w:szCs w:val="18"/>
              </w:rPr>
            </w:pPr>
            <w:r w:rsidRPr="00336F2D">
              <w:rPr>
                <w:rFonts w:cs="Arial"/>
                <w:sz w:val="18"/>
                <w:szCs w:val="18"/>
              </w:rPr>
              <w:t>CE Councils Melbourne: Kensington Circular Economy Precinct</w:t>
            </w:r>
          </w:p>
        </w:tc>
        <w:tc>
          <w:tcPr>
            <w:tcW w:w="1589" w:type="dxa"/>
            <w:noWrap/>
          </w:tcPr>
          <w:p w14:paraId="24EBCB5E" w14:textId="77777777" w:rsidR="00254D1D" w:rsidRDefault="00254D1D">
            <w:pPr>
              <w:rPr>
                <w:sz w:val="18"/>
                <w:szCs w:val="18"/>
              </w:rPr>
            </w:pPr>
            <w:r>
              <w:rPr>
                <w:sz w:val="18"/>
                <w:szCs w:val="18"/>
              </w:rPr>
              <w:t>$220,000</w:t>
            </w:r>
          </w:p>
        </w:tc>
      </w:tr>
      <w:tr w:rsidR="00254D1D" w:rsidRPr="0012521E" w14:paraId="39BF5EB5" w14:textId="77777777">
        <w:tc>
          <w:tcPr>
            <w:tcW w:w="3397" w:type="dxa"/>
            <w:noWrap/>
          </w:tcPr>
          <w:p w14:paraId="770A3906" w14:textId="77777777" w:rsidR="00254D1D" w:rsidRDefault="00254D1D">
            <w:pPr>
              <w:pStyle w:val="TableText"/>
              <w:rPr>
                <w:rFonts w:ascii="Arial" w:hAnsi="Arial" w:cs="Arial"/>
                <w:sz w:val="18"/>
                <w:szCs w:val="18"/>
              </w:rPr>
            </w:pPr>
            <w:r>
              <w:rPr>
                <w:rFonts w:ascii="Arial" w:hAnsi="Arial" w:cs="Arial"/>
                <w:sz w:val="18"/>
                <w:szCs w:val="18"/>
              </w:rPr>
              <w:t>Melbourne Water Corporation</w:t>
            </w:r>
          </w:p>
        </w:tc>
        <w:tc>
          <w:tcPr>
            <w:tcW w:w="3969" w:type="dxa"/>
            <w:noWrap/>
          </w:tcPr>
          <w:p w14:paraId="5E3A91DD" w14:textId="77777777" w:rsidR="00254D1D" w:rsidRPr="00BE592B" w:rsidRDefault="00254D1D">
            <w:pPr>
              <w:rPr>
                <w:rFonts w:cs="Arial"/>
                <w:sz w:val="18"/>
                <w:szCs w:val="18"/>
              </w:rPr>
            </w:pPr>
            <w:r w:rsidRPr="00023D77">
              <w:rPr>
                <w:rFonts w:cs="Arial"/>
                <w:sz w:val="18"/>
                <w:szCs w:val="18"/>
              </w:rPr>
              <w:t xml:space="preserve">Enhancing </w:t>
            </w:r>
            <w:r>
              <w:rPr>
                <w:rFonts w:cs="Arial"/>
                <w:sz w:val="18"/>
                <w:szCs w:val="18"/>
              </w:rPr>
              <w:t>U</w:t>
            </w:r>
            <w:r w:rsidRPr="00023D77">
              <w:rPr>
                <w:rFonts w:cs="Arial"/>
                <w:sz w:val="18"/>
                <w:szCs w:val="18"/>
              </w:rPr>
              <w:t xml:space="preserve">ptake of </w:t>
            </w:r>
            <w:r>
              <w:rPr>
                <w:rFonts w:cs="Arial"/>
                <w:sz w:val="18"/>
                <w:szCs w:val="18"/>
              </w:rPr>
              <w:t>C</w:t>
            </w:r>
            <w:r w:rsidRPr="00023D77">
              <w:rPr>
                <w:rFonts w:cs="Arial"/>
                <w:sz w:val="18"/>
                <w:szCs w:val="18"/>
              </w:rPr>
              <w:t xml:space="preserve">omposted </w:t>
            </w:r>
            <w:r>
              <w:rPr>
                <w:rFonts w:cs="Arial"/>
                <w:sz w:val="18"/>
                <w:szCs w:val="18"/>
              </w:rPr>
              <w:t>R</w:t>
            </w:r>
            <w:r w:rsidRPr="00023D77">
              <w:rPr>
                <w:rFonts w:cs="Arial"/>
                <w:sz w:val="18"/>
                <w:szCs w:val="18"/>
              </w:rPr>
              <w:t xml:space="preserve">ecycled </w:t>
            </w:r>
            <w:r>
              <w:rPr>
                <w:rFonts w:cs="Arial"/>
                <w:sz w:val="18"/>
                <w:szCs w:val="18"/>
              </w:rPr>
              <w:t>G</w:t>
            </w:r>
            <w:r w:rsidRPr="00023D77">
              <w:rPr>
                <w:rFonts w:cs="Arial"/>
                <w:sz w:val="18"/>
                <w:szCs w:val="18"/>
              </w:rPr>
              <w:t xml:space="preserve">reen </w:t>
            </w:r>
            <w:r>
              <w:rPr>
                <w:rFonts w:cs="Arial"/>
                <w:sz w:val="18"/>
                <w:szCs w:val="18"/>
              </w:rPr>
              <w:t>W</w:t>
            </w:r>
            <w:r w:rsidRPr="00023D77">
              <w:rPr>
                <w:rFonts w:cs="Arial"/>
                <w:sz w:val="18"/>
                <w:szCs w:val="18"/>
              </w:rPr>
              <w:t xml:space="preserve">aste in Victorian </w:t>
            </w:r>
            <w:r>
              <w:rPr>
                <w:rFonts w:cs="Arial"/>
                <w:sz w:val="18"/>
                <w:szCs w:val="18"/>
              </w:rPr>
              <w:t>V</w:t>
            </w:r>
            <w:r w:rsidRPr="00023D77">
              <w:rPr>
                <w:rFonts w:cs="Arial"/>
                <w:sz w:val="18"/>
                <w:szCs w:val="18"/>
              </w:rPr>
              <w:t>ineyards</w:t>
            </w:r>
          </w:p>
        </w:tc>
        <w:tc>
          <w:tcPr>
            <w:tcW w:w="1589" w:type="dxa"/>
            <w:noWrap/>
          </w:tcPr>
          <w:p w14:paraId="07FAC0B4" w14:textId="77777777" w:rsidR="00254D1D" w:rsidRDefault="00254D1D">
            <w:pPr>
              <w:rPr>
                <w:sz w:val="18"/>
                <w:szCs w:val="18"/>
              </w:rPr>
            </w:pPr>
            <w:r>
              <w:rPr>
                <w:sz w:val="18"/>
                <w:szCs w:val="18"/>
              </w:rPr>
              <w:t>$10,000</w:t>
            </w:r>
          </w:p>
        </w:tc>
      </w:tr>
      <w:tr w:rsidR="00254D1D" w:rsidRPr="0012521E" w14:paraId="406A8133" w14:textId="77777777">
        <w:tc>
          <w:tcPr>
            <w:tcW w:w="3397" w:type="dxa"/>
            <w:noWrap/>
          </w:tcPr>
          <w:p w14:paraId="7DA10AC2" w14:textId="77777777" w:rsidR="00254D1D" w:rsidRPr="00507FDC" w:rsidRDefault="00254D1D">
            <w:pPr>
              <w:pStyle w:val="TableText"/>
              <w:rPr>
                <w:rFonts w:ascii="Arial" w:hAnsi="Arial" w:cs="Arial"/>
                <w:sz w:val="18"/>
                <w:szCs w:val="18"/>
              </w:rPr>
            </w:pPr>
            <w:r>
              <w:rPr>
                <w:rFonts w:ascii="Arial" w:hAnsi="Arial" w:cs="Arial"/>
                <w:sz w:val="18"/>
                <w:szCs w:val="18"/>
              </w:rPr>
              <w:t>Melton City Council</w:t>
            </w:r>
          </w:p>
        </w:tc>
        <w:tc>
          <w:tcPr>
            <w:tcW w:w="3969" w:type="dxa"/>
            <w:noWrap/>
          </w:tcPr>
          <w:p w14:paraId="2626BFD8" w14:textId="77777777" w:rsidR="00254D1D" w:rsidRPr="00C70827" w:rsidRDefault="00254D1D">
            <w:pPr>
              <w:rPr>
                <w:sz w:val="18"/>
                <w:szCs w:val="18"/>
              </w:rPr>
            </w:pPr>
            <w:r w:rsidRPr="00BE592B">
              <w:rPr>
                <w:rFonts w:cs="Arial"/>
                <w:sz w:val="18"/>
                <w:szCs w:val="18"/>
              </w:rPr>
              <w:t>E-waste Infrastructure Upgrade - Melton Recycling Facility</w:t>
            </w:r>
          </w:p>
        </w:tc>
        <w:tc>
          <w:tcPr>
            <w:tcW w:w="1589" w:type="dxa"/>
            <w:noWrap/>
          </w:tcPr>
          <w:p w14:paraId="379A959D" w14:textId="77777777" w:rsidR="00254D1D" w:rsidRDefault="00254D1D">
            <w:pPr>
              <w:rPr>
                <w:sz w:val="18"/>
                <w:szCs w:val="18"/>
              </w:rPr>
            </w:pPr>
            <w:r>
              <w:rPr>
                <w:sz w:val="18"/>
                <w:szCs w:val="18"/>
              </w:rPr>
              <w:t>$100,000</w:t>
            </w:r>
          </w:p>
        </w:tc>
      </w:tr>
      <w:tr w:rsidR="00254D1D" w:rsidRPr="0012521E" w14:paraId="01E1E455" w14:textId="77777777">
        <w:tc>
          <w:tcPr>
            <w:tcW w:w="3397" w:type="dxa"/>
            <w:noWrap/>
          </w:tcPr>
          <w:p w14:paraId="50EB6136" w14:textId="77777777" w:rsidR="00254D1D" w:rsidRDefault="00254D1D">
            <w:pPr>
              <w:pStyle w:val="TableText"/>
              <w:rPr>
                <w:rFonts w:ascii="Arial" w:hAnsi="Arial" w:cs="Arial"/>
                <w:sz w:val="18"/>
                <w:szCs w:val="18"/>
              </w:rPr>
            </w:pPr>
            <w:r w:rsidRPr="00587DB9">
              <w:rPr>
                <w:rFonts w:ascii="Arial" w:hAnsi="Arial" w:cs="Arial"/>
                <w:sz w:val="18"/>
                <w:szCs w:val="18"/>
              </w:rPr>
              <w:t>Melton City Council</w:t>
            </w:r>
          </w:p>
        </w:tc>
        <w:tc>
          <w:tcPr>
            <w:tcW w:w="3969" w:type="dxa"/>
            <w:noWrap/>
          </w:tcPr>
          <w:p w14:paraId="70FD2CBB" w14:textId="77777777" w:rsidR="00254D1D" w:rsidRPr="00BE592B" w:rsidRDefault="00254D1D">
            <w:pPr>
              <w:rPr>
                <w:rFonts w:cs="Arial"/>
                <w:sz w:val="18"/>
                <w:szCs w:val="18"/>
              </w:rPr>
            </w:pPr>
            <w:r w:rsidRPr="00587DB9">
              <w:rPr>
                <w:rFonts w:cs="Arial"/>
                <w:sz w:val="18"/>
                <w:szCs w:val="18"/>
              </w:rPr>
              <w:t>Melton City Council's FOGO Collection Service – Household Education</w:t>
            </w:r>
          </w:p>
        </w:tc>
        <w:tc>
          <w:tcPr>
            <w:tcW w:w="1589" w:type="dxa"/>
            <w:noWrap/>
          </w:tcPr>
          <w:p w14:paraId="3BA9F327" w14:textId="77777777" w:rsidR="00254D1D" w:rsidRDefault="00254D1D">
            <w:pPr>
              <w:rPr>
                <w:sz w:val="18"/>
                <w:szCs w:val="18"/>
              </w:rPr>
            </w:pPr>
            <w:r w:rsidRPr="00587DB9">
              <w:rPr>
                <w:sz w:val="18"/>
                <w:szCs w:val="18"/>
              </w:rPr>
              <w:t>$17,920</w:t>
            </w:r>
          </w:p>
        </w:tc>
      </w:tr>
      <w:tr w:rsidR="00254D1D" w:rsidRPr="0012521E" w14:paraId="7FF9CE1C" w14:textId="77777777">
        <w:tc>
          <w:tcPr>
            <w:tcW w:w="3397" w:type="dxa"/>
            <w:noWrap/>
          </w:tcPr>
          <w:p w14:paraId="52013717" w14:textId="77777777" w:rsidR="00254D1D" w:rsidRDefault="00254D1D">
            <w:pPr>
              <w:pStyle w:val="TableText"/>
              <w:rPr>
                <w:rFonts w:ascii="Arial" w:hAnsi="Arial" w:cs="Arial"/>
                <w:sz w:val="18"/>
                <w:szCs w:val="18"/>
              </w:rPr>
            </w:pPr>
            <w:r>
              <w:rPr>
                <w:rFonts w:ascii="Arial" w:hAnsi="Arial" w:cs="Arial"/>
                <w:sz w:val="18"/>
                <w:szCs w:val="18"/>
              </w:rPr>
              <w:t>Merri-</w:t>
            </w:r>
            <w:proofErr w:type="spellStart"/>
            <w:r>
              <w:rPr>
                <w:rFonts w:ascii="Arial" w:hAnsi="Arial" w:cs="Arial"/>
                <w:sz w:val="18"/>
                <w:szCs w:val="18"/>
              </w:rPr>
              <w:t>bek</w:t>
            </w:r>
            <w:proofErr w:type="spellEnd"/>
            <w:r>
              <w:rPr>
                <w:rFonts w:ascii="Arial" w:hAnsi="Arial" w:cs="Arial"/>
                <w:sz w:val="18"/>
                <w:szCs w:val="18"/>
              </w:rPr>
              <w:t xml:space="preserve"> City Council </w:t>
            </w:r>
          </w:p>
          <w:p w14:paraId="13AB5FA0" w14:textId="77777777" w:rsidR="00254D1D" w:rsidRPr="00587DB9" w:rsidRDefault="00254D1D">
            <w:pPr>
              <w:pStyle w:val="TableText"/>
              <w:rPr>
                <w:rFonts w:ascii="Arial" w:hAnsi="Arial" w:cs="Arial"/>
                <w:sz w:val="18"/>
                <w:szCs w:val="18"/>
              </w:rPr>
            </w:pPr>
            <w:r>
              <w:rPr>
                <w:rFonts w:ascii="Arial" w:hAnsi="Arial" w:cs="Arial"/>
                <w:sz w:val="18"/>
                <w:szCs w:val="18"/>
              </w:rPr>
              <w:t>(formerly Moreland City Council)</w:t>
            </w:r>
          </w:p>
        </w:tc>
        <w:tc>
          <w:tcPr>
            <w:tcW w:w="3969" w:type="dxa"/>
            <w:noWrap/>
          </w:tcPr>
          <w:p w14:paraId="308047AE" w14:textId="77777777" w:rsidR="00254D1D" w:rsidRPr="00587DB9" w:rsidRDefault="00254D1D">
            <w:pPr>
              <w:rPr>
                <w:rFonts w:cs="Arial"/>
                <w:sz w:val="18"/>
                <w:szCs w:val="18"/>
              </w:rPr>
            </w:pPr>
            <w:r w:rsidRPr="00666F4C">
              <w:rPr>
                <w:rFonts w:cs="Arial"/>
                <w:sz w:val="18"/>
                <w:szCs w:val="18"/>
              </w:rPr>
              <w:t xml:space="preserve">Moreland's </w:t>
            </w:r>
            <w:r>
              <w:rPr>
                <w:rFonts w:cs="Arial"/>
                <w:sz w:val="18"/>
                <w:szCs w:val="18"/>
              </w:rPr>
              <w:t>N</w:t>
            </w:r>
            <w:r w:rsidRPr="00666F4C">
              <w:rPr>
                <w:rFonts w:cs="Arial"/>
                <w:sz w:val="18"/>
                <w:szCs w:val="18"/>
              </w:rPr>
              <w:t>ew 4-</w:t>
            </w:r>
            <w:r>
              <w:rPr>
                <w:rFonts w:cs="Arial"/>
                <w:sz w:val="18"/>
                <w:szCs w:val="18"/>
              </w:rPr>
              <w:t>S</w:t>
            </w:r>
            <w:r w:rsidRPr="00666F4C">
              <w:rPr>
                <w:rFonts w:cs="Arial"/>
                <w:sz w:val="18"/>
                <w:szCs w:val="18"/>
              </w:rPr>
              <w:t xml:space="preserve">tream </w:t>
            </w:r>
            <w:r>
              <w:rPr>
                <w:rFonts w:cs="Arial"/>
                <w:sz w:val="18"/>
                <w:szCs w:val="18"/>
              </w:rPr>
              <w:t>K</w:t>
            </w:r>
            <w:r w:rsidRPr="00666F4C">
              <w:rPr>
                <w:rFonts w:cs="Arial"/>
                <w:sz w:val="18"/>
                <w:szCs w:val="18"/>
              </w:rPr>
              <w:t xml:space="preserve">erbside </w:t>
            </w:r>
            <w:r>
              <w:rPr>
                <w:rFonts w:cs="Arial"/>
                <w:sz w:val="18"/>
                <w:szCs w:val="18"/>
              </w:rPr>
              <w:t>W</w:t>
            </w:r>
            <w:r w:rsidRPr="00666F4C">
              <w:rPr>
                <w:rFonts w:cs="Arial"/>
                <w:sz w:val="18"/>
                <w:szCs w:val="18"/>
              </w:rPr>
              <w:t xml:space="preserve">aste </w:t>
            </w:r>
            <w:r>
              <w:rPr>
                <w:rFonts w:cs="Arial"/>
                <w:sz w:val="18"/>
                <w:szCs w:val="18"/>
              </w:rPr>
              <w:t>S</w:t>
            </w:r>
            <w:r w:rsidRPr="00666F4C">
              <w:rPr>
                <w:rFonts w:cs="Arial"/>
                <w:sz w:val="18"/>
                <w:szCs w:val="18"/>
              </w:rPr>
              <w:t>ervice</w:t>
            </w:r>
            <w:r>
              <w:rPr>
                <w:rFonts w:cs="Arial"/>
                <w:sz w:val="18"/>
                <w:szCs w:val="18"/>
              </w:rPr>
              <w:t xml:space="preserve"> – Household Education</w:t>
            </w:r>
          </w:p>
        </w:tc>
        <w:tc>
          <w:tcPr>
            <w:tcW w:w="1589" w:type="dxa"/>
            <w:noWrap/>
          </w:tcPr>
          <w:p w14:paraId="444AADC9" w14:textId="77777777" w:rsidR="00254D1D" w:rsidRPr="00587DB9" w:rsidRDefault="00254D1D">
            <w:pPr>
              <w:rPr>
                <w:sz w:val="18"/>
                <w:szCs w:val="18"/>
              </w:rPr>
            </w:pPr>
            <w:r>
              <w:rPr>
                <w:sz w:val="18"/>
                <w:szCs w:val="18"/>
              </w:rPr>
              <w:t>$40,894</w:t>
            </w:r>
          </w:p>
        </w:tc>
      </w:tr>
      <w:tr w:rsidR="00254D1D" w:rsidRPr="0012521E" w14:paraId="294FBC5B" w14:textId="77777777">
        <w:tc>
          <w:tcPr>
            <w:tcW w:w="3397" w:type="dxa"/>
            <w:noWrap/>
          </w:tcPr>
          <w:p w14:paraId="2D64FD10" w14:textId="77777777" w:rsidR="00254D1D" w:rsidRDefault="00254D1D">
            <w:pPr>
              <w:pStyle w:val="TableText"/>
              <w:rPr>
                <w:rFonts w:ascii="Arial" w:hAnsi="Arial" w:cs="Arial"/>
                <w:sz w:val="18"/>
                <w:szCs w:val="18"/>
              </w:rPr>
            </w:pPr>
            <w:r>
              <w:rPr>
                <w:rFonts w:ascii="Arial" w:hAnsi="Arial" w:cs="Arial"/>
                <w:sz w:val="18"/>
                <w:szCs w:val="18"/>
              </w:rPr>
              <w:t>Merri-</w:t>
            </w:r>
            <w:proofErr w:type="spellStart"/>
            <w:r>
              <w:rPr>
                <w:rFonts w:ascii="Arial" w:hAnsi="Arial" w:cs="Arial"/>
                <w:sz w:val="18"/>
                <w:szCs w:val="18"/>
              </w:rPr>
              <w:t>bek</w:t>
            </w:r>
            <w:proofErr w:type="spellEnd"/>
            <w:r>
              <w:rPr>
                <w:rFonts w:ascii="Arial" w:hAnsi="Arial" w:cs="Arial"/>
                <w:sz w:val="18"/>
                <w:szCs w:val="18"/>
              </w:rPr>
              <w:t xml:space="preserve"> City Council </w:t>
            </w:r>
          </w:p>
          <w:p w14:paraId="164D1014" w14:textId="77777777" w:rsidR="00254D1D" w:rsidRDefault="00254D1D">
            <w:pPr>
              <w:pStyle w:val="TableText"/>
              <w:rPr>
                <w:rFonts w:ascii="Arial" w:hAnsi="Arial" w:cs="Arial"/>
                <w:sz w:val="18"/>
                <w:szCs w:val="18"/>
              </w:rPr>
            </w:pPr>
            <w:r>
              <w:rPr>
                <w:rFonts w:ascii="Arial" w:hAnsi="Arial" w:cs="Arial"/>
                <w:sz w:val="18"/>
                <w:szCs w:val="18"/>
              </w:rPr>
              <w:t>(formerly Moreland City Council)</w:t>
            </w:r>
          </w:p>
        </w:tc>
        <w:tc>
          <w:tcPr>
            <w:tcW w:w="3969" w:type="dxa"/>
            <w:noWrap/>
          </w:tcPr>
          <w:p w14:paraId="256E8AC3" w14:textId="77777777" w:rsidR="00254D1D" w:rsidRPr="00587DB9" w:rsidRDefault="00254D1D">
            <w:pPr>
              <w:rPr>
                <w:rFonts w:cs="Arial"/>
                <w:sz w:val="18"/>
                <w:szCs w:val="18"/>
              </w:rPr>
            </w:pPr>
            <w:r w:rsidRPr="00996A74">
              <w:rPr>
                <w:rFonts w:cs="Arial"/>
                <w:sz w:val="18"/>
                <w:szCs w:val="18"/>
              </w:rPr>
              <w:t>CCCEA RD3 Energy Efficiency Upgrades - Merri-</w:t>
            </w:r>
            <w:proofErr w:type="spellStart"/>
            <w:r>
              <w:rPr>
                <w:rFonts w:cs="Arial"/>
                <w:sz w:val="18"/>
                <w:szCs w:val="18"/>
              </w:rPr>
              <w:t>b</w:t>
            </w:r>
            <w:r w:rsidRPr="00996A74">
              <w:rPr>
                <w:rFonts w:cs="Arial"/>
                <w:sz w:val="18"/>
                <w:szCs w:val="18"/>
              </w:rPr>
              <w:t>ek</w:t>
            </w:r>
            <w:proofErr w:type="spellEnd"/>
            <w:r w:rsidRPr="00996A74">
              <w:rPr>
                <w:rFonts w:cs="Arial"/>
                <w:sz w:val="18"/>
                <w:szCs w:val="18"/>
              </w:rPr>
              <w:t xml:space="preserve"> Council</w:t>
            </w:r>
          </w:p>
        </w:tc>
        <w:tc>
          <w:tcPr>
            <w:tcW w:w="1589" w:type="dxa"/>
            <w:noWrap/>
          </w:tcPr>
          <w:p w14:paraId="1CCE16DC" w14:textId="77777777" w:rsidR="00254D1D" w:rsidRPr="00587DB9" w:rsidRDefault="00254D1D">
            <w:pPr>
              <w:rPr>
                <w:sz w:val="18"/>
                <w:szCs w:val="18"/>
              </w:rPr>
            </w:pPr>
            <w:r>
              <w:rPr>
                <w:sz w:val="18"/>
                <w:szCs w:val="18"/>
              </w:rPr>
              <w:t>$11,805</w:t>
            </w:r>
          </w:p>
        </w:tc>
      </w:tr>
      <w:tr w:rsidR="00254D1D" w:rsidRPr="0012521E" w14:paraId="64403D24" w14:textId="77777777">
        <w:tc>
          <w:tcPr>
            <w:tcW w:w="3397" w:type="dxa"/>
            <w:noWrap/>
          </w:tcPr>
          <w:p w14:paraId="72F9BF01" w14:textId="77777777" w:rsidR="00254D1D" w:rsidRPr="00B902CE" w:rsidRDefault="00254D1D">
            <w:pPr>
              <w:pStyle w:val="TableText"/>
              <w:rPr>
                <w:rFonts w:ascii="Arial" w:hAnsi="Arial" w:cs="Arial"/>
                <w:sz w:val="18"/>
                <w:szCs w:val="18"/>
              </w:rPr>
            </w:pPr>
            <w:r w:rsidRPr="00B902CE">
              <w:rPr>
                <w:rFonts w:ascii="Arial" w:hAnsi="Arial" w:cs="Arial"/>
                <w:sz w:val="18"/>
                <w:szCs w:val="18"/>
              </w:rPr>
              <w:t>Michael Limb Pty Ltd</w:t>
            </w:r>
          </w:p>
        </w:tc>
        <w:tc>
          <w:tcPr>
            <w:tcW w:w="3969" w:type="dxa"/>
            <w:noWrap/>
          </w:tcPr>
          <w:p w14:paraId="7221824B" w14:textId="77777777" w:rsidR="00254D1D" w:rsidRPr="00B902CE" w:rsidRDefault="00254D1D">
            <w:pPr>
              <w:rPr>
                <w:rFonts w:cs="Arial"/>
                <w:sz w:val="18"/>
                <w:szCs w:val="18"/>
              </w:rPr>
            </w:pPr>
            <w:r w:rsidRPr="00B902CE">
              <w:rPr>
                <w:rFonts w:cs="Arial"/>
                <w:sz w:val="18"/>
                <w:szCs w:val="18"/>
              </w:rPr>
              <w:t>7 Star Program</w:t>
            </w:r>
          </w:p>
        </w:tc>
        <w:tc>
          <w:tcPr>
            <w:tcW w:w="1589" w:type="dxa"/>
            <w:noWrap/>
          </w:tcPr>
          <w:p w14:paraId="0A907E0C" w14:textId="77777777" w:rsidR="00254D1D" w:rsidRPr="00B902CE" w:rsidRDefault="00254D1D">
            <w:pPr>
              <w:rPr>
                <w:sz w:val="18"/>
                <w:szCs w:val="18"/>
              </w:rPr>
            </w:pPr>
            <w:r w:rsidRPr="00B902CE">
              <w:rPr>
                <w:sz w:val="18"/>
                <w:szCs w:val="18"/>
              </w:rPr>
              <w:t>$4,000*</w:t>
            </w:r>
          </w:p>
        </w:tc>
      </w:tr>
      <w:tr w:rsidR="00254D1D" w:rsidRPr="0012521E" w14:paraId="09C4D59C" w14:textId="77777777">
        <w:tc>
          <w:tcPr>
            <w:tcW w:w="3397" w:type="dxa"/>
            <w:noWrap/>
          </w:tcPr>
          <w:p w14:paraId="0F76836B" w14:textId="77777777" w:rsidR="00254D1D" w:rsidRDefault="00254D1D">
            <w:pPr>
              <w:pStyle w:val="TableText"/>
              <w:rPr>
                <w:rFonts w:ascii="Arial" w:hAnsi="Arial" w:cs="Arial"/>
                <w:sz w:val="18"/>
                <w:szCs w:val="18"/>
              </w:rPr>
            </w:pPr>
            <w:r w:rsidRPr="00B02163">
              <w:rPr>
                <w:rFonts w:ascii="Arial" w:hAnsi="Arial" w:cs="Arial"/>
                <w:sz w:val="18"/>
                <w:szCs w:val="18"/>
              </w:rPr>
              <w:t>Mildura Rural City Council</w:t>
            </w:r>
          </w:p>
        </w:tc>
        <w:tc>
          <w:tcPr>
            <w:tcW w:w="3969" w:type="dxa"/>
            <w:noWrap/>
          </w:tcPr>
          <w:p w14:paraId="509C6494" w14:textId="77777777" w:rsidR="00254D1D" w:rsidRPr="00996A74" w:rsidRDefault="00254D1D">
            <w:pPr>
              <w:rPr>
                <w:rFonts w:cs="Arial"/>
                <w:sz w:val="18"/>
                <w:szCs w:val="18"/>
              </w:rPr>
            </w:pPr>
            <w:r w:rsidRPr="009C54D6">
              <w:rPr>
                <w:rFonts w:cs="Arial"/>
                <w:sz w:val="18"/>
                <w:szCs w:val="18"/>
              </w:rPr>
              <w:t xml:space="preserve">Mildura Rural City Council's </w:t>
            </w:r>
            <w:r>
              <w:rPr>
                <w:rFonts w:cs="Arial"/>
                <w:sz w:val="18"/>
                <w:szCs w:val="18"/>
              </w:rPr>
              <w:t>N</w:t>
            </w:r>
            <w:r w:rsidRPr="009C54D6">
              <w:rPr>
                <w:rFonts w:cs="Arial"/>
                <w:sz w:val="18"/>
                <w:szCs w:val="18"/>
              </w:rPr>
              <w:t xml:space="preserve">ew </w:t>
            </w:r>
            <w:r>
              <w:rPr>
                <w:rFonts w:cs="Arial"/>
                <w:sz w:val="18"/>
                <w:szCs w:val="18"/>
              </w:rPr>
              <w:t>G</w:t>
            </w:r>
            <w:r w:rsidRPr="009C54D6">
              <w:rPr>
                <w:rFonts w:cs="Arial"/>
                <w:sz w:val="18"/>
                <w:szCs w:val="18"/>
              </w:rPr>
              <w:t xml:space="preserve">lass </w:t>
            </w:r>
            <w:r>
              <w:rPr>
                <w:rFonts w:cs="Arial"/>
                <w:sz w:val="18"/>
                <w:szCs w:val="18"/>
              </w:rPr>
              <w:t>R</w:t>
            </w:r>
            <w:r w:rsidRPr="009C54D6">
              <w:rPr>
                <w:rFonts w:cs="Arial"/>
                <w:sz w:val="18"/>
                <w:szCs w:val="18"/>
              </w:rPr>
              <w:t xml:space="preserve">ecycling </w:t>
            </w:r>
            <w:r>
              <w:rPr>
                <w:rFonts w:cs="Arial"/>
                <w:sz w:val="18"/>
                <w:szCs w:val="18"/>
              </w:rPr>
              <w:t>S</w:t>
            </w:r>
            <w:r w:rsidRPr="009C54D6">
              <w:rPr>
                <w:rFonts w:cs="Arial"/>
                <w:sz w:val="18"/>
                <w:szCs w:val="18"/>
              </w:rPr>
              <w:t>ervice</w:t>
            </w:r>
            <w:r>
              <w:rPr>
                <w:rFonts w:cs="Arial"/>
                <w:sz w:val="18"/>
                <w:szCs w:val="18"/>
              </w:rPr>
              <w:t xml:space="preserve"> – Household Education</w:t>
            </w:r>
          </w:p>
        </w:tc>
        <w:tc>
          <w:tcPr>
            <w:tcW w:w="1589" w:type="dxa"/>
            <w:noWrap/>
          </w:tcPr>
          <w:p w14:paraId="1ACB7143" w14:textId="77777777" w:rsidR="00254D1D" w:rsidRDefault="00254D1D">
            <w:pPr>
              <w:rPr>
                <w:sz w:val="18"/>
                <w:szCs w:val="18"/>
              </w:rPr>
            </w:pPr>
            <w:r>
              <w:rPr>
                <w:sz w:val="18"/>
                <w:szCs w:val="18"/>
              </w:rPr>
              <w:t>$46,422</w:t>
            </w:r>
          </w:p>
        </w:tc>
      </w:tr>
      <w:tr w:rsidR="00254D1D" w:rsidRPr="0012521E" w14:paraId="5CB11F76" w14:textId="77777777">
        <w:tc>
          <w:tcPr>
            <w:tcW w:w="3397" w:type="dxa"/>
            <w:noWrap/>
          </w:tcPr>
          <w:p w14:paraId="5F4372F9" w14:textId="77777777" w:rsidR="00254D1D" w:rsidRPr="00B02163" w:rsidRDefault="00254D1D">
            <w:pPr>
              <w:pStyle w:val="TableText"/>
              <w:rPr>
                <w:rFonts w:ascii="Arial" w:hAnsi="Arial" w:cs="Arial"/>
                <w:sz w:val="18"/>
                <w:szCs w:val="18"/>
              </w:rPr>
            </w:pPr>
            <w:r w:rsidRPr="00B02163">
              <w:rPr>
                <w:rFonts w:ascii="Arial" w:hAnsi="Arial" w:cs="Arial"/>
                <w:sz w:val="18"/>
                <w:szCs w:val="18"/>
              </w:rPr>
              <w:t>Mildura Rural City Council</w:t>
            </w:r>
          </w:p>
        </w:tc>
        <w:tc>
          <w:tcPr>
            <w:tcW w:w="3969" w:type="dxa"/>
            <w:noWrap/>
          </w:tcPr>
          <w:p w14:paraId="399EA83A" w14:textId="77777777" w:rsidR="00254D1D" w:rsidRPr="009C54D6" w:rsidRDefault="00254D1D">
            <w:pPr>
              <w:rPr>
                <w:rFonts w:cs="Arial"/>
                <w:sz w:val="18"/>
                <w:szCs w:val="18"/>
              </w:rPr>
            </w:pPr>
            <w:r w:rsidRPr="00ED3B1E">
              <w:rPr>
                <w:rFonts w:cs="Arial"/>
                <w:sz w:val="18"/>
                <w:szCs w:val="18"/>
              </w:rPr>
              <w:t>Mildura Riverfront Precinct – Car Parking Scheme</w:t>
            </w:r>
          </w:p>
        </w:tc>
        <w:tc>
          <w:tcPr>
            <w:tcW w:w="1589" w:type="dxa"/>
            <w:noWrap/>
          </w:tcPr>
          <w:p w14:paraId="16A896E2" w14:textId="77777777" w:rsidR="00254D1D" w:rsidRDefault="00254D1D">
            <w:pPr>
              <w:rPr>
                <w:sz w:val="18"/>
                <w:szCs w:val="18"/>
              </w:rPr>
            </w:pPr>
            <w:r>
              <w:rPr>
                <w:sz w:val="18"/>
                <w:szCs w:val="18"/>
              </w:rPr>
              <w:t>$71,000</w:t>
            </w:r>
          </w:p>
        </w:tc>
      </w:tr>
      <w:tr w:rsidR="00254D1D" w:rsidRPr="0012521E" w14:paraId="23D8ECC1" w14:textId="77777777">
        <w:tc>
          <w:tcPr>
            <w:tcW w:w="3397" w:type="dxa"/>
            <w:noWrap/>
          </w:tcPr>
          <w:p w14:paraId="1210D706" w14:textId="77777777" w:rsidR="00254D1D" w:rsidRPr="00B02163" w:rsidRDefault="00254D1D">
            <w:pPr>
              <w:pStyle w:val="TableText"/>
              <w:rPr>
                <w:rFonts w:ascii="Arial" w:hAnsi="Arial" w:cs="Arial"/>
                <w:sz w:val="18"/>
                <w:szCs w:val="18"/>
              </w:rPr>
            </w:pPr>
            <w:r w:rsidRPr="00B02163">
              <w:rPr>
                <w:rFonts w:ascii="Arial" w:hAnsi="Arial" w:cs="Arial"/>
                <w:sz w:val="18"/>
                <w:szCs w:val="18"/>
              </w:rPr>
              <w:t>Mildura Rural City Council</w:t>
            </w:r>
          </w:p>
        </w:tc>
        <w:tc>
          <w:tcPr>
            <w:tcW w:w="3969" w:type="dxa"/>
            <w:noWrap/>
          </w:tcPr>
          <w:p w14:paraId="2B15BCE6" w14:textId="77777777" w:rsidR="00254D1D" w:rsidRPr="00ED3B1E" w:rsidRDefault="00254D1D">
            <w:pPr>
              <w:rPr>
                <w:rFonts w:cs="Arial"/>
                <w:sz w:val="18"/>
                <w:szCs w:val="18"/>
              </w:rPr>
            </w:pPr>
            <w:r w:rsidRPr="002E015D">
              <w:rPr>
                <w:rFonts w:cs="Arial"/>
                <w:sz w:val="18"/>
                <w:szCs w:val="18"/>
              </w:rPr>
              <w:t>CCCEA RD2 Energy Efficiency Upgrades - Mildura Rural City Council</w:t>
            </w:r>
          </w:p>
        </w:tc>
        <w:tc>
          <w:tcPr>
            <w:tcW w:w="1589" w:type="dxa"/>
            <w:noWrap/>
          </w:tcPr>
          <w:p w14:paraId="7BFC9479" w14:textId="77777777" w:rsidR="00254D1D" w:rsidRDefault="00254D1D">
            <w:pPr>
              <w:rPr>
                <w:sz w:val="18"/>
                <w:szCs w:val="18"/>
              </w:rPr>
            </w:pPr>
            <w:r>
              <w:rPr>
                <w:sz w:val="18"/>
                <w:szCs w:val="18"/>
              </w:rPr>
              <w:t>$4,953</w:t>
            </w:r>
          </w:p>
        </w:tc>
      </w:tr>
      <w:tr w:rsidR="00254D1D" w:rsidRPr="0012521E" w14:paraId="25390DD9" w14:textId="77777777">
        <w:tc>
          <w:tcPr>
            <w:tcW w:w="3397" w:type="dxa"/>
            <w:noWrap/>
          </w:tcPr>
          <w:p w14:paraId="53FF7942" w14:textId="77777777" w:rsidR="00254D1D" w:rsidRPr="00B02163" w:rsidRDefault="00254D1D">
            <w:pPr>
              <w:pStyle w:val="TableText"/>
              <w:rPr>
                <w:rFonts w:ascii="Arial" w:hAnsi="Arial" w:cs="Arial"/>
                <w:sz w:val="18"/>
                <w:szCs w:val="18"/>
              </w:rPr>
            </w:pPr>
            <w:r w:rsidRPr="00457A24">
              <w:rPr>
                <w:rFonts w:ascii="Arial" w:hAnsi="Arial" w:cs="Arial"/>
                <w:sz w:val="18"/>
                <w:szCs w:val="18"/>
              </w:rPr>
              <w:t>Milparinka</w:t>
            </w:r>
            <w:r>
              <w:rPr>
                <w:rFonts w:ascii="Arial" w:hAnsi="Arial" w:cs="Arial"/>
                <w:sz w:val="18"/>
                <w:szCs w:val="18"/>
              </w:rPr>
              <w:t xml:space="preserve"> Adult Training Unit Inc</w:t>
            </w:r>
          </w:p>
        </w:tc>
        <w:tc>
          <w:tcPr>
            <w:tcW w:w="3969" w:type="dxa"/>
            <w:noWrap/>
          </w:tcPr>
          <w:p w14:paraId="0ADBCE51" w14:textId="77777777" w:rsidR="00254D1D" w:rsidRPr="002E015D" w:rsidRDefault="00254D1D">
            <w:pPr>
              <w:rPr>
                <w:rFonts w:cs="Arial"/>
                <w:sz w:val="18"/>
                <w:szCs w:val="18"/>
              </w:rPr>
            </w:pPr>
            <w:r w:rsidRPr="007C2DF7">
              <w:rPr>
                <w:rFonts w:cs="Arial"/>
                <w:sz w:val="18"/>
                <w:szCs w:val="18"/>
              </w:rPr>
              <w:t>Contributing to Sustainability Through Community Composting</w:t>
            </w:r>
          </w:p>
        </w:tc>
        <w:tc>
          <w:tcPr>
            <w:tcW w:w="1589" w:type="dxa"/>
            <w:noWrap/>
          </w:tcPr>
          <w:p w14:paraId="2D86BE23" w14:textId="77777777" w:rsidR="00254D1D" w:rsidRDefault="00254D1D">
            <w:pPr>
              <w:rPr>
                <w:sz w:val="18"/>
                <w:szCs w:val="18"/>
              </w:rPr>
            </w:pPr>
            <w:r>
              <w:rPr>
                <w:sz w:val="18"/>
                <w:szCs w:val="18"/>
              </w:rPr>
              <w:t>$25,300</w:t>
            </w:r>
          </w:p>
        </w:tc>
      </w:tr>
      <w:tr w:rsidR="00254D1D" w:rsidRPr="0012521E" w14:paraId="21E5C758" w14:textId="77777777">
        <w:tc>
          <w:tcPr>
            <w:tcW w:w="3397" w:type="dxa"/>
            <w:shd w:val="clear" w:color="auto" w:fill="auto"/>
            <w:noWrap/>
          </w:tcPr>
          <w:p w14:paraId="18D4FC1A" w14:textId="77777777" w:rsidR="00254D1D" w:rsidRPr="00A21711" w:rsidRDefault="00254D1D">
            <w:pPr>
              <w:pStyle w:val="TableText"/>
              <w:tabs>
                <w:tab w:val="center" w:pos="1590"/>
              </w:tabs>
              <w:rPr>
                <w:rFonts w:ascii="Arial" w:hAnsi="Arial" w:cs="Arial"/>
                <w:sz w:val="18"/>
                <w:szCs w:val="18"/>
              </w:rPr>
            </w:pPr>
            <w:r w:rsidRPr="00A21711">
              <w:rPr>
                <w:rFonts w:ascii="Arial" w:hAnsi="Arial" w:cs="Arial"/>
                <w:sz w:val="18"/>
                <w:szCs w:val="18"/>
              </w:rPr>
              <w:t>Mirvac Homes Victoria</w:t>
            </w:r>
          </w:p>
        </w:tc>
        <w:tc>
          <w:tcPr>
            <w:tcW w:w="3969" w:type="dxa"/>
            <w:shd w:val="clear" w:color="auto" w:fill="auto"/>
            <w:noWrap/>
          </w:tcPr>
          <w:p w14:paraId="3DD822C0" w14:textId="77777777" w:rsidR="00254D1D" w:rsidRPr="00A21711" w:rsidRDefault="00254D1D">
            <w:pPr>
              <w:rPr>
                <w:rFonts w:cs="Arial"/>
                <w:sz w:val="18"/>
                <w:szCs w:val="18"/>
              </w:rPr>
            </w:pPr>
            <w:r w:rsidRPr="00A21711">
              <w:rPr>
                <w:rFonts w:cs="Arial"/>
                <w:sz w:val="18"/>
                <w:szCs w:val="18"/>
              </w:rPr>
              <w:t>7 Star Program</w:t>
            </w:r>
          </w:p>
        </w:tc>
        <w:tc>
          <w:tcPr>
            <w:tcW w:w="1589" w:type="dxa"/>
            <w:shd w:val="clear" w:color="auto" w:fill="auto"/>
            <w:noWrap/>
          </w:tcPr>
          <w:p w14:paraId="27B9E729" w14:textId="77777777" w:rsidR="00254D1D" w:rsidRPr="00A21711" w:rsidRDefault="00254D1D">
            <w:pPr>
              <w:rPr>
                <w:sz w:val="18"/>
                <w:szCs w:val="18"/>
              </w:rPr>
            </w:pPr>
            <w:r w:rsidRPr="00A21711">
              <w:rPr>
                <w:sz w:val="18"/>
                <w:szCs w:val="18"/>
              </w:rPr>
              <w:t>$16,000*</w:t>
            </w:r>
          </w:p>
        </w:tc>
      </w:tr>
      <w:tr w:rsidR="00254D1D" w:rsidRPr="0012521E" w14:paraId="21309ED1" w14:textId="77777777">
        <w:tc>
          <w:tcPr>
            <w:tcW w:w="3397" w:type="dxa"/>
            <w:noWrap/>
          </w:tcPr>
          <w:p w14:paraId="071D3E55" w14:textId="77777777" w:rsidR="00254D1D" w:rsidRPr="00457A24" w:rsidRDefault="00254D1D">
            <w:pPr>
              <w:pStyle w:val="TableText"/>
              <w:rPr>
                <w:rFonts w:ascii="Arial" w:hAnsi="Arial" w:cs="Arial"/>
                <w:sz w:val="18"/>
                <w:szCs w:val="18"/>
              </w:rPr>
            </w:pPr>
            <w:r w:rsidRPr="65E029B8">
              <w:rPr>
                <w:rFonts w:ascii="Arial" w:hAnsi="Arial" w:cs="Arial"/>
                <w:sz w:val="18"/>
                <w:szCs w:val="18"/>
              </w:rPr>
              <w:t>Mitchell Shire Council</w:t>
            </w:r>
          </w:p>
        </w:tc>
        <w:tc>
          <w:tcPr>
            <w:tcW w:w="3969" w:type="dxa"/>
            <w:noWrap/>
          </w:tcPr>
          <w:p w14:paraId="07ED01AC" w14:textId="77777777" w:rsidR="00254D1D" w:rsidRPr="007C2DF7" w:rsidRDefault="00254D1D">
            <w:pPr>
              <w:rPr>
                <w:rFonts w:cs="Arial"/>
                <w:sz w:val="18"/>
                <w:szCs w:val="18"/>
              </w:rPr>
            </w:pPr>
            <w:r w:rsidRPr="00162DD3">
              <w:rPr>
                <w:rFonts w:cs="Arial"/>
                <w:sz w:val="18"/>
                <w:szCs w:val="18"/>
              </w:rPr>
              <w:t>E-waste Infrastructure Upgrade - Mitchell Shire Council - Seymour Resource Recovery Facility</w:t>
            </w:r>
          </w:p>
        </w:tc>
        <w:tc>
          <w:tcPr>
            <w:tcW w:w="1589" w:type="dxa"/>
            <w:noWrap/>
          </w:tcPr>
          <w:p w14:paraId="2A65DF34" w14:textId="77777777" w:rsidR="00254D1D" w:rsidRDefault="00254D1D">
            <w:pPr>
              <w:rPr>
                <w:sz w:val="18"/>
                <w:szCs w:val="18"/>
              </w:rPr>
            </w:pPr>
            <w:r>
              <w:rPr>
                <w:sz w:val="18"/>
                <w:szCs w:val="18"/>
              </w:rPr>
              <w:t>$70,000</w:t>
            </w:r>
          </w:p>
        </w:tc>
      </w:tr>
      <w:tr w:rsidR="00254D1D" w14:paraId="635D0720" w14:textId="77777777">
        <w:trPr>
          <w:trHeight w:val="300"/>
        </w:trPr>
        <w:tc>
          <w:tcPr>
            <w:tcW w:w="3397" w:type="dxa"/>
            <w:noWrap/>
          </w:tcPr>
          <w:p w14:paraId="614971FE" w14:textId="77777777" w:rsidR="00254D1D" w:rsidRPr="008F3368" w:rsidRDefault="00254D1D">
            <w:pPr>
              <w:pStyle w:val="TableText"/>
              <w:rPr>
                <w:rFonts w:ascii="Arial" w:hAnsi="Arial" w:cs="Arial"/>
                <w:sz w:val="18"/>
                <w:szCs w:val="18"/>
              </w:rPr>
            </w:pPr>
            <w:r w:rsidRPr="008F3368">
              <w:rPr>
                <w:rFonts w:ascii="Arial" w:hAnsi="Arial" w:cs="Arial"/>
                <w:sz w:val="18"/>
                <w:szCs w:val="18"/>
              </w:rPr>
              <w:t>Mitchell Shire Council</w:t>
            </w:r>
          </w:p>
          <w:p w14:paraId="59A714B5" w14:textId="77777777" w:rsidR="00254D1D" w:rsidRPr="008F3368" w:rsidRDefault="00254D1D">
            <w:pPr>
              <w:pStyle w:val="TableText"/>
              <w:rPr>
                <w:rFonts w:ascii="Arial" w:hAnsi="Arial" w:cs="Arial"/>
                <w:sz w:val="18"/>
                <w:szCs w:val="18"/>
              </w:rPr>
            </w:pPr>
          </w:p>
        </w:tc>
        <w:tc>
          <w:tcPr>
            <w:tcW w:w="3969" w:type="dxa"/>
            <w:noWrap/>
          </w:tcPr>
          <w:p w14:paraId="79D2521F" w14:textId="77777777" w:rsidR="00254D1D" w:rsidRPr="008F3368" w:rsidRDefault="00254D1D">
            <w:pPr>
              <w:rPr>
                <w:rFonts w:cs="Arial"/>
                <w:sz w:val="18"/>
                <w:szCs w:val="18"/>
              </w:rPr>
            </w:pPr>
            <w:r w:rsidRPr="008F3368">
              <w:rPr>
                <w:rFonts w:cs="Arial"/>
                <w:sz w:val="18"/>
                <w:szCs w:val="18"/>
              </w:rPr>
              <w:t>Mitchell Shire’s Recycling Services are Changing for the Better – Household Education</w:t>
            </w:r>
          </w:p>
        </w:tc>
        <w:tc>
          <w:tcPr>
            <w:tcW w:w="1589" w:type="dxa"/>
            <w:noWrap/>
          </w:tcPr>
          <w:p w14:paraId="14A55E75" w14:textId="77777777" w:rsidR="00254D1D" w:rsidRPr="008F3368" w:rsidRDefault="00254D1D">
            <w:pPr>
              <w:rPr>
                <w:sz w:val="18"/>
                <w:szCs w:val="18"/>
              </w:rPr>
            </w:pPr>
            <w:r w:rsidRPr="008F3368">
              <w:rPr>
                <w:sz w:val="18"/>
                <w:szCs w:val="18"/>
              </w:rPr>
              <w:t>$36,400</w:t>
            </w:r>
          </w:p>
          <w:p w14:paraId="27257743" w14:textId="77777777" w:rsidR="00254D1D" w:rsidRPr="008F3368" w:rsidRDefault="00254D1D">
            <w:pPr>
              <w:rPr>
                <w:sz w:val="18"/>
                <w:szCs w:val="18"/>
              </w:rPr>
            </w:pPr>
          </w:p>
        </w:tc>
      </w:tr>
      <w:tr w:rsidR="00254D1D" w:rsidRPr="0012521E" w14:paraId="33F84ECF" w14:textId="77777777">
        <w:tc>
          <w:tcPr>
            <w:tcW w:w="3397" w:type="dxa"/>
            <w:shd w:val="clear" w:color="auto" w:fill="auto"/>
            <w:noWrap/>
          </w:tcPr>
          <w:p w14:paraId="02E742E7" w14:textId="77777777" w:rsidR="00254D1D" w:rsidRPr="00D255A4" w:rsidRDefault="00254D1D">
            <w:pPr>
              <w:pStyle w:val="TableText"/>
              <w:rPr>
                <w:rFonts w:ascii="Arial" w:hAnsi="Arial" w:cs="Arial"/>
                <w:sz w:val="18"/>
                <w:szCs w:val="18"/>
              </w:rPr>
            </w:pPr>
            <w:r w:rsidRPr="00186110">
              <w:rPr>
                <w:rFonts w:ascii="Arial" w:hAnsi="Arial" w:cs="Arial"/>
                <w:sz w:val="18"/>
                <w:szCs w:val="18"/>
              </w:rPr>
              <w:t>Moira Shire Council</w:t>
            </w:r>
          </w:p>
        </w:tc>
        <w:tc>
          <w:tcPr>
            <w:tcW w:w="3969" w:type="dxa"/>
            <w:shd w:val="clear" w:color="auto" w:fill="auto"/>
            <w:noWrap/>
          </w:tcPr>
          <w:p w14:paraId="7CFE3716" w14:textId="77777777" w:rsidR="00254D1D" w:rsidRPr="00162DD3" w:rsidRDefault="00254D1D">
            <w:pPr>
              <w:rPr>
                <w:rFonts w:cs="Arial"/>
                <w:sz w:val="18"/>
                <w:szCs w:val="18"/>
              </w:rPr>
            </w:pPr>
            <w:r w:rsidRPr="00611927">
              <w:rPr>
                <w:rFonts w:cs="Arial"/>
                <w:sz w:val="18"/>
                <w:szCs w:val="18"/>
              </w:rPr>
              <w:t xml:space="preserve">Moira’s Transition to Circular Economy and 4 </w:t>
            </w:r>
            <w:r>
              <w:rPr>
                <w:rFonts w:cs="Arial"/>
                <w:sz w:val="18"/>
                <w:szCs w:val="18"/>
              </w:rPr>
              <w:t>S</w:t>
            </w:r>
            <w:r w:rsidRPr="00611927">
              <w:rPr>
                <w:rFonts w:cs="Arial"/>
                <w:sz w:val="18"/>
                <w:szCs w:val="18"/>
              </w:rPr>
              <w:t>tream Recycling Service</w:t>
            </w:r>
            <w:r>
              <w:rPr>
                <w:rFonts w:cs="Arial"/>
                <w:sz w:val="18"/>
                <w:szCs w:val="18"/>
              </w:rPr>
              <w:t xml:space="preserve"> – Household Education</w:t>
            </w:r>
          </w:p>
        </w:tc>
        <w:tc>
          <w:tcPr>
            <w:tcW w:w="1589" w:type="dxa"/>
            <w:shd w:val="clear" w:color="auto" w:fill="auto"/>
            <w:noWrap/>
          </w:tcPr>
          <w:p w14:paraId="3F94366A" w14:textId="77777777" w:rsidR="00254D1D" w:rsidRDefault="00254D1D">
            <w:pPr>
              <w:rPr>
                <w:sz w:val="18"/>
                <w:szCs w:val="18"/>
                <w:highlight w:val="yellow"/>
              </w:rPr>
            </w:pPr>
            <w:r w:rsidRPr="00687B0B">
              <w:rPr>
                <w:sz w:val="18"/>
                <w:szCs w:val="18"/>
              </w:rPr>
              <w:t>$43,750</w:t>
            </w:r>
          </w:p>
        </w:tc>
      </w:tr>
      <w:tr w:rsidR="00254D1D" w:rsidRPr="0012521E" w14:paraId="4D4E5188" w14:textId="77777777">
        <w:tc>
          <w:tcPr>
            <w:tcW w:w="3397" w:type="dxa"/>
            <w:noWrap/>
          </w:tcPr>
          <w:p w14:paraId="57F42DEB" w14:textId="77777777" w:rsidR="00254D1D" w:rsidRPr="00186110" w:rsidRDefault="00254D1D">
            <w:pPr>
              <w:pStyle w:val="TableText"/>
              <w:rPr>
                <w:rFonts w:ascii="Arial" w:hAnsi="Arial" w:cs="Arial"/>
                <w:sz w:val="18"/>
                <w:szCs w:val="18"/>
              </w:rPr>
            </w:pPr>
            <w:r w:rsidRPr="00186110">
              <w:rPr>
                <w:rFonts w:ascii="Arial" w:hAnsi="Arial" w:cs="Arial"/>
                <w:sz w:val="18"/>
                <w:szCs w:val="18"/>
              </w:rPr>
              <w:t>Moira Shire Council</w:t>
            </w:r>
          </w:p>
        </w:tc>
        <w:tc>
          <w:tcPr>
            <w:tcW w:w="3969" w:type="dxa"/>
            <w:noWrap/>
          </w:tcPr>
          <w:p w14:paraId="4D927E97" w14:textId="77777777" w:rsidR="00254D1D" w:rsidRPr="00611927" w:rsidRDefault="00254D1D">
            <w:pPr>
              <w:rPr>
                <w:rFonts w:cs="Arial"/>
                <w:sz w:val="18"/>
                <w:szCs w:val="18"/>
              </w:rPr>
            </w:pPr>
            <w:r w:rsidRPr="003F1589">
              <w:rPr>
                <w:rFonts w:cs="Arial"/>
                <w:sz w:val="18"/>
                <w:szCs w:val="18"/>
              </w:rPr>
              <w:t>CE Councils Moira - Resale Shop Cobram and Numurkah Transfer Stations</w:t>
            </w:r>
          </w:p>
        </w:tc>
        <w:tc>
          <w:tcPr>
            <w:tcW w:w="1589" w:type="dxa"/>
            <w:noWrap/>
          </w:tcPr>
          <w:p w14:paraId="080F481E" w14:textId="77777777" w:rsidR="00254D1D" w:rsidRDefault="00254D1D">
            <w:pPr>
              <w:rPr>
                <w:sz w:val="18"/>
                <w:szCs w:val="18"/>
              </w:rPr>
            </w:pPr>
            <w:r>
              <w:rPr>
                <w:sz w:val="18"/>
                <w:szCs w:val="18"/>
              </w:rPr>
              <w:t>$160,704</w:t>
            </w:r>
          </w:p>
        </w:tc>
      </w:tr>
      <w:tr w:rsidR="00254D1D" w:rsidRPr="0012521E" w14:paraId="31857188" w14:textId="77777777">
        <w:tc>
          <w:tcPr>
            <w:tcW w:w="3397" w:type="dxa"/>
            <w:noWrap/>
          </w:tcPr>
          <w:p w14:paraId="509AB5CE" w14:textId="77777777" w:rsidR="00254D1D" w:rsidRPr="00186110" w:rsidRDefault="00254D1D">
            <w:pPr>
              <w:pStyle w:val="TableText"/>
              <w:rPr>
                <w:rFonts w:ascii="Arial" w:hAnsi="Arial" w:cs="Arial"/>
                <w:sz w:val="18"/>
                <w:szCs w:val="18"/>
              </w:rPr>
            </w:pPr>
            <w:r>
              <w:rPr>
                <w:rFonts w:ascii="Arial" w:hAnsi="Arial" w:cs="Arial"/>
                <w:sz w:val="18"/>
                <w:szCs w:val="18"/>
              </w:rPr>
              <w:t>Monash City Council</w:t>
            </w:r>
          </w:p>
        </w:tc>
        <w:tc>
          <w:tcPr>
            <w:tcW w:w="3969" w:type="dxa"/>
            <w:noWrap/>
          </w:tcPr>
          <w:p w14:paraId="5A3D9326" w14:textId="77777777" w:rsidR="00254D1D" w:rsidRPr="003F1589" w:rsidRDefault="00254D1D">
            <w:pPr>
              <w:rPr>
                <w:rFonts w:cs="Arial"/>
                <w:sz w:val="18"/>
                <w:szCs w:val="18"/>
              </w:rPr>
            </w:pPr>
            <w:r w:rsidRPr="00076CA5">
              <w:rPr>
                <w:rFonts w:cs="Arial"/>
                <w:sz w:val="18"/>
                <w:szCs w:val="18"/>
              </w:rPr>
              <w:t>CE Councils Monash - Circular Economy Leadership Development Program</w:t>
            </w:r>
          </w:p>
        </w:tc>
        <w:tc>
          <w:tcPr>
            <w:tcW w:w="1589" w:type="dxa"/>
            <w:noWrap/>
          </w:tcPr>
          <w:p w14:paraId="0743078D" w14:textId="77777777" w:rsidR="00254D1D" w:rsidRDefault="00254D1D">
            <w:pPr>
              <w:rPr>
                <w:sz w:val="18"/>
                <w:szCs w:val="18"/>
              </w:rPr>
            </w:pPr>
            <w:r>
              <w:rPr>
                <w:sz w:val="18"/>
                <w:szCs w:val="18"/>
              </w:rPr>
              <w:t>$55,000</w:t>
            </w:r>
          </w:p>
        </w:tc>
      </w:tr>
      <w:tr w:rsidR="00254D1D" w:rsidRPr="0012521E" w14:paraId="7920AEA7" w14:textId="77777777">
        <w:tc>
          <w:tcPr>
            <w:tcW w:w="3397" w:type="dxa"/>
            <w:noWrap/>
          </w:tcPr>
          <w:p w14:paraId="676148EB" w14:textId="77777777" w:rsidR="00254D1D" w:rsidRDefault="00254D1D">
            <w:pPr>
              <w:pStyle w:val="TableText"/>
              <w:rPr>
                <w:rFonts w:ascii="Arial" w:hAnsi="Arial" w:cs="Arial"/>
                <w:sz w:val="18"/>
                <w:szCs w:val="18"/>
              </w:rPr>
            </w:pPr>
            <w:r>
              <w:rPr>
                <w:rFonts w:ascii="Arial" w:hAnsi="Arial" w:cs="Arial"/>
                <w:sz w:val="18"/>
                <w:szCs w:val="18"/>
              </w:rPr>
              <w:t>Monash City Council</w:t>
            </w:r>
          </w:p>
        </w:tc>
        <w:tc>
          <w:tcPr>
            <w:tcW w:w="3969" w:type="dxa"/>
            <w:noWrap/>
          </w:tcPr>
          <w:p w14:paraId="1A374966" w14:textId="77777777" w:rsidR="00254D1D" w:rsidRPr="00076CA5" w:rsidRDefault="00254D1D">
            <w:pPr>
              <w:rPr>
                <w:rFonts w:cs="Arial"/>
                <w:sz w:val="18"/>
                <w:szCs w:val="18"/>
              </w:rPr>
            </w:pPr>
            <w:r w:rsidRPr="009D28D2">
              <w:rPr>
                <w:rFonts w:cs="Arial"/>
                <w:sz w:val="18"/>
                <w:szCs w:val="18"/>
              </w:rPr>
              <w:t>CCCEA RD3 Energy Efficiency Upgrades - Monash City Council</w:t>
            </w:r>
          </w:p>
        </w:tc>
        <w:tc>
          <w:tcPr>
            <w:tcW w:w="1589" w:type="dxa"/>
            <w:noWrap/>
          </w:tcPr>
          <w:p w14:paraId="5607825B" w14:textId="77777777" w:rsidR="00254D1D" w:rsidRDefault="00254D1D">
            <w:pPr>
              <w:rPr>
                <w:sz w:val="18"/>
                <w:szCs w:val="18"/>
              </w:rPr>
            </w:pPr>
            <w:r>
              <w:rPr>
                <w:sz w:val="18"/>
                <w:szCs w:val="18"/>
              </w:rPr>
              <w:t>$5,940</w:t>
            </w:r>
          </w:p>
        </w:tc>
      </w:tr>
      <w:tr w:rsidR="00254D1D" w:rsidRPr="0012521E" w14:paraId="34467FC1" w14:textId="77777777">
        <w:tc>
          <w:tcPr>
            <w:tcW w:w="3397" w:type="dxa"/>
            <w:noWrap/>
          </w:tcPr>
          <w:p w14:paraId="75D93573" w14:textId="77777777" w:rsidR="00254D1D" w:rsidRDefault="00254D1D">
            <w:pPr>
              <w:pStyle w:val="TableText"/>
              <w:rPr>
                <w:rFonts w:ascii="Arial" w:hAnsi="Arial" w:cs="Arial"/>
                <w:sz w:val="18"/>
                <w:szCs w:val="18"/>
              </w:rPr>
            </w:pPr>
            <w:r>
              <w:rPr>
                <w:rFonts w:ascii="Arial" w:hAnsi="Arial" w:cs="Arial"/>
                <w:sz w:val="18"/>
                <w:szCs w:val="18"/>
              </w:rPr>
              <w:t>Monash University</w:t>
            </w:r>
          </w:p>
        </w:tc>
        <w:tc>
          <w:tcPr>
            <w:tcW w:w="3969" w:type="dxa"/>
            <w:noWrap/>
          </w:tcPr>
          <w:p w14:paraId="28E4757D" w14:textId="77777777" w:rsidR="00254D1D" w:rsidRPr="009D28D2" w:rsidRDefault="00254D1D">
            <w:pPr>
              <w:rPr>
                <w:rFonts w:cs="Arial"/>
                <w:sz w:val="18"/>
                <w:szCs w:val="18"/>
              </w:rPr>
            </w:pPr>
            <w:r w:rsidRPr="00A70FC3">
              <w:rPr>
                <w:rFonts w:cs="Arial"/>
                <w:sz w:val="18"/>
                <w:szCs w:val="18"/>
              </w:rPr>
              <w:t>Development of Next Generation Tram Stop Platforms Using Recycled Materials</w:t>
            </w:r>
          </w:p>
        </w:tc>
        <w:tc>
          <w:tcPr>
            <w:tcW w:w="1589" w:type="dxa"/>
            <w:noWrap/>
          </w:tcPr>
          <w:p w14:paraId="5F7C07DD" w14:textId="77777777" w:rsidR="00254D1D" w:rsidRDefault="00254D1D">
            <w:pPr>
              <w:rPr>
                <w:sz w:val="18"/>
                <w:szCs w:val="18"/>
              </w:rPr>
            </w:pPr>
            <w:r>
              <w:rPr>
                <w:sz w:val="18"/>
                <w:szCs w:val="18"/>
              </w:rPr>
              <w:t>$100,000</w:t>
            </w:r>
          </w:p>
        </w:tc>
      </w:tr>
      <w:tr w:rsidR="00254D1D" w:rsidRPr="0012521E" w14:paraId="76616038" w14:textId="77777777">
        <w:tc>
          <w:tcPr>
            <w:tcW w:w="3397" w:type="dxa"/>
            <w:noWrap/>
          </w:tcPr>
          <w:p w14:paraId="0F9FDA1F" w14:textId="77777777" w:rsidR="00254D1D" w:rsidRDefault="00254D1D">
            <w:pPr>
              <w:pStyle w:val="TableText"/>
              <w:rPr>
                <w:rFonts w:ascii="Arial" w:hAnsi="Arial" w:cs="Arial"/>
                <w:sz w:val="18"/>
                <w:szCs w:val="18"/>
              </w:rPr>
            </w:pPr>
            <w:r>
              <w:rPr>
                <w:rFonts w:ascii="Arial" w:hAnsi="Arial" w:cs="Arial"/>
                <w:sz w:val="18"/>
                <w:szCs w:val="18"/>
              </w:rPr>
              <w:t>Monash University</w:t>
            </w:r>
          </w:p>
        </w:tc>
        <w:tc>
          <w:tcPr>
            <w:tcW w:w="3969" w:type="dxa"/>
            <w:noWrap/>
          </w:tcPr>
          <w:p w14:paraId="027F83EC" w14:textId="77777777" w:rsidR="00254D1D" w:rsidRPr="00A70FC3" w:rsidRDefault="00254D1D">
            <w:pPr>
              <w:rPr>
                <w:rFonts w:cs="Arial"/>
                <w:sz w:val="18"/>
                <w:szCs w:val="18"/>
              </w:rPr>
            </w:pPr>
            <w:r>
              <w:rPr>
                <w:rFonts w:cs="Arial"/>
                <w:sz w:val="18"/>
                <w:szCs w:val="18"/>
              </w:rPr>
              <w:t>N</w:t>
            </w:r>
            <w:r w:rsidRPr="00CF12E3">
              <w:rPr>
                <w:rFonts w:cs="Arial"/>
                <w:sz w:val="18"/>
                <w:szCs w:val="18"/>
              </w:rPr>
              <w:t xml:space="preserve">ext </w:t>
            </w:r>
            <w:r>
              <w:rPr>
                <w:rFonts w:cs="Arial"/>
                <w:sz w:val="18"/>
                <w:szCs w:val="18"/>
              </w:rPr>
              <w:t>G</w:t>
            </w:r>
            <w:r w:rsidRPr="00CF12E3">
              <w:rPr>
                <w:rFonts w:cs="Arial"/>
                <w:sz w:val="18"/>
                <w:szCs w:val="18"/>
              </w:rPr>
              <w:t xml:space="preserve">eneration </w:t>
            </w:r>
            <w:r>
              <w:rPr>
                <w:rFonts w:cs="Arial"/>
                <w:sz w:val="18"/>
                <w:szCs w:val="18"/>
              </w:rPr>
              <w:t>C</w:t>
            </w:r>
            <w:r w:rsidRPr="00CF12E3">
              <w:rPr>
                <w:rFonts w:cs="Arial"/>
                <w:sz w:val="18"/>
                <w:szCs w:val="18"/>
              </w:rPr>
              <w:t xml:space="preserve">omposite </w:t>
            </w:r>
            <w:r>
              <w:rPr>
                <w:rFonts w:cs="Arial"/>
                <w:sz w:val="18"/>
                <w:szCs w:val="18"/>
              </w:rPr>
              <w:t>P</w:t>
            </w:r>
            <w:r w:rsidRPr="00CF12E3">
              <w:rPr>
                <w:rFonts w:cs="Arial"/>
                <w:sz w:val="18"/>
                <w:szCs w:val="18"/>
              </w:rPr>
              <w:t xml:space="preserve">lastic </w:t>
            </w:r>
            <w:r>
              <w:rPr>
                <w:rFonts w:cs="Arial"/>
                <w:sz w:val="18"/>
                <w:szCs w:val="18"/>
              </w:rPr>
              <w:t>R</w:t>
            </w:r>
            <w:r w:rsidRPr="00CF12E3">
              <w:rPr>
                <w:rFonts w:cs="Arial"/>
                <w:sz w:val="18"/>
                <w:szCs w:val="18"/>
              </w:rPr>
              <w:t xml:space="preserve">ailway </w:t>
            </w:r>
            <w:r>
              <w:rPr>
                <w:rFonts w:cs="Arial"/>
                <w:sz w:val="18"/>
                <w:szCs w:val="18"/>
              </w:rPr>
              <w:t>Sl</w:t>
            </w:r>
            <w:r w:rsidRPr="00CF12E3">
              <w:rPr>
                <w:rFonts w:cs="Arial"/>
                <w:sz w:val="18"/>
                <w:szCs w:val="18"/>
              </w:rPr>
              <w:t xml:space="preserve">eeper for </w:t>
            </w:r>
            <w:r>
              <w:rPr>
                <w:rFonts w:cs="Arial"/>
                <w:sz w:val="18"/>
                <w:szCs w:val="18"/>
              </w:rPr>
              <w:t>M</w:t>
            </w:r>
            <w:r w:rsidRPr="00CF12E3">
              <w:rPr>
                <w:rFonts w:cs="Arial"/>
                <w:sz w:val="18"/>
                <w:szCs w:val="18"/>
              </w:rPr>
              <w:t xml:space="preserve">ainline </w:t>
            </w:r>
            <w:r>
              <w:rPr>
                <w:rFonts w:cs="Arial"/>
                <w:sz w:val="18"/>
                <w:szCs w:val="18"/>
              </w:rPr>
              <w:t>R</w:t>
            </w:r>
            <w:r w:rsidRPr="00CF12E3">
              <w:rPr>
                <w:rFonts w:cs="Arial"/>
                <w:sz w:val="18"/>
                <w:szCs w:val="18"/>
              </w:rPr>
              <w:t xml:space="preserve">ail </w:t>
            </w:r>
            <w:r>
              <w:rPr>
                <w:rFonts w:cs="Arial"/>
                <w:sz w:val="18"/>
                <w:szCs w:val="18"/>
              </w:rPr>
              <w:t>A</w:t>
            </w:r>
            <w:r w:rsidRPr="00CF12E3">
              <w:rPr>
                <w:rFonts w:cs="Arial"/>
                <w:sz w:val="18"/>
                <w:szCs w:val="18"/>
              </w:rPr>
              <w:t>pplication</w:t>
            </w:r>
          </w:p>
        </w:tc>
        <w:tc>
          <w:tcPr>
            <w:tcW w:w="1589" w:type="dxa"/>
            <w:noWrap/>
          </w:tcPr>
          <w:p w14:paraId="70F4B219" w14:textId="77777777" w:rsidR="00254D1D" w:rsidRDefault="00254D1D">
            <w:pPr>
              <w:rPr>
                <w:sz w:val="18"/>
                <w:szCs w:val="18"/>
              </w:rPr>
            </w:pPr>
            <w:r>
              <w:rPr>
                <w:sz w:val="18"/>
                <w:szCs w:val="18"/>
              </w:rPr>
              <w:t>$100,000</w:t>
            </w:r>
          </w:p>
        </w:tc>
      </w:tr>
      <w:tr w:rsidR="00254D1D" w:rsidRPr="0012521E" w14:paraId="60E8BEFD" w14:textId="77777777">
        <w:tc>
          <w:tcPr>
            <w:tcW w:w="3397" w:type="dxa"/>
            <w:noWrap/>
          </w:tcPr>
          <w:p w14:paraId="10B52DEC" w14:textId="77777777" w:rsidR="00254D1D" w:rsidRDefault="00254D1D">
            <w:pPr>
              <w:pStyle w:val="TableText"/>
              <w:rPr>
                <w:rFonts w:ascii="Arial" w:hAnsi="Arial" w:cs="Arial"/>
                <w:sz w:val="18"/>
                <w:szCs w:val="18"/>
              </w:rPr>
            </w:pPr>
            <w:r>
              <w:rPr>
                <w:rFonts w:ascii="Arial" w:hAnsi="Arial" w:cs="Arial"/>
                <w:sz w:val="18"/>
                <w:szCs w:val="18"/>
              </w:rPr>
              <w:t>Monash University</w:t>
            </w:r>
          </w:p>
        </w:tc>
        <w:tc>
          <w:tcPr>
            <w:tcW w:w="3969" w:type="dxa"/>
            <w:noWrap/>
          </w:tcPr>
          <w:p w14:paraId="11AF67AA" w14:textId="77777777" w:rsidR="00254D1D" w:rsidRDefault="00254D1D">
            <w:pPr>
              <w:rPr>
                <w:rFonts w:cs="Arial"/>
                <w:sz w:val="18"/>
                <w:szCs w:val="18"/>
              </w:rPr>
            </w:pPr>
            <w:r w:rsidRPr="00BE0BC8">
              <w:rPr>
                <w:rFonts w:cs="Arial"/>
                <w:sz w:val="18"/>
                <w:szCs w:val="18"/>
              </w:rPr>
              <w:t>Waste Plastics Detour - Landfills to Innovate Plastic Pavement Blocks</w:t>
            </w:r>
          </w:p>
        </w:tc>
        <w:tc>
          <w:tcPr>
            <w:tcW w:w="1589" w:type="dxa"/>
            <w:noWrap/>
          </w:tcPr>
          <w:p w14:paraId="1128AFB0" w14:textId="77777777" w:rsidR="00254D1D" w:rsidRDefault="00254D1D">
            <w:pPr>
              <w:rPr>
                <w:sz w:val="18"/>
                <w:szCs w:val="18"/>
              </w:rPr>
            </w:pPr>
            <w:r>
              <w:rPr>
                <w:sz w:val="18"/>
                <w:szCs w:val="18"/>
              </w:rPr>
              <w:t>$100,000</w:t>
            </w:r>
          </w:p>
        </w:tc>
      </w:tr>
      <w:tr w:rsidR="00254D1D" w:rsidRPr="0012521E" w14:paraId="498CC244" w14:textId="77777777">
        <w:tc>
          <w:tcPr>
            <w:tcW w:w="3397" w:type="dxa"/>
            <w:noWrap/>
          </w:tcPr>
          <w:p w14:paraId="5BF3D7C2" w14:textId="77777777" w:rsidR="00254D1D" w:rsidRDefault="00254D1D">
            <w:pPr>
              <w:pStyle w:val="TableText"/>
              <w:rPr>
                <w:rFonts w:ascii="Arial" w:hAnsi="Arial" w:cs="Arial"/>
                <w:sz w:val="18"/>
                <w:szCs w:val="18"/>
              </w:rPr>
            </w:pPr>
            <w:r w:rsidRPr="004E33D7">
              <w:rPr>
                <w:rFonts w:ascii="Arial" w:hAnsi="Arial" w:cs="Arial"/>
                <w:sz w:val="18"/>
                <w:szCs w:val="18"/>
              </w:rPr>
              <w:t>Monash University</w:t>
            </w:r>
          </w:p>
        </w:tc>
        <w:tc>
          <w:tcPr>
            <w:tcW w:w="3969" w:type="dxa"/>
            <w:noWrap/>
          </w:tcPr>
          <w:p w14:paraId="34A9243D" w14:textId="77777777" w:rsidR="00254D1D" w:rsidRPr="00BE0BC8" w:rsidRDefault="00254D1D">
            <w:pPr>
              <w:rPr>
                <w:rFonts w:cs="Arial"/>
                <w:sz w:val="18"/>
                <w:szCs w:val="18"/>
              </w:rPr>
            </w:pPr>
            <w:r w:rsidRPr="004E33D7">
              <w:rPr>
                <w:rFonts w:cs="Arial"/>
                <w:sz w:val="18"/>
                <w:szCs w:val="18"/>
              </w:rPr>
              <w:t>Monash University Ditch Disposables</w:t>
            </w:r>
          </w:p>
        </w:tc>
        <w:tc>
          <w:tcPr>
            <w:tcW w:w="1589" w:type="dxa"/>
            <w:noWrap/>
          </w:tcPr>
          <w:p w14:paraId="57E00E2D" w14:textId="77777777" w:rsidR="00254D1D" w:rsidRDefault="00254D1D">
            <w:pPr>
              <w:rPr>
                <w:sz w:val="18"/>
                <w:szCs w:val="18"/>
              </w:rPr>
            </w:pPr>
            <w:r>
              <w:rPr>
                <w:sz w:val="18"/>
                <w:szCs w:val="18"/>
              </w:rPr>
              <w:t>$12,000</w:t>
            </w:r>
          </w:p>
        </w:tc>
      </w:tr>
      <w:tr w:rsidR="00254D1D" w:rsidRPr="0012521E" w14:paraId="14A54AC7" w14:textId="77777777">
        <w:tc>
          <w:tcPr>
            <w:tcW w:w="3397" w:type="dxa"/>
            <w:noWrap/>
          </w:tcPr>
          <w:p w14:paraId="38059673" w14:textId="77777777" w:rsidR="00254D1D" w:rsidRPr="004E33D7" w:rsidRDefault="00254D1D">
            <w:pPr>
              <w:pStyle w:val="TableText"/>
              <w:rPr>
                <w:rFonts w:ascii="Arial" w:hAnsi="Arial" w:cs="Arial"/>
                <w:sz w:val="18"/>
                <w:szCs w:val="18"/>
              </w:rPr>
            </w:pPr>
            <w:r w:rsidRPr="00073BE0">
              <w:rPr>
                <w:rFonts w:ascii="Arial" w:hAnsi="Arial" w:cs="Arial"/>
                <w:sz w:val="18"/>
                <w:szCs w:val="18"/>
              </w:rPr>
              <w:t>Moonee Valley City Council</w:t>
            </w:r>
          </w:p>
        </w:tc>
        <w:tc>
          <w:tcPr>
            <w:tcW w:w="3969" w:type="dxa"/>
            <w:noWrap/>
          </w:tcPr>
          <w:p w14:paraId="49699B42" w14:textId="77777777" w:rsidR="00254D1D" w:rsidRPr="004E33D7" w:rsidRDefault="00254D1D">
            <w:pPr>
              <w:rPr>
                <w:rFonts w:cs="Arial"/>
                <w:sz w:val="18"/>
                <w:szCs w:val="18"/>
              </w:rPr>
            </w:pPr>
            <w:r w:rsidRPr="00E606B4">
              <w:rPr>
                <w:rFonts w:cs="Arial"/>
                <w:sz w:val="18"/>
                <w:szCs w:val="18"/>
              </w:rPr>
              <w:t xml:space="preserve">Moonee Valley City Council - Expanding FOGO </w:t>
            </w:r>
            <w:r>
              <w:rPr>
                <w:rFonts w:cs="Arial"/>
                <w:sz w:val="18"/>
                <w:szCs w:val="18"/>
              </w:rPr>
              <w:t>S</w:t>
            </w:r>
            <w:r w:rsidRPr="00E606B4">
              <w:rPr>
                <w:rFonts w:cs="Arial"/>
                <w:sz w:val="18"/>
                <w:szCs w:val="18"/>
              </w:rPr>
              <w:t>ervice</w:t>
            </w:r>
            <w:r>
              <w:rPr>
                <w:rFonts w:cs="Arial"/>
                <w:sz w:val="18"/>
                <w:szCs w:val="18"/>
              </w:rPr>
              <w:t xml:space="preserve"> – Household Education</w:t>
            </w:r>
          </w:p>
        </w:tc>
        <w:tc>
          <w:tcPr>
            <w:tcW w:w="1589" w:type="dxa"/>
            <w:noWrap/>
          </w:tcPr>
          <w:p w14:paraId="737618E0" w14:textId="77777777" w:rsidR="00254D1D" w:rsidRDefault="00254D1D">
            <w:pPr>
              <w:rPr>
                <w:sz w:val="18"/>
                <w:szCs w:val="18"/>
              </w:rPr>
            </w:pPr>
            <w:r>
              <w:rPr>
                <w:sz w:val="18"/>
                <w:szCs w:val="18"/>
              </w:rPr>
              <w:t>$18,415</w:t>
            </w:r>
          </w:p>
        </w:tc>
      </w:tr>
      <w:tr w:rsidR="00254D1D" w:rsidRPr="0012521E" w14:paraId="45B9B2A2" w14:textId="77777777">
        <w:tc>
          <w:tcPr>
            <w:tcW w:w="3397" w:type="dxa"/>
            <w:noWrap/>
          </w:tcPr>
          <w:p w14:paraId="24328272" w14:textId="77777777" w:rsidR="00254D1D" w:rsidRPr="00073BE0" w:rsidRDefault="00254D1D">
            <w:pPr>
              <w:pStyle w:val="TableText"/>
              <w:rPr>
                <w:rFonts w:ascii="Arial" w:hAnsi="Arial" w:cs="Arial"/>
                <w:sz w:val="18"/>
                <w:szCs w:val="18"/>
              </w:rPr>
            </w:pPr>
            <w:r w:rsidRPr="002E66A3">
              <w:rPr>
                <w:rFonts w:ascii="Arial" w:hAnsi="Arial" w:cs="Arial"/>
                <w:sz w:val="18"/>
                <w:szCs w:val="18"/>
              </w:rPr>
              <w:t>Moorabool Shire Council</w:t>
            </w:r>
          </w:p>
        </w:tc>
        <w:tc>
          <w:tcPr>
            <w:tcW w:w="3969" w:type="dxa"/>
            <w:noWrap/>
          </w:tcPr>
          <w:p w14:paraId="40C31433" w14:textId="77777777" w:rsidR="00254D1D" w:rsidRPr="00E606B4" w:rsidRDefault="00254D1D">
            <w:pPr>
              <w:rPr>
                <w:rFonts w:cs="Arial"/>
                <w:sz w:val="18"/>
                <w:szCs w:val="18"/>
              </w:rPr>
            </w:pPr>
            <w:r w:rsidRPr="002E66A3">
              <w:rPr>
                <w:rFonts w:cs="Arial"/>
                <w:sz w:val="18"/>
                <w:szCs w:val="18"/>
              </w:rPr>
              <w:t xml:space="preserve">Moorabool Shire Council - Promoting the </w:t>
            </w:r>
            <w:r>
              <w:rPr>
                <w:rFonts w:cs="Arial"/>
                <w:sz w:val="18"/>
                <w:szCs w:val="18"/>
              </w:rPr>
              <w:t>R</w:t>
            </w:r>
            <w:r w:rsidRPr="002E66A3">
              <w:rPr>
                <w:rFonts w:cs="Arial"/>
                <w:sz w:val="18"/>
                <w:szCs w:val="18"/>
              </w:rPr>
              <w:t xml:space="preserve">ecycling </w:t>
            </w:r>
            <w:r>
              <w:rPr>
                <w:rFonts w:cs="Arial"/>
                <w:sz w:val="18"/>
                <w:szCs w:val="18"/>
              </w:rPr>
              <w:t>S</w:t>
            </w:r>
            <w:r w:rsidRPr="002E66A3">
              <w:rPr>
                <w:rFonts w:cs="Arial"/>
                <w:sz w:val="18"/>
                <w:szCs w:val="18"/>
              </w:rPr>
              <w:t>ystem</w:t>
            </w:r>
            <w:r>
              <w:rPr>
                <w:rFonts w:cs="Arial"/>
                <w:sz w:val="18"/>
                <w:szCs w:val="18"/>
              </w:rPr>
              <w:t xml:space="preserve"> – Household Education</w:t>
            </w:r>
          </w:p>
        </w:tc>
        <w:tc>
          <w:tcPr>
            <w:tcW w:w="1589" w:type="dxa"/>
            <w:noWrap/>
          </w:tcPr>
          <w:p w14:paraId="16EAB8A1" w14:textId="77777777" w:rsidR="00254D1D" w:rsidRDefault="00254D1D">
            <w:pPr>
              <w:rPr>
                <w:sz w:val="18"/>
                <w:szCs w:val="18"/>
              </w:rPr>
            </w:pPr>
            <w:r>
              <w:rPr>
                <w:sz w:val="18"/>
                <w:szCs w:val="18"/>
              </w:rPr>
              <w:t>$32,250</w:t>
            </w:r>
          </w:p>
        </w:tc>
      </w:tr>
      <w:tr w:rsidR="00254D1D" w:rsidRPr="0012521E" w14:paraId="316501D4" w14:textId="77777777">
        <w:tc>
          <w:tcPr>
            <w:tcW w:w="3397" w:type="dxa"/>
            <w:noWrap/>
          </w:tcPr>
          <w:p w14:paraId="0006C8E6" w14:textId="77777777" w:rsidR="00254D1D" w:rsidRPr="002E66A3" w:rsidRDefault="00254D1D">
            <w:pPr>
              <w:pStyle w:val="TableText"/>
              <w:rPr>
                <w:rFonts w:ascii="Arial" w:hAnsi="Arial" w:cs="Arial"/>
                <w:sz w:val="18"/>
                <w:szCs w:val="18"/>
              </w:rPr>
            </w:pPr>
            <w:r w:rsidRPr="003C0C87">
              <w:rPr>
                <w:rFonts w:ascii="Arial" w:hAnsi="Arial" w:cs="Arial"/>
                <w:sz w:val="18"/>
                <w:szCs w:val="18"/>
              </w:rPr>
              <w:t>Mornington Peninsula Shire Council</w:t>
            </w:r>
          </w:p>
        </w:tc>
        <w:tc>
          <w:tcPr>
            <w:tcW w:w="3969" w:type="dxa"/>
            <w:noWrap/>
          </w:tcPr>
          <w:p w14:paraId="1F55BD14" w14:textId="77777777" w:rsidR="00254D1D" w:rsidRPr="002E66A3" w:rsidRDefault="00254D1D">
            <w:pPr>
              <w:rPr>
                <w:rFonts w:cs="Arial"/>
                <w:sz w:val="18"/>
                <w:szCs w:val="18"/>
              </w:rPr>
            </w:pPr>
            <w:r w:rsidRPr="00805D2A">
              <w:rPr>
                <w:rFonts w:cs="Arial"/>
                <w:sz w:val="18"/>
                <w:szCs w:val="18"/>
              </w:rPr>
              <w:t>Green Wedge Agricultural and Commercial Food Organics Recovery to Bioenergy</w:t>
            </w:r>
          </w:p>
        </w:tc>
        <w:tc>
          <w:tcPr>
            <w:tcW w:w="1589" w:type="dxa"/>
            <w:noWrap/>
          </w:tcPr>
          <w:p w14:paraId="37437179" w14:textId="77777777" w:rsidR="00254D1D" w:rsidRDefault="00254D1D">
            <w:pPr>
              <w:rPr>
                <w:sz w:val="18"/>
                <w:szCs w:val="18"/>
              </w:rPr>
            </w:pPr>
            <w:r>
              <w:rPr>
                <w:sz w:val="18"/>
                <w:szCs w:val="18"/>
              </w:rPr>
              <w:t>$16,000</w:t>
            </w:r>
          </w:p>
        </w:tc>
      </w:tr>
      <w:tr w:rsidR="00254D1D" w:rsidRPr="0012521E" w14:paraId="516C53ED" w14:textId="77777777">
        <w:tc>
          <w:tcPr>
            <w:tcW w:w="3397" w:type="dxa"/>
            <w:noWrap/>
          </w:tcPr>
          <w:p w14:paraId="0B03F7D0" w14:textId="77777777" w:rsidR="00254D1D" w:rsidRPr="003C0C87" w:rsidRDefault="00254D1D">
            <w:pPr>
              <w:pStyle w:val="TableText"/>
              <w:rPr>
                <w:rFonts w:ascii="Arial" w:hAnsi="Arial" w:cs="Arial"/>
                <w:sz w:val="18"/>
                <w:szCs w:val="18"/>
              </w:rPr>
            </w:pPr>
            <w:r w:rsidRPr="003C0C87">
              <w:rPr>
                <w:rFonts w:ascii="Arial" w:hAnsi="Arial" w:cs="Arial"/>
                <w:sz w:val="18"/>
                <w:szCs w:val="18"/>
              </w:rPr>
              <w:t>Mornington Peninsula Shire Council</w:t>
            </w:r>
          </w:p>
        </w:tc>
        <w:tc>
          <w:tcPr>
            <w:tcW w:w="3969" w:type="dxa"/>
            <w:noWrap/>
          </w:tcPr>
          <w:p w14:paraId="32469937" w14:textId="77777777" w:rsidR="00254D1D" w:rsidRPr="00805D2A" w:rsidRDefault="00254D1D">
            <w:pPr>
              <w:rPr>
                <w:rFonts w:cs="Arial"/>
                <w:sz w:val="18"/>
                <w:szCs w:val="18"/>
              </w:rPr>
            </w:pPr>
            <w:r w:rsidRPr="00CB1F7E">
              <w:rPr>
                <w:rFonts w:cs="Arial"/>
                <w:sz w:val="18"/>
                <w:szCs w:val="18"/>
              </w:rPr>
              <w:t xml:space="preserve">Mornington Peninsula Shire </w:t>
            </w:r>
            <w:r>
              <w:rPr>
                <w:rFonts w:cs="Arial"/>
                <w:sz w:val="18"/>
                <w:szCs w:val="18"/>
              </w:rPr>
              <w:t>P</w:t>
            </w:r>
            <w:r w:rsidRPr="00CB1F7E">
              <w:rPr>
                <w:rFonts w:cs="Arial"/>
                <w:sz w:val="18"/>
                <w:szCs w:val="18"/>
              </w:rPr>
              <w:t xml:space="preserve">romoting and </w:t>
            </w:r>
            <w:r>
              <w:rPr>
                <w:rFonts w:cs="Arial"/>
                <w:sz w:val="18"/>
                <w:szCs w:val="18"/>
              </w:rPr>
              <w:t>I</w:t>
            </w:r>
            <w:r w:rsidRPr="00CB1F7E">
              <w:rPr>
                <w:rFonts w:cs="Arial"/>
                <w:sz w:val="18"/>
                <w:szCs w:val="18"/>
              </w:rPr>
              <w:t xml:space="preserve">mproving the </w:t>
            </w:r>
            <w:r>
              <w:rPr>
                <w:rFonts w:cs="Arial"/>
                <w:sz w:val="18"/>
                <w:szCs w:val="18"/>
              </w:rPr>
              <w:t>R</w:t>
            </w:r>
            <w:r w:rsidRPr="00CB1F7E">
              <w:rPr>
                <w:rFonts w:cs="Arial"/>
                <w:sz w:val="18"/>
                <w:szCs w:val="18"/>
              </w:rPr>
              <w:t xml:space="preserve">ecycling </w:t>
            </w:r>
            <w:r>
              <w:rPr>
                <w:rFonts w:cs="Arial"/>
                <w:sz w:val="18"/>
                <w:szCs w:val="18"/>
              </w:rPr>
              <w:t>S</w:t>
            </w:r>
            <w:r w:rsidRPr="00CB1F7E">
              <w:rPr>
                <w:rFonts w:cs="Arial"/>
                <w:sz w:val="18"/>
                <w:szCs w:val="18"/>
              </w:rPr>
              <w:t xml:space="preserve">ervices </w:t>
            </w:r>
            <w:r>
              <w:rPr>
                <w:rFonts w:cs="Arial"/>
                <w:sz w:val="18"/>
                <w:szCs w:val="18"/>
              </w:rPr>
              <w:t>S</w:t>
            </w:r>
            <w:r w:rsidRPr="00CB1F7E">
              <w:rPr>
                <w:rFonts w:cs="Arial"/>
                <w:sz w:val="18"/>
                <w:szCs w:val="18"/>
              </w:rPr>
              <w:t>ystem</w:t>
            </w:r>
            <w:r>
              <w:rPr>
                <w:rFonts w:cs="Arial"/>
                <w:sz w:val="18"/>
                <w:szCs w:val="18"/>
              </w:rPr>
              <w:t xml:space="preserve"> – Household Education</w:t>
            </w:r>
          </w:p>
        </w:tc>
        <w:tc>
          <w:tcPr>
            <w:tcW w:w="1589" w:type="dxa"/>
            <w:noWrap/>
          </w:tcPr>
          <w:p w14:paraId="5970A4BA" w14:textId="77777777" w:rsidR="00254D1D" w:rsidRDefault="00254D1D">
            <w:pPr>
              <w:rPr>
                <w:sz w:val="18"/>
                <w:szCs w:val="18"/>
              </w:rPr>
            </w:pPr>
            <w:r>
              <w:rPr>
                <w:sz w:val="18"/>
                <w:szCs w:val="18"/>
              </w:rPr>
              <w:t>$43,000</w:t>
            </w:r>
          </w:p>
        </w:tc>
      </w:tr>
      <w:tr w:rsidR="00254D1D" w:rsidRPr="0012521E" w14:paraId="272DF187" w14:textId="77777777">
        <w:tc>
          <w:tcPr>
            <w:tcW w:w="3397" w:type="dxa"/>
            <w:noWrap/>
          </w:tcPr>
          <w:p w14:paraId="43DC9B91" w14:textId="77777777" w:rsidR="00254D1D" w:rsidRPr="003C0C87" w:rsidRDefault="00254D1D">
            <w:pPr>
              <w:pStyle w:val="TableText"/>
              <w:rPr>
                <w:rFonts w:ascii="Arial" w:hAnsi="Arial" w:cs="Arial"/>
                <w:sz w:val="18"/>
                <w:szCs w:val="18"/>
              </w:rPr>
            </w:pPr>
            <w:r w:rsidRPr="003C0C87">
              <w:rPr>
                <w:rFonts w:ascii="Arial" w:hAnsi="Arial" w:cs="Arial"/>
                <w:sz w:val="18"/>
                <w:szCs w:val="18"/>
              </w:rPr>
              <w:t>Mornington Peninsula Shire Council</w:t>
            </w:r>
          </w:p>
        </w:tc>
        <w:tc>
          <w:tcPr>
            <w:tcW w:w="3969" w:type="dxa"/>
            <w:noWrap/>
          </w:tcPr>
          <w:p w14:paraId="0148D5CF" w14:textId="77777777" w:rsidR="00254D1D" w:rsidRPr="00CB1F7E" w:rsidRDefault="00254D1D">
            <w:pPr>
              <w:rPr>
                <w:rFonts w:cs="Arial"/>
                <w:sz w:val="18"/>
                <w:szCs w:val="18"/>
              </w:rPr>
            </w:pPr>
            <w:r w:rsidRPr="00A1159C">
              <w:rPr>
                <w:rFonts w:cs="Arial"/>
                <w:sz w:val="18"/>
                <w:szCs w:val="18"/>
              </w:rPr>
              <w:t>CE Councils Mornington Peninsula Wash Against Waste Trailer and Reusables for Events</w:t>
            </w:r>
          </w:p>
        </w:tc>
        <w:tc>
          <w:tcPr>
            <w:tcW w:w="1589" w:type="dxa"/>
            <w:noWrap/>
          </w:tcPr>
          <w:p w14:paraId="623F084A" w14:textId="77777777" w:rsidR="00254D1D" w:rsidRDefault="00254D1D">
            <w:pPr>
              <w:rPr>
                <w:sz w:val="18"/>
                <w:szCs w:val="18"/>
              </w:rPr>
            </w:pPr>
            <w:r>
              <w:rPr>
                <w:sz w:val="18"/>
                <w:szCs w:val="18"/>
              </w:rPr>
              <w:t>$32,000</w:t>
            </w:r>
          </w:p>
        </w:tc>
      </w:tr>
      <w:tr w:rsidR="00254D1D" w:rsidRPr="0012521E" w14:paraId="652712E4" w14:textId="77777777">
        <w:tc>
          <w:tcPr>
            <w:tcW w:w="3397" w:type="dxa"/>
            <w:noWrap/>
          </w:tcPr>
          <w:p w14:paraId="2897838A" w14:textId="77777777" w:rsidR="00254D1D" w:rsidRPr="003C0C87" w:rsidRDefault="00254D1D">
            <w:pPr>
              <w:pStyle w:val="TableText"/>
              <w:rPr>
                <w:rFonts w:ascii="Arial" w:hAnsi="Arial" w:cs="Arial"/>
                <w:sz w:val="18"/>
                <w:szCs w:val="18"/>
              </w:rPr>
            </w:pPr>
            <w:r w:rsidRPr="0080400F">
              <w:rPr>
                <w:rFonts w:ascii="Arial" w:hAnsi="Arial" w:cs="Arial"/>
                <w:sz w:val="18"/>
                <w:szCs w:val="18"/>
              </w:rPr>
              <w:t>Morwell Bowling Club &amp; Recreation Centre Inc</w:t>
            </w:r>
          </w:p>
        </w:tc>
        <w:tc>
          <w:tcPr>
            <w:tcW w:w="3969" w:type="dxa"/>
            <w:noWrap/>
          </w:tcPr>
          <w:p w14:paraId="579E0126" w14:textId="77777777" w:rsidR="00254D1D" w:rsidRPr="00A1159C" w:rsidRDefault="00254D1D">
            <w:pPr>
              <w:rPr>
                <w:rFonts w:cs="Arial"/>
                <w:sz w:val="18"/>
                <w:szCs w:val="18"/>
              </w:rPr>
            </w:pPr>
            <w:r w:rsidRPr="00A27861">
              <w:rPr>
                <w:rFonts w:cs="Arial"/>
                <w:sz w:val="18"/>
                <w:szCs w:val="18"/>
              </w:rPr>
              <w:t>CCCEA RD2 Energy Efficiency Upgrades - Morwell Bowling Club &amp; Recreation Centre Inc</w:t>
            </w:r>
          </w:p>
        </w:tc>
        <w:tc>
          <w:tcPr>
            <w:tcW w:w="1589" w:type="dxa"/>
            <w:noWrap/>
          </w:tcPr>
          <w:p w14:paraId="639EFB99" w14:textId="77777777" w:rsidR="00254D1D" w:rsidRDefault="00254D1D">
            <w:pPr>
              <w:rPr>
                <w:sz w:val="18"/>
                <w:szCs w:val="18"/>
              </w:rPr>
            </w:pPr>
            <w:r>
              <w:rPr>
                <w:sz w:val="18"/>
                <w:szCs w:val="18"/>
              </w:rPr>
              <w:t>$15,000</w:t>
            </w:r>
          </w:p>
        </w:tc>
      </w:tr>
      <w:tr w:rsidR="00254D1D" w:rsidRPr="0012521E" w14:paraId="5C88A116" w14:textId="77777777">
        <w:tc>
          <w:tcPr>
            <w:tcW w:w="3397" w:type="dxa"/>
            <w:noWrap/>
          </w:tcPr>
          <w:p w14:paraId="270CADC4" w14:textId="77777777" w:rsidR="00254D1D" w:rsidRPr="0080400F" w:rsidRDefault="00254D1D">
            <w:pPr>
              <w:pStyle w:val="TableText"/>
              <w:rPr>
                <w:rFonts w:ascii="Arial" w:hAnsi="Arial" w:cs="Arial"/>
                <w:sz w:val="18"/>
                <w:szCs w:val="18"/>
              </w:rPr>
            </w:pPr>
            <w:r w:rsidRPr="006D26D9">
              <w:rPr>
                <w:rFonts w:ascii="Arial" w:hAnsi="Arial" w:cs="Arial"/>
                <w:sz w:val="18"/>
                <w:szCs w:val="18"/>
              </w:rPr>
              <w:t>Morwell Neighbourhood House &amp; Learning Centre</w:t>
            </w:r>
          </w:p>
        </w:tc>
        <w:tc>
          <w:tcPr>
            <w:tcW w:w="3969" w:type="dxa"/>
            <w:noWrap/>
          </w:tcPr>
          <w:p w14:paraId="2C72F220" w14:textId="77777777" w:rsidR="00254D1D" w:rsidRPr="00A27861" w:rsidRDefault="00254D1D">
            <w:pPr>
              <w:rPr>
                <w:rFonts w:cs="Arial"/>
                <w:sz w:val="18"/>
                <w:szCs w:val="18"/>
              </w:rPr>
            </w:pPr>
            <w:r w:rsidRPr="006D26D9">
              <w:rPr>
                <w:rFonts w:cs="Arial"/>
                <w:sz w:val="18"/>
                <w:szCs w:val="18"/>
              </w:rPr>
              <w:t xml:space="preserve">Morwell War on Waste - Local Solutions for </w:t>
            </w:r>
            <w:r>
              <w:rPr>
                <w:rFonts w:cs="Arial"/>
                <w:sz w:val="18"/>
                <w:szCs w:val="18"/>
              </w:rPr>
              <w:t>L</w:t>
            </w:r>
            <w:r w:rsidRPr="006D26D9">
              <w:rPr>
                <w:rFonts w:cs="Arial"/>
                <w:sz w:val="18"/>
                <w:szCs w:val="18"/>
              </w:rPr>
              <w:t xml:space="preserve">ow </w:t>
            </w:r>
            <w:r>
              <w:rPr>
                <w:rFonts w:cs="Arial"/>
                <w:sz w:val="18"/>
                <w:szCs w:val="18"/>
              </w:rPr>
              <w:t>W</w:t>
            </w:r>
            <w:r w:rsidRPr="006D26D9">
              <w:rPr>
                <w:rFonts w:cs="Arial"/>
                <w:sz w:val="18"/>
                <w:szCs w:val="18"/>
              </w:rPr>
              <w:t xml:space="preserve">aste </w:t>
            </w:r>
            <w:r>
              <w:rPr>
                <w:rFonts w:cs="Arial"/>
                <w:sz w:val="18"/>
                <w:szCs w:val="18"/>
              </w:rPr>
              <w:t>L</w:t>
            </w:r>
            <w:r w:rsidRPr="006D26D9">
              <w:rPr>
                <w:rFonts w:cs="Arial"/>
                <w:sz w:val="18"/>
                <w:szCs w:val="18"/>
              </w:rPr>
              <w:t>iving</w:t>
            </w:r>
          </w:p>
        </w:tc>
        <w:tc>
          <w:tcPr>
            <w:tcW w:w="1589" w:type="dxa"/>
            <w:noWrap/>
          </w:tcPr>
          <w:p w14:paraId="50BF78C3" w14:textId="77777777" w:rsidR="00254D1D" w:rsidRDefault="00254D1D">
            <w:pPr>
              <w:rPr>
                <w:sz w:val="18"/>
                <w:szCs w:val="18"/>
              </w:rPr>
            </w:pPr>
            <w:r>
              <w:rPr>
                <w:sz w:val="18"/>
                <w:szCs w:val="18"/>
              </w:rPr>
              <w:t>$29,300</w:t>
            </w:r>
          </w:p>
        </w:tc>
      </w:tr>
      <w:tr w:rsidR="00254D1D" w:rsidRPr="0012521E" w14:paraId="54E8050F" w14:textId="77777777">
        <w:tc>
          <w:tcPr>
            <w:tcW w:w="3397" w:type="dxa"/>
            <w:noWrap/>
          </w:tcPr>
          <w:p w14:paraId="0098B771" w14:textId="77777777" w:rsidR="00254D1D" w:rsidRPr="006D26D9" w:rsidRDefault="00254D1D">
            <w:pPr>
              <w:pStyle w:val="TableText"/>
              <w:rPr>
                <w:rFonts w:ascii="Arial" w:hAnsi="Arial" w:cs="Arial"/>
                <w:sz w:val="18"/>
                <w:szCs w:val="18"/>
              </w:rPr>
            </w:pPr>
            <w:r w:rsidRPr="006A216B">
              <w:rPr>
                <w:rFonts w:ascii="Arial" w:hAnsi="Arial" w:cs="Arial"/>
                <w:sz w:val="18"/>
                <w:szCs w:val="18"/>
              </w:rPr>
              <w:t>Mount Alexander Shire Council</w:t>
            </w:r>
          </w:p>
        </w:tc>
        <w:tc>
          <w:tcPr>
            <w:tcW w:w="3969" w:type="dxa"/>
            <w:noWrap/>
          </w:tcPr>
          <w:p w14:paraId="7DC2137C" w14:textId="77777777" w:rsidR="00254D1D" w:rsidRPr="006D26D9" w:rsidRDefault="00254D1D">
            <w:pPr>
              <w:rPr>
                <w:rFonts w:cs="Arial"/>
                <w:sz w:val="18"/>
                <w:szCs w:val="18"/>
              </w:rPr>
            </w:pPr>
            <w:r w:rsidRPr="006A216B">
              <w:rPr>
                <w:rFonts w:cs="Arial"/>
                <w:sz w:val="18"/>
                <w:szCs w:val="18"/>
              </w:rPr>
              <w:t>Mount Alexander - Recycling Right - Household Education and Behaviour Change</w:t>
            </w:r>
            <w:r>
              <w:rPr>
                <w:rFonts w:cs="Arial"/>
                <w:sz w:val="18"/>
                <w:szCs w:val="18"/>
              </w:rPr>
              <w:t xml:space="preserve"> – Household Education</w:t>
            </w:r>
          </w:p>
        </w:tc>
        <w:tc>
          <w:tcPr>
            <w:tcW w:w="1589" w:type="dxa"/>
            <w:noWrap/>
          </w:tcPr>
          <w:p w14:paraId="1972670C" w14:textId="77777777" w:rsidR="00254D1D" w:rsidRDefault="00254D1D">
            <w:pPr>
              <w:rPr>
                <w:sz w:val="18"/>
                <w:szCs w:val="18"/>
              </w:rPr>
            </w:pPr>
            <w:r>
              <w:rPr>
                <w:sz w:val="18"/>
                <w:szCs w:val="18"/>
              </w:rPr>
              <w:t>$29,450</w:t>
            </w:r>
          </w:p>
        </w:tc>
      </w:tr>
      <w:tr w:rsidR="00254D1D" w:rsidRPr="0012521E" w14:paraId="26CD948F" w14:textId="77777777">
        <w:tc>
          <w:tcPr>
            <w:tcW w:w="3397" w:type="dxa"/>
            <w:noWrap/>
          </w:tcPr>
          <w:p w14:paraId="6416F826" w14:textId="77777777" w:rsidR="00254D1D" w:rsidRPr="006A216B" w:rsidRDefault="00254D1D">
            <w:pPr>
              <w:pStyle w:val="TableText"/>
              <w:rPr>
                <w:rFonts w:ascii="Arial" w:hAnsi="Arial" w:cs="Arial"/>
                <w:sz w:val="18"/>
                <w:szCs w:val="18"/>
              </w:rPr>
            </w:pPr>
            <w:r w:rsidRPr="006A216B">
              <w:rPr>
                <w:rFonts w:ascii="Arial" w:hAnsi="Arial" w:cs="Arial"/>
                <w:sz w:val="18"/>
                <w:szCs w:val="18"/>
              </w:rPr>
              <w:t>Mount Alexander Shire Council</w:t>
            </w:r>
          </w:p>
        </w:tc>
        <w:tc>
          <w:tcPr>
            <w:tcW w:w="3969" w:type="dxa"/>
            <w:noWrap/>
          </w:tcPr>
          <w:p w14:paraId="603AB2A1" w14:textId="77777777" w:rsidR="00254D1D" w:rsidRPr="006A216B" w:rsidRDefault="00254D1D">
            <w:pPr>
              <w:rPr>
                <w:rFonts w:cs="Arial"/>
                <w:sz w:val="18"/>
                <w:szCs w:val="18"/>
              </w:rPr>
            </w:pPr>
            <w:r w:rsidRPr="0074131A">
              <w:rPr>
                <w:rFonts w:cs="Arial"/>
                <w:sz w:val="18"/>
                <w:szCs w:val="18"/>
              </w:rPr>
              <w:t>CE Councils Mount Alexander - Castlemaine Transfer Station Sorting Space</w:t>
            </w:r>
          </w:p>
        </w:tc>
        <w:tc>
          <w:tcPr>
            <w:tcW w:w="1589" w:type="dxa"/>
            <w:noWrap/>
          </w:tcPr>
          <w:p w14:paraId="46E3A8BF" w14:textId="77777777" w:rsidR="00254D1D" w:rsidRDefault="00254D1D">
            <w:pPr>
              <w:rPr>
                <w:sz w:val="18"/>
                <w:szCs w:val="18"/>
                <w:highlight w:val="yellow"/>
              </w:rPr>
            </w:pPr>
            <w:r w:rsidRPr="00362ADF">
              <w:rPr>
                <w:sz w:val="18"/>
                <w:szCs w:val="18"/>
              </w:rPr>
              <w:t>$48,000</w:t>
            </w:r>
          </w:p>
        </w:tc>
      </w:tr>
      <w:tr w:rsidR="00254D1D" w:rsidRPr="0012521E" w14:paraId="5F723240" w14:textId="77777777">
        <w:tc>
          <w:tcPr>
            <w:tcW w:w="3397" w:type="dxa"/>
            <w:noWrap/>
          </w:tcPr>
          <w:p w14:paraId="37C8FE60" w14:textId="77777777" w:rsidR="00254D1D" w:rsidRPr="006A216B" w:rsidRDefault="00254D1D">
            <w:pPr>
              <w:pStyle w:val="TableText"/>
              <w:rPr>
                <w:rFonts w:ascii="Arial" w:hAnsi="Arial" w:cs="Arial"/>
                <w:sz w:val="18"/>
                <w:szCs w:val="18"/>
              </w:rPr>
            </w:pPr>
            <w:r w:rsidRPr="006A216B">
              <w:rPr>
                <w:rFonts w:ascii="Arial" w:hAnsi="Arial" w:cs="Arial"/>
                <w:sz w:val="18"/>
                <w:szCs w:val="18"/>
              </w:rPr>
              <w:t>Mount Alexander Shire Council</w:t>
            </w:r>
          </w:p>
        </w:tc>
        <w:tc>
          <w:tcPr>
            <w:tcW w:w="3969" w:type="dxa"/>
            <w:noWrap/>
          </w:tcPr>
          <w:p w14:paraId="34D38D34" w14:textId="77777777" w:rsidR="00254D1D" w:rsidRPr="0074131A" w:rsidRDefault="00254D1D">
            <w:pPr>
              <w:rPr>
                <w:rFonts w:cs="Arial"/>
                <w:sz w:val="18"/>
                <w:szCs w:val="18"/>
              </w:rPr>
            </w:pPr>
            <w:r w:rsidRPr="003752F9">
              <w:rPr>
                <w:rFonts w:cs="Arial"/>
                <w:sz w:val="18"/>
                <w:szCs w:val="18"/>
              </w:rPr>
              <w:t>Pilot Asbestos Disposal Point Castlemaine</w:t>
            </w:r>
          </w:p>
        </w:tc>
        <w:tc>
          <w:tcPr>
            <w:tcW w:w="1589" w:type="dxa"/>
            <w:noWrap/>
          </w:tcPr>
          <w:p w14:paraId="32DCE60C" w14:textId="77777777" w:rsidR="00254D1D" w:rsidRDefault="00254D1D">
            <w:pPr>
              <w:rPr>
                <w:sz w:val="18"/>
                <w:szCs w:val="18"/>
              </w:rPr>
            </w:pPr>
            <w:r>
              <w:rPr>
                <w:sz w:val="18"/>
                <w:szCs w:val="18"/>
              </w:rPr>
              <w:t>$5,000</w:t>
            </w:r>
          </w:p>
        </w:tc>
      </w:tr>
      <w:tr w:rsidR="00254D1D" w:rsidRPr="0012521E" w14:paraId="3B1B91BE" w14:textId="77777777">
        <w:tc>
          <w:tcPr>
            <w:tcW w:w="3397" w:type="dxa"/>
            <w:noWrap/>
          </w:tcPr>
          <w:p w14:paraId="3AFE9D90" w14:textId="77777777" w:rsidR="00254D1D" w:rsidRPr="006A216B" w:rsidRDefault="00254D1D">
            <w:pPr>
              <w:pStyle w:val="TableText"/>
              <w:rPr>
                <w:rFonts w:ascii="Arial" w:hAnsi="Arial" w:cs="Arial"/>
                <w:sz w:val="18"/>
                <w:szCs w:val="18"/>
              </w:rPr>
            </w:pPr>
            <w:r w:rsidRPr="006A7B52">
              <w:rPr>
                <w:rFonts w:ascii="Arial" w:hAnsi="Arial" w:cs="Arial"/>
                <w:sz w:val="18"/>
                <w:szCs w:val="18"/>
              </w:rPr>
              <w:t>Murrindindi Shire Council</w:t>
            </w:r>
          </w:p>
        </w:tc>
        <w:tc>
          <w:tcPr>
            <w:tcW w:w="3969" w:type="dxa"/>
            <w:noWrap/>
          </w:tcPr>
          <w:p w14:paraId="54EF6EC2" w14:textId="77777777" w:rsidR="00254D1D" w:rsidRPr="003752F9" w:rsidRDefault="00254D1D">
            <w:pPr>
              <w:rPr>
                <w:rFonts w:cs="Arial"/>
                <w:sz w:val="18"/>
                <w:szCs w:val="18"/>
              </w:rPr>
            </w:pPr>
            <w:r>
              <w:rPr>
                <w:rFonts w:cs="Arial"/>
                <w:sz w:val="18"/>
                <w:szCs w:val="18"/>
              </w:rPr>
              <w:t>CE</w:t>
            </w:r>
            <w:r w:rsidRPr="006A7B52">
              <w:rPr>
                <w:rFonts w:cs="Arial"/>
                <w:sz w:val="18"/>
                <w:szCs w:val="18"/>
              </w:rPr>
              <w:t xml:space="preserve"> Councils Feasibility Business Case for a Modern Resource Recovery Facility in Yea</w:t>
            </w:r>
          </w:p>
        </w:tc>
        <w:tc>
          <w:tcPr>
            <w:tcW w:w="1589" w:type="dxa"/>
            <w:noWrap/>
          </w:tcPr>
          <w:p w14:paraId="0078F354" w14:textId="77777777" w:rsidR="00254D1D" w:rsidRDefault="00254D1D">
            <w:pPr>
              <w:rPr>
                <w:sz w:val="18"/>
                <w:szCs w:val="18"/>
              </w:rPr>
            </w:pPr>
            <w:r>
              <w:rPr>
                <w:sz w:val="18"/>
                <w:szCs w:val="18"/>
              </w:rPr>
              <w:t>$10,000</w:t>
            </w:r>
          </w:p>
        </w:tc>
      </w:tr>
      <w:tr w:rsidR="00254D1D" w:rsidRPr="0012521E" w14:paraId="12499308" w14:textId="77777777">
        <w:tc>
          <w:tcPr>
            <w:tcW w:w="3397" w:type="dxa"/>
            <w:noWrap/>
          </w:tcPr>
          <w:p w14:paraId="2BB2F0A8" w14:textId="77777777" w:rsidR="00254D1D" w:rsidRPr="006A7B52" w:rsidRDefault="00254D1D">
            <w:pPr>
              <w:pStyle w:val="TableText"/>
              <w:rPr>
                <w:rFonts w:ascii="Arial" w:hAnsi="Arial" w:cs="Arial"/>
                <w:sz w:val="18"/>
                <w:szCs w:val="18"/>
              </w:rPr>
            </w:pPr>
            <w:r w:rsidRPr="006A7B52">
              <w:rPr>
                <w:rFonts w:ascii="Arial" w:hAnsi="Arial" w:cs="Arial"/>
                <w:sz w:val="18"/>
                <w:szCs w:val="18"/>
              </w:rPr>
              <w:t>Murrindindi Shire Council</w:t>
            </w:r>
          </w:p>
        </w:tc>
        <w:tc>
          <w:tcPr>
            <w:tcW w:w="3969" w:type="dxa"/>
            <w:noWrap/>
          </w:tcPr>
          <w:p w14:paraId="0AC718AE" w14:textId="77777777" w:rsidR="00254D1D" w:rsidRDefault="00254D1D">
            <w:pPr>
              <w:rPr>
                <w:rFonts w:cs="Arial"/>
                <w:sz w:val="18"/>
                <w:szCs w:val="18"/>
              </w:rPr>
            </w:pPr>
            <w:r w:rsidRPr="00865FB4">
              <w:rPr>
                <w:rFonts w:cs="Arial"/>
                <w:sz w:val="18"/>
                <w:szCs w:val="18"/>
              </w:rPr>
              <w:t>CE Councils Murrindindi Mulch Maker</w:t>
            </w:r>
          </w:p>
        </w:tc>
        <w:tc>
          <w:tcPr>
            <w:tcW w:w="1589" w:type="dxa"/>
            <w:noWrap/>
          </w:tcPr>
          <w:p w14:paraId="130A6ECE" w14:textId="77777777" w:rsidR="00254D1D" w:rsidRDefault="00254D1D">
            <w:pPr>
              <w:rPr>
                <w:sz w:val="18"/>
                <w:szCs w:val="18"/>
              </w:rPr>
            </w:pPr>
            <w:r>
              <w:rPr>
                <w:sz w:val="18"/>
                <w:szCs w:val="18"/>
              </w:rPr>
              <w:t>$116,249</w:t>
            </w:r>
          </w:p>
        </w:tc>
      </w:tr>
      <w:tr w:rsidR="00254D1D" w:rsidRPr="0012521E" w14:paraId="0A0D15C8" w14:textId="77777777">
        <w:tc>
          <w:tcPr>
            <w:tcW w:w="3397" w:type="dxa"/>
            <w:noWrap/>
          </w:tcPr>
          <w:p w14:paraId="2B9A443E" w14:textId="77777777" w:rsidR="00254D1D" w:rsidRPr="006A7B52" w:rsidRDefault="00254D1D">
            <w:pPr>
              <w:pStyle w:val="TableText"/>
              <w:rPr>
                <w:rFonts w:ascii="Arial" w:hAnsi="Arial" w:cs="Arial"/>
                <w:sz w:val="18"/>
                <w:szCs w:val="18"/>
              </w:rPr>
            </w:pPr>
            <w:r w:rsidRPr="00D2218E">
              <w:rPr>
                <w:rFonts w:ascii="Arial" w:hAnsi="Arial" w:cs="Arial"/>
                <w:sz w:val="18"/>
                <w:szCs w:val="18"/>
              </w:rPr>
              <w:t>Murrumbeena Park</w:t>
            </w:r>
            <w:r>
              <w:rPr>
                <w:rFonts w:ascii="Arial" w:hAnsi="Arial" w:cs="Arial"/>
                <w:sz w:val="18"/>
                <w:szCs w:val="18"/>
              </w:rPr>
              <w:t xml:space="preserve"> Bowls Club Inc</w:t>
            </w:r>
          </w:p>
        </w:tc>
        <w:tc>
          <w:tcPr>
            <w:tcW w:w="3969" w:type="dxa"/>
            <w:noWrap/>
          </w:tcPr>
          <w:p w14:paraId="5838CA0D" w14:textId="77777777" w:rsidR="00254D1D" w:rsidRPr="00865FB4" w:rsidRDefault="00254D1D">
            <w:pPr>
              <w:rPr>
                <w:rFonts w:cs="Arial"/>
                <w:sz w:val="18"/>
                <w:szCs w:val="18"/>
              </w:rPr>
            </w:pPr>
            <w:r w:rsidRPr="00AF06F0">
              <w:rPr>
                <w:rFonts w:cs="Arial"/>
                <w:sz w:val="18"/>
                <w:szCs w:val="18"/>
              </w:rPr>
              <w:t>CCCEA RD3 Energy Efficiency Upgrades - Murrumbeena Park Bowls Club Inc</w:t>
            </w:r>
          </w:p>
        </w:tc>
        <w:tc>
          <w:tcPr>
            <w:tcW w:w="1589" w:type="dxa"/>
            <w:noWrap/>
          </w:tcPr>
          <w:p w14:paraId="15AC3229" w14:textId="77777777" w:rsidR="00254D1D" w:rsidRDefault="00254D1D">
            <w:pPr>
              <w:rPr>
                <w:sz w:val="18"/>
                <w:szCs w:val="18"/>
              </w:rPr>
            </w:pPr>
            <w:r>
              <w:rPr>
                <w:sz w:val="18"/>
                <w:szCs w:val="18"/>
              </w:rPr>
              <w:t>$5,681</w:t>
            </w:r>
          </w:p>
        </w:tc>
      </w:tr>
      <w:tr w:rsidR="00254D1D" w:rsidRPr="0012521E" w14:paraId="29015BD4" w14:textId="77777777">
        <w:tc>
          <w:tcPr>
            <w:tcW w:w="3397" w:type="dxa"/>
            <w:noWrap/>
          </w:tcPr>
          <w:p w14:paraId="330946B0" w14:textId="77777777" w:rsidR="00254D1D" w:rsidRPr="00E4599B" w:rsidRDefault="00254D1D">
            <w:pPr>
              <w:pStyle w:val="TableText"/>
              <w:rPr>
                <w:rFonts w:ascii="Arial" w:hAnsi="Arial" w:cs="Arial"/>
                <w:sz w:val="18"/>
                <w:szCs w:val="18"/>
              </w:rPr>
            </w:pPr>
            <w:r w:rsidRPr="00E4599B">
              <w:rPr>
                <w:rFonts w:ascii="Arial" w:hAnsi="Arial" w:cs="Arial"/>
                <w:sz w:val="18"/>
                <w:szCs w:val="20"/>
              </w:rPr>
              <w:t>National Paper Industries</w:t>
            </w:r>
          </w:p>
        </w:tc>
        <w:tc>
          <w:tcPr>
            <w:tcW w:w="3969" w:type="dxa"/>
            <w:noWrap/>
          </w:tcPr>
          <w:p w14:paraId="05E9AE26" w14:textId="77777777" w:rsidR="00254D1D" w:rsidRPr="00E4599B" w:rsidRDefault="00254D1D">
            <w:pPr>
              <w:rPr>
                <w:rFonts w:cs="Arial"/>
                <w:sz w:val="18"/>
                <w:szCs w:val="18"/>
              </w:rPr>
            </w:pPr>
            <w:r w:rsidRPr="00E4599B">
              <w:rPr>
                <w:rFonts w:cs="Arial"/>
                <w:sz w:val="18"/>
                <w:szCs w:val="20"/>
              </w:rPr>
              <w:t xml:space="preserve">Establishing Victoria’s First Sustainable </w:t>
            </w:r>
            <w:proofErr w:type="spellStart"/>
            <w:r w:rsidRPr="00E4599B">
              <w:rPr>
                <w:rFonts w:cs="Arial"/>
                <w:sz w:val="18"/>
                <w:szCs w:val="20"/>
              </w:rPr>
              <w:t>Edgeboard</w:t>
            </w:r>
            <w:proofErr w:type="spellEnd"/>
            <w:r w:rsidRPr="00E4599B">
              <w:rPr>
                <w:rFonts w:cs="Arial"/>
                <w:sz w:val="18"/>
                <w:szCs w:val="20"/>
              </w:rPr>
              <w:t xml:space="preserve"> Manufacturing Line</w:t>
            </w:r>
          </w:p>
        </w:tc>
        <w:tc>
          <w:tcPr>
            <w:tcW w:w="1589" w:type="dxa"/>
            <w:noWrap/>
          </w:tcPr>
          <w:p w14:paraId="70CAA3F8" w14:textId="77777777" w:rsidR="00254D1D" w:rsidRPr="00E4599B" w:rsidRDefault="00254D1D">
            <w:pPr>
              <w:rPr>
                <w:rFonts w:cs="Arial"/>
                <w:sz w:val="18"/>
                <w:szCs w:val="18"/>
              </w:rPr>
            </w:pPr>
            <w:r w:rsidRPr="00E4599B">
              <w:rPr>
                <w:rFonts w:cs="Arial"/>
                <w:sz w:val="18"/>
                <w:szCs w:val="20"/>
              </w:rPr>
              <w:t>$2,500</w:t>
            </w:r>
          </w:p>
        </w:tc>
      </w:tr>
      <w:tr w:rsidR="00254D1D" w:rsidRPr="0012521E" w14:paraId="3AD58837" w14:textId="77777777">
        <w:tc>
          <w:tcPr>
            <w:tcW w:w="3397" w:type="dxa"/>
            <w:noWrap/>
          </w:tcPr>
          <w:p w14:paraId="342C9BDF" w14:textId="77777777" w:rsidR="00254D1D" w:rsidRPr="00D2218E" w:rsidRDefault="00254D1D">
            <w:pPr>
              <w:pStyle w:val="TableText"/>
              <w:rPr>
                <w:rFonts w:ascii="Arial" w:hAnsi="Arial" w:cs="Arial"/>
                <w:sz w:val="18"/>
                <w:szCs w:val="18"/>
              </w:rPr>
            </w:pPr>
            <w:r w:rsidRPr="007C21CF">
              <w:rPr>
                <w:rFonts w:ascii="Arial" w:hAnsi="Arial" w:cs="Arial"/>
                <w:sz w:val="18"/>
                <w:szCs w:val="18"/>
              </w:rPr>
              <w:t>Nillumbik Shire Council</w:t>
            </w:r>
          </w:p>
        </w:tc>
        <w:tc>
          <w:tcPr>
            <w:tcW w:w="3969" w:type="dxa"/>
            <w:noWrap/>
          </w:tcPr>
          <w:p w14:paraId="2E649B45" w14:textId="77777777" w:rsidR="00254D1D" w:rsidRPr="00AF06F0" w:rsidRDefault="00254D1D">
            <w:pPr>
              <w:rPr>
                <w:rFonts w:cs="Arial"/>
                <w:sz w:val="18"/>
                <w:szCs w:val="18"/>
              </w:rPr>
            </w:pPr>
            <w:r w:rsidRPr="00DD357D">
              <w:rPr>
                <w:rFonts w:cs="Arial"/>
                <w:sz w:val="18"/>
                <w:szCs w:val="18"/>
              </w:rPr>
              <w:t xml:space="preserve">Nillumbik Shire Council </w:t>
            </w:r>
            <w:r>
              <w:rPr>
                <w:rFonts w:cs="Arial"/>
                <w:sz w:val="18"/>
                <w:szCs w:val="18"/>
              </w:rPr>
              <w:t>I</w:t>
            </w:r>
            <w:r w:rsidRPr="00DD357D">
              <w:rPr>
                <w:rFonts w:cs="Arial"/>
                <w:sz w:val="18"/>
                <w:szCs w:val="18"/>
              </w:rPr>
              <w:t xml:space="preserve">mproving </w:t>
            </w:r>
            <w:r>
              <w:rPr>
                <w:rFonts w:cs="Arial"/>
                <w:sz w:val="18"/>
                <w:szCs w:val="18"/>
              </w:rPr>
              <w:t>R</w:t>
            </w:r>
            <w:r w:rsidRPr="00DD357D">
              <w:rPr>
                <w:rFonts w:cs="Arial"/>
                <w:sz w:val="18"/>
                <w:szCs w:val="18"/>
              </w:rPr>
              <w:t xml:space="preserve">ecycling </w:t>
            </w:r>
            <w:r>
              <w:rPr>
                <w:rFonts w:cs="Arial"/>
                <w:sz w:val="18"/>
                <w:szCs w:val="18"/>
              </w:rPr>
              <w:t>S</w:t>
            </w:r>
            <w:r w:rsidRPr="00DD357D">
              <w:rPr>
                <w:rFonts w:cs="Arial"/>
                <w:sz w:val="18"/>
                <w:szCs w:val="18"/>
              </w:rPr>
              <w:t xml:space="preserve">ervices and </w:t>
            </w:r>
            <w:r>
              <w:rPr>
                <w:rFonts w:cs="Arial"/>
                <w:sz w:val="18"/>
                <w:szCs w:val="18"/>
              </w:rPr>
              <w:t>F</w:t>
            </w:r>
            <w:r w:rsidRPr="00DD357D">
              <w:rPr>
                <w:rFonts w:cs="Arial"/>
                <w:sz w:val="18"/>
                <w:szCs w:val="18"/>
              </w:rPr>
              <w:t xml:space="preserve">ood </w:t>
            </w:r>
            <w:r>
              <w:rPr>
                <w:rFonts w:cs="Arial"/>
                <w:sz w:val="18"/>
                <w:szCs w:val="18"/>
              </w:rPr>
              <w:t>W</w:t>
            </w:r>
            <w:r w:rsidRPr="00DD357D">
              <w:rPr>
                <w:rFonts w:cs="Arial"/>
                <w:sz w:val="18"/>
                <w:szCs w:val="18"/>
              </w:rPr>
              <w:t xml:space="preserve">aste </w:t>
            </w:r>
            <w:r>
              <w:rPr>
                <w:rFonts w:cs="Arial"/>
                <w:sz w:val="18"/>
                <w:szCs w:val="18"/>
              </w:rPr>
              <w:t>D</w:t>
            </w:r>
            <w:r w:rsidRPr="00DD357D">
              <w:rPr>
                <w:rFonts w:cs="Arial"/>
                <w:sz w:val="18"/>
                <w:szCs w:val="18"/>
              </w:rPr>
              <w:t>iversion</w:t>
            </w:r>
            <w:r>
              <w:rPr>
                <w:rFonts w:cs="Arial"/>
                <w:sz w:val="18"/>
                <w:szCs w:val="18"/>
              </w:rPr>
              <w:t xml:space="preserve"> – Household Education </w:t>
            </w:r>
          </w:p>
        </w:tc>
        <w:tc>
          <w:tcPr>
            <w:tcW w:w="1589" w:type="dxa"/>
            <w:noWrap/>
          </w:tcPr>
          <w:p w14:paraId="64A57710" w14:textId="77777777" w:rsidR="00254D1D" w:rsidRDefault="00254D1D">
            <w:pPr>
              <w:rPr>
                <w:sz w:val="18"/>
                <w:szCs w:val="18"/>
              </w:rPr>
            </w:pPr>
            <w:r>
              <w:rPr>
                <w:sz w:val="18"/>
                <w:szCs w:val="18"/>
              </w:rPr>
              <w:t>$36,800</w:t>
            </w:r>
          </w:p>
        </w:tc>
      </w:tr>
      <w:tr w:rsidR="00254D1D" w:rsidRPr="0012521E" w14:paraId="0D0EE7D4" w14:textId="77777777">
        <w:tc>
          <w:tcPr>
            <w:tcW w:w="3397" w:type="dxa"/>
            <w:noWrap/>
          </w:tcPr>
          <w:p w14:paraId="2CD772EF" w14:textId="77777777" w:rsidR="00254D1D" w:rsidRPr="007C21CF" w:rsidRDefault="00254D1D">
            <w:pPr>
              <w:pStyle w:val="TableText"/>
              <w:rPr>
                <w:rFonts w:ascii="Arial" w:hAnsi="Arial" w:cs="Arial"/>
                <w:sz w:val="18"/>
                <w:szCs w:val="18"/>
              </w:rPr>
            </w:pPr>
            <w:r w:rsidRPr="007C21CF">
              <w:rPr>
                <w:rFonts w:ascii="Arial" w:hAnsi="Arial" w:cs="Arial"/>
                <w:sz w:val="18"/>
                <w:szCs w:val="18"/>
              </w:rPr>
              <w:t>Nillumbik Shire Council</w:t>
            </w:r>
          </w:p>
        </w:tc>
        <w:tc>
          <w:tcPr>
            <w:tcW w:w="3969" w:type="dxa"/>
            <w:noWrap/>
          </w:tcPr>
          <w:p w14:paraId="60610334" w14:textId="77777777" w:rsidR="00254D1D" w:rsidRPr="00DD357D" w:rsidRDefault="00254D1D">
            <w:pPr>
              <w:rPr>
                <w:rFonts w:cs="Arial"/>
                <w:sz w:val="18"/>
                <w:szCs w:val="18"/>
              </w:rPr>
            </w:pPr>
            <w:r w:rsidRPr="001D0ADD">
              <w:rPr>
                <w:rFonts w:cs="Arial"/>
                <w:sz w:val="18"/>
                <w:szCs w:val="18"/>
              </w:rPr>
              <w:t>CCCEA RD2 Energy Efficiency Upgrades - Nillumbik Shire Council</w:t>
            </w:r>
          </w:p>
        </w:tc>
        <w:tc>
          <w:tcPr>
            <w:tcW w:w="1589" w:type="dxa"/>
            <w:noWrap/>
          </w:tcPr>
          <w:p w14:paraId="04C4CD91" w14:textId="77777777" w:rsidR="00254D1D" w:rsidRDefault="00254D1D">
            <w:pPr>
              <w:rPr>
                <w:sz w:val="18"/>
                <w:szCs w:val="18"/>
              </w:rPr>
            </w:pPr>
            <w:r>
              <w:rPr>
                <w:sz w:val="18"/>
                <w:szCs w:val="18"/>
              </w:rPr>
              <w:t>$8,134</w:t>
            </w:r>
          </w:p>
        </w:tc>
      </w:tr>
      <w:tr w:rsidR="00254D1D" w:rsidRPr="0012521E" w14:paraId="248748DC" w14:textId="77777777">
        <w:tc>
          <w:tcPr>
            <w:tcW w:w="3397" w:type="dxa"/>
            <w:noWrap/>
          </w:tcPr>
          <w:p w14:paraId="0FE073AE" w14:textId="77777777" w:rsidR="00254D1D" w:rsidRPr="007C21CF" w:rsidRDefault="00254D1D">
            <w:pPr>
              <w:pStyle w:val="TableText"/>
              <w:rPr>
                <w:rFonts w:ascii="Arial" w:hAnsi="Arial" w:cs="Arial"/>
                <w:sz w:val="18"/>
                <w:szCs w:val="18"/>
              </w:rPr>
            </w:pPr>
            <w:r>
              <w:rPr>
                <w:rFonts w:ascii="Arial" w:hAnsi="Arial" w:cs="Arial"/>
                <w:sz w:val="18"/>
                <w:szCs w:val="18"/>
              </w:rPr>
              <w:t>No More Butts Ltd</w:t>
            </w:r>
          </w:p>
        </w:tc>
        <w:tc>
          <w:tcPr>
            <w:tcW w:w="3969" w:type="dxa"/>
            <w:noWrap/>
          </w:tcPr>
          <w:p w14:paraId="30C28E83" w14:textId="77777777" w:rsidR="00254D1D" w:rsidRPr="001D0ADD" w:rsidRDefault="00254D1D">
            <w:pPr>
              <w:rPr>
                <w:rFonts w:cs="Arial"/>
                <w:sz w:val="18"/>
                <w:szCs w:val="18"/>
              </w:rPr>
            </w:pPr>
            <w:proofErr w:type="spellStart"/>
            <w:r w:rsidRPr="00101FC8">
              <w:rPr>
                <w:rFonts w:cs="Arial"/>
                <w:sz w:val="18"/>
                <w:szCs w:val="18"/>
              </w:rPr>
              <w:t>MycoCycling</w:t>
            </w:r>
            <w:proofErr w:type="spellEnd"/>
            <w:r w:rsidRPr="00101FC8">
              <w:rPr>
                <w:rFonts w:cs="Arial"/>
                <w:sz w:val="18"/>
                <w:szCs w:val="18"/>
              </w:rPr>
              <w:t xml:space="preserve"> Community Cigarette Butt Waste to Re-direct from Landfill</w:t>
            </w:r>
          </w:p>
        </w:tc>
        <w:tc>
          <w:tcPr>
            <w:tcW w:w="1589" w:type="dxa"/>
            <w:noWrap/>
          </w:tcPr>
          <w:p w14:paraId="32E20930" w14:textId="77777777" w:rsidR="00254D1D" w:rsidRDefault="00254D1D">
            <w:pPr>
              <w:rPr>
                <w:sz w:val="18"/>
                <w:szCs w:val="18"/>
                <w:highlight w:val="yellow"/>
              </w:rPr>
            </w:pPr>
            <w:r w:rsidRPr="00183F2E">
              <w:rPr>
                <w:sz w:val="18"/>
                <w:szCs w:val="18"/>
              </w:rPr>
              <w:t>$18,349</w:t>
            </w:r>
          </w:p>
        </w:tc>
      </w:tr>
      <w:tr w:rsidR="00254D1D" w:rsidRPr="0012521E" w14:paraId="284BDFE0" w14:textId="77777777">
        <w:tc>
          <w:tcPr>
            <w:tcW w:w="3397" w:type="dxa"/>
            <w:noWrap/>
          </w:tcPr>
          <w:p w14:paraId="7502F244" w14:textId="77777777" w:rsidR="00254D1D" w:rsidRPr="00D044A2" w:rsidRDefault="00254D1D">
            <w:pPr>
              <w:pStyle w:val="TableText"/>
              <w:rPr>
                <w:rFonts w:ascii="Arial" w:hAnsi="Arial" w:cs="Arial"/>
                <w:sz w:val="18"/>
                <w:szCs w:val="18"/>
              </w:rPr>
            </w:pPr>
            <w:r w:rsidRPr="00D044A2">
              <w:rPr>
                <w:rFonts w:ascii="Arial" w:hAnsi="Arial" w:cs="Arial"/>
                <w:sz w:val="18"/>
                <w:szCs w:val="18"/>
              </w:rPr>
              <w:t>North South Homes Pty Ltd</w:t>
            </w:r>
          </w:p>
        </w:tc>
        <w:tc>
          <w:tcPr>
            <w:tcW w:w="3969" w:type="dxa"/>
            <w:noWrap/>
          </w:tcPr>
          <w:p w14:paraId="0D150C73" w14:textId="77777777" w:rsidR="00254D1D" w:rsidRPr="00D044A2" w:rsidRDefault="00254D1D">
            <w:pPr>
              <w:rPr>
                <w:rFonts w:cs="Arial"/>
                <w:sz w:val="18"/>
                <w:szCs w:val="18"/>
              </w:rPr>
            </w:pPr>
            <w:r w:rsidRPr="00D044A2">
              <w:rPr>
                <w:rFonts w:cs="Arial"/>
                <w:sz w:val="18"/>
                <w:szCs w:val="18"/>
              </w:rPr>
              <w:t>7 Star Program</w:t>
            </w:r>
          </w:p>
        </w:tc>
        <w:tc>
          <w:tcPr>
            <w:tcW w:w="1589" w:type="dxa"/>
            <w:noWrap/>
          </w:tcPr>
          <w:p w14:paraId="7B8B410F" w14:textId="77777777" w:rsidR="00254D1D" w:rsidRPr="00D044A2" w:rsidRDefault="00254D1D">
            <w:pPr>
              <w:rPr>
                <w:sz w:val="18"/>
                <w:szCs w:val="18"/>
              </w:rPr>
            </w:pPr>
            <w:r w:rsidRPr="00D044A2">
              <w:rPr>
                <w:sz w:val="18"/>
                <w:szCs w:val="18"/>
              </w:rPr>
              <w:t>$4,000*</w:t>
            </w:r>
          </w:p>
        </w:tc>
      </w:tr>
      <w:tr w:rsidR="00254D1D" w:rsidRPr="0012521E" w14:paraId="40078850" w14:textId="77777777">
        <w:tc>
          <w:tcPr>
            <w:tcW w:w="3397" w:type="dxa"/>
            <w:noWrap/>
          </w:tcPr>
          <w:p w14:paraId="01D85EEF" w14:textId="77777777" w:rsidR="00254D1D" w:rsidRDefault="00254D1D">
            <w:pPr>
              <w:pStyle w:val="TableText"/>
              <w:rPr>
                <w:rFonts w:ascii="Arial" w:hAnsi="Arial" w:cs="Arial"/>
                <w:sz w:val="18"/>
                <w:szCs w:val="18"/>
              </w:rPr>
            </w:pPr>
            <w:r w:rsidRPr="00032C82">
              <w:rPr>
                <w:rFonts w:ascii="Arial" w:hAnsi="Arial" w:cs="Arial"/>
                <w:sz w:val="18"/>
                <w:szCs w:val="18"/>
              </w:rPr>
              <w:t>Northern Community Church of Christ</w:t>
            </w:r>
          </w:p>
        </w:tc>
        <w:tc>
          <w:tcPr>
            <w:tcW w:w="3969" w:type="dxa"/>
            <w:noWrap/>
          </w:tcPr>
          <w:p w14:paraId="64BEA008" w14:textId="77777777" w:rsidR="00254D1D" w:rsidRPr="00101FC8" w:rsidRDefault="00254D1D">
            <w:pPr>
              <w:rPr>
                <w:rFonts w:cs="Arial"/>
                <w:sz w:val="18"/>
                <w:szCs w:val="18"/>
              </w:rPr>
            </w:pPr>
            <w:r w:rsidRPr="00C66223">
              <w:rPr>
                <w:rFonts w:cs="Arial"/>
                <w:sz w:val="18"/>
                <w:szCs w:val="18"/>
              </w:rPr>
              <w:t>Turning Food Waste into Fertiliser</w:t>
            </w:r>
          </w:p>
        </w:tc>
        <w:tc>
          <w:tcPr>
            <w:tcW w:w="1589" w:type="dxa"/>
            <w:noWrap/>
          </w:tcPr>
          <w:p w14:paraId="000E4F5E" w14:textId="77777777" w:rsidR="00254D1D" w:rsidRDefault="00254D1D">
            <w:pPr>
              <w:rPr>
                <w:sz w:val="18"/>
                <w:szCs w:val="18"/>
              </w:rPr>
            </w:pPr>
            <w:r>
              <w:rPr>
                <w:sz w:val="18"/>
                <w:szCs w:val="18"/>
              </w:rPr>
              <w:t>$2,720</w:t>
            </w:r>
          </w:p>
        </w:tc>
      </w:tr>
      <w:tr w:rsidR="00254D1D" w:rsidRPr="0012521E" w14:paraId="3DAAD2EF" w14:textId="77777777">
        <w:tc>
          <w:tcPr>
            <w:tcW w:w="3397" w:type="dxa"/>
            <w:noWrap/>
          </w:tcPr>
          <w:p w14:paraId="7C05439F" w14:textId="77777777" w:rsidR="00254D1D" w:rsidRPr="00032C82" w:rsidRDefault="00254D1D">
            <w:pPr>
              <w:pStyle w:val="TableText"/>
              <w:rPr>
                <w:rFonts w:ascii="Arial" w:hAnsi="Arial" w:cs="Arial"/>
                <w:sz w:val="18"/>
                <w:szCs w:val="18"/>
              </w:rPr>
            </w:pPr>
            <w:proofErr w:type="spellStart"/>
            <w:r w:rsidRPr="00D16A1A">
              <w:rPr>
                <w:rFonts w:ascii="Arial" w:hAnsi="Arial" w:cs="Arial"/>
                <w:sz w:val="18"/>
                <w:szCs w:val="18"/>
              </w:rPr>
              <w:t>OmniGrip</w:t>
            </w:r>
            <w:proofErr w:type="spellEnd"/>
            <w:r w:rsidRPr="00D16A1A">
              <w:rPr>
                <w:rFonts w:ascii="Arial" w:hAnsi="Arial" w:cs="Arial"/>
                <w:sz w:val="18"/>
                <w:szCs w:val="18"/>
              </w:rPr>
              <w:t xml:space="preserve"> Direct Pty Ltd</w:t>
            </w:r>
          </w:p>
        </w:tc>
        <w:tc>
          <w:tcPr>
            <w:tcW w:w="3969" w:type="dxa"/>
            <w:noWrap/>
          </w:tcPr>
          <w:p w14:paraId="71001B14" w14:textId="77777777" w:rsidR="00254D1D" w:rsidRPr="00C66223" w:rsidRDefault="00254D1D">
            <w:pPr>
              <w:rPr>
                <w:rFonts w:cs="Arial"/>
                <w:sz w:val="18"/>
                <w:szCs w:val="18"/>
              </w:rPr>
            </w:pPr>
            <w:r w:rsidRPr="00A9051F">
              <w:rPr>
                <w:rFonts w:cs="Arial"/>
                <w:sz w:val="18"/>
                <w:szCs w:val="18"/>
              </w:rPr>
              <w:t xml:space="preserve">Certifications for </w:t>
            </w:r>
            <w:r>
              <w:rPr>
                <w:rFonts w:cs="Arial"/>
                <w:sz w:val="18"/>
                <w:szCs w:val="18"/>
              </w:rPr>
              <w:t>H</w:t>
            </w:r>
            <w:r w:rsidRPr="00A9051F">
              <w:rPr>
                <w:rFonts w:cs="Arial"/>
                <w:sz w:val="18"/>
                <w:szCs w:val="18"/>
              </w:rPr>
              <w:t>igh-</w:t>
            </w:r>
            <w:r>
              <w:rPr>
                <w:rFonts w:cs="Arial"/>
                <w:sz w:val="18"/>
                <w:szCs w:val="18"/>
              </w:rPr>
              <w:t>F</w:t>
            </w:r>
            <w:r w:rsidRPr="00A9051F">
              <w:rPr>
                <w:rFonts w:cs="Arial"/>
                <w:sz w:val="18"/>
                <w:szCs w:val="18"/>
              </w:rPr>
              <w:t xml:space="preserve">riction </w:t>
            </w:r>
            <w:r>
              <w:rPr>
                <w:rFonts w:cs="Arial"/>
                <w:sz w:val="18"/>
                <w:szCs w:val="18"/>
              </w:rPr>
              <w:t>R</w:t>
            </w:r>
            <w:r w:rsidRPr="00A9051F">
              <w:rPr>
                <w:rFonts w:cs="Arial"/>
                <w:sz w:val="18"/>
                <w:szCs w:val="18"/>
              </w:rPr>
              <w:t>ecycled-</w:t>
            </w:r>
            <w:r>
              <w:rPr>
                <w:rFonts w:cs="Arial"/>
                <w:sz w:val="18"/>
                <w:szCs w:val="18"/>
              </w:rPr>
              <w:t>G</w:t>
            </w:r>
            <w:r w:rsidRPr="00A9051F">
              <w:rPr>
                <w:rFonts w:cs="Arial"/>
                <w:sz w:val="18"/>
                <w:szCs w:val="18"/>
              </w:rPr>
              <w:t xml:space="preserve">lass </w:t>
            </w:r>
            <w:r>
              <w:rPr>
                <w:rFonts w:cs="Arial"/>
                <w:sz w:val="18"/>
                <w:szCs w:val="18"/>
              </w:rPr>
              <w:t>S</w:t>
            </w:r>
            <w:r w:rsidRPr="00A9051F">
              <w:rPr>
                <w:rFonts w:cs="Arial"/>
                <w:sz w:val="18"/>
                <w:szCs w:val="18"/>
              </w:rPr>
              <w:t xml:space="preserve">urfaces to </w:t>
            </w:r>
            <w:r>
              <w:rPr>
                <w:rFonts w:cs="Arial"/>
                <w:sz w:val="18"/>
                <w:szCs w:val="18"/>
              </w:rPr>
              <w:t>R</w:t>
            </w:r>
            <w:r w:rsidRPr="00A9051F">
              <w:rPr>
                <w:rFonts w:cs="Arial"/>
                <w:sz w:val="18"/>
                <w:szCs w:val="18"/>
              </w:rPr>
              <w:t>educe</w:t>
            </w:r>
            <w:r>
              <w:rPr>
                <w:rFonts w:cs="Arial"/>
                <w:sz w:val="18"/>
                <w:szCs w:val="18"/>
              </w:rPr>
              <w:t xml:space="preserve"> C</w:t>
            </w:r>
            <w:r w:rsidRPr="00A9051F">
              <w:rPr>
                <w:rFonts w:cs="Arial"/>
                <w:sz w:val="18"/>
                <w:szCs w:val="18"/>
              </w:rPr>
              <w:t>rashes</w:t>
            </w:r>
          </w:p>
        </w:tc>
        <w:tc>
          <w:tcPr>
            <w:tcW w:w="1589" w:type="dxa"/>
            <w:noWrap/>
          </w:tcPr>
          <w:p w14:paraId="2C1BB2E5" w14:textId="77777777" w:rsidR="00254D1D" w:rsidRDefault="00254D1D">
            <w:pPr>
              <w:rPr>
                <w:sz w:val="18"/>
                <w:szCs w:val="18"/>
              </w:rPr>
            </w:pPr>
            <w:r>
              <w:rPr>
                <w:sz w:val="18"/>
                <w:szCs w:val="18"/>
              </w:rPr>
              <w:t>$18,000</w:t>
            </w:r>
          </w:p>
        </w:tc>
      </w:tr>
      <w:tr w:rsidR="00254D1D" w:rsidRPr="0012521E" w14:paraId="5FEAE3E5" w14:textId="77777777">
        <w:tc>
          <w:tcPr>
            <w:tcW w:w="3397" w:type="dxa"/>
            <w:noWrap/>
          </w:tcPr>
          <w:p w14:paraId="5D6AE933" w14:textId="77777777" w:rsidR="00254D1D" w:rsidRPr="00D16A1A" w:rsidRDefault="00254D1D">
            <w:pPr>
              <w:pStyle w:val="TableText"/>
              <w:rPr>
                <w:rFonts w:ascii="Arial" w:hAnsi="Arial" w:cs="Arial"/>
                <w:sz w:val="18"/>
                <w:szCs w:val="18"/>
              </w:rPr>
            </w:pPr>
            <w:r w:rsidRPr="00FB2668">
              <w:rPr>
                <w:rFonts w:ascii="Arial" w:hAnsi="Arial" w:cs="Arial"/>
                <w:sz w:val="18"/>
                <w:szCs w:val="18"/>
              </w:rPr>
              <w:t>One Good Cup Pty Ltd</w:t>
            </w:r>
          </w:p>
        </w:tc>
        <w:tc>
          <w:tcPr>
            <w:tcW w:w="3969" w:type="dxa"/>
            <w:noWrap/>
          </w:tcPr>
          <w:p w14:paraId="69812337" w14:textId="77777777" w:rsidR="00254D1D" w:rsidRPr="00A9051F" w:rsidRDefault="00254D1D">
            <w:pPr>
              <w:rPr>
                <w:rFonts w:cs="Arial"/>
                <w:sz w:val="18"/>
                <w:szCs w:val="18"/>
              </w:rPr>
            </w:pPr>
            <w:r w:rsidRPr="00552240">
              <w:rPr>
                <w:rFonts w:cs="Arial"/>
                <w:sz w:val="18"/>
                <w:szCs w:val="18"/>
              </w:rPr>
              <w:t>Reusable Coffee Cup Pilot with Barwon Health</w:t>
            </w:r>
          </w:p>
        </w:tc>
        <w:tc>
          <w:tcPr>
            <w:tcW w:w="1589" w:type="dxa"/>
            <w:noWrap/>
          </w:tcPr>
          <w:p w14:paraId="1A30DF15" w14:textId="77777777" w:rsidR="00254D1D" w:rsidRDefault="00254D1D">
            <w:pPr>
              <w:rPr>
                <w:sz w:val="18"/>
                <w:szCs w:val="18"/>
              </w:rPr>
            </w:pPr>
            <w:r>
              <w:rPr>
                <w:sz w:val="18"/>
                <w:szCs w:val="18"/>
              </w:rPr>
              <w:t>$1,000</w:t>
            </w:r>
          </w:p>
        </w:tc>
      </w:tr>
      <w:tr w:rsidR="00254D1D" w:rsidRPr="0012521E" w14:paraId="37D85C1E" w14:textId="77777777">
        <w:tc>
          <w:tcPr>
            <w:tcW w:w="3397" w:type="dxa"/>
            <w:noWrap/>
          </w:tcPr>
          <w:p w14:paraId="5135BC08" w14:textId="77777777" w:rsidR="00254D1D" w:rsidRPr="00FB2668" w:rsidRDefault="00254D1D">
            <w:pPr>
              <w:pStyle w:val="TableText"/>
              <w:rPr>
                <w:rFonts w:ascii="Arial" w:hAnsi="Arial" w:cs="Arial"/>
                <w:sz w:val="18"/>
                <w:szCs w:val="18"/>
              </w:rPr>
            </w:pPr>
            <w:r w:rsidRPr="008D23B1">
              <w:rPr>
                <w:rFonts w:ascii="Arial" w:hAnsi="Arial" w:cs="Arial"/>
                <w:sz w:val="18"/>
                <w:szCs w:val="18"/>
              </w:rPr>
              <w:t>Open Table</w:t>
            </w:r>
            <w:r>
              <w:rPr>
                <w:rFonts w:ascii="Arial" w:hAnsi="Arial" w:cs="Arial"/>
                <w:sz w:val="18"/>
                <w:szCs w:val="18"/>
              </w:rPr>
              <w:t xml:space="preserve"> Inc</w:t>
            </w:r>
          </w:p>
        </w:tc>
        <w:tc>
          <w:tcPr>
            <w:tcW w:w="3969" w:type="dxa"/>
            <w:noWrap/>
          </w:tcPr>
          <w:p w14:paraId="157B51B4" w14:textId="77777777" w:rsidR="00254D1D" w:rsidRPr="00552240" w:rsidRDefault="00254D1D">
            <w:pPr>
              <w:rPr>
                <w:rFonts w:cs="Arial"/>
                <w:sz w:val="18"/>
                <w:szCs w:val="18"/>
              </w:rPr>
            </w:pPr>
            <w:r w:rsidRPr="00D00824">
              <w:rPr>
                <w:rFonts w:cs="Arial"/>
                <w:sz w:val="18"/>
                <w:szCs w:val="18"/>
              </w:rPr>
              <w:t>Open Table’s Food Rescue Hub</w:t>
            </w:r>
          </w:p>
        </w:tc>
        <w:tc>
          <w:tcPr>
            <w:tcW w:w="1589" w:type="dxa"/>
            <w:noWrap/>
          </w:tcPr>
          <w:p w14:paraId="36FA3537" w14:textId="77777777" w:rsidR="00254D1D" w:rsidRDefault="00254D1D">
            <w:pPr>
              <w:rPr>
                <w:sz w:val="18"/>
                <w:szCs w:val="18"/>
              </w:rPr>
            </w:pPr>
            <w:r>
              <w:rPr>
                <w:sz w:val="18"/>
                <w:szCs w:val="18"/>
              </w:rPr>
              <w:t>$31,900</w:t>
            </w:r>
          </w:p>
        </w:tc>
      </w:tr>
      <w:tr w:rsidR="00254D1D" w:rsidRPr="0012521E" w14:paraId="1A966B62" w14:textId="77777777">
        <w:tc>
          <w:tcPr>
            <w:tcW w:w="3397" w:type="dxa"/>
            <w:noWrap/>
          </w:tcPr>
          <w:p w14:paraId="0252BC46" w14:textId="77777777" w:rsidR="00254D1D" w:rsidRPr="008D23B1" w:rsidRDefault="00254D1D">
            <w:pPr>
              <w:pStyle w:val="TableText"/>
              <w:rPr>
                <w:rFonts w:ascii="Arial" w:hAnsi="Arial" w:cs="Arial"/>
                <w:sz w:val="18"/>
                <w:szCs w:val="18"/>
              </w:rPr>
            </w:pPr>
            <w:r w:rsidRPr="007B0B37">
              <w:rPr>
                <w:rFonts w:ascii="Arial" w:hAnsi="Arial" w:cs="Arial"/>
                <w:sz w:val="18"/>
                <w:szCs w:val="18"/>
              </w:rPr>
              <w:t xml:space="preserve">Orbost </w:t>
            </w:r>
            <w:r>
              <w:rPr>
                <w:rFonts w:ascii="Arial" w:hAnsi="Arial" w:cs="Arial"/>
                <w:sz w:val="18"/>
                <w:szCs w:val="18"/>
              </w:rPr>
              <w:t>a</w:t>
            </w:r>
            <w:r w:rsidRPr="007B0B37">
              <w:rPr>
                <w:rFonts w:ascii="Arial" w:hAnsi="Arial" w:cs="Arial"/>
                <w:sz w:val="18"/>
                <w:szCs w:val="18"/>
              </w:rPr>
              <w:t xml:space="preserve">nd District Chamber </w:t>
            </w:r>
            <w:r>
              <w:rPr>
                <w:rFonts w:ascii="Arial" w:hAnsi="Arial" w:cs="Arial"/>
                <w:sz w:val="18"/>
                <w:szCs w:val="18"/>
              </w:rPr>
              <w:t>o</w:t>
            </w:r>
            <w:r w:rsidRPr="007B0B37">
              <w:rPr>
                <w:rFonts w:ascii="Arial" w:hAnsi="Arial" w:cs="Arial"/>
                <w:sz w:val="18"/>
                <w:szCs w:val="18"/>
              </w:rPr>
              <w:t>f Commerce &amp; Industry Inc</w:t>
            </w:r>
          </w:p>
        </w:tc>
        <w:tc>
          <w:tcPr>
            <w:tcW w:w="3969" w:type="dxa"/>
            <w:noWrap/>
          </w:tcPr>
          <w:p w14:paraId="3B0D86F2" w14:textId="77777777" w:rsidR="00254D1D" w:rsidRPr="00D00824" w:rsidRDefault="00254D1D">
            <w:pPr>
              <w:rPr>
                <w:rFonts w:cs="Arial"/>
                <w:sz w:val="18"/>
                <w:szCs w:val="18"/>
              </w:rPr>
            </w:pPr>
            <w:r w:rsidRPr="00CB41C6">
              <w:rPr>
                <w:rFonts w:cs="Arial"/>
                <w:sz w:val="18"/>
                <w:szCs w:val="18"/>
              </w:rPr>
              <w:t xml:space="preserve">Orbost and </w:t>
            </w:r>
            <w:r>
              <w:rPr>
                <w:rFonts w:cs="Arial"/>
                <w:sz w:val="18"/>
                <w:szCs w:val="18"/>
              </w:rPr>
              <w:t>D</w:t>
            </w:r>
            <w:r w:rsidRPr="00CB41C6">
              <w:rPr>
                <w:rFonts w:cs="Arial"/>
                <w:sz w:val="18"/>
                <w:szCs w:val="18"/>
              </w:rPr>
              <w:t xml:space="preserve">istrict </w:t>
            </w:r>
            <w:r>
              <w:rPr>
                <w:rFonts w:cs="Arial"/>
                <w:sz w:val="18"/>
                <w:szCs w:val="18"/>
              </w:rPr>
              <w:t>B</w:t>
            </w:r>
            <w:r w:rsidRPr="00CB41C6">
              <w:rPr>
                <w:rFonts w:cs="Arial"/>
                <w:sz w:val="18"/>
                <w:szCs w:val="18"/>
              </w:rPr>
              <w:t xml:space="preserve">ioenergy </w:t>
            </w:r>
            <w:r>
              <w:rPr>
                <w:rFonts w:cs="Arial"/>
                <w:sz w:val="18"/>
                <w:szCs w:val="18"/>
              </w:rPr>
              <w:t>I</w:t>
            </w:r>
            <w:r w:rsidRPr="00CB41C6">
              <w:rPr>
                <w:rFonts w:cs="Arial"/>
                <w:sz w:val="18"/>
                <w:szCs w:val="18"/>
              </w:rPr>
              <w:t xml:space="preserve">nvestigation </w:t>
            </w:r>
            <w:r>
              <w:rPr>
                <w:rFonts w:cs="Arial"/>
                <w:sz w:val="18"/>
                <w:szCs w:val="18"/>
              </w:rPr>
              <w:t>O</w:t>
            </w:r>
            <w:r w:rsidRPr="00CB41C6">
              <w:rPr>
                <w:rFonts w:cs="Arial"/>
                <w:sz w:val="18"/>
                <w:szCs w:val="18"/>
              </w:rPr>
              <w:t>pportunit</w:t>
            </w:r>
            <w:r>
              <w:rPr>
                <w:rFonts w:cs="Arial"/>
                <w:sz w:val="18"/>
                <w:szCs w:val="18"/>
              </w:rPr>
              <w:t>y</w:t>
            </w:r>
          </w:p>
        </w:tc>
        <w:tc>
          <w:tcPr>
            <w:tcW w:w="1589" w:type="dxa"/>
            <w:noWrap/>
          </w:tcPr>
          <w:p w14:paraId="10FED0A1" w14:textId="77777777" w:rsidR="00254D1D" w:rsidRDefault="00254D1D">
            <w:pPr>
              <w:rPr>
                <w:sz w:val="18"/>
                <w:szCs w:val="18"/>
              </w:rPr>
            </w:pPr>
            <w:r>
              <w:rPr>
                <w:sz w:val="18"/>
                <w:szCs w:val="18"/>
              </w:rPr>
              <w:t>$31,334</w:t>
            </w:r>
          </w:p>
        </w:tc>
      </w:tr>
      <w:tr w:rsidR="00254D1D" w:rsidRPr="0012521E" w14:paraId="09E795E2" w14:textId="77777777">
        <w:tc>
          <w:tcPr>
            <w:tcW w:w="3397" w:type="dxa"/>
            <w:noWrap/>
          </w:tcPr>
          <w:p w14:paraId="17A25F9A" w14:textId="77777777" w:rsidR="00254D1D" w:rsidRPr="007B0B37" w:rsidRDefault="00254D1D">
            <w:pPr>
              <w:pStyle w:val="TableText"/>
              <w:rPr>
                <w:rFonts w:ascii="Arial" w:hAnsi="Arial" w:cs="Arial"/>
                <w:sz w:val="18"/>
                <w:szCs w:val="18"/>
              </w:rPr>
            </w:pPr>
            <w:r w:rsidRPr="00A53784">
              <w:rPr>
                <w:rFonts w:ascii="Arial" w:hAnsi="Arial" w:cs="Arial"/>
                <w:sz w:val="18"/>
                <w:szCs w:val="18"/>
              </w:rPr>
              <w:t>Outer East Foodshare Inc</w:t>
            </w:r>
          </w:p>
        </w:tc>
        <w:tc>
          <w:tcPr>
            <w:tcW w:w="3969" w:type="dxa"/>
            <w:noWrap/>
          </w:tcPr>
          <w:p w14:paraId="4B3A57FC" w14:textId="77777777" w:rsidR="00254D1D" w:rsidRPr="00CB41C6" w:rsidRDefault="00254D1D">
            <w:pPr>
              <w:rPr>
                <w:rFonts w:cs="Arial"/>
                <w:sz w:val="18"/>
                <w:szCs w:val="18"/>
              </w:rPr>
            </w:pPr>
            <w:r w:rsidRPr="006D1E4F">
              <w:rPr>
                <w:rFonts w:cs="Arial"/>
                <w:sz w:val="18"/>
                <w:szCs w:val="18"/>
              </w:rPr>
              <w:t xml:space="preserve">Who </w:t>
            </w:r>
            <w:r>
              <w:rPr>
                <w:rFonts w:cs="Arial"/>
                <w:sz w:val="18"/>
                <w:szCs w:val="18"/>
              </w:rPr>
              <w:t>T</w:t>
            </w:r>
            <w:r w:rsidRPr="006D1E4F">
              <w:rPr>
                <w:rFonts w:cs="Arial"/>
                <w:sz w:val="18"/>
                <w:szCs w:val="18"/>
              </w:rPr>
              <w:t xml:space="preserve">hought it </w:t>
            </w:r>
            <w:r>
              <w:rPr>
                <w:rFonts w:cs="Arial"/>
                <w:sz w:val="18"/>
                <w:szCs w:val="18"/>
              </w:rPr>
              <w:t>C</w:t>
            </w:r>
            <w:r w:rsidRPr="006D1E4F">
              <w:rPr>
                <w:rFonts w:cs="Arial"/>
                <w:sz w:val="18"/>
                <w:szCs w:val="18"/>
              </w:rPr>
              <w:t xml:space="preserve">ould </w:t>
            </w:r>
            <w:r>
              <w:rPr>
                <w:rFonts w:cs="Arial"/>
                <w:sz w:val="18"/>
                <w:szCs w:val="18"/>
              </w:rPr>
              <w:t>T</w:t>
            </w:r>
            <w:r w:rsidRPr="006D1E4F">
              <w:rPr>
                <w:rFonts w:cs="Arial"/>
                <w:sz w:val="18"/>
                <w:szCs w:val="18"/>
              </w:rPr>
              <w:t>aste</w:t>
            </w:r>
            <w:r>
              <w:rPr>
                <w:rFonts w:cs="Arial"/>
                <w:sz w:val="18"/>
                <w:szCs w:val="18"/>
              </w:rPr>
              <w:t xml:space="preserve"> s</w:t>
            </w:r>
            <w:r w:rsidRPr="006D1E4F">
              <w:rPr>
                <w:rFonts w:cs="Arial"/>
                <w:sz w:val="18"/>
                <w:szCs w:val="18"/>
              </w:rPr>
              <w:t xml:space="preserve">o </w:t>
            </w:r>
            <w:r>
              <w:rPr>
                <w:rFonts w:cs="Arial"/>
                <w:sz w:val="18"/>
                <w:szCs w:val="18"/>
              </w:rPr>
              <w:t>G</w:t>
            </w:r>
            <w:r w:rsidRPr="006D1E4F">
              <w:rPr>
                <w:rFonts w:cs="Arial"/>
                <w:sz w:val="18"/>
                <w:szCs w:val="18"/>
              </w:rPr>
              <w:t>ood?</w:t>
            </w:r>
          </w:p>
        </w:tc>
        <w:tc>
          <w:tcPr>
            <w:tcW w:w="1589" w:type="dxa"/>
            <w:noWrap/>
          </w:tcPr>
          <w:p w14:paraId="184E2B80" w14:textId="77777777" w:rsidR="00254D1D" w:rsidRDefault="00254D1D">
            <w:pPr>
              <w:rPr>
                <w:sz w:val="18"/>
                <w:szCs w:val="18"/>
              </w:rPr>
            </w:pPr>
            <w:r>
              <w:rPr>
                <w:sz w:val="18"/>
                <w:szCs w:val="18"/>
              </w:rPr>
              <w:t>$46,598</w:t>
            </w:r>
          </w:p>
        </w:tc>
      </w:tr>
      <w:tr w:rsidR="00254D1D" w:rsidRPr="0012521E" w14:paraId="20C3E8C0" w14:textId="77777777">
        <w:tc>
          <w:tcPr>
            <w:tcW w:w="3397" w:type="dxa"/>
            <w:noWrap/>
          </w:tcPr>
          <w:p w14:paraId="146DC46A" w14:textId="77777777" w:rsidR="00254D1D" w:rsidRPr="00A53784" w:rsidRDefault="00254D1D">
            <w:pPr>
              <w:pStyle w:val="TableText"/>
              <w:rPr>
                <w:rFonts w:ascii="Arial" w:hAnsi="Arial" w:cs="Arial"/>
                <w:sz w:val="18"/>
                <w:szCs w:val="18"/>
              </w:rPr>
            </w:pPr>
            <w:r w:rsidRPr="003346EE">
              <w:rPr>
                <w:rFonts w:ascii="Arial" w:hAnsi="Arial" w:cs="Arial"/>
                <w:sz w:val="18"/>
                <w:szCs w:val="18"/>
              </w:rPr>
              <w:t>Ouyen Roxy Theatre Inc</w:t>
            </w:r>
          </w:p>
        </w:tc>
        <w:tc>
          <w:tcPr>
            <w:tcW w:w="3969" w:type="dxa"/>
            <w:noWrap/>
          </w:tcPr>
          <w:p w14:paraId="5214CAA8" w14:textId="77777777" w:rsidR="00254D1D" w:rsidRPr="006D1E4F" w:rsidRDefault="00254D1D">
            <w:pPr>
              <w:rPr>
                <w:rFonts w:cs="Arial"/>
                <w:sz w:val="18"/>
                <w:szCs w:val="18"/>
              </w:rPr>
            </w:pPr>
            <w:r w:rsidRPr="00736ACC">
              <w:rPr>
                <w:rFonts w:cs="Arial"/>
                <w:sz w:val="18"/>
                <w:szCs w:val="18"/>
              </w:rPr>
              <w:t>CCCEA RD2 Energy Efficiency Upgrades - Ouyen Roxy Theatre</w:t>
            </w:r>
          </w:p>
        </w:tc>
        <w:tc>
          <w:tcPr>
            <w:tcW w:w="1589" w:type="dxa"/>
            <w:noWrap/>
          </w:tcPr>
          <w:p w14:paraId="02AF790F" w14:textId="77777777" w:rsidR="00254D1D" w:rsidRDefault="00254D1D">
            <w:pPr>
              <w:rPr>
                <w:sz w:val="18"/>
                <w:szCs w:val="18"/>
              </w:rPr>
            </w:pPr>
            <w:r>
              <w:rPr>
                <w:sz w:val="18"/>
                <w:szCs w:val="18"/>
              </w:rPr>
              <w:t>$733</w:t>
            </w:r>
          </w:p>
        </w:tc>
      </w:tr>
      <w:tr w:rsidR="00254D1D" w:rsidRPr="0012521E" w14:paraId="660F3FAD" w14:textId="77777777">
        <w:tc>
          <w:tcPr>
            <w:tcW w:w="3397" w:type="dxa"/>
            <w:noWrap/>
          </w:tcPr>
          <w:p w14:paraId="16C4DF5A" w14:textId="77777777" w:rsidR="00254D1D" w:rsidRPr="005D70A1" w:rsidRDefault="00254D1D">
            <w:pPr>
              <w:pStyle w:val="TableText"/>
              <w:rPr>
                <w:rFonts w:ascii="Arial" w:hAnsi="Arial" w:cs="Arial"/>
                <w:sz w:val="18"/>
                <w:szCs w:val="18"/>
              </w:rPr>
            </w:pPr>
            <w:r w:rsidRPr="005D70A1">
              <w:rPr>
                <w:rFonts w:ascii="Arial" w:hAnsi="Arial" w:cs="Arial"/>
                <w:sz w:val="18"/>
                <w:szCs w:val="18"/>
              </w:rPr>
              <w:t>Ovens &amp; King Builders Pty Ltd</w:t>
            </w:r>
          </w:p>
        </w:tc>
        <w:tc>
          <w:tcPr>
            <w:tcW w:w="3969" w:type="dxa"/>
            <w:noWrap/>
          </w:tcPr>
          <w:p w14:paraId="19B942C2" w14:textId="77777777" w:rsidR="00254D1D" w:rsidRPr="005D70A1" w:rsidRDefault="00254D1D">
            <w:pPr>
              <w:rPr>
                <w:rFonts w:cs="Arial"/>
                <w:sz w:val="18"/>
                <w:szCs w:val="18"/>
              </w:rPr>
            </w:pPr>
            <w:r w:rsidRPr="005D70A1">
              <w:rPr>
                <w:rFonts w:cs="Arial"/>
                <w:sz w:val="18"/>
                <w:szCs w:val="18"/>
              </w:rPr>
              <w:t>7 Star Program</w:t>
            </w:r>
          </w:p>
        </w:tc>
        <w:tc>
          <w:tcPr>
            <w:tcW w:w="1589" w:type="dxa"/>
            <w:noWrap/>
          </w:tcPr>
          <w:p w14:paraId="7342D5C1" w14:textId="77777777" w:rsidR="00254D1D" w:rsidRPr="005D70A1" w:rsidRDefault="00254D1D">
            <w:pPr>
              <w:rPr>
                <w:sz w:val="18"/>
                <w:szCs w:val="18"/>
              </w:rPr>
            </w:pPr>
            <w:r w:rsidRPr="005D70A1">
              <w:rPr>
                <w:sz w:val="18"/>
                <w:szCs w:val="18"/>
              </w:rPr>
              <w:t>$16,000*</w:t>
            </w:r>
          </w:p>
        </w:tc>
      </w:tr>
      <w:tr w:rsidR="00254D1D" w:rsidRPr="0012521E" w14:paraId="528137DF" w14:textId="77777777">
        <w:tc>
          <w:tcPr>
            <w:tcW w:w="3397" w:type="dxa"/>
            <w:noWrap/>
          </w:tcPr>
          <w:p w14:paraId="720AC5B5" w14:textId="77777777" w:rsidR="00254D1D" w:rsidRPr="003346EE" w:rsidRDefault="00254D1D">
            <w:pPr>
              <w:pStyle w:val="TableText"/>
              <w:rPr>
                <w:rFonts w:ascii="Arial" w:hAnsi="Arial" w:cs="Arial"/>
                <w:sz w:val="18"/>
                <w:szCs w:val="18"/>
              </w:rPr>
            </w:pPr>
            <w:proofErr w:type="spellStart"/>
            <w:r w:rsidRPr="00D22631">
              <w:rPr>
                <w:rFonts w:ascii="Arial" w:hAnsi="Arial" w:cs="Arial"/>
                <w:sz w:val="18"/>
                <w:szCs w:val="18"/>
              </w:rPr>
              <w:t>OzFish</w:t>
            </w:r>
            <w:proofErr w:type="spellEnd"/>
            <w:r w:rsidRPr="00D22631">
              <w:rPr>
                <w:rFonts w:ascii="Arial" w:hAnsi="Arial" w:cs="Arial"/>
                <w:sz w:val="18"/>
                <w:szCs w:val="18"/>
              </w:rPr>
              <w:t xml:space="preserve"> Unlimited</w:t>
            </w:r>
            <w:r>
              <w:rPr>
                <w:rFonts w:ascii="Arial" w:hAnsi="Arial" w:cs="Arial"/>
                <w:sz w:val="18"/>
                <w:szCs w:val="18"/>
              </w:rPr>
              <w:t xml:space="preserve"> Ltd</w:t>
            </w:r>
          </w:p>
        </w:tc>
        <w:tc>
          <w:tcPr>
            <w:tcW w:w="3969" w:type="dxa"/>
            <w:noWrap/>
          </w:tcPr>
          <w:p w14:paraId="224FA63E" w14:textId="77777777" w:rsidR="00254D1D" w:rsidRPr="00736ACC" w:rsidRDefault="00254D1D">
            <w:pPr>
              <w:rPr>
                <w:rFonts w:cs="Arial"/>
                <w:sz w:val="18"/>
                <w:szCs w:val="18"/>
              </w:rPr>
            </w:pPr>
            <w:r w:rsidRPr="00C276FB">
              <w:rPr>
                <w:rFonts w:cs="Arial"/>
                <w:sz w:val="18"/>
                <w:szCs w:val="18"/>
              </w:rPr>
              <w:t xml:space="preserve">Shell Savers - Saving </w:t>
            </w:r>
            <w:r>
              <w:rPr>
                <w:rFonts w:cs="Arial"/>
                <w:sz w:val="18"/>
                <w:szCs w:val="18"/>
              </w:rPr>
              <w:t>S</w:t>
            </w:r>
            <w:r w:rsidRPr="00C276FB">
              <w:rPr>
                <w:rFonts w:cs="Arial"/>
                <w:sz w:val="18"/>
                <w:szCs w:val="18"/>
              </w:rPr>
              <w:t xml:space="preserve">hells by the </w:t>
            </w:r>
            <w:r>
              <w:rPr>
                <w:rFonts w:cs="Arial"/>
                <w:sz w:val="18"/>
                <w:szCs w:val="18"/>
              </w:rPr>
              <w:t>S</w:t>
            </w:r>
            <w:r w:rsidRPr="00C276FB">
              <w:rPr>
                <w:rFonts w:cs="Arial"/>
                <w:sz w:val="18"/>
                <w:szCs w:val="18"/>
              </w:rPr>
              <w:t>eashore</w:t>
            </w:r>
          </w:p>
        </w:tc>
        <w:tc>
          <w:tcPr>
            <w:tcW w:w="1589" w:type="dxa"/>
            <w:noWrap/>
          </w:tcPr>
          <w:p w14:paraId="64A96B2B" w14:textId="77777777" w:rsidR="00254D1D" w:rsidRDefault="00254D1D">
            <w:pPr>
              <w:rPr>
                <w:sz w:val="18"/>
                <w:szCs w:val="18"/>
                <w:highlight w:val="yellow"/>
              </w:rPr>
            </w:pPr>
            <w:r w:rsidRPr="00C43767">
              <w:rPr>
                <w:sz w:val="18"/>
                <w:szCs w:val="18"/>
              </w:rPr>
              <w:t>$50,100</w:t>
            </w:r>
          </w:p>
        </w:tc>
      </w:tr>
      <w:tr w:rsidR="00254D1D" w:rsidRPr="0012521E" w14:paraId="30140A16" w14:textId="77777777">
        <w:tc>
          <w:tcPr>
            <w:tcW w:w="3397" w:type="dxa"/>
            <w:noWrap/>
          </w:tcPr>
          <w:p w14:paraId="42494B64" w14:textId="77777777" w:rsidR="00254D1D" w:rsidRPr="00D22631" w:rsidRDefault="00254D1D">
            <w:pPr>
              <w:pStyle w:val="TableText"/>
              <w:rPr>
                <w:rFonts w:ascii="Arial" w:hAnsi="Arial" w:cs="Arial"/>
                <w:sz w:val="18"/>
                <w:szCs w:val="18"/>
              </w:rPr>
            </w:pPr>
            <w:proofErr w:type="spellStart"/>
            <w:r w:rsidRPr="00080D2A">
              <w:rPr>
                <w:rFonts w:ascii="Arial" w:hAnsi="Arial" w:cs="Arial"/>
                <w:sz w:val="18"/>
                <w:szCs w:val="18"/>
              </w:rPr>
              <w:t>Oztek</w:t>
            </w:r>
            <w:proofErr w:type="spellEnd"/>
            <w:r w:rsidRPr="00080D2A">
              <w:rPr>
                <w:rFonts w:ascii="Arial" w:hAnsi="Arial" w:cs="Arial"/>
                <w:sz w:val="18"/>
                <w:szCs w:val="18"/>
              </w:rPr>
              <w:t xml:space="preserve"> Holdings Pty Ltd</w:t>
            </w:r>
          </w:p>
        </w:tc>
        <w:tc>
          <w:tcPr>
            <w:tcW w:w="3969" w:type="dxa"/>
            <w:noWrap/>
          </w:tcPr>
          <w:p w14:paraId="10DE0BF4" w14:textId="77777777" w:rsidR="00254D1D" w:rsidRPr="00C276FB" w:rsidRDefault="00254D1D">
            <w:pPr>
              <w:rPr>
                <w:rFonts w:cs="Arial"/>
                <w:sz w:val="18"/>
                <w:szCs w:val="18"/>
              </w:rPr>
            </w:pPr>
            <w:r w:rsidRPr="007A002D">
              <w:rPr>
                <w:rFonts w:cs="Arial"/>
                <w:sz w:val="18"/>
                <w:szCs w:val="18"/>
              </w:rPr>
              <w:t>W</w:t>
            </w:r>
            <w:r>
              <w:rPr>
                <w:rFonts w:cs="Arial"/>
                <w:sz w:val="18"/>
                <w:szCs w:val="18"/>
              </w:rPr>
              <w:t xml:space="preserve">aste </w:t>
            </w:r>
            <w:r w:rsidRPr="007A002D">
              <w:rPr>
                <w:rFonts w:cs="Arial"/>
                <w:sz w:val="18"/>
                <w:szCs w:val="18"/>
              </w:rPr>
              <w:t>W</w:t>
            </w:r>
            <w:r>
              <w:rPr>
                <w:rFonts w:cs="Arial"/>
                <w:sz w:val="18"/>
                <w:szCs w:val="18"/>
              </w:rPr>
              <w:t xml:space="preserve">ater </w:t>
            </w:r>
            <w:r w:rsidRPr="007A002D">
              <w:rPr>
                <w:rFonts w:cs="Arial"/>
                <w:sz w:val="18"/>
                <w:szCs w:val="18"/>
              </w:rPr>
              <w:t>T</w:t>
            </w:r>
            <w:r>
              <w:rPr>
                <w:rFonts w:cs="Arial"/>
                <w:sz w:val="18"/>
                <w:szCs w:val="18"/>
              </w:rPr>
              <w:t xml:space="preserve">reatment </w:t>
            </w:r>
            <w:r w:rsidRPr="007A002D">
              <w:rPr>
                <w:rFonts w:cs="Arial"/>
                <w:sz w:val="18"/>
                <w:szCs w:val="18"/>
              </w:rPr>
              <w:t>P</w:t>
            </w:r>
            <w:r>
              <w:rPr>
                <w:rFonts w:cs="Arial"/>
                <w:sz w:val="18"/>
                <w:szCs w:val="18"/>
              </w:rPr>
              <w:t>lant</w:t>
            </w:r>
            <w:r w:rsidRPr="007A002D">
              <w:rPr>
                <w:rFonts w:cs="Arial"/>
                <w:sz w:val="18"/>
                <w:szCs w:val="18"/>
              </w:rPr>
              <w:t xml:space="preserve"> Upgrade - Biogas Energy Recovery System</w:t>
            </w:r>
          </w:p>
        </w:tc>
        <w:tc>
          <w:tcPr>
            <w:tcW w:w="1589" w:type="dxa"/>
            <w:noWrap/>
          </w:tcPr>
          <w:p w14:paraId="317D5434" w14:textId="77777777" w:rsidR="00254D1D" w:rsidRDefault="00254D1D">
            <w:pPr>
              <w:rPr>
                <w:sz w:val="18"/>
                <w:szCs w:val="18"/>
              </w:rPr>
            </w:pPr>
            <w:r>
              <w:rPr>
                <w:sz w:val="18"/>
                <w:szCs w:val="18"/>
              </w:rPr>
              <w:t>$10,000</w:t>
            </w:r>
          </w:p>
        </w:tc>
      </w:tr>
      <w:tr w:rsidR="00254D1D" w:rsidRPr="0012521E" w14:paraId="6314B672" w14:textId="77777777">
        <w:tc>
          <w:tcPr>
            <w:tcW w:w="3397" w:type="dxa"/>
            <w:noWrap/>
          </w:tcPr>
          <w:p w14:paraId="0BD3B481" w14:textId="77777777" w:rsidR="00254D1D" w:rsidRPr="00080D2A" w:rsidRDefault="00254D1D">
            <w:pPr>
              <w:pStyle w:val="TableText"/>
              <w:rPr>
                <w:rFonts w:ascii="Arial" w:hAnsi="Arial" w:cs="Arial"/>
                <w:sz w:val="18"/>
                <w:szCs w:val="18"/>
              </w:rPr>
            </w:pPr>
            <w:proofErr w:type="spellStart"/>
            <w:r w:rsidRPr="008B1751">
              <w:rPr>
                <w:rFonts w:ascii="Arial" w:hAnsi="Arial" w:cs="Arial"/>
                <w:sz w:val="18"/>
                <w:szCs w:val="18"/>
              </w:rPr>
              <w:t>Pinegro</w:t>
            </w:r>
            <w:proofErr w:type="spellEnd"/>
            <w:r w:rsidRPr="008B1751">
              <w:rPr>
                <w:rFonts w:ascii="Arial" w:hAnsi="Arial" w:cs="Arial"/>
                <w:sz w:val="18"/>
                <w:szCs w:val="18"/>
              </w:rPr>
              <w:t xml:space="preserve"> Products Pty Ltd</w:t>
            </w:r>
          </w:p>
        </w:tc>
        <w:tc>
          <w:tcPr>
            <w:tcW w:w="3969" w:type="dxa"/>
            <w:noWrap/>
          </w:tcPr>
          <w:p w14:paraId="53C0696A" w14:textId="77777777" w:rsidR="00254D1D" w:rsidRPr="007A002D" w:rsidRDefault="00254D1D">
            <w:pPr>
              <w:rPr>
                <w:rFonts w:cs="Arial"/>
                <w:sz w:val="18"/>
                <w:szCs w:val="18"/>
              </w:rPr>
            </w:pPr>
            <w:proofErr w:type="spellStart"/>
            <w:r w:rsidRPr="00D32F5E">
              <w:rPr>
                <w:rFonts w:cs="Arial"/>
                <w:sz w:val="18"/>
                <w:szCs w:val="18"/>
              </w:rPr>
              <w:t>Pinegro</w:t>
            </w:r>
            <w:proofErr w:type="spellEnd"/>
            <w:r w:rsidRPr="00D32F5E">
              <w:rPr>
                <w:rFonts w:cs="Arial"/>
                <w:sz w:val="18"/>
                <w:szCs w:val="18"/>
              </w:rPr>
              <w:t xml:space="preserve"> Decontamination Equipment - </w:t>
            </w:r>
            <w:proofErr w:type="spellStart"/>
            <w:r w:rsidRPr="00D32F5E">
              <w:rPr>
                <w:rFonts w:cs="Arial"/>
                <w:sz w:val="18"/>
                <w:szCs w:val="18"/>
              </w:rPr>
              <w:t>Windsifter</w:t>
            </w:r>
            <w:proofErr w:type="spellEnd"/>
          </w:p>
        </w:tc>
        <w:tc>
          <w:tcPr>
            <w:tcW w:w="1589" w:type="dxa"/>
            <w:noWrap/>
          </w:tcPr>
          <w:p w14:paraId="1798FC53" w14:textId="77777777" w:rsidR="00254D1D" w:rsidRDefault="00254D1D">
            <w:pPr>
              <w:rPr>
                <w:sz w:val="18"/>
                <w:szCs w:val="18"/>
              </w:rPr>
            </w:pPr>
            <w:r>
              <w:rPr>
                <w:sz w:val="18"/>
                <w:szCs w:val="18"/>
              </w:rPr>
              <w:t>$166,294</w:t>
            </w:r>
          </w:p>
        </w:tc>
      </w:tr>
      <w:tr w:rsidR="00254D1D" w:rsidRPr="0012521E" w14:paraId="0EAE06B9" w14:textId="77777777">
        <w:tc>
          <w:tcPr>
            <w:tcW w:w="3397" w:type="dxa"/>
            <w:noWrap/>
          </w:tcPr>
          <w:p w14:paraId="2CA81965" w14:textId="77777777" w:rsidR="00254D1D" w:rsidRPr="008B1751" w:rsidRDefault="00254D1D">
            <w:pPr>
              <w:pStyle w:val="TableText"/>
              <w:rPr>
                <w:rFonts w:ascii="Arial" w:hAnsi="Arial" w:cs="Arial"/>
                <w:sz w:val="18"/>
                <w:szCs w:val="18"/>
              </w:rPr>
            </w:pPr>
            <w:r>
              <w:rPr>
                <w:rFonts w:ascii="Arial" w:hAnsi="Arial" w:cs="Arial"/>
                <w:sz w:val="18"/>
                <w:szCs w:val="18"/>
              </w:rPr>
              <w:t>Polymer Processors Pty Ltd</w:t>
            </w:r>
          </w:p>
        </w:tc>
        <w:tc>
          <w:tcPr>
            <w:tcW w:w="3969" w:type="dxa"/>
            <w:noWrap/>
          </w:tcPr>
          <w:p w14:paraId="47E2F356" w14:textId="77777777" w:rsidR="00254D1D" w:rsidRPr="00D32F5E" w:rsidRDefault="00254D1D">
            <w:pPr>
              <w:rPr>
                <w:rFonts w:cs="Arial"/>
                <w:sz w:val="18"/>
                <w:szCs w:val="18"/>
              </w:rPr>
            </w:pPr>
            <w:r w:rsidRPr="00F04C2E">
              <w:rPr>
                <w:rFonts w:cs="Arial"/>
                <w:sz w:val="18"/>
                <w:szCs w:val="18"/>
              </w:rPr>
              <w:t xml:space="preserve">Plastics </w:t>
            </w:r>
            <w:r>
              <w:rPr>
                <w:rFonts w:cs="Arial"/>
                <w:sz w:val="18"/>
                <w:szCs w:val="18"/>
              </w:rPr>
              <w:t>R</w:t>
            </w:r>
            <w:r w:rsidRPr="00F04C2E">
              <w:rPr>
                <w:rFonts w:cs="Arial"/>
                <w:sz w:val="18"/>
                <w:szCs w:val="18"/>
              </w:rPr>
              <w:t xml:space="preserve">eprocessing </w:t>
            </w:r>
            <w:r>
              <w:rPr>
                <w:rFonts w:cs="Arial"/>
                <w:sz w:val="18"/>
                <w:szCs w:val="18"/>
              </w:rPr>
              <w:t>F</w:t>
            </w:r>
            <w:r w:rsidRPr="00F04C2E">
              <w:rPr>
                <w:rFonts w:cs="Arial"/>
                <w:sz w:val="18"/>
                <w:szCs w:val="18"/>
              </w:rPr>
              <w:t xml:space="preserve">acility </w:t>
            </w:r>
            <w:r>
              <w:rPr>
                <w:rFonts w:cs="Arial"/>
                <w:sz w:val="18"/>
                <w:szCs w:val="18"/>
              </w:rPr>
              <w:t>E</w:t>
            </w:r>
            <w:r w:rsidRPr="00F04C2E">
              <w:rPr>
                <w:rFonts w:cs="Arial"/>
                <w:sz w:val="18"/>
                <w:szCs w:val="18"/>
              </w:rPr>
              <w:t>xpansion</w:t>
            </w:r>
            <w:r>
              <w:rPr>
                <w:rFonts w:cs="Arial"/>
                <w:sz w:val="18"/>
                <w:szCs w:val="18"/>
              </w:rPr>
              <w:t xml:space="preserve"> – increasing capacity to reprocess hard and soft post-consumer plastics</w:t>
            </w:r>
          </w:p>
        </w:tc>
        <w:tc>
          <w:tcPr>
            <w:tcW w:w="1589" w:type="dxa"/>
            <w:noWrap/>
          </w:tcPr>
          <w:p w14:paraId="689DF432" w14:textId="77777777" w:rsidR="00254D1D" w:rsidRDefault="00254D1D">
            <w:pPr>
              <w:rPr>
                <w:sz w:val="18"/>
                <w:szCs w:val="18"/>
              </w:rPr>
            </w:pPr>
            <w:r>
              <w:rPr>
                <w:sz w:val="18"/>
                <w:szCs w:val="18"/>
              </w:rPr>
              <w:t>$1,313,333</w:t>
            </w:r>
          </w:p>
        </w:tc>
      </w:tr>
      <w:tr w:rsidR="00254D1D" w:rsidRPr="0012521E" w14:paraId="693BC05A" w14:textId="77777777">
        <w:tc>
          <w:tcPr>
            <w:tcW w:w="3397" w:type="dxa"/>
            <w:noWrap/>
          </w:tcPr>
          <w:p w14:paraId="4544918B" w14:textId="77777777" w:rsidR="00254D1D" w:rsidRDefault="00254D1D">
            <w:pPr>
              <w:pStyle w:val="TableText"/>
              <w:rPr>
                <w:rFonts w:ascii="Arial" w:hAnsi="Arial" w:cs="Arial"/>
                <w:sz w:val="18"/>
                <w:szCs w:val="18"/>
              </w:rPr>
            </w:pPr>
            <w:r w:rsidRPr="004E4E53">
              <w:rPr>
                <w:rFonts w:ascii="Arial" w:hAnsi="Arial" w:cs="Arial"/>
                <w:sz w:val="18"/>
                <w:szCs w:val="18"/>
              </w:rPr>
              <w:t>Polymeric Powders Company Pty Ltd</w:t>
            </w:r>
          </w:p>
        </w:tc>
        <w:tc>
          <w:tcPr>
            <w:tcW w:w="3969" w:type="dxa"/>
            <w:noWrap/>
          </w:tcPr>
          <w:p w14:paraId="72904D05" w14:textId="77777777" w:rsidR="00254D1D" w:rsidRPr="00F04C2E" w:rsidRDefault="00254D1D">
            <w:pPr>
              <w:rPr>
                <w:rFonts w:cs="Arial"/>
                <w:sz w:val="18"/>
                <w:szCs w:val="18"/>
              </w:rPr>
            </w:pPr>
            <w:r w:rsidRPr="00D74A05">
              <w:rPr>
                <w:rFonts w:cs="Arial"/>
                <w:sz w:val="18"/>
                <w:szCs w:val="18"/>
              </w:rPr>
              <w:t xml:space="preserve">Production </w:t>
            </w:r>
            <w:r>
              <w:rPr>
                <w:rFonts w:cs="Arial"/>
                <w:sz w:val="18"/>
                <w:szCs w:val="18"/>
              </w:rPr>
              <w:t>a</w:t>
            </w:r>
            <w:r w:rsidRPr="00D74A05">
              <w:rPr>
                <w:rFonts w:cs="Arial"/>
                <w:sz w:val="18"/>
                <w:szCs w:val="18"/>
              </w:rPr>
              <w:t xml:space="preserve">nd Commercial Evaluation </w:t>
            </w:r>
            <w:r>
              <w:rPr>
                <w:rFonts w:cs="Arial"/>
                <w:sz w:val="18"/>
                <w:szCs w:val="18"/>
              </w:rPr>
              <w:t>o</w:t>
            </w:r>
            <w:r w:rsidRPr="00D74A05">
              <w:rPr>
                <w:rFonts w:cs="Arial"/>
                <w:sz w:val="18"/>
                <w:szCs w:val="18"/>
              </w:rPr>
              <w:t xml:space="preserve">f New Upcycled Car Speed </w:t>
            </w:r>
            <w:r>
              <w:rPr>
                <w:rFonts w:cs="Arial"/>
                <w:sz w:val="18"/>
                <w:szCs w:val="18"/>
              </w:rPr>
              <w:t>H</w:t>
            </w:r>
            <w:r w:rsidRPr="00D74A05">
              <w:rPr>
                <w:rFonts w:cs="Arial"/>
                <w:sz w:val="18"/>
                <w:szCs w:val="18"/>
              </w:rPr>
              <w:t>umps</w:t>
            </w:r>
          </w:p>
        </w:tc>
        <w:tc>
          <w:tcPr>
            <w:tcW w:w="1589" w:type="dxa"/>
            <w:noWrap/>
          </w:tcPr>
          <w:p w14:paraId="24E7BC9E" w14:textId="77777777" w:rsidR="00254D1D" w:rsidRDefault="00254D1D">
            <w:pPr>
              <w:rPr>
                <w:sz w:val="18"/>
                <w:szCs w:val="18"/>
                <w:highlight w:val="yellow"/>
              </w:rPr>
            </w:pPr>
            <w:r w:rsidRPr="008A78C8">
              <w:rPr>
                <w:sz w:val="18"/>
                <w:szCs w:val="18"/>
              </w:rPr>
              <w:t>$9,858</w:t>
            </w:r>
          </w:p>
        </w:tc>
      </w:tr>
      <w:tr w:rsidR="00254D1D" w:rsidRPr="0012521E" w14:paraId="53F54D83" w14:textId="77777777">
        <w:tc>
          <w:tcPr>
            <w:tcW w:w="3397" w:type="dxa"/>
            <w:noWrap/>
          </w:tcPr>
          <w:p w14:paraId="344F3D6C" w14:textId="77777777" w:rsidR="00254D1D" w:rsidRPr="004E4E53" w:rsidRDefault="00254D1D">
            <w:pPr>
              <w:pStyle w:val="TableText"/>
              <w:rPr>
                <w:rFonts w:ascii="Arial" w:hAnsi="Arial" w:cs="Arial"/>
                <w:sz w:val="18"/>
                <w:szCs w:val="18"/>
              </w:rPr>
            </w:pPr>
            <w:proofErr w:type="spellStart"/>
            <w:r w:rsidRPr="00B8146B">
              <w:rPr>
                <w:rFonts w:ascii="Arial" w:hAnsi="Arial" w:cs="Arial"/>
                <w:sz w:val="18"/>
                <w:szCs w:val="18"/>
              </w:rPr>
              <w:t>Polyrok</w:t>
            </w:r>
            <w:proofErr w:type="spellEnd"/>
            <w:r w:rsidRPr="00B8146B">
              <w:rPr>
                <w:rFonts w:ascii="Arial" w:hAnsi="Arial" w:cs="Arial"/>
                <w:sz w:val="18"/>
                <w:szCs w:val="18"/>
              </w:rPr>
              <w:t xml:space="preserve"> International Pty Ltd</w:t>
            </w:r>
          </w:p>
        </w:tc>
        <w:tc>
          <w:tcPr>
            <w:tcW w:w="3969" w:type="dxa"/>
            <w:noWrap/>
          </w:tcPr>
          <w:p w14:paraId="5EF43452" w14:textId="77777777" w:rsidR="00254D1D" w:rsidRPr="00D74A05" w:rsidRDefault="00254D1D">
            <w:pPr>
              <w:rPr>
                <w:rFonts w:cs="Arial"/>
                <w:sz w:val="18"/>
                <w:szCs w:val="18"/>
              </w:rPr>
            </w:pPr>
            <w:r w:rsidRPr="00C03C90">
              <w:rPr>
                <w:rFonts w:cs="Arial"/>
                <w:sz w:val="18"/>
                <w:szCs w:val="18"/>
              </w:rPr>
              <w:t>Advanced Polymer Feedstock</w:t>
            </w:r>
            <w:r>
              <w:rPr>
                <w:rFonts w:cs="Arial"/>
                <w:sz w:val="18"/>
                <w:szCs w:val="18"/>
              </w:rPr>
              <w:t xml:space="preserve"> - i</w:t>
            </w:r>
            <w:r w:rsidRPr="00873B5D">
              <w:rPr>
                <w:rFonts w:cs="Arial"/>
                <w:sz w:val="18"/>
                <w:szCs w:val="18"/>
              </w:rPr>
              <w:t xml:space="preserve">ncreasing capacity to process post-consumer soft plastics into a stone aggregate replacement called </w:t>
            </w:r>
            <w:proofErr w:type="spellStart"/>
            <w:r w:rsidRPr="00873B5D">
              <w:rPr>
                <w:rFonts w:cs="Arial"/>
                <w:sz w:val="18"/>
                <w:szCs w:val="18"/>
              </w:rPr>
              <w:t>Polyrok</w:t>
            </w:r>
            <w:proofErr w:type="spellEnd"/>
            <w:r w:rsidRPr="00873B5D">
              <w:rPr>
                <w:rFonts w:cs="Arial"/>
                <w:sz w:val="18"/>
                <w:szCs w:val="18"/>
              </w:rPr>
              <w:t>.</w:t>
            </w:r>
            <w:r>
              <w:t xml:space="preserve"> </w:t>
            </w:r>
          </w:p>
        </w:tc>
        <w:tc>
          <w:tcPr>
            <w:tcW w:w="1589" w:type="dxa"/>
            <w:noWrap/>
          </w:tcPr>
          <w:p w14:paraId="598810B1" w14:textId="77777777" w:rsidR="00254D1D" w:rsidRDefault="00254D1D">
            <w:pPr>
              <w:rPr>
                <w:sz w:val="18"/>
                <w:szCs w:val="18"/>
              </w:rPr>
            </w:pPr>
            <w:r>
              <w:rPr>
                <w:sz w:val="18"/>
                <w:szCs w:val="18"/>
              </w:rPr>
              <w:t>$600,000</w:t>
            </w:r>
          </w:p>
        </w:tc>
      </w:tr>
      <w:tr w:rsidR="00254D1D" w:rsidRPr="0012521E" w14:paraId="6EA8E0BB" w14:textId="77777777">
        <w:tc>
          <w:tcPr>
            <w:tcW w:w="3397" w:type="dxa"/>
            <w:noWrap/>
          </w:tcPr>
          <w:p w14:paraId="04AB740F" w14:textId="77777777" w:rsidR="00254D1D" w:rsidRPr="00B8146B" w:rsidRDefault="00254D1D">
            <w:pPr>
              <w:pStyle w:val="TableText"/>
              <w:rPr>
                <w:rFonts w:ascii="Arial" w:hAnsi="Arial" w:cs="Arial"/>
                <w:sz w:val="18"/>
                <w:szCs w:val="18"/>
              </w:rPr>
            </w:pPr>
            <w:r w:rsidRPr="00AA6716">
              <w:rPr>
                <w:rFonts w:ascii="Arial" w:hAnsi="Arial" w:cs="Arial"/>
                <w:sz w:val="18"/>
                <w:szCs w:val="18"/>
              </w:rPr>
              <w:t>Porous Lane Pty Ltd</w:t>
            </w:r>
          </w:p>
        </w:tc>
        <w:tc>
          <w:tcPr>
            <w:tcW w:w="3969" w:type="dxa"/>
            <w:noWrap/>
          </w:tcPr>
          <w:p w14:paraId="40901248" w14:textId="77777777" w:rsidR="00254D1D" w:rsidRPr="00C03C90" w:rsidRDefault="00254D1D">
            <w:pPr>
              <w:rPr>
                <w:rFonts w:cs="Arial"/>
                <w:sz w:val="18"/>
                <w:szCs w:val="18"/>
              </w:rPr>
            </w:pPr>
            <w:r w:rsidRPr="00954D65">
              <w:rPr>
                <w:rFonts w:cs="Arial"/>
                <w:sz w:val="18"/>
                <w:szCs w:val="18"/>
              </w:rPr>
              <w:t>Waste Tyre Permeable Pavement, Commercialisation Support for a Victorian Innovation</w:t>
            </w:r>
          </w:p>
        </w:tc>
        <w:tc>
          <w:tcPr>
            <w:tcW w:w="1589" w:type="dxa"/>
            <w:noWrap/>
          </w:tcPr>
          <w:p w14:paraId="721A1BC9" w14:textId="77777777" w:rsidR="00254D1D" w:rsidRDefault="00254D1D">
            <w:pPr>
              <w:rPr>
                <w:sz w:val="18"/>
                <w:szCs w:val="18"/>
              </w:rPr>
            </w:pPr>
            <w:r>
              <w:rPr>
                <w:sz w:val="18"/>
                <w:szCs w:val="18"/>
              </w:rPr>
              <w:t>$40,000</w:t>
            </w:r>
          </w:p>
        </w:tc>
      </w:tr>
      <w:tr w:rsidR="00254D1D" w:rsidRPr="0012521E" w14:paraId="743305E8" w14:textId="77777777">
        <w:tc>
          <w:tcPr>
            <w:tcW w:w="3397" w:type="dxa"/>
            <w:shd w:val="clear" w:color="auto" w:fill="auto"/>
            <w:noWrap/>
          </w:tcPr>
          <w:p w14:paraId="5FC269BB" w14:textId="77777777" w:rsidR="00254D1D" w:rsidRPr="006D5491" w:rsidRDefault="00254D1D">
            <w:pPr>
              <w:pStyle w:val="TableText"/>
              <w:rPr>
                <w:rFonts w:ascii="Arial" w:hAnsi="Arial" w:cs="Arial"/>
                <w:sz w:val="18"/>
                <w:szCs w:val="18"/>
              </w:rPr>
            </w:pPr>
            <w:r w:rsidRPr="006D5491">
              <w:rPr>
                <w:rFonts w:ascii="Arial" w:hAnsi="Arial" w:cs="Arial"/>
                <w:sz w:val="18"/>
                <w:szCs w:val="18"/>
              </w:rPr>
              <w:t>Positive Footprints Pty Ltd</w:t>
            </w:r>
          </w:p>
        </w:tc>
        <w:tc>
          <w:tcPr>
            <w:tcW w:w="3969" w:type="dxa"/>
            <w:shd w:val="clear" w:color="auto" w:fill="auto"/>
            <w:noWrap/>
          </w:tcPr>
          <w:p w14:paraId="405F1841" w14:textId="77777777" w:rsidR="00254D1D" w:rsidRPr="006D5491" w:rsidRDefault="00254D1D">
            <w:pPr>
              <w:rPr>
                <w:rFonts w:cs="Arial"/>
                <w:sz w:val="18"/>
                <w:szCs w:val="18"/>
              </w:rPr>
            </w:pPr>
            <w:r w:rsidRPr="006D5491">
              <w:rPr>
                <w:rFonts w:cs="Arial"/>
                <w:sz w:val="18"/>
                <w:szCs w:val="18"/>
              </w:rPr>
              <w:t>7 Star Program</w:t>
            </w:r>
          </w:p>
        </w:tc>
        <w:tc>
          <w:tcPr>
            <w:tcW w:w="1589" w:type="dxa"/>
            <w:shd w:val="clear" w:color="auto" w:fill="auto"/>
            <w:noWrap/>
          </w:tcPr>
          <w:p w14:paraId="1B324FFB" w14:textId="77777777" w:rsidR="00254D1D" w:rsidRPr="006D5491" w:rsidRDefault="00254D1D">
            <w:pPr>
              <w:rPr>
                <w:sz w:val="18"/>
                <w:szCs w:val="18"/>
              </w:rPr>
            </w:pPr>
            <w:r w:rsidRPr="006D5491">
              <w:rPr>
                <w:sz w:val="18"/>
                <w:szCs w:val="18"/>
              </w:rPr>
              <w:t>$8,000*</w:t>
            </w:r>
          </w:p>
        </w:tc>
      </w:tr>
      <w:tr w:rsidR="00254D1D" w:rsidRPr="0012521E" w14:paraId="6CEC87BD" w14:textId="77777777">
        <w:tc>
          <w:tcPr>
            <w:tcW w:w="3397" w:type="dxa"/>
            <w:noWrap/>
          </w:tcPr>
          <w:p w14:paraId="6476782F" w14:textId="77777777" w:rsidR="00254D1D" w:rsidRPr="00AA6716" w:rsidRDefault="00254D1D">
            <w:pPr>
              <w:pStyle w:val="TableText"/>
              <w:rPr>
                <w:rFonts w:ascii="Arial" w:hAnsi="Arial" w:cs="Arial"/>
                <w:sz w:val="18"/>
                <w:szCs w:val="18"/>
              </w:rPr>
            </w:pPr>
            <w:r w:rsidRPr="008F0402">
              <w:rPr>
                <w:rFonts w:ascii="Arial" w:hAnsi="Arial" w:cs="Arial"/>
                <w:sz w:val="18"/>
                <w:szCs w:val="18"/>
              </w:rPr>
              <w:t>PV Industries Pty Ltd</w:t>
            </w:r>
          </w:p>
        </w:tc>
        <w:tc>
          <w:tcPr>
            <w:tcW w:w="3969" w:type="dxa"/>
            <w:noWrap/>
          </w:tcPr>
          <w:p w14:paraId="2FED9A49" w14:textId="77777777" w:rsidR="00254D1D" w:rsidRPr="00954D65" w:rsidRDefault="00254D1D">
            <w:pPr>
              <w:rPr>
                <w:rFonts w:cs="Arial"/>
                <w:sz w:val="18"/>
                <w:szCs w:val="18"/>
              </w:rPr>
            </w:pPr>
            <w:r w:rsidRPr="000A4FFF">
              <w:rPr>
                <w:rFonts w:cs="Arial"/>
                <w:sz w:val="18"/>
                <w:szCs w:val="18"/>
              </w:rPr>
              <w:t xml:space="preserve">Validating </w:t>
            </w:r>
            <w:r>
              <w:rPr>
                <w:rFonts w:cs="Arial"/>
                <w:sz w:val="18"/>
                <w:szCs w:val="18"/>
              </w:rPr>
              <w:t>a</w:t>
            </w:r>
            <w:r w:rsidRPr="000A4FFF">
              <w:rPr>
                <w:rFonts w:cs="Arial"/>
                <w:sz w:val="18"/>
                <w:szCs w:val="18"/>
              </w:rPr>
              <w:t xml:space="preserve"> New Commercial Pathway </w:t>
            </w:r>
            <w:r>
              <w:rPr>
                <w:rFonts w:cs="Arial"/>
                <w:sz w:val="18"/>
                <w:szCs w:val="18"/>
              </w:rPr>
              <w:t>f</w:t>
            </w:r>
            <w:r w:rsidRPr="000A4FFF">
              <w:rPr>
                <w:rFonts w:cs="Arial"/>
                <w:sz w:val="18"/>
                <w:szCs w:val="18"/>
              </w:rPr>
              <w:t>or Solar Panel Glass</w:t>
            </w:r>
          </w:p>
        </w:tc>
        <w:tc>
          <w:tcPr>
            <w:tcW w:w="1589" w:type="dxa"/>
            <w:noWrap/>
          </w:tcPr>
          <w:p w14:paraId="4944BBFC" w14:textId="77777777" w:rsidR="00254D1D" w:rsidRDefault="00254D1D">
            <w:pPr>
              <w:rPr>
                <w:sz w:val="18"/>
                <w:szCs w:val="18"/>
              </w:rPr>
            </w:pPr>
            <w:r>
              <w:rPr>
                <w:sz w:val="18"/>
                <w:szCs w:val="18"/>
              </w:rPr>
              <w:t>$180,000</w:t>
            </w:r>
          </w:p>
        </w:tc>
      </w:tr>
      <w:tr w:rsidR="00254D1D" w:rsidRPr="0012521E" w14:paraId="24DA97CC" w14:textId="77777777">
        <w:tc>
          <w:tcPr>
            <w:tcW w:w="3397" w:type="dxa"/>
            <w:noWrap/>
          </w:tcPr>
          <w:p w14:paraId="49204BA8" w14:textId="77777777" w:rsidR="00254D1D" w:rsidRPr="008F0402" w:rsidRDefault="00254D1D">
            <w:pPr>
              <w:pStyle w:val="TableText"/>
              <w:rPr>
                <w:rFonts w:ascii="Arial" w:hAnsi="Arial" w:cs="Arial"/>
                <w:sz w:val="18"/>
                <w:szCs w:val="18"/>
              </w:rPr>
            </w:pPr>
            <w:r w:rsidRPr="004C6116">
              <w:rPr>
                <w:rFonts w:ascii="Arial" w:hAnsi="Arial" w:cs="Arial"/>
                <w:sz w:val="18"/>
                <w:szCs w:val="18"/>
              </w:rPr>
              <w:t>Pyrenees Shire Council</w:t>
            </w:r>
          </w:p>
        </w:tc>
        <w:tc>
          <w:tcPr>
            <w:tcW w:w="3969" w:type="dxa"/>
            <w:noWrap/>
          </w:tcPr>
          <w:p w14:paraId="77033861" w14:textId="77777777" w:rsidR="00254D1D" w:rsidRPr="000A4FFF" w:rsidRDefault="00254D1D">
            <w:pPr>
              <w:rPr>
                <w:rFonts w:cs="Arial"/>
                <w:sz w:val="18"/>
                <w:szCs w:val="18"/>
              </w:rPr>
            </w:pPr>
            <w:r w:rsidRPr="004C6116">
              <w:rPr>
                <w:rFonts w:cs="Arial"/>
                <w:sz w:val="18"/>
                <w:szCs w:val="18"/>
              </w:rPr>
              <w:t xml:space="preserve">Pyrenees Shire Council </w:t>
            </w:r>
            <w:r>
              <w:rPr>
                <w:rFonts w:cs="Arial"/>
                <w:sz w:val="18"/>
                <w:szCs w:val="18"/>
              </w:rPr>
              <w:t>P</w:t>
            </w:r>
            <w:r w:rsidRPr="004C6116">
              <w:rPr>
                <w:rFonts w:cs="Arial"/>
                <w:sz w:val="18"/>
                <w:szCs w:val="18"/>
              </w:rPr>
              <w:t xml:space="preserve">romoting the </w:t>
            </w:r>
            <w:r>
              <w:rPr>
                <w:rFonts w:cs="Arial"/>
                <w:sz w:val="18"/>
                <w:szCs w:val="18"/>
              </w:rPr>
              <w:t>R</w:t>
            </w:r>
            <w:r w:rsidRPr="004C6116">
              <w:rPr>
                <w:rFonts w:cs="Arial"/>
                <w:sz w:val="18"/>
                <w:szCs w:val="18"/>
              </w:rPr>
              <w:t xml:space="preserve">ecycling </w:t>
            </w:r>
            <w:r>
              <w:rPr>
                <w:rFonts w:cs="Arial"/>
                <w:sz w:val="18"/>
                <w:szCs w:val="18"/>
              </w:rPr>
              <w:t>S</w:t>
            </w:r>
            <w:r w:rsidRPr="004C6116">
              <w:rPr>
                <w:rFonts w:cs="Arial"/>
                <w:sz w:val="18"/>
                <w:szCs w:val="18"/>
              </w:rPr>
              <w:t>ystem</w:t>
            </w:r>
            <w:r>
              <w:rPr>
                <w:rFonts w:cs="Arial"/>
                <w:sz w:val="18"/>
                <w:szCs w:val="18"/>
              </w:rPr>
              <w:t xml:space="preserve"> – Household Education</w:t>
            </w:r>
          </w:p>
        </w:tc>
        <w:tc>
          <w:tcPr>
            <w:tcW w:w="1589" w:type="dxa"/>
            <w:noWrap/>
          </w:tcPr>
          <w:p w14:paraId="5196E4F6" w14:textId="77777777" w:rsidR="00254D1D" w:rsidRDefault="00254D1D">
            <w:pPr>
              <w:rPr>
                <w:sz w:val="18"/>
                <w:szCs w:val="18"/>
              </w:rPr>
            </w:pPr>
            <w:r>
              <w:rPr>
                <w:sz w:val="18"/>
                <w:szCs w:val="18"/>
              </w:rPr>
              <w:t>$18,950</w:t>
            </w:r>
          </w:p>
        </w:tc>
      </w:tr>
      <w:tr w:rsidR="00254D1D" w:rsidRPr="0012521E" w14:paraId="77727DD4" w14:textId="77777777">
        <w:tc>
          <w:tcPr>
            <w:tcW w:w="3397" w:type="dxa"/>
            <w:noWrap/>
          </w:tcPr>
          <w:p w14:paraId="70FE2C32" w14:textId="77777777" w:rsidR="00254D1D" w:rsidRPr="004C6116" w:rsidRDefault="00254D1D">
            <w:pPr>
              <w:pStyle w:val="TableText"/>
              <w:rPr>
                <w:rFonts w:ascii="Arial" w:hAnsi="Arial" w:cs="Arial"/>
                <w:sz w:val="18"/>
                <w:szCs w:val="18"/>
              </w:rPr>
            </w:pPr>
            <w:r w:rsidRPr="0089066D">
              <w:rPr>
                <w:rFonts w:ascii="Arial" w:hAnsi="Arial" w:cs="Arial"/>
                <w:sz w:val="18"/>
                <w:szCs w:val="18"/>
              </w:rPr>
              <w:t>Quantum Recycling Solutions</w:t>
            </w:r>
            <w:r>
              <w:rPr>
                <w:rFonts w:ascii="Arial" w:hAnsi="Arial" w:cs="Arial"/>
                <w:sz w:val="18"/>
                <w:szCs w:val="18"/>
              </w:rPr>
              <w:t xml:space="preserve"> Pty Ltd</w:t>
            </w:r>
          </w:p>
        </w:tc>
        <w:tc>
          <w:tcPr>
            <w:tcW w:w="3969" w:type="dxa"/>
            <w:noWrap/>
          </w:tcPr>
          <w:p w14:paraId="61F2781E" w14:textId="77777777" w:rsidR="00254D1D" w:rsidRPr="004C6116" w:rsidRDefault="00254D1D">
            <w:pPr>
              <w:rPr>
                <w:rFonts w:cs="Arial"/>
                <w:sz w:val="18"/>
                <w:szCs w:val="18"/>
              </w:rPr>
            </w:pPr>
            <w:r w:rsidRPr="001F0BD3">
              <w:rPr>
                <w:rFonts w:cs="Arial"/>
                <w:sz w:val="18"/>
                <w:szCs w:val="18"/>
              </w:rPr>
              <w:t>ISGP R2 Quantum Recycling Plant Upgrade</w:t>
            </w:r>
          </w:p>
        </w:tc>
        <w:tc>
          <w:tcPr>
            <w:tcW w:w="1589" w:type="dxa"/>
            <w:noWrap/>
          </w:tcPr>
          <w:p w14:paraId="2DF6FDC7" w14:textId="77777777" w:rsidR="00254D1D" w:rsidRDefault="00254D1D">
            <w:pPr>
              <w:rPr>
                <w:sz w:val="18"/>
                <w:szCs w:val="18"/>
              </w:rPr>
            </w:pPr>
            <w:r>
              <w:rPr>
                <w:sz w:val="18"/>
                <w:szCs w:val="18"/>
              </w:rPr>
              <w:t>$10,375</w:t>
            </w:r>
          </w:p>
        </w:tc>
      </w:tr>
      <w:tr w:rsidR="00254D1D" w:rsidRPr="0012521E" w14:paraId="05046377" w14:textId="77777777">
        <w:tc>
          <w:tcPr>
            <w:tcW w:w="3397" w:type="dxa"/>
            <w:noWrap/>
          </w:tcPr>
          <w:p w14:paraId="7E52133E" w14:textId="77777777" w:rsidR="00254D1D" w:rsidRPr="0089066D" w:rsidRDefault="00254D1D">
            <w:pPr>
              <w:pStyle w:val="TableText"/>
              <w:rPr>
                <w:rFonts w:ascii="Arial" w:hAnsi="Arial" w:cs="Arial"/>
                <w:sz w:val="18"/>
                <w:szCs w:val="18"/>
              </w:rPr>
            </w:pPr>
            <w:proofErr w:type="spellStart"/>
            <w:r w:rsidRPr="00D55D2D">
              <w:rPr>
                <w:rFonts w:ascii="Arial" w:hAnsi="Arial" w:cs="Arial"/>
                <w:sz w:val="18"/>
                <w:szCs w:val="18"/>
              </w:rPr>
              <w:t>RC</w:t>
            </w:r>
            <w:r>
              <w:rPr>
                <w:rFonts w:ascii="Arial" w:hAnsi="Arial" w:cs="Arial"/>
                <w:sz w:val="18"/>
                <w:szCs w:val="18"/>
              </w:rPr>
              <w:t>allan</w:t>
            </w:r>
            <w:proofErr w:type="spellEnd"/>
            <w:r w:rsidRPr="00D55D2D">
              <w:rPr>
                <w:rFonts w:ascii="Arial" w:hAnsi="Arial" w:cs="Arial"/>
                <w:sz w:val="18"/>
                <w:szCs w:val="18"/>
              </w:rPr>
              <w:t xml:space="preserve"> Pty Ltd</w:t>
            </w:r>
          </w:p>
        </w:tc>
        <w:tc>
          <w:tcPr>
            <w:tcW w:w="3969" w:type="dxa"/>
            <w:noWrap/>
          </w:tcPr>
          <w:p w14:paraId="2DB91AA6" w14:textId="77777777" w:rsidR="00254D1D" w:rsidRPr="001F0BD3" w:rsidRDefault="00254D1D">
            <w:pPr>
              <w:rPr>
                <w:rFonts w:cs="Arial"/>
                <w:sz w:val="18"/>
                <w:szCs w:val="18"/>
              </w:rPr>
            </w:pPr>
            <w:r w:rsidRPr="00667DBA">
              <w:rPr>
                <w:rFonts w:cs="Arial"/>
                <w:sz w:val="18"/>
                <w:szCs w:val="18"/>
              </w:rPr>
              <w:t>On-Line Continuous Paper Strength Measurement</w:t>
            </w:r>
          </w:p>
        </w:tc>
        <w:tc>
          <w:tcPr>
            <w:tcW w:w="1589" w:type="dxa"/>
            <w:noWrap/>
          </w:tcPr>
          <w:p w14:paraId="31402627" w14:textId="77777777" w:rsidR="00254D1D" w:rsidRDefault="00254D1D">
            <w:pPr>
              <w:rPr>
                <w:sz w:val="18"/>
                <w:szCs w:val="18"/>
              </w:rPr>
            </w:pPr>
            <w:r>
              <w:rPr>
                <w:sz w:val="18"/>
                <w:szCs w:val="18"/>
              </w:rPr>
              <w:t>$30,000</w:t>
            </w:r>
          </w:p>
        </w:tc>
      </w:tr>
      <w:tr w:rsidR="00254D1D" w:rsidRPr="0012521E" w14:paraId="5C6116BE" w14:textId="77777777">
        <w:tc>
          <w:tcPr>
            <w:tcW w:w="3397" w:type="dxa"/>
            <w:noWrap/>
          </w:tcPr>
          <w:p w14:paraId="14686FAD" w14:textId="77777777" w:rsidR="00254D1D" w:rsidRPr="006372D1" w:rsidRDefault="00254D1D">
            <w:pPr>
              <w:spacing w:line="240" w:lineRule="auto"/>
              <w:rPr>
                <w:rFonts w:cs="Arial"/>
                <w:color w:val="000000"/>
                <w:sz w:val="18"/>
                <w:szCs w:val="18"/>
              </w:rPr>
            </w:pPr>
            <w:r w:rsidRPr="006372D1">
              <w:rPr>
                <w:rFonts w:cs="Arial"/>
                <w:color w:val="000000"/>
                <w:sz w:val="18"/>
                <w:szCs w:val="18"/>
              </w:rPr>
              <w:t>Reece Limited (Reece Group)</w:t>
            </w:r>
          </w:p>
        </w:tc>
        <w:tc>
          <w:tcPr>
            <w:tcW w:w="3969" w:type="dxa"/>
            <w:noWrap/>
          </w:tcPr>
          <w:p w14:paraId="0590F01B" w14:textId="77777777" w:rsidR="00254D1D" w:rsidRPr="006372D1" w:rsidRDefault="00254D1D">
            <w:pPr>
              <w:spacing w:line="240" w:lineRule="auto"/>
              <w:rPr>
                <w:rFonts w:cs="Arial"/>
                <w:color w:val="000000"/>
                <w:sz w:val="18"/>
                <w:szCs w:val="18"/>
              </w:rPr>
            </w:pPr>
            <w:r w:rsidRPr="006372D1">
              <w:rPr>
                <w:rFonts w:cs="Arial"/>
                <w:color w:val="000000"/>
                <w:sz w:val="18"/>
                <w:szCs w:val="18"/>
              </w:rPr>
              <w:t>Developing Circular Business Models for Reece's Building Supply Chain</w:t>
            </w:r>
          </w:p>
        </w:tc>
        <w:tc>
          <w:tcPr>
            <w:tcW w:w="1589" w:type="dxa"/>
            <w:noWrap/>
          </w:tcPr>
          <w:p w14:paraId="2457EE63" w14:textId="77777777" w:rsidR="00254D1D" w:rsidRPr="006372D1" w:rsidRDefault="00254D1D">
            <w:pPr>
              <w:rPr>
                <w:rFonts w:cs="Arial"/>
                <w:sz w:val="18"/>
                <w:szCs w:val="18"/>
              </w:rPr>
            </w:pPr>
            <w:r w:rsidRPr="006372D1">
              <w:rPr>
                <w:rFonts w:cs="Arial"/>
                <w:sz w:val="18"/>
                <w:szCs w:val="18"/>
              </w:rPr>
              <w:t>$35,095</w:t>
            </w:r>
          </w:p>
        </w:tc>
      </w:tr>
      <w:tr w:rsidR="00254D1D" w14:paraId="5E50F4B5" w14:textId="77777777">
        <w:trPr>
          <w:trHeight w:val="300"/>
        </w:trPr>
        <w:tc>
          <w:tcPr>
            <w:tcW w:w="3397" w:type="dxa"/>
            <w:noWrap/>
          </w:tcPr>
          <w:p w14:paraId="13B25B81" w14:textId="77777777" w:rsidR="00254D1D" w:rsidRPr="00DF0BD8" w:rsidRDefault="00254D1D">
            <w:pPr>
              <w:rPr>
                <w:sz w:val="18"/>
                <w:szCs w:val="18"/>
              </w:rPr>
            </w:pPr>
            <w:r w:rsidRPr="00DF0BD8">
              <w:rPr>
                <w:sz w:val="18"/>
                <w:szCs w:val="18"/>
              </w:rPr>
              <w:t>Reground Pty Ltd</w:t>
            </w:r>
          </w:p>
        </w:tc>
        <w:tc>
          <w:tcPr>
            <w:tcW w:w="3969" w:type="dxa"/>
            <w:noWrap/>
          </w:tcPr>
          <w:p w14:paraId="3C6D2D98" w14:textId="77777777" w:rsidR="00254D1D" w:rsidRPr="00DF0BD8" w:rsidRDefault="00254D1D">
            <w:pPr>
              <w:rPr>
                <w:sz w:val="18"/>
                <w:szCs w:val="18"/>
              </w:rPr>
            </w:pPr>
            <w:r w:rsidRPr="00DF0BD8">
              <w:rPr>
                <w:sz w:val="18"/>
                <w:szCs w:val="18"/>
              </w:rPr>
              <w:t>The Reground Circular Economy Exchange</w:t>
            </w:r>
          </w:p>
        </w:tc>
        <w:tc>
          <w:tcPr>
            <w:tcW w:w="1589" w:type="dxa"/>
            <w:noWrap/>
          </w:tcPr>
          <w:p w14:paraId="437AEFDE" w14:textId="77777777" w:rsidR="00254D1D" w:rsidRPr="00DF0BD8" w:rsidRDefault="00254D1D">
            <w:pPr>
              <w:rPr>
                <w:sz w:val="18"/>
                <w:szCs w:val="18"/>
                <w:highlight w:val="yellow"/>
              </w:rPr>
            </w:pPr>
            <w:r w:rsidRPr="00F20859">
              <w:rPr>
                <w:sz w:val="18"/>
                <w:szCs w:val="18"/>
              </w:rPr>
              <w:t>$52,500</w:t>
            </w:r>
          </w:p>
        </w:tc>
      </w:tr>
      <w:tr w:rsidR="00254D1D" w14:paraId="74B6ED9D" w14:textId="77777777">
        <w:trPr>
          <w:trHeight w:val="300"/>
        </w:trPr>
        <w:tc>
          <w:tcPr>
            <w:tcW w:w="3397" w:type="dxa"/>
            <w:noWrap/>
          </w:tcPr>
          <w:p w14:paraId="62C8B485" w14:textId="77777777" w:rsidR="00254D1D" w:rsidRPr="00DF0BD8" w:rsidRDefault="00254D1D">
            <w:pPr>
              <w:rPr>
                <w:sz w:val="18"/>
                <w:szCs w:val="18"/>
              </w:rPr>
            </w:pPr>
            <w:r w:rsidRPr="00DF0BD8">
              <w:rPr>
                <w:sz w:val="18"/>
                <w:szCs w:val="18"/>
              </w:rPr>
              <w:t>Reground Pty Ltd</w:t>
            </w:r>
          </w:p>
        </w:tc>
        <w:tc>
          <w:tcPr>
            <w:tcW w:w="3969" w:type="dxa"/>
            <w:noWrap/>
          </w:tcPr>
          <w:p w14:paraId="48C23A51" w14:textId="77777777" w:rsidR="00254D1D" w:rsidRPr="00DF0BD8" w:rsidRDefault="00254D1D">
            <w:pPr>
              <w:rPr>
                <w:sz w:val="18"/>
                <w:szCs w:val="18"/>
              </w:rPr>
            </w:pPr>
            <w:r w:rsidRPr="00DF0BD8">
              <w:rPr>
                <w:sz w:val="18"/>
                <w:szCs w:val="18"/>
              </w:rPr>
              <w:t>Remote Reground - Sustainable Coffee for all Victorians</w:t>
            </w:r>
          </w:p>
        </w:tc>
        <w:tc>
          <w:tcPr>
            <w:tcW w:w="1589" w:type="dxa"/>
            <w:noWrap/>
          </w:tcPr>
          <w:p w14:paraId="5E4413C2" w14:textId="77777777" w:rsidR="00254D1D" w:rsidRPr="009B4895" w:rsidRDefault="00254D1D">
            <w:pPr>
              <w:rPr>
                <w:sz w:val="18"/>
                <w:szCs w:val="18"/>
              </w:rPr>
            </w:pPr>
            <w:r w:rsidRPr="009B4895">
              <w:rPr>
                <w:sz w:val="18"/>
                <w:szCs w:val="18"/>
              </w:rPr>
              <w:t>$149,700</w:t>
            </w:r>
          </w:p>
        </w:tc>
      </w:tr>
      <w:tr w:rsidR="00254D1D" w14:paraId="280A1F3D" w14:textId="77777777">
        <w:trPr>
          <w:trHeight w:val="300"/>
        </w:trPr>
        <w:tc>
          <w:tcPr>
            <w:tcW w:w="3397" w:type="dxa"/>
            <w:noWrap/>
          </w:tcPr>
          <w:p w14:paraId="28C68EB5" w14:textId="77777777" w:rsidR="00254D1D" w:rsidRPr="00A07F93" w:rsidRDefault="00254D1D">
            <w:pPr>
              <w:rPr>
                <w:sz w:val="18"/>
                <w:szCs w:val="18"/>
              </w:rPr>
            </w:pPr>
            <w:r w:rsidRPr="00A07F93">
              <w:rPr>
                <w:sz w:val="18"/>
                <w:szCs w:val="18"/>
              </w:rPr>
              <w:t>Rendine Constructions Pty Ltd</w:t>
            </w:r>
          </w:p>
        </w:tc>
        <w:tc>
          <w:tcPr>
            <w:tcW w:w="3969" w:type="dxa"/>
            <w:noWrap/>
          </w:tcPr>
          <w:p w14:paraId="645D742B" w14:textId="77777777" w:rsidR="00254D1D" w:rsidRPr="00A07F93" w:rsidRDefault="00254D1D">
            <w:pPr>
              <w:rPr>
                <w:sz w:val="18"/>
                <w:szCs w:val="18"/>
              </w:rPr>
            </w:pPr>
            <w:r w:rsidRPr="00A07F93">
              <w:rPr>
                <w:sz w:val="18"/>
                <w:szCs w:val="18"/>
              </w:rPr>
              <w:t>Design and Practice for Disassembly and Reuse in Modular Construction</w:t>
            </w:r>
          </w:p>
        </w:tc>
        <w:tc>
          <w:tcPr>
            <w:tcW w:w="1589" w:type="dxa"/>
            <w:noWrap/>
          </w:tcPr>
          <w:p w14:paraId="703E7B39" w14:textId="77777777" w:rsidR="00254D1D" w:rsidRPr="00A07F93" w:rsidRDefault="00254D1D">
            <w:pPr>
              <w:rPr>
                <w:sz w:val="18"/>
                <w:szCs w:val="18"/>
              </w:rPr>
            </w:pPr>
            <w:r w:rsidRPr="00A07F93">
              <w:rPr>
                <w:sz w:val="18"/>
                <w:szCs w:val="18"/>
              </w:rPr>
              <w:t>$90,840</w:t>
            </w:r>
          </w:p>
        </w:tc>
      </w:tr>
      <w:tr w:rsidR="00254D1D" w14:paraId="433B25C3" w14:textId="77777777">
        <w:trPr>
          <w:trHeight w:val="300"/>
        </w:trPr>
        <w:tc>
          <w:tcPr>
            <w:tcW w:w="3397" w:type="dxa"/>
            <w:noWrap/>
          </w:tcPr>
          <w:p w14:paraId="275D1F6F" w14:textId="77777777" w:rsidR="00254D1D" w:rsidRPr="009C0FC8" w:rsidRDefault="00254D1D">
            <w:pPr>
              <w:rPr>
                <w:sz w:val="18"/>
                <w:szCs w:val="18"/>
              </w:rPr>
            </w:pPr>
            <w:r w:rsidRPr="009C0FC8">
              <w:rPr>
                <w:sz w:val="18"/>
                <w:szCs w:val="18"/>
              </w:rPr>
              <w:t>Rentiers Machinery Pty Ltd</w:t>
            </w:r>
          </w:p>
        </w:tc>
        <w:tc>
          <w:tcPr>
            <w:tcW w:w="3969" w:type="dxa"/>
            <w:noWrap/>
          </w:tcPr>
          <w:p w14:paraId="3A8BA89C" w14:textId="77777777" w:rsidR="00254D1D" w:rsidRPr="009C0FC8" w:rsidRDefault="00254D1D">
            <w:pPr>
              <w:rPr>
                <w:sz w:val="18"/>
                <w:szCs w:val="18"/>
              </w:rPr>
            </w:pPr>
            <w:r w:rsidRPr="009C0FC8">
              <w:rPr>
                <w:sz w:val="18"/>
                <w:szCs w:val="18"/>
              </w:rPr>
              <w:t>Accelerating Adoption of Recycled Organics through Subsoil Amelioration in Agriculture</w:t>
            </w:r>
          </w:p>
        </w:tc>
        <w:tc>
          <w:tcPr>
            <w:tcW w:w="1589" w:type="dxa"/>
            <w:noWrap/>
          </w:tcPr>
          <w:p w14:paraId="1AD046DC" w14:textId="77777777" w:rsidR="00254D1D" w:rsidRPr="009C0FC8" w:rsidRDefault="00254D1D">
            <w:pPr>
              <w:rPr>
                <w:sz w:val="18"/>
                <w:szCs w:val="18"/>
              </w:rPr>
            </w:pPr>
            <w:r w:rsidRPr="009C0FC8">
              <w:rPr>
                <w:sz w:val="18"/>
                <w:szCs w:val="18"/>
              </w:rPr>
              <w:t>$115,000</w:t>
            </w:r>
          </w:p>
        </w:tc>
      </w:tr>
      <w:tr w:rsidR="00254D1D" w14:paraId="54F67FFF" w14:textId="77777777">
        <w:trPr>
          <w:trHeight w:val="300"/>
        </w:trPr>
        <w:tc>
          <w:tcPr>
            <w:tcW w:w="3397" w:type="dxa"/>
            <w:noWrap/>
          </w:tcPr>
          <w:p w14:paraId="4F247A63" w14:textId="77777777" w:rsidR="00254D1D" w:rsidRPr="00334577" w:rsidRDefault="00254D1D">
            <w:pPr>
              <w:rPr>
                <w:sz w:val="18"/>
                <w:szCs w:val="18"/>
              </w:rPr>
            </w:pPr>
            <w:r w:rsidRPr="00334577">
              <w:rPr>
                <w:sz w:val="18"/>
                <w:szCs w:val="18"/>
              </w:rPr>
              <w:t>Repurpose-It Pty Ltd</w:t>
            </w:r>
          </w:p>
        </w:tc>
        <w:tc>
          <w:tcPr>
            <w:tcW w:w="3969" w:type="dxa"/>
            <w:noWrap/>
          </w:tcPr>
          <w:p w14:paraId="45780BEB" w14:textId="77777777" w:rsidR="00254D1D" w:rsidRPr="00334577" w:rsidRDefault="00254D1D">
            <w:pPr>
              <w:rPr>
                <w:sz w:val="18"/>
                <w:szCs w:val="18"/>
              </w:rPr>
            </w:pPr>
            <w:r w:rsidRPr="00334577">
              <w:rPr>
                <w:sz w:val="18"/>
                <w:szCs w:val="18"/>
              </w:rPr>
              <w:t>Best Practice In-Vessel Composting Infrastructure for Melbourne's Metropolitan Region</w:t>
            </w:r>
          </w:p>
        </w:tc>
        <w:tc>
          <w:tcPr>
            <w:tcW w:w="1589" w:type="dxa"/>
            <w:noWrap/>
          </w:tcPr>
          <w:p w14:paraId="296E1C0D" w14:textId="77777777" w:rsidR="00254D1D" w:rsidRPr="00334577" w:rsidRDefault="00254D1D">
            <w:pPr>
              <w:rPr>
                <w:sz w:val="18"/>
                <w:szCs w:val="18"/>
              </w:rPr>
            </w:pPr>
            <w:r w:rsidRPr="00334577">
              <w:rPr>
                <w:sz w:val="18"/>
                <w:szCs w:val="18"/>
              </w:rPr>
              <w:t>$3,560,000</w:t>
            </w:r>
          </w:p>
          <w:p w14:paraId="0036E4DC" w14:textId="77777777" w:rsidR="00254D1D" w:rsidRPr="00334577" w:rsidRDefault="00254D1D">
            <w:pPr>
              <w:rPr>
                <w:sz w:val="18"/>
                <w:szCs w:val="18"/>
              </w:rPr>
            </w:pPr>
          </w:p>
        </w:tc>
      </w:tr>
      <w:tr w:rsidR="00254D1D" w14:paraId="446A80EE" w14:textId="77777777">
        <w:trPr>
          <w:trHeight w:val="300"/>
        </w:trPr>
        <w:tc>
          <w:tcPr>
            <w:tcW w:w="3397" w:type="dxa"/>
            <w:noWrap/>
          </w:tcPr>
          <w:p w14:paraId="0F993CB2" w14:textId="77777777" w:rsidR="00254D1D" w:rsidRPr="00AA14BB" w:rsidRDefault="00254D1D">
            <w:pPr>
              <w:rPr>
                <w:sz w:val="18"/>
                <w:szCs w:val="18"/>
              </w:rPr>
            </w:pPr>
            <w:proofErr w:type="spellStart"/>
            <w:r w:rsidRPr="00AA14BB">
              <w:rPr>
                <w:sz w:val="18"/>
                <w:szCs w:val="18"/>
              </w:rPr>
              <w:t>Re</w:t>
            </w:r>
            <w:r>
              <w:rPr>
                <w:sz w:val="18"/>
                <w:szCs w:val="18"/>
              </w:rPr>
              <w:t>S</w:t>
            </w:r>
            <w:r w:rsidRPr="00AA14BB">
              <w:rPr>
                <w:sz w:val="18"/>
                <w:szCs w:val="18"/>
              </w:rPr>
              <w:t>ource</w:t>
            </w:r>
            <w:proofErr w:type="spellEnd"/>
            <w:r w:rsidRPr="00AA14BB">
              <w:rPr>
                <w:sz w:val="18"/>
                <w:szCs w:val="18"/>
              </w:rPr>
              <w:t xml:space="preserve"> Pty Ltd</w:t>
            </w:r>
          </w:p>
        </w:tc>
        <w:tc>
          <w:tcPr>
            <w:tcW w:w="3969" w:type="dxa"/>
            <w:noWrap/>
          </w:tcPr>
          <w:p w14:paraId="04BA3F7A" w14:textId="77777777" w:rsidR="00254D1D" w:rsidRPr="00AA14BB" w:rsidRDefault="00254D1D">
            <w:pPr>
              <w:rPr>
                <w:sz w:val="18"/>
                <w:szCs w:val="18"/>
              </w:rPr>
            </w:pPr>
            <w:r w:rsidRPr="00AA14BB">
              <w:rPr>
                <w:sz w:val="18"/>
                <w:szCs w:val="18"/>
              </w:rPr>
              <w:t>Low Grade E-waste Processing</w:t>
            </w:r>
          </w:p>
        </w:tc>
        <w:tc>
          <w:tcPr>
            <w:tcW w:w="1589" w:type="dxa"/>
            <w:noWrap/>
          </w:tcPr>
          <w:p w14:paraId="7821D161" w14:textId="77777777" w:rsidR="00254D1D" w:rsidRPr="00AA14BB" w:rsidRDefault="00254D1D">
            <w:pPr>
              <w:rPr>
                <w:sz w:val="18"/>
                <w:szCs w:val="18"/>
              </w:rPr>
            </w:pPr>
            <w:r w:rsidRPr="00AA14BB">
              <w:rPr>
                <w:sz w:val="18"/>
                <w:szCs w:val="18"/>
              </w:rPr>
              <w:t>$140,000</w:t>
            </w:r>
          </w:p>
        </w:tc>
      </w:tr>
      <w:tr w:rsidR="00254D1D" w14:paraId="12C88FD1" w14:textId="77777777">
        <w:trPr>
          <w:trHeight w:val="300"/>
        </w:trPr>
        <w:tc>
          <w:tcPr>
            <w:tcW w:w="3397" w:type="dxa"/>
            <w:noWrap/>
          </w:tcPr>
          <w:p w14:paraId="44E10CB1" w14:textId="77777777" w:rsidR="00254D1D" w:rsidRPr="00623F48" w:rsidRDefault="00254D1D">
            <w:pPr>
              <w:rPr>
                <w:sz w:val="18"/>
                <w:szCs w:val="18"/>
              </w:rPr>
            </w:pPr>
            <w:r w:rsidRPr="00623F48">
              <w:rPr>
                <w:sz w:val="18"/>
                <w:szCs w:val="18"/>
              </w:rPr>
              <w:t>Responsible Cafes Pty Ltd</w:t>
            </w:r>
          </w:p>
        </w:tc>
        <w:tc>
          <w:tcPr>
            <w:tcW w:w="3969" w:type="dxa"/>
            <w:noWrap/>
          </w:tcPr>
          <w:p w14:paraId="08B0C12A" w14:textId="77777777" w:rsidR="00254D1D" w:rsidRPr="00DA211E" w:rsidRDefault="00254D1D">
            <w:pPr>
              <w:rPr>
                <w:sz w:val="18"/>
                <w:szCs w:val="18"/>
              </w:rPr>
            </w:pPr>
            <w:r w:rsidRPr="00DA211E">
              <w:rPr>
                <w:sz w:val="18"/>
                <w:szCs w:val="18"/>
              </w:rPr>
              <w:t xml:space="preserve">Reuse Program for Single-Use Coffee Cups </w:t>
            </w:r>
            <w:r>
              <w:rPr>
                <w:sz w:val="18"/>
                <w:szCs w:val="18"/>
              </w:rPr>
              <w:t>a</w:t>
            </w:r>
            <w:r w:rsidRPr="00DA211E">
              <w:rPr>
                <w:sz w:val="18"/>
                <w:szCs w:val="18"/>
              </w:rPr>
              <w:t>nd Containers</w:t>
            </w:r>
          </w:p>
        </w:tc>
        <w:tc>
          <w:tcPr>
            <w:tcW w:w="1589" w:type="dxa"/>
            <w:noWrap/>
          </w:tcPr>
          <w:p w14:paraId="7FEF1A15" w14:textId="77777777" w:rsidR="00254D1D" w:rsidRPr="00DA211E" w:rsidRDefault="00254D1D">
            <w:pPr>
              <w:rPr>
                <w:sz w:val="18"/>
                <w:szCs w:val="18"/>
              </w:rPr>
            </w:pPr>
            <w:r w:rsidRPr="00DA211E">
              <w:rPr>
                <w:sz w:val="18"/>
                <w:szCs w:val="18"/>
              </w:rPr>
              <w:t>$5,000</w:t>
            </w:r>
          </w:p>
        </w:tc>
      </w:tr>
      <w:tr w:rsidR="00254D1D" w14:paraId="4314F21C" w14:textId="77777777">
        <w:trPr>
          <w:trHeight w:val="300"/>
        </w:trPr>
        <w:tc>
          <w:tcPr>
            <w:tcW w:w="3397" w:type="dxa"/>
            <w:noWrap/>
          </w:tcPr>
          <w:p w14:paraId="334205E4" w14:textId="77777777" w:rsidR="00254D1D" w:rsidRPr="00945852" w:rsidRDefault="00254D1D">
            <w:pPr>
              <w:rPr>
                <w:sz w:val="18"/>
                <w:szCs w:val="18"/>
              </w:rPr>
            </w:pPr>
            <w:r w:rsidRPr="00945852">
              <w:rPr>
                <w:sz w:val="18"/>
                <w:szCs w:val="18"/>
              </w:rPr>
              <w:t>Rethink Recycling Co-op Ltd</w:t>
            </w:r>
          </w:p>
        </w:tc>
        <w:tc>
          <w:tcPr>
            <w:tcW w:w="3969" w:type="dxa"/>
            <w:noWrap/>
          </w:tcPr>
          <w:p w14:paraId="06E8C1D1" w14:textId="77777777" w:rsidR="00254D1D" w:rsidRPr="00945852" w:rsidRDefault="00254D1D">
            <w:pPr>
              <w:rPr>
                <w:sz w:val="18"/>
                <w:szCs w:val="18"/>
              </w:rPr>
            </w:pPr>
            <w:r w:rsidRPr="00945852">
              <w:rPr>
                <w:sz w:val="18"/>
                <w:szCs w:val="18"/>
              </w:rPr>
              <w:t>Rethink Recycling Co-op Mobile Education Trailer</w:t>
            </w:r>
          </w:p>
        </w:tc>
        <w:tc>
          <w:tcPr>
            <w:tcW w:w="1589" w:type="dxa"/>
            <w:noWrap/>
          </w:tcPr>
          <w:p w14:paraId="2A601511" w14:textId="77777777" w:rsidR="00254D1D" w:rsidRPr="00945852" w:rsidRDefault="00254D1D">
            <w:pPr>
              <w:rPr>
                <w:sz w:val="18"/>
                <w:szCs w:val="18"/>
              </w:rPr>
            </w:pPr>
            <w:r w:rsidRPr="002A5F84">
              <w:rPr>
                <w:sz w:val="18"/>
                <w:szCs w:val="18"/>
              </w:rPr>
              <w:t>$23,600</w:t>
            </w:r>
          </w:p>
        </w:tc>
      </w:tr>
      <w:tr w:rsidR="00254D1D" w14:paraId="6386ED03" w14:textId="77777777">
        <w:trPr>
          <w:trHeight w:val="300"/>
        </w:trPr>
        <w:tc>
          <w:tcPr>
            <w:tcW w:w="3397" w:type="dxa"/>
            <w:noWrap/>
          </w:tcPr>
          <w:p w14:paraId="1598FA36" w14:textId="77777777" w:rsidR="00254D1D" w:rsidRPr="00B06F67" w:rsidRDefault="00254D1D">
            <w:pPr>
              <w:rPr>
                <w:sz w:val="18"/>
                <w:szCs w:val="18"/>
              </w:rPr>
            </w:pPr>
            <w:r w:rsidRPr="00B06F67">
              <w:rPr>
                <w:sz w:val="18"/>
                <w:szCs w:val="18"/>
              </w:rPr>
              <w:t>Richmond Community Learning Centre Inc</w:t>
            </w:r>
          </w:p>
        </w:tc>
        <w:tc>
          <w:tcPr>
            <w:tcW w:w="3969" w:type="dxa"/>
            <w:noWrap/>
          </w:tcPr>
          <w:p w14:paraId="28C39B85" w14:textId="77777777" w:rsidR="00254D1D" w:rsidRPr="00B06F67" w:rsidRDefault="00254D1D">
            <w:pPr>
              <w:rPr>
                <w:sz w:val="18"/>
                <w:szCs w:val="18"/>
              </w:rPr>
            </w:pPr>
            <w:r w:rsidRPr="00B06F67">
              <w:rPr>
                <w:sz w:val="18"/>
                <w:szCs w:val="18"/>
              </w:rPr>
              <w:t>Yarra Repair Pop Ups</w:t>
            </w:r>
          </w:p>
        </w:tc>
        <w:tc>
          <w:tcPr>
            <w:tcW w:w="1589" w:type="dxa"/>
            <w:noWrap/>
          </w:tcPr>
          <w:p w14:paraId="7332161B" w14:textId="77777777" w:rsidR="00254D1D" w:rsidRPr="00B06F67" w:rsidRDefault="00254D1D">
            <w:pPr>
              <w:rPr>
                <w:sz w:val="18"/>
                <w:szCs w:val="18"/>
              </w:rPr>
            </w:pPr>
            <w:r w:rsidRPr="00D93726">
              <w:rPr>
                <w:sz w:val="18"/>
                <w:szCs w:val="18"/>
              </w:rPr>
              <w:t>$45,932</w:t>
            </w:r>
          </w:p>
        </w:tc>
      </w:tr>
      <w:tr w:rsidR="00254D1D" w14:paraId="3B551C59" w14:textId="77777777">
        <w:trPr>
          <w:trHeight w:val="300"/>
        </w:trPr>
        <w:tc>
          <w:tcPr>
            <w:tcW w:w="3397" w:type="dxa"/>
            <w:noWrap/>
          </w:tcPr>
          <w:p w14:paraId="4A3F78CF" w14:textId="77777777" w:rsidR="00254D1D" w:rsidRPr="00BE522C" w:rsidRDefault="00254D1D">
            <w:pPr>
              <w:rPr>
                <w:sz w:val="18"/>
                <w:szCs w:val="18"/>
              </w:rPr>
            </w:pPr>
            <w:proofErr w:type="spellStart"/>
            <w:r w:rsidRPr="00BE522C">
              <w:rPr>
                <w:sz w:val="18"/>
                <w:szCs w:val="18"/>
              </w:rPr>
              <w:t>Robovoid</w:t>
            </w:r>
            <w:proofErr w:type="spellEnd"/>
            <w:r w:rsidRPr="00BE522C">
              <w:rPr>
                <w:sz w:val="18"/>
                <w:szCs w:val="18"/>
              </w:rPr>
              <w:t xml:space="preserve"> Pty Ltd</w:t>
            </w:r>
          </w:p>
        </w:tc>
        <w:tc>
          <w:tcPr>
            <w:tcW w:w="3969" w:type="dxa"/>
            <w:noWrap/>
          </w:tcPr>
          <w:p w14:paraId="000A8C8C" w14:textId="77777777" w:rsidR="00254D1D" w:rsidRPr="00BE522C" w:rsidRDefault="00254D1D">
            <w:pPr>
              <w:rPr>
                <w:sz w:val="18"/>
                <w:szCs w:val="18"/>
              </w:rPr>
            </w:pPr>
            <w:r w:rsidRPr="00BE522C">
              <w:rPr>
                <w:sz w:val="18"/>
                <w:szCs w:val="18"/>
              </w:rPr>
              <w:t xml:space="preserve">Commercialisation </w:t>
            </w:r>
            <w:r>
              <w:rPr>
                <w:sz w:val="18"/>
                <w:szCs w:val="18"/>
              </w:rPr>
              <w:t>o</w:t>
            </w:r>
            <w:r w:rsidRPr="00BE522C">
              <w:rPr>
                <w:sz w:val="18"/>
                <w:szCs w:val="18"/>
              </w:rPr>
              <w:t xml:space="preserve">f Novel </w:t>
            </w:r>
            <w:proofErr w:type="spellStart"/>
            <w:r w:rsidRPr="00BE522C">
              <w:rPr>
                <w:sz w:val="18"/>
                <w:szCs w:val="18"/>
              </w:rPr>
              <w:t>Robovoid</w:t>
            </w:r>
            <w:proofErr w:type="spellEnd"/>
            <w:r w:rsidRPr="00BE522C">
              <w:rPr>
                <w:sz w:val="18"/>
                <w:szCs w:val="18"/>
              </w:rPr>
              <w:t xml:space="preserve"> Solution for Concrete Applications</w:t>
            </w:r>
          </w:p>
        </w:tc>
        <w:tc>
          <w:tcPr>
            <w:tcW w:w="1589" w:type="dxa"/>
            <w:noWrap/>
          </w:tcPr>
          <w:p w14:paraId="2FBE8730" w14:textId="77777777" w:rsidR="00254D1D" w:rsidRPr="00BE522C" w:rsidRDefault="00254D1D">
            <w:pPr>
              <w:rPr>
                <w:sz w:val="18"/>
                <w:szCs w:val="18"/>
                <w:highlight w:val="yellow"/>
              </w:rPr>
            </w:pPr>
            <w:r w:rsidRPr="00BD49AD">
              <w:rPr>
                <w:sz w:val="18"/>
                <w:szCs w:val="18"/>
              </w:rPr>
              <w:t>$180,000</w:t>
            </w:r>
          </w:p>
        </w:tc>
      </w:tr>
      <w:tr w:rsidR="00254D1D" w14:paraId="2A6342AA" w14:textId="77777777">
        <w:trPr>
          <w:trHeight w:val="300"/>
        </w:trPr>
        <w:tc>
          <w:tcPr>
            <w:tcW w:w="3397" w:type="dxa"/>
            <w:noWrap/>
          </w:tcPr>
          <w:p w14:paraId="4B2D56A0" w14:textId="77777777" w:rsidR="00254D1D" w:rsidRDefault="00254D1D">
            <w:pPr>
              <w:rPr>
                <w:sz w:val="18"/>
                <w:szCs w:val="18"/>
              </w:rPr>
            </w:pPr>
            <w:r w:rsidRPr="00ED2C7E">
              <w:rPr>
                <w:sz w:val="18"/>
                <w:szCs w:val="18"/>
              </w:rPr>
              <w:t xml:space="preserve">Royal Melbourne Institute of Technology </w:t>
            </w:r>
          </w:p>
          <w:p w14:paraId="25611F3A" w14:textId="77777777" w:rsidR="00254D1D" w:rsidRPr="00ED2C7E" w:rsidRDefault="00254D1D">
            <w:pPr>
              <w:rPr>
                <w:sz w:val="18"/>
                <w:szCs w:val="18"/>
              </w:rPr>
            </w:pPr>
            <w:r>
              <w:rPr>
                <w:sz w:val="18"/>
                <w:szCs w:val="18"/>
              </w:rPr>
              <w:t>(RMIT)</w:t>
            </w:r>
          </w:p>
        </w:tc>
        <w:tc>
          <w:tcPr>
            <w:tcW w:w="3969" w:type="dxa"/>
            <w:noWrap/>
          </w:tcPr>
          <w:p w14:paraId="19F7CB84" w14:textId="77777777" w:rsidR="00254D1D" w:rsidRPr="00ED2C7E" w:rsidRDefault="00254D1D">
            <w:pPr>
              <w:rPr>
                <w:sz w:val="18"/>
                <w:szCs w:val="18"/>
              </w:rPr>
            </w:pPr>
            <w:r w:rsidRPr="00ED2C7E">
              <w:rPr>
                <w:sz w:val="18"/>
                <w:szCs w:val="18"/>
              </w:rPr>
              <w:t>Nightingale Village Post-Occupancy Evaluation</w:t>
            </w:r>
          </w:p>
        </w:tc>
        <w:tc>
          <w:tcPr>
            <w:tcW w:w="1589" w:type="dxa"/>
            <w:noWrap/>
          </w:tcPr>
          <w:p w14:paraId="52473974" w14:textId="77777777" w:rsidR="00254D1D" w:rsidRPr="00ED2C7E" w:rsidRDefault="00254D1D">
            <w:pPr>
              <w:rPr>
                <w:sz w:val="18"/>
                <w:szCs w:val="18"/>
              </w:rPr>
            </w:pPr>
            <w:r w:rsidRPr="00ED2C7E">
              <w:rPr>
                <w:sz w:val="18"/>
                <w:szCs w:val="18"/>
              </w:rPr>
              <w:t xml:space="preserve">$4,997 </w:t>
            </w:r>
          </w:p>
          <w:p w14:paraId="11740151" w14:textId="77777777" w:rsidR="00254D1D" w:rsidRPr="00ED2C7E" w:rsidRDefault="00254D1D">
            <w:pPr>
              <w:rPr>
                <w:sz w:val="18"/>
                <w:szCs w:val="18"/>
              </w:rPr>
            </w:pPr>
          </w:p>
        </w:tc>
      </w:tr>
      <w:tr w:rsidR="00254D1D" w14:paraId="1A07024D" w14:textId="77777777">
        <w:trPr>
          <w:trHeight w:val="300"/>
        </w:trPr>
        <w:tc>
          <w:tcPr>
            <w:tcW w:w="3397" w:type="dxa"/>
            <w:noWrap/>
          </w:tcPr>
          <w:p w14:paraId="3D013D1D" w14:textId="77777777" w:rsidR="00254D1D" w:rsidRPr="00400188" w:rsidRDefault="00254D1D">
            <w:pPr>
              <w:rPr>
                <w:sz w:val="18"/>
                <w:szCs w:val="18"/>
              </w:rPr>
            </w:pPr>
            <w:r w:rsidRPr="00400188">
              <w:rPr>
                <w:sz w:val="18"/>
                <w:szCs w:val="18"/>
              </w:rPr>
              <w:t>Royal Melbourne Institute of Technology</w:t>
            </w:r>
          </w:p>
          <w:p w14:paraId="739254B4" w14:textId="77777777" w:rsidR="00254D1D" w:rsidRPr="00400188" w:rsidRDefault="00254D1D">
            <w:pPr>
              <w:rPr>
                <w:sz w:val="18"/>
                <w:szCs w:val="18"/>
              </w:rPr>
            </w:pPr>
            <w:r w:rsidRPr="00400188">
              <w:rPr>
                <w:sz w:val="18"/>
                <w:szCs w:val="18"/>
              </w:rPr>
              <w:t>(RMIT)</w:t>
            </w:r>
          </w:p>
        </w:tc>
        <w:tc>
          <w:tcPr>
            <w:tcW w:w="3969" w:type="dxa"/>
            <w:noWrap/>
          </w:tcPr>
          <w:p w14:paraId="4FC86F0E" w14:textId="77777777" w:rsidR="00254D1D" w:rsidRPr="00400188" w:rsidRDefault="00254D1D">
            <w:pPr>
              <w:rPr>
                <w:sz w:val="18"/>
                <w:szCs w:val="18"/>
              </w:rPr>
            </w:pPr>
            <w:r w:rsidRPr="00400188">
              <w:rPr>
                <w:sz w:val="18"/>
                <w:szCs w:val="18"/>
              </w:rPr>
              <w:t>RMIT - Recycled Cardboard Trusses for Housing Construction</w:t>
            </w:r>
          </w:p>
        </w:tc>
        <w:tc>
          <w:tcPr>
            <w:tcW w:w="1589" w:type="dxa"/>
            <w:noWrap/>
          </w:tcPr>
          <w:p w14:paraId="57595B0E" w14:textId="77777777" w:rsidR="00254D1D" w:rsidRPr="00400188" w:rsidRDefault="00254D1D">
            <w:pPr>
              <w:rPr>
                <w:sz w:val="18"/>
                <w:szCs w:val="18"/>
              </w:rPr>
            </w:pPr>
            <w:r w:rsidRPr="00400188">
              <w:rPr>
                <w:sz w:val="18"/>
                <w:szCs w:val="18"/>
              </w:rPr>
              <w:t>$25,584</w:t>
            </w:r>
          </w:p>
        </w:tc>
      </w:tr>
      <w:tr w:rsidR="00254D1D" w14:paraId="015817F3" w14:textId="77777777">
        <w:trPr>
          <w:trHeight w:val="300"/>
        </w:trPr>
        <w:tc>
          <w:tcPr>
            <w:tcW w:w="3397" w:type="dxa"/>
            <w:noWrap/>
          </w:tcPr>
          <w:p w14:paraId="19F01220" w14:textId="77777777" w:rsidR="00254D1D" w:rsidRPr="00400188" w:rsidRDefault="00254D1D">
            <w:pPr>
              <w:rPr>
                <w:sz w:val="18"/>
                <w:szCs w:val="18"/>
              </w:rPr>
            </w:pPr>
            <w:r w:rsidRPr="00400188">
              <w:rPr>
                <w:sz w:val="18"/>
                <w:szCs w:val="18"/>
              </w:rPr>
              <w:t>Royal Melbourne Institute of Technology</w:t>
            </w:r>
          </w:p>
          <w:p w14:paraId="29F41A69" w14:textId="77777777" w:rsidR="00254D1D" w:rsidRPr="00400188" w:rsidRDefault="00254D1D">
            <w:pPr>
              <w:rPr>
                <w:sz w:val="18"/>
                <w:szCs w:val="18"/>
              </w:rPr>
            </w:pPr>
            <w:r w:rsidRPr="00400188">
              <w:rPr>
                <w:sz w:val="18"/>
                <w:szCs w:val="18"/>
              </w:rPr>
              <w:t>(RMIT)</w:t>
            </w:r>
          </w:p>
        </w:tc>
        <w:tc>
          <w:tcPr>
            <w:tcW w:w="3969" w:type="dxa"/>
            <w:noWrap/>
          </w:tcPr>
          <w:p w14:paraId="14A5FE3F" w14:textId="77777777" w:rsidR="00254D1D" w:rsidRPr="00400188" w:rsidRDefault="00254D1D">
            <w:pPr>
              <w:rPr>
                <w:sz w:val="18"/>
                <w:szCs w:val="18"/>
              </w:rPr>
            </w:pPr>
            <w:r w:rsidRPr="00400188">
              <w:rPr>
                <w:sz w:val="18"/>
                <w:szCs w:val="18"/>
              </w:rPr>
              <w:t>RMIT - Re-Qualifying Cardboard Waste to Develop Light-Weight Precast Concrete Structures</w:t>
            </w:r>
          </w:p>
        </w:tc>
        <w:tc>
          <w:tcPr>
            <w:tcW w:w="1589" w:type="dxa"/>
            <w:noWrap/>
          </w:tcPr>
          <w:p w14:paraId="3F177108" w14:textId="77777777" w:rsidR="00254D1D" w:rsidRPr="00400188" w:rsidRDefault="00254D1D">
            <w:pPr>
              <w:rPr>
                <w:sz w:val="18"/>
                <w:szCs w:val="18"/>
              </w:rPr>
            </w:pPr>
            <w:r w:rsidRPr="00400188">
              <w:rPr>
                <w:sz w:val="18"/>
                <w:szCs w:val="18"/>
              </w:rPr>
              <w:t>$87,788</w:t>
            </w:r>
          </w:p>
        </w:tc>
      </w:tr>
      <w:tr w:rsidR="00254D1D" w14:paraId="2348474B" w14:textId="77777777">
        <w:trPr>
          <w:trHeight w:val="300"/>
        </w:trPr>
        <w:tc>
          <w:tcPr>
            <w:tcW w:w="3397" w:type="dxa"/>
            <w:noWrap/>
          </w:tcPr>
          <w:p w14:paraId="2B9B892A" w14:textId="77777777" w:rsidR="00254D1D" w:rsidRPr="00400188" w:rsidRDefault="00254D1D">
            <w:pPr>
              <w:rPr>
                <w:sz w:val="18"/>
                <w:szCs w:val="18"/>
              </w:rPr>
            </w:pPr>
            <w:r w:rsidRPr="00400188">
              <w:rPr>
                <w:sz w:val="18"/>
                <w:szCs w:val="18"/>
              </w:rPr>
              <w:t>Royal Melbourne Institute of Technology</w:t>
            </w:r>
          </w:p>
          <w:p w14:paraId="08E9D978" w14:textId="77777777" w:rsidR="00254D1D" w:rsidRPr="00400188" w:rsidRDefault="00254D1D">
            <w:pPr>
              <w:rPr>
                <w:sz w:val="18"/>
                <w:szCs w:val="18"/>
              </w:rPr>
            </w:pPr>
            <w:r w:rsidRPr="00400188">
              <w:rPr>
                <w:sz w:val="18"/>
                <w:szCs w:val="18"/>
              </w:rPr>
              <w:t>(RMIT)</w:t>
            </w:r>
          </w:p>
        </w:tc>
        <w:tc>
          <w:tcPr>
            <w:tcW w:w="3969" w:type="dxa"/>
            <w:noWrap/>
          </w:tcPr>
          <w:p w14:paraId="0E487AF8" w14:textId="77777777" w:rsidR="00254D1D" w:rsidRPr="00400188" w:rsidRDefault="00254D1D">
            <w:pPr>
              <w:rPr>
                <w:sz w:val="18"/>
                <w:szCs w:val="18"/>
              </w:rPr>
            </w:pPr>
            <w:r w:rsidRPr="00400188">
              <w:rPr>
                <w:sz w:val="18"/>
                <w:szCs w:val="18"/>
              </w:rPr>
              <w:t>RMIT - Novel Recycled Plastic Products for Structural Applications</w:t>
            </w:r>
          </w:p>
        </w:tc>
        <w:tc>
          <w:tcPr>
            <w:tcW w:w="1589" w:type="dxa"/>
            <w:noWrap/>
          </w:tcPr>
          <w:p w14:paraId="0DA237ED" w14:textId="77777777" w:rsidR="00254D1D" w:rsidRPr="00400188" w:rsidRDefault="00254D1D">
            <w:pPr>
              <w:rPr>
                <w:sz w:val="18"/>
                <w:szCs w:val="18"/>
              </w:rPr>
            </w:pPr>
            <w:r w:rsidRPr="00400188">
              <w:rPr>
                <w:sz w:val="18"/>
                <w:szCs w:val="18"/>
              </w:rPr>
              <w:t>$100,000</w:t>
            </w:r>
          </w:p>
        </w:tc>
      </w:tr>
      <w:tr w:rsidR="00254D1D" w14:paraId="71B3FEAF" w14:textId="77777777">
        <w:trPr>
          <w:trHeight w:val="300"/>
        </w:trPr>
        <w:tc>
          <w:tcPr>
            <w:tcW w:w="3397" w:type="dxa"/>
            <w:noWrap/>
          </w:tcPr>
          <w:p w14:paraId="26E3CF51" w14:textId="77777777" w:rsidR="00254D1D" w:rsidRDefault="00254D1D">
            <w:pPr>
              <w:rPr>
                <w:sz w:val="18"/>
                <w:szCs w:val="18"/>
              </w:rPr>
            </w:pPr>
            <w:r w:rsidRPr="00176A75">
              <w:rPr>
                <w:sz w:val="18"/>
                <w:szCs w:val="18"/>
              </w:rPr>
              <w:t>Royal Melbourne Institute of Technology</w:t>
            </w:r>
          </w:p>
          <w:p w14:paraId="0C952810" w14:textId="77777777" w:rsidR="00254D1D" w:rsidRPr="00176A75" w:rsidRDefault="00254D1D">
            <w:pPr>
              <w:rPr>
                <w:sz w:val="18"/>
                <w:szCs w:val="18"/>
              </w:rPr>
            </w:pPr>
            <w:r>
              <w:rPr>
                <w:sz w:val="18"/>
                <w:szCs w:val="18"/>
              </w:rPr>
              <w:t>(RMIT)</w:t>
            </w:r>
          </w:p>
        </w:tc>
        <w:tc>
          <w:tcPr>
            <w:tcW w:w="3969" w:type="dxa"/>
            <w:noWrap/>
          </w:tcPr>
          <w:p w14:paraId="512EB089" w14:textId="77777777" w:rsidR="00254D1D" w:rsidRPr="00176A75" w:rsidRDefault="00254D1D">
            <w:pPr>
              <w:rPr>
                <w:sz w:val="18"/>
                <w:szCs w:val="18"/>
              </w:rPr>
            </w:pPr>
            <w:r w:rsidRPr="00176A75">
              <w:rPr>
                <w:sz w:val="18"/>
                <w:szCs w:val="18"/>
              </w:rPr>
              <w:t>Waste Cooking Oil to Biodiesel With 3D Printed Catalysts</w:t>
            </w:r>
          </w:p>
        </w:tc>
        <w:tc>
          <w:tcPr>
            <w:tcW w:w="1589" w:type="dxa"/>
            <w:noWrap/>
          </w:tcPr>
          <w:p w14:paraId="07375B3E" w14:textId="77777777" w:rsidR="00254D1D" w:rsidRPr="00176A75" w:rsidRDefault="00254D1D">
            <w:pPr>
              <w:rPr>
                <w:sz w:val="18"/>
                <w:szCs w:val="18"/>
              </w:rPr>
            </w:pPr>
            <w:r w:rsidRPr="65E029B8">
              <w:rPr>
                <w:sz w:val="18"/>
                <w:szCs w:val="18"/>
              </w:rPr>
              <w:t>$</w:t>
            </w:r>
            <w:r>
              <w:rPr>
                <w:sz w:val="18"/>
                <w:szCs w:val="18"/>
              </w:rPr>
              <w:t>63,334</w:t>
            </w:r>
          </w:p>
        </w:tc>
      </w:tr>
      <w:tr w:rsidR="00254D1D" w14:paraId="2F9E22E5" w14:textId="77777777">
        <w:trPr>
          <w:trHeight w:val="300"/>
        </w:trPr>
        <w:tc>
          <w:tcPr>
            <w:tcW w:w="3397" w:type="dxa"/>
            <w:noWrap/>
          </w:tcPr>
          <w:p w14:paraId="213E8360" w14:textId="77777777" w:rsidR="00254D1D" w:rsidRPr="00DA373B" w:rsidRDefault="00254D1D">
            <w:pPr>
              <w:rPr>
                <w:sz w:val="18"/>
                <w:szCs w:val="18"/>
              </w:rPr>
            </w:pPr>
            <w:r w:rsidRPr="00DA373B">
              <w:rPr>
                <w:sz w:val="18"/>
                <w:szCs w:val="18"/>
              </w:rPr>
              <w:t>Royal Melbourne Institute of Technology</w:t>
            </w:r>
          </w:p>
          <w:p w14:paraId="7642C0D4" w14:textId="77777777" w:rsidR="00254D1D" w:rsidRPr="00DA373B" w:rsidRDefault="00254D1D">
            <w:pPr>
              <w:rPr>
                <w:sz w:val="18"/>
                <w:szCs w:val="18"/>
              </w:rPr>
            </w:pPr>
            <w:r w:rsidRPr="00DA373B">
              <w:rPr>
                <w:sz w:val="18"/>
                <w:szCs w:val="18"/>
              </w:rPr>
              <w:t>(RMIT)</w:t>
            </w:r>
          </w:p>
        </w:tc>
        <w:tc>
          <w:tcPr>
            <w:tcW w:w="3969" w:type="dxa"/>
            <w:noWrap/>
          </w:tcPr>
          <w:p w14:paraId="79EC85BD" w14:textId="77777777" w:rsidR="00254D1D" w:rsidRPr="00DA373B" w:rsidRDefault="00254D1D">
            <w:pPr>
              <w:rPr>
                <w:sz w:val="18"/>
                <w:szCs w:val="18"/>
              </w:rPr>
            </w:pPr>
            <w:r w:rsidRPr="00DA373B">
              <w:rPr>
                <w:sz w:val="18"/>
                <w:szCs w:val="18"/>
              </w:rPr>
              <w:t>Manufactured Novel Concrete Products Integrating Reclaimed Waste for Commercial Applications</w:t>
            </w:r>
          </w:p>
        </w:tc>
        <w:tc>
          <w:tcPr>
            <w:tcW w:w="1589" w:type="dxa"/>
            <w:noWrap/>
          </w:tcPr>
          <w:p w14:paraId="01D3A644" w14:textId="77777777" w:rsidR="00254D1D" w:rsidRPr="00DA373B" w:rsidRDefault="00254D1D">
            <w:r w:rsidRPr="00DA373B">
              <w:rPr>
                <w:sz w:val="18"/>
                <w:szCs w:val="18"/>
              </w:rPr>
              <w:t>$239,983</w:t>
            </w:r>
          </w:p>
        </w:tc>
      </w:tr>
      <w:tr w:rsidR="00254D1D" w14:paraId="2BF7EECC" w14:textId="77777777">
        <w:trPr>
          <w:trHeight w:val="300"/>
        </w:trPr>
        <w:tc>
          <w:tcPr>
            <w:tcW w:w="3397" w:type="dxa"/>
            <w:noWrap/>
          </w:tcPr>
          <w:p w14:paraId="60AD7AC4" w14:textId="77777777" w:rsidR="00254D1D" w:rsidRPr="00DA373B" w:rsidRDefault="00254D1D">
            <w:pPr>
              <w:rPr>
                <w:sz w:val="18"/>
                <w:szCs w:val="18"/>
              </w:rPr>
            </w:pPr>
            <w:r w:rsidRPr="00DA373B">
              <w:rPr>
                <w:sz w:val="18"/>
                <w:szCs w:val="18"/>
              </w:rPr>
              <w:t>Royal Melbourne Institute of Technology</w:t>
            </w:r>
          </w:p>
          <w:p w14:paraId="7A4B9E4C" w14:textId="77777777" w:rsidR="00254D1D" w:rsidRPr="00DA373B" w:rsidRDefault="00254D1D">
            <w:pPr>
              <w:rPr>
                <w:sz w:val="18"/>
                <w:szCs w:val="18"/>
              </w:rPr>
            </w:pPr>
            <w:r w:rsidRPr="00DA373B">
              <w:rPr>
                <w:sz w:val="18"/>
                <w:szCs w:val="18"/>
              </w:rPr>
              <w:t>(RMIT)</w:t>
            </w:r>
          </w:p>
        </w:tc>
        <w:tc>
          <w:tcPr>
            <w:tcW w:w="3969" w:type="dxa"/>
            <w:noWrap/>
          </w:tcPr>
          <w:p w14:paraId="4204B56E" w14:textId="77777777" w:rsidR="00254D1D" w:rsidRPr="00DA373B" w:rsidRDefault="00254D1D">
            <w:pPr>
              <w:rPr>
                <w:sz w:val="18"/>
                <w:szCs w:val="18"/>
              </w:rPr>
            </w:pPr>
            <w:r w:rsidRPr="00DA373B">
              <w:rPr>
                <w:sz w:val="18"/>
                <w:szCs w:val="18"/>
              </w:rPr>
              <w:t>Upcycling Plastic Waste into Graphene for Boosting Solar Cell Performances</w:t>
            </w:r>
          </w:p>
        </w:tc>
        <w:tc>
          <w:tcPr>
            <w:tcW w:w="1589" w:type="dxa"/>
            <w:noWrap/>
          </w:tcPr>
          <w:p w14:paraId="49B1257C" w14:textId="77777777" w:rsidR="00254D1D" w:rsidRPr="00DA373B" w:rsidRDefault="00254D1D">
            <w:pPr>
              <w:rPr>
                <w:sz w:val="18"/>
                <w:szCs w:val="18"/>
              </w:rPr>
            </w:pPr>
            <w:r w:rsidRPr="00DA373B">
              <w:rPr>
                <w:sz w:val="18"/>
                <w:szCs w:val="18"/>
              </w:rPr>
              <w:t>$200,000</w:t>
            </w:r>
          </w:p>
        </w:tc>
      </w:tr>
      <w:tr w:rsidR="00254D1D" w14:paraId="3108F08A" w14:textId="77777777">
        <w:trPr>
          <w:trHeight w:val="300"/>
        </w:trPr>
        <w:tc>
          <w:tcPr>
            <w:tcW w:w="3397" w:type="dxa"/>
            <w:noWrap/>
          </w:tcPr>
          <w:p w14:paraId="6190DF66" w14:textId="77777777" w:rsidR="00254D1D" w:rsidRPr="00DA373B" w:rsidRDefault="00254D1D">
            <w:pPr>
              <w:rPr>
                <w:sz w:val="18"/>
                <w:szCs w:val="18"/>
              </w:rPr>
            </w:pPr>
            <w:r w:rsidRPr="00DA373B">
              <w:br w:type="page"/>
            </w:r>
            <w:r w:rsidRPr="00DA373B">
              <w:rPr>
                <w:sz w:val="18"/>
                <w:szCs w:val="18"/>
              </w:rPr>
              <w:t>Royal Melbourne Institute of Technology</w:t>
            </w:r>
          </w:p>
          <w:p w14:paraId="0DD73D5A" w14:textId="77777777" w:rsidR="00254D1D" w:rsidRPr="00DA373B" w:rsidRDefault="00254D1D">
            <w:pPr>
              <w:rPr>
                <w:sz w:val="18"/>
                <w:szCs w:val="18"/>
              </w:rPr>
            </w:pPr>
            <w:r w:rsidRPr="00DA373B">
              <w:rPr>
                <w:sz w:val="18"/>
                <w:szCs w:val="18"/>
              </w:rPr>
              <w:t>(RMIT)</w:t>
            </w:r>
          </w:p>
        </w:tc>
        <w:tc>
          <w:tcPr>
            <w:tcW w:w="3969" w:type="dxa"/>
            <w:noWrap/>
          </w:tcPr>
          <w:p w14:paraId="15594B63" w14:textId="77777777" w:rsidR="00254D1D" w:rsidRPr="00DA373B" w:rsidRDefault="00254D1D">
            <w:pPr>
              <w:rPr>
                <w:sz w:val="18"/>
                <w:szCs w:val="18"/>
              </w:rPr>
            </w:pPr>
            <w:r w:rsidRPr="00DA373B">
              <w:rPr>
                <w:sz w:val="18"/>
                <w:szCs w:val="18"/>
              </w:rPr>
              <w:t>Enabling the Reuse of Demolished Bricks Through a New Mortar Design</w:t>
            </w:r>
          </w:p>
        </w:tc>
        <w:tc>
          <w:tcPr>
            <w:tcW w:w="1589" w:type="dxa"/>
            <w:noWrap/>
          </w:tcPr>
          <w:p w14:paraId="1DADD674" w14:textId="77777777" w:rsidR="00254D1D" w:rsidRPr="00DA373B" w:rsidRDefault="00254D1D">
            <w:pPr>
              <w:rPr>
                <w:rFonts w:ascii="Calibri" w:eastAsia="Calibri" w:hAnsi="Calibri" w:cs="Calibri"/>
                <w:szCs w:val="20"/>
              </w:rPr>
            </w:pPr>
            <w:r w:rsidRPr="00DA373B">
              <w:rPr>
                <w:sz w:val="18"/>
                <w:szCs w:val="18"/>
              </w:rPr>
              <w:t>$85,000</w:t>
            </w:r>
          </w:p>
        </w:tc>
      </w:tr>
      <w:tr w:rsidR="00254D1D" w14:paraId="5B84C83D" w14:textId="77777777">
        <w:trPr>
          <w:trHeight w:val="300"/>
        </w:trPr>
        <w:tc>
          <w:tcPr>
            <w:tcW w:w="3397" w:type="dxa"/>
            <w:noWrap/>
          </w:tcPr>
          <w:p w14:paraId="3F00B427" w14:textId="77777777" w:rsidR="00254D1D" w:rsidRPr="00DA373B" w:rsidRDefault="00254D1D">
            <w:pPr>
              <w:rPr>
                <w:sz w:val="18"/>
                <w:szCs w:val="18"/>
              </w:rPr>
            </w:pPr>
            <w:r w:rsidRPr="00DA373B">
              <w:rPr>
                <w:sz w:val="18"/>
                <w:szCs w:val="18"/>
              </w:rPr>
              <w:t xml:space="preserve">Royal Melbourne Institute of Technology  </w:t>
            </w:r>
          </w:p>
          <w:p w14:paraId="190C03BA" w14:textId="77777777" w:rsidR="00254D1D" w:rsidRPr="00DA373B" w:rsidRDefault="00254D1D">
            <w:pPr>
              <w:rPr>
                <w:sz w:val="18"/>
                <w:szCs w:val="18"/>
              </w:rPr>
            </w:pPr>
            <w:r w:rsidRPr="00DA373B">
              <w:rPr>
                <w:sz w:val="18"/>
                <w:szCs w:val="18"/>
              </w:rPr>
              <w:t>(RMIT)</w:t>
            </w:r>
          </w:p>
        </w:tc>
        <w:tc>
          <w:tcPr>
            <w:tcW w:w="3969" w:type="dxa"/>
            <w:noWrap/>
          </w:tcPr>
          <w:p w14:paraId="7CF7BBF3" w14:textId="77777777" w:rsidR="00254D1D" w:rsidRPr="00DA373B" w:rsidRDefault="00254D1D">
            <w:pPr>
              <w:rPr>
                <w:sz w:val="18"/>
                <w:szCs w:val="18"/>
              </w:rPr>
            </w:pPr>
            <w:r w:rsidRPr="00DA373B">
              <w:rPr>
                <w:sz w:val="18"/>
                <w:szCs w:val="18"/>
              </w:rPr>
              <w:t>Refashioning: Accelerating Circular Product Design at Scale</w:t>
            </w:r>
          </w:p>
        </w:tc>
        <w:tc>
          <w:tcPr>
            <w:tcW w:w="1589" w:type="dxa"/>
            <w:noWrap/>
          </w:tcPr>
          <w:p w14:paraId="46F2611F" w14:textId="77777777" w:rsidR="00254D1D" w:rsidRPr="00DA373B" w:rsidRDefault="00254D1D">
            <w:pPr>
              <w:rPr>
                <w:rFonts w:ascii="Calibri" w:eastAsia="Calibri" w:hAnsi="Calibri" w:cs="Calibri"/>
                <w:szCs w:val="20"/>
              </w:rPr>
            </w:pPr>
            <w:r w:rsidRPr="00DA373B">
              <w:rPr>
                <w:sz w:val="18"/>
                <w:szCs w:val="18"/>
              </w:rPr>
              <w:t>$46,219</w:t>
            </w:r>
          </w:p>
        </w:tc>
      </w:tr>
      <w:tr w:rsidR="00254D1D" w14:paraId="55C387EB" w14:textId="77777777">
        <w:trPr>
          <w:trHeight w:val="300"/>
        </w:trPr>
        <w:tc>
          <w:tcPr>
            <w:tcW w:w="3397" w:type="dxa"/>
            <w:noWrap/>
          </w:tcPr>
          <w:p w14:paraId="1002AE2B" w14:textId="77777777" w:rsidR="00254D1D" w:rsidRPr="00DA373B" w:rsidRDefault="00254D1D">
            <w:pPr>
              <w:rPr>
                <w:sz w:val="18"/>
                <w:szCs w:val="20"/>
              </w:rPr>
            </w:pPr>
            <w:r w:rsidRPr="00DA373B">
              <w:rPr>
                <w:sz w:val="18"/>
                <w:szCs w:val="20"/>
              </w:rPr>
              <w:t xml:space="preserve">Royal Melbourne institute of Technology </w:t>
            </w:r>
          </w:p>
          <w:p w14:paraId="51E07193" w14:textId="77777777" w:rsidR="00254D1D" w:rsidRPr="00DA373B" w:rsidRDefault="00254D1D">
            <w:pPr>
              <w:rPr>
                <w:sz w:val="18"/>
                <w:szCs w:val="20"/>
              </w:rPr>
            </w:pPr>
            <w:r w:rsidRPr="00DA373B">
              <w:rPr>
                <w:sz w:val="18"/>
                <w:szCs w:val="20"/>
              </w:rPr>
              <w:t>(RMIT)</w:t>
            </w:r>
          </w:p>
        </w:tc>
        <w:tc>
          <w:tcPr>
            <w:tcW w:w="3969" w:type="dxa"/>
            <w:noWrap/>
          </w:tcPr>
          <w:p w14:paraId="2A71F8F5" w14:textId="77777777" w:rsidR="00254D1D" w:rsidRPr="00DA373B" w:rsidRDefault="00254D1D">
            <w:pPr>
              <w:rPr>
                <w:sz w:val="18"/>
                <w:szCs w:val="20"/>
              </w:rPr>
            </w:pPr>
            <w:r w:rsidRPr="00DA373B">
              <w:rPr>
                <w:sz w:val="18"/>
                <w:szCs w:val="20"/>
              </w:rPr>
              <w:t>CE Innovation-Victoria Circular Activator</w:t>
            </w:r>
          </w:p>
        </w:tc>
        <w:tc>
          <w:tcPr>
            <w:tcW w:w="1589" w:type="dxa"/>
            <w:noWrap/>
          </w:tcPr>
          <w:p w14:paraId="71689FB3" w14:textId="77777777" w:rsidR="00254D1D" w:rsidRPr="00DA373B" w:rsidRDefault="00254D1D">
            <w:pPr>
              <w:rPr>
                <w:sz w:val="18"/>
                <w:szCs w:val="20"/>
              </w:rPr>
            </w:pPr>
            <w:r w:rsidRPr="00DA373B">
              <w:rPr>
                <w:sz w:val="18"/>
                <w:szCs w:val="20"/>
              </w:rPr>
              <w:t>$109,975</w:t>
            </w:r>
          </w:p>
        </w:tc>
      </w:tr>
      <w:tr w:rsidR="00254D1D" w14:paraId="51530263" w14:textId="77777777">
        <w:trPr>
          <w:trHeight w:val="300"/>
        </w:trPr>
        <w:tc>
          <w:tcPr>
            <w:tcW w:w="3397" w:type="dxa"/>
            <w:noWrap/>
          </w:tcPr>
          <w:p w14:paraId="49421FCE" w14:textId="77777777" w:rsidR="00254D1D" w:rsidRPr="00E67E5C" w:rsidRDefault="00254D1D">
            <w:pPr>
              <w:rPr>
                <w:sz w:val="18"/>
                <w:szCs w:val="18"/>
              </w:rPr>
            </w:pPr>
            <w:r w:rsidRPr="00E67E5C">
              <w:rPr>
                <w:sz w:val="18"/>
                <w:szCs w:val="18"/>
              </w:rPr>
              <w:t>Sacyr Environment Australia Pty Ltd</w:t>
            </w:r>
          </w:p>
        </w:tc>
        <w:tc>
          <w:tcPr>
            <w:tcW w:w="3969" w:type="dxa"/>
            <w:noWrap/>
          </w:tcPr>
          <w:p w14:paraId="08CB0F16" w14:textId="77777777" w:rsidR="00254D1D" w:rsidRPr="00E67E5C" w:rsidRDefault="00254D1D">
            <w:pPr>
              <w:rPr>
                <w:sz w:val="18"/>
                <w:szCs w:val="18"/>
              </w:rPr>
            </w:pPr>
            <w:r w:rsidRPr="00E67E5C">
              <w:rPr>
                <w:sz w:val="18"/>
                <w:szCs w:val="18"/>
              </w:rPr>
              <w:t>Sacyr's Compost Facility Upgrade in Dandenong</w:t>
            </w:r>
          </w:p>
        </w:tc>
        <w:tc>
          <w:tcPr>
            <w:tcW w:w="1589" w:type="dxa"/>
            <w:noWrap/>
          </w:tcPr>
          <w:p w14:paraId="710E6C05" w14:textId="77777777" w:rsidR="00254D1D" w:rsidRPr="00E67E5C" w:rsidRDefault="00254D1D">
            <w:pPr>
              <w:rPr>
                <w:sz w:val="18"/>
                <w:szCs w:val="18"/>
              </w:rPr>
            </w:pPr>
            <w:r w:rsidRPr="00E67E5C">
              <w:rPr>
                <w:sz w:val="18"/>
                <w:szCs w:val="18"/>
              </w:rPr>
              <w:t>$1,460,102</w:t>
            </w:r>
          </w:p>
        </w:tc>
      </w:tr>
      <w:tr w:rsidR="00254D1D" w14:paraId="170753E3" w14:textId="77777777">
        <w:trPr>
          <w:trHeight w:val="300"/>
        </w:trPr>
        <w:tc>
          <w:tcPr>
            <w:tcW w:w="3397" w:type="dxa"/>
            <w:noWrap/>
          </w:tcPr>
          <w:p w14:paraId="788F727E" w14:textId="77777777" w:rsidR="00254D1D" w:rsidRPr="004F4FD1" w:rsidRDefault="00254D1D">
            <w:pPr>
              <w:rPr>
                <w:sz w:val="18"/>
                <w:szCs w:val="18"/>
              </w:rPr>
            </w:pPr>
            <w:r w:rsidRPr="004F4FD1">
              <w:rPr>
                <w:sz w:val="18"/>
                <w:szCs w:val="18"/>
              </w:rPr>
              <w:t>Sandringham Traders Association Inc</w:t>
            </w:r>
          </w:p>
        </w:tc>
        <w:tc>
          <w:tcPr>
            <w:tcW w:w="3969" w:type="dxa"/>
            <w:noWrap/>
          </w:tcPr>
          <w:p w14:paraId="32284682" w14:textId="77777777" w:rsidR="00254D1D" w:rsidRPr="004F4FD1" w:rsidRDefault="00254D1D">
            <w:pPr>
              <w:rPr>
                <w:sz w:val="18"/>
                <w:szCs w:val="18"/>
              </w:rPr>
            </w:pPr>
            <w:r w:rsidRPr="004F4FD1">
              <w:rPr>
                <w:sz w:val="18"/>
                <w:szCs w:val="18"/>
              </w:rPr>
              <w:t>Village Zero Sandringham Plastic Free</w:t>
            </w:r>
          </w:p>
        </w:tc>
        <w:tc>
          <w:tcPr>
            <w:tcW w:w="1589" w:type="dxa"/>
            <w:noWrap/>
          </w:tcPr>
          <w:p w14:paraId="4E25B115" w14:textId="77777777" w:rsidR="00254D1D" w:rsidRPr="004F4FD1" w:rsidRDefault="00254D1D">
            <w:pPr>
              <w:rPr>
                <w:sz w:val="18"/>
                <w:szCs w:val="18"/>
              </w:rPr>
            </w:pPr>
            <w:r w:rsidRPr="004F4FD1">
              <w:rPr>
                <w:sz w:val="18"/>
                <w:szCs w:val="18"/>
              </w:rPr>
              <w:t>$3,200</w:t>
            </w:r>
          </w:p>
        </w:tc>
      </w:tr>
      <w:tr w:rsidR="00254D1D" w14:paraId="78414E32" w14:textId="77777777">
        <w:trPr>
          <w:trHeight w:val="300"/>
        </w:trPr>
        <w:tc>
          <w:tcPr>
            <w:tcW w:w="3397" w:type="dxa"/>
            <w:noWrap/>
          </w:tcPr>
          <w:p w14:paraId="0F29FC77" w14:textId="77777777" w:rsidR="00254D1D" w:rsidRPr="00D43B18" w:rsidRDefault="00254D1D">
            <w:pPr>
              <w:rPr>
                <w:sz w:val="18"/>
                <w:szCs w:val="18"/>
              </w:rPr>
            </w:pPr>
            <w:r w:rsidRPr="00D43B18">
              <w:rPr>
                <w:sz w:val="18"/>
                <w:szCs w:val="18"/>
              </w:rPr>
              <w:t>Saputo Dairy Australia Pty Ltd</w:t>
            </w:r>
          </w:p>
        </w:tc>
        <w:tc>
          <w:tcPr>
            <w:tcW w:w="3969" w:type="dxa"/>
            <w:noWrap/>
          </w:tcPr>
          <w:p w14:paraId="58C72244" w14:textId="77777777" w:rsidR="00254D1D" w:rsidRPr="00D43B18" w:rsidRDefault="00254D1D">
            <w:pPr>
              <w:rPr>
                <w:sz w:val="18"/>
                <w:szCs w:val="18"/>
              </w:rPr>
            </w:pPr>
            <w:r w:rsidRPr="00D43B18">
              <w:rPr>
                <w:sz w:val="18"/>
                <w:szCs w:val="18"/>
              </w:rPr>
              <w:t>Allansford Biogas Combined Heat and Power</w:t>
            </w:r>
          </w:p>
        </w:tc>
        <w:tc>
          <w:tcPr>
            <w:tcW w:w="1589" w:type="dxa"/>
            <w:noWrap/>
          </w:tcPr>
          <w:p w14:paraId="6A7A7E04" w14:textId="77777777" w:rsidR="00254D1D" w:rsidRPr="00D43B18" w:rsidRDefault="00254D1D">
            <w:pPr>
              <w:rPr>
                <w:sz w:val="18"/>
                <w:szCs w:val="18"/>
              </w:rPr>
            </w:pPr>
            <w:r w:rsidRPr="00D43B18">
              <w:rPr>
                <w:sz w:val="18"/>
                <w:szCs w:val="18"/>
              </w:rPr>
              <w:t>$200,000</w:t>
            </w:r>
          </w:p>
        </w:tc>
      </w:tr>
      <w:tr w:rsidR="00254D1D" w14:paraId="0A1543A5" w14:textId="77777777">
        <w:trPr>
          <w:trHeight w:val="300"/>
        </w:trPr>
        <w:tc>
          <w:tcPr>
            <w:tcW w:w="3397" w:type="dxa"/>
            <w:noWrap/>
          </w:tcPr>
          <w:p w14:paraId="7C61BFD5" w14:textId="77777777" w:rsidR="00254D1D" w:rsidRPr="001D4837" w:rsidRDefault="00254D1D">
            <w:pPr>
              <w:rPr>
                <w:sz w:val="18"/>
                <w:szCs w:val="18"/>
              </w:rPr>
            </w:pPr>
            <w:proofErr w:type="spellStart"/>
            <w:r w:rsidRPr="001D4837">
              <w:rPr>
                <w:sz w:val="18"/>
                <w:szCs w:val="18"/>
              </w:rPr>
              <w:t>Scipher</w:t>
            </w:r>
            <w:proofErr w:type="spellEnd"/>
            <w:r w:rsidRPr="001D4837">
              <w:rPr>
                <w:sz w:val="18"/>
                <w:szCs w:val="18"/>
              </w:rPr>
              <w:t xml:space="preserve"> Technologies Pty Ltd</w:t>
            </w:r>
          </w:p>
        </w:tc>
        <w:tc>
          <w:tcPr>
            <w:tcW w:w="3969" w:type="dxa"/>
            <w:noWrap/>
          </w:tcPr>
          <w:p w14:paraId="4D094F54" w14:textId="77777777" w:rsidR="00254D1D" w:rsidRPr="001D4837" w:rsidRDefault="00254D1D">
            <w:pPr>
              <w:rPr>
                <w:sz w:val="18"/>
                <w:szCs w:val="18"/>
              </w:rPr>
            </w:pPr>
            <w:proofErr w:type="spellStart"/>
            <w:r w:rsidRPr="001D4837">
              <w:rPr>
                <w:sz w:val="18"/>
                <w:szCs w:val="18"/>
              </w:rPr>
              <w:t>Scipher</w:t>
            </w:r>
            <w:proofErr w:type="spellEnd"/>
            <w:r w:rsidRPr="001D4837">
              <w:rPr>
                <w:sz w:val="18"/>
                <w:szCs w:val="18"/>
              </w:rPr>
              <w:t xml:space="preserve"> Technologies Plastics and Mixed Metal Fractions Recovery Project</w:t>
            </w:r>
          </w:p>
        </w:tc>
        <w:tc>
          <w:tcPr>
            <w:tcW w:w="1589" w:type="dxa"/>
            <w:noWrap/>
          </w:tcPr>
          <w:p w14:paraId="79353A94" w14:textId="77777777" w:rsidR="00254D1D" w:rsidRPr="001D4837" w:rsidRDefault="00254D1D">
            <w:pPr>
              <w:rPr>
                <w:sz w:val="18"/>
                <w:szCs w:val="18"/>
              </w:rPr>
            </w:pPr>
            <w:r w:rsidRPr="001D4837">
              <w:rPr>
                <w:sz w:val="18"/>
                <w:szCs w:val="18"/>
              </w:rPr>
              <w:t>$39,000</w:t>
            </w:r>
          </w:p>
        </w:tc>
      </w:tr>
      <w:tr w:rsidR="00254D1D" w14:paraId="683948FD" w14:textId="77777777">
        <w:trPr>
          <w:trHeight w:val="300"/>
        </w:trPr>
        <w:tc>
          <w:tcPr>
            <w:tcW w:w="3397" w:type="dxa"/>
            <w:noWrap/>
          </w:tcPr>
          <w:p w14:paraId="6CD0B86D" w14:textId="77777777" w:rsidR="00254D1D" w:rsidRPr="00F76D6C" w:rsidRDefault="00254D1D">
            <w:pPr>
              <w:rPr>
                <w:sz w:val="18"/>
                <w:szCs w:val="18"/>
              </w:rPr>
            </w:pPr>
            <w:r w:rsidRPr="00F76D6C">
              <w:rPr>
                <w:sz w:val="18"/>
                <w:szCs w:val="18"/>
              </w:rPr>
              <w:t>Sequence Digital Pty Ltd</w:t>
            </w:r>
          </w:p>
        </w:tc>
        <w:tc>
          <w:tcPr>
            <w:tcW w:w="3969" w:type="dxa"/>
            <w:noWrap/>
          </w:tcPr>
          <w:p w14:paraId="1E40233D" w14:textId="77777777" w:rsidR="00254D1D" w:rsidRPr="00F76D6C" w:rsidRDefault="00254D1D">
            <w:pPr>
              <w:rPr>
                <w:sz w:val="18"/>
                <w:szCs w:val="18"/>
              </w:rPr>
            </w:pPr>
            <w:r w:rsidRPr="00F76D6C">
              <w:rPr>
                <w:sz w:val="18"/>
                <w:szCs w:val="18"/>
              </w:rPr>
              <w:t>New Life for Resource Recovery Centre Harvested Li-Ion Batteries</w:t>
            </w:r>
          </w:p>
        </w:tc>
        <w:tc>
          <w:tcPr>
            <w:tcW w:w="1589" w:type="dxa"/>
            <w:noWrap/>
          </w:tcPr>
          <w:p w14:paraId="1D949588" w14:textId="77777777" w:rsidR="00254D1D" w:rsidRPr="00F76D6C" w:rsidRDefault="00254D1D">
            <w:pPr>
              <w:rPr>
                <w:sz w:val="18"/>
                <w:szCs w:val="18"/>
              </w:rPr>
            </w:pPr>
            <w:r w:rsidRPr="00F76D6C">
              <w:rPr>
                <w:sz w:val="18"/>
                <w:szCs w:val="18"/>
              </w:rPr>
              <w:t>$20,000</w:t>
            </w:r>
          </w:p>
        </w:tc>
      </w:tr>
      <w:tr w:rsidR="00254D1D" w14:paraId="7D5D745F" w14:textId="77777777">
        <w:trPr>
          <w:trHeight w:val="300"/>
        </w:trPr>
        <w:tc>
          <w:tcPr>
            <w:tcW w:w="3397" w:type="dxa"/>
            <w:noWrap/>
          </w:tcPr>
          <w:p w14:paraId="78B1EFCB" w14:textId="77777777" w:rsidR="00254D1D" w:rsidRDefault="00254D1D">
            <w:pPr>
              <w:pStyle w:val="TableText"/>
              <w:rPr>
                <w:rFonts w:ascii="Arial" w:hAnsi="Arial" w:cs="Arial"/>
                <w:sz w:val="18"/>
                <w:szCs w:val="18"/>
              </w:rPr>
            </w:pPr>
            <w:r>
              <w:rPr>
                <w:rFonts w:ascii="Arial" w:hAnsi="Arial" w:cs="Arial"/>
                <w:sz w:val="18"/>
                <w:szCs w:val="18"/>
              </w:rPr>
              <w:t>Shanghai Rebel Pty Ltd</w:t>
            </w:r>
          </w:p>
          <w:p w14:paraId="5D492F70" w14:textId="77777777" w:rsidR="00254D1D" w:rsidRPr="00693AB8" w:rsidRDefault="00254D1D">
            <w:pPr>
              <w:pStyle w:val="TableText"/>
              <w:rPr>
                <w:rFonts w:ascii="Arial" w:hAnsi="Arial" w:cs="Arial"/>
                <w:sz w:val="18"/>
                <w:szCs w:val="18"/>
              </w:rPr>
            </w:pPr>
            <w:r>
              <w:rPr>
                <w:rFonts w:ascii="Arial" w:hAnsi="Arial" w:cs="Arial"/>
                <w:sz w:val="18"/>
                <w:szCs w:val="18"/>
              </w:rPr>
              <w:t>(</w:t>
            </w:r>
            <w:r w:rsidRPr="002C194D">
              <w:rPr>
                <w:rFonts w:ascii="Arial" w:hAnsi="Arial" w:cs="Arial"/>
                <w:sz w:val="18"/>
                <w:szCs w:val="18"/>
              </w:rPr>
              <w:t>Assembled Threads</w:t>
            </w:r>
            <w:r>
              <w:rPr>
                <w:rFonts w:ascii="Arial" w:hAnsi="Arial" w:cs="Arial"/>
                <w:sz w:val="18"/>
                <w:szCs w:val="18"/>
              </w:rPr>
              <w:t>)</w:t>
            </w:r>
          </w:p>
        </w:tc>
        <w:tc>
          <w:tcPr>
            <w:tcW w:w="3969" w:type="dxa"/>
            <w:noWrap/>
          </w:tcPr>
          <w:p w14:paraId="5BADBCB8" w14:textId="77777777" w:rsidR="00254D1D" w:rsidRPr="00A4473D" w:rsidRDefault="00254D1D">
            <w:pPr>
              <w:rPr>
                <w:sz w:val="18"/>
                <w:szCs w:val="18"/>
              </w:rPr>
            </w:pPr>
            <w:r w:rsidRPr="002C194D">
              <w:rPr>
                <w:rFonts w:cs="Arial"/>
                <w:sz w:val="18"/>
                <w:szCs w:val="18"/>
              </w:rPr>
              <w:t xml:space="preserve">Tackling the </w:t>
            </w:r>
            <w:r>
              <w:rPr>
                <w:rFonts w:cs="Arial"/>
                <w:sz w:val="18"/>
                <w:szCs w:val="18"/>
              </w:rPr>
              <w:t>T</w:t>
            </w:r>
            <w:r w:rsidRPr="002C194D">
              <w:rPr>
                <w:rFonts w:cs="Arial"/>
                <w:sz w:val="18"/>
                <w:szCs w:val="18"/>
              </w:rPr>
              <w:t xml:space="preserve">extile </w:t>
            </w:r>
            <w:r>
              <w:rPr>
                <w:rFonts w:cs="Arial"/>
                <w:sz w:val="18"/>
                <w:szCs w:val="18"/>
              </w:rPr>
              <w:t>C</w:t>
            </w:r>
            <w:r w:rsidRPr="002C194D">
              <w:rPr>
                <w:rFonts w:cs="Arial"/>
                <w:sz w:val="18"/>
                <w:szCs w:val="18"/>
              </w:rPr>
              <w:t xml:space="preserve">risis in Victoria's </w:t>
            </w:r>
            <w:r>
              <w:rPr>
                <w:rFonts w:cs="Arial"/>
                <w:sz w:val="18"/>
                <w:szCs w:val="18"/>
              </w:rPr>
              <w:t>U</w:t>
            </w:r>
            <w:r w:rsidRPr="002C194D">
              <w:rPr>
                <w:rFonts w:cs="Arial"/>
                <w:sz w:val="18"/>
                <w:szCs w:val="18"/>
              </w:rPr>
              <w:t xml:space="preserve">niform </w:t>
            </w:r>
            <w:r>
              <w:rPr>
                <w:rFonts w:cs="Arial"/>
                <w:sz w:val="18"/>
                <w:szCs w:val="18"/>
              </w:rPr>
              <w:t>P</w:t>
            </w:r>
            <w:r w:rsidRPr="002C194D">
              <w:rPr>
                <w:rFonts w:cs="Arial"/>
                <w:sz w:val="18"/>
                <w:szCs w:val="18"/>
              </w:rPr>
              <w:t xml:space="preserve">rocurement </w:t>
            </w:r>
            <w:r>
              <w:rPr>
                <w:rFonts w:cs="Arial"/>
                <w:sz w:val="18"/>
                <w:szCs w:val="18"/>
              </w:rPr>
              <w:t>C</w:t>
            </w:r>
            <w:r w:rsidRPr="002C194D">
              <w:rPr>
                <w:rFonts w:cs="Arial"/>
                <w:sz w:val="18"/>
                <w:szCs w:val="18"/>
              </w:rPr>
              <w:t>hannels</w:t>
            </w:r>
          </w:p>
        </w:tc>
        <w:tc>
          <w:tcPr>
            <w:tcW w:w="1589" w:type="dxa"/>
            <w:noWrap/>
          </w:tcPr>
          <w:p w14:paraId="332DC14D" w14:textId="77777777" w:rsidR="00254D1D" w:rsidRPr="65E029B8" w:rsidRDefault="00254D1D">
            <w:pPr>
              <w:rPr>
                <w:sz w:val="18"/>
                <w:szCs w:val="18"/>
              </w:rPr>
            </w:pPr>
            <w:r>
              <w:rPr>
                <w:sz w:val="18"/>
                <w:szCs w:val="18"/>
              </w:rPr>
              <w:t>$8,850</w:t>
            </w:r>
          </w:p>
        </w:tc>
      </w:tr>
      <w:tr w:rsidR="00254D1D" w14:paraId="4E328168" w14:textId="77777777">
        <w:trPr>
          <w:trHeight w:val="300"/>
        </w:trPr>
        <w:tc>
          <w:tcPr>
            <w:tcW w:w="3397" w:type="dxa"/>
            <w:noWrap/>
          </w:tcPr>
          <w:p w14:paraId="054652B5" w14:textId="77777777" w:rsidR="00254D1D" w:rsidRPr="00E55631" w:rsidRDefault="00254D1D">
            <w:pPr>
              <w:rPr>
                <w:sz w:val="18"/>
                <w:szCs w:val="18"/>
              </w:rPr>
            </w:pPr>
            <w:r w:rsidRPr="00E55631">
              <w:rPr>
                <w:sz w:val="18"/>
                <w:szCs w:val="18"/>
              </w:rPr>
              <w:t xml:space="preserve">Shire of Strathbogie </w:t>
            </w:r>
          </w:p>
        </w:tc>
        <w:tc>
          <w:tcPr>
            <w:tcW w:w="3969" w:type="dxa"/>
            <w:noWrap/>
          </w:tcPr>
          <w:p w14:paraId="75DF9655" w14:textId="77777777" w:rsidR="00254D1D" w:rsidRPr="00E55631" w:rsidRDefault="00254D1D">
            <w:pPr>
              <w:rPr>
                <w:sz w:val="18"/>
                <w:szCs w:val="18"/>
              </w:rPr>
            </w:pPr>
            <w:r w:rsidRPr="00E55631">
              <w:rPr>
                <w:sz w:val="18"/>
                <w:szCs w:val="18"/>
              </w:rPr>
              <w:t>CE Councils Implementation Nagambie Resource Recovery Centre Resale Shop</w:t>
            </w:r>
          </w:p>
        </w:tc>
        <w:tc>
          <w:tcPr>
            <w:tcW w:w="1589" w:type="dxa"/>
            <w:shd w:val="clear" w:color="auto" w:fill="auto"/>
            <w:noWrap/>
          </w:tcPr>
          <w:p w14:paraId="1D973E01" w14:textId="77777777" w:rsidR="00254D1D" w:rsidRPr="00E55631" w:rsidRDefault="00254D1D">
            <w:pPr>
              <w:rPr>
                <w:sz w:val="18"/>
                <w:szCs w:val="18"/>
                <w:highlight w:val="yellow"/>
              </w:rPr>
            </w:pPr>
            <w:r w:rsidRPr="00A0404B">
              <w:rPr>
                <w:sz w:val="18"/>
                <w:szCs w:val="18"/>
              </w:rPr>
              <w:t>$30,000</w:t>
            </w:r>
          </w:p>
        </w:tc>
      </w:tr>
      <w:tr w:rsidR="00254D1D" w14:paraId="63DD0A89" w14:textId="77777777">
        <w:trPr>
          <w:trHeight w:val="300"/>
        </w:trPr>
        <w:tc>
          <w:tcPr>
            <w:tcW w:w="3397" w:type="dxa"/>
            <w:noWrap/>
          </w:tcPr>
          <w:p w14:paraId="029B52D8" w14:textId="77777777" w:rsidR="00254D1D" w:rsidRPr="00661495" w:rsidRDefault="00254D1D">
            <w:pPr>
              <w:rPr>
                <w:sz w:val="18"/>
                <w:szCs w:val="18"/>
              </w:rPr>
            </w:pPr>
            <w:r w:rsidRPr="00661495">
              <w:rPr>
                <w:sz w:val="18"/>
                <w:szCs w:val="18"/>
              </w:rPr>
              <w:t>Shire of Strathbogie</w:t>
            </w:r>
          </w:p>
        </w:tc>
        <w:tc>
          <w:tcPr>
            <w:tcW w:w="3969" w:type="dxa"/>
            <w:noWrap/>
          </w:tcPr>
          <w:p w14:paraId="1BC5D6B4" w14:textId="77777777" w:rsidR="00254D1D" w:rsidRPr="00661495" w:rsidRDefault="00254D1D">
            <w:pPr>
              <w:rPr>
                <w:sz w:val="18"/>
                <w:szCs w:val="18"/>
              </w:rPr>
            </w:pPr>
            <w:r w:rsidRPr="00661495">
              <w:rPr>
                <w:sz w:val="18"/>
                <w:szCs w:val="18"/>
              </w:rPr>
              <w:t>Strathbogie Shire's Sorting Superstars – Household Education</w:t>
            </w:r>
          </w:p>
        </w:tc>
        <w:tc>
          <w:tcPr>
            <w:tcW w:w="1589" w:type="dxa"/>
            <w:noWrap/>
          </w:tcPr>
          <w:p w14:paraId="0FCA6DA5" w14:textId="77777777" w:rsidR="00254D1D" w:rsidRPr="00661495" w:rsidRDefault="00254D1D">
            <w:pPr>
              <w:rPr>
                <w:sz w:val="18"/>
                <w:szCs w:val="18"/>
              </w:rPr>
            </w:pPr>
            <w:r w:rsidRPr="00661495">
              <w:rPr>
                <w:sz w:val="18"/>
                <w:szCs w:val="18"/>
              </w:rPr>
              <w:t>$24,050</w:t>
            </w:r>
          </w:p>
        </w:tc>
      </w:tr>
      <w:tr w:rsidR="00254D1D" w14:paraId="0CC9DE6D" w14:textId="77777777">
        <w:trPr>
          <w:trHeight w:val="300"/>
        </w:trPr>
        <w:tc>
          <w:tcPr>
            <w:tcW w:w="3397" w:type="dxa"/>
            <w:noWrap/>
          </w:tcPr>
          <w:p w14:paraId="31EA216E" w14:textId="77777777" w:rsidR="00254D1D" w:rsidRPr="00433CB4" w:rsidRDefault="00254D1D">
            <w:pPr>
              <w:rPr>
                <w:sz w:val="18"/>
                <w:szCs w:val="18"/>
              </w:rPr>
            </w:pPr>
            <w:r w:rsidRPr="00433CB4">
              <w:rPr>
                <w:sz w:val="18"/>
                <w:szCs w:val="18"/>
              </w:rPr>
              <w:t>Soap Aid Ltd</w:t>
            </w:r>
          </w:p>
        </w:tc>
        <w:tc>
          <w:tcPr>
            <w:tcW w:w="3969" w:type="dxa"/>
            <w:noWrap/>
          </w:tcPr>
          <w:p w14:paraId="7E1155DE" w14:textId="77777777" w:rsidR="00254D1D" w:rsidRPr="00433CB4" w:rsidRDefault="00254D1D">
            <w:pPr>
              <w:rPr>
                <w:sz w:val="18"/>
                <w:szCs w:val="18"/>
              </w:rPr>
            </w:pPr>
            <w:r w:rsidRPr="00433CB4">
              <w:rPr>
                <w:sz w:val="18"/>
                <w:szCs w:val="18"/>
              </w:rPr>
              <w:t>Soaping Our Way to a Circular Economy</w:t>
            </w:r>
          </w:p>
        </w:tc>
        <w:tc>
          <w:tcPr>
            <w:tcW w:w="1589" w:type="dxa"/>
            <w:noWrap/>
          </w:tcPr>
          <w:p w14:paraId="7A182ED7" w14:textId="77777777" w:rsidR="00254D1D" w:rsidRPr="00433CB4" w:rsidRDefault="00254D1D">
            <w:pPr>
              <w:rPr>
                <w:sz w:val="18"/>
                <w:szCs w:val="18"/>
              </w:rPr>
            </w:pPr>
            <w:r w:rsidRPr="00433CB4">
              <w:rPr>
                <w:sz w:val="18"/>
                <w:szCs w:val="18"/>
              </w:rPr>
              <w:t>$127,838</w:t>
            </w:r>
          </w:p>
        </w:tc>
      </w:tr>
      <w:tr w:rsidR="00254D1D" w14:paraId="2F8B9C3F" w14:textId="77777777">
        <w:trPr>
          <w:trHeight w:val="300"/>
        </w:trPr>
        <w:tc>
          <w:tcPr>
            <w:tcW w:w="3397" w:type="dxa"/>
            <w:noWrap/>
          </w:tcPr>
          <w:p w14:paraId="3766B9DD" w14:textId="77777777" w:rsidR="00254D1D" w:rsidRPr="00716E55" w:rsidRDefault="00254D1D">
            <w:pPr>
              <w:rPr>
                <w:sz w:val="18"/>
                <w:szCs w:val="18"/>
              </w:rPr>
            </w:pPr>
            <w:r w:rsidRPr="00716E55">
              <w:rPr>
                <w:sz w:val="18"/>
                <w:szCs w:val="18"/>
              </w:rPr>
              <w:t>Southern Cross Recycling Group Pty Ltd</w:t>
            </w:r>
          </w:p>
        </w:tc>
        <w:tc>
          <w:tcPr>
            <w:tcW w:w="3969" w:type="dxa"/>
            <w:noWrap/>
          </w:tcPr>
          <w:p w14:paraId="7AF52AF3" w14:textId="77777777" w:rsidR="00254D1D" w:rsidRPr="00716E55" w:rsidRDefault="00254D1D">
            <w:pPr>
              <w:rPr>
                <w:sz w:val="18"/>
                <w:szCs w:val="18"/>
              </w:rPr>
            </w:pPr>
            <w:proofErr w:type="spellStart"/>
            <w:r w:rsidRPr="00716E55">
              <w:rPr>
                <w:sz w:val="18"/>
                <w:szCs w:val="18"/>
              </w:rPr>
              <w:t>HOMEcycle</w:t>
            </w:r>
            <w:proofErr w:type="spellEnd"/>
            <w:r w:rsidRPr="00716E55">
              <w:rPr>
                <w:sz w:val="18"/>
                <w:szCs w:val="18"/>
              </w:rPr>
              <w:t xml:space="preserve"> Smart Centre Feasibility Study</w:t>
            </w:r>
          </w:p>
        </w:tc>
        <w:tc>
          <w:tcPr>
            <w:tcW w:w="1589" w:type="dxa"/>
            <w:noWrap/>
          </w:tcPr>
          <w:p w14:paraId="2A7D9A0D" w14:textId="77777777" w:rsidR="00254D1D" w:rsidRPr="00716E55" w:rsidRDefault="00254D1D">
            <w:pPr>
              <w:rPr>
                <w:sz w:val="18"/>
                <w:szCs w:val="18"/>
              </w:rPr>
            </w:pPr>
            <w:r w:rsidRPr="00716E55">
              <w:rPr>
                <w:sz w:val="18"/>
                <w:szCs w:val="18"/>
              </w:rPr>
              <w:t>$55,500</w:t>
            </w:r>
          </w:p>
        </w:tc>
      </w:tr>
      <w:tr w:rsidR="00254D1D" w14:paraId="69558342" w14:textId="77777777">
        <w:trPr>
          <w:trHeight w:val="300"/>
        </w:trPr>
        <w:tc>
          <w:tcPr>
            <w:tcW w:w="3397" w:type="dxa"/>
            <w:noWrap/>
          </w:tcPr>
          <w:p w14:paraId="19F5E738" w14:textId="77777777" w:rsidR="00254D1D" w:rsidRPr="00B24F2C" w:rsidRDefault="00254D1D">
            <w:pPr>
              <w:rPr>
                <w:sz w:val="18"/>
                <w:szCs w:val="18"/>
              </w:rPr>
            </w:pPr>
            <w:r w:rsidRPr="00EC66ED">
              <w:rPr>
                <w:sz w:val="18"/>
                <w:szCs w:val="18"/>
              </w:rPr>
              <w:t xml:space="preserve">St John Of God Outreach Services </w:t>
            </w:r>
          </w:p>
        </w:tc>
        <w:tc>
          <w:tcPr>
            <w:tcW w:w="3969" w:type="dxa"/>
            <w:noWrap/>
          </w:tcPr>
          <w:p w14:paraId="09B40A04" w14:textId="77777777" w:rsidR="00254D1D" w:rsidRPr="002724A4" w:rsidRDefault="00254D1D">
            <w:pPr>
              <w:rPr>
                <w:sz w:val="18"/>
                <w:szCs w:val="18"/>
              </w:rPr>
            </w:pPr>
            <w:r w:rsidRPr="002724A4">
              <w:rPr>
                <w:sz w:val="18"/>
                <w:szCs w:val="18"/>
              </w:rPr>
              <w:t xml:space="preserve">St John </w:t>
            </w:r>
            <w:r>
              <w:rPr>
                <w:sz w:val="18"/>
                <w:szCs w:val="18"/>
              </w:rPr>
              <w:t>o</w:t>
            </w:r>
            <w:r w:rsidRPr="002724A4">
              <w:rPr>
                <w:sz w:val="18"/>
                <w:szCs w:val="18"/>
              </w:rPr>
              <w:t>f God Accord Goes Solar</w:t>
            </w:r>
          </w:p>
        </w:tc>
        <w:tc>
          <w:tcPr>
            <w:tcW w:w="1589" w:type="dxa"/>
            <w:noWrap/>
          </w:tcPr>
          <w:p w14:paraId="5AF0F78B" w14:textId="77777777" w:rsidR="00254D1D" w:rsidRPr="002724A4" w:rsidRDefault="00254D1D">
            <w:pPr>
              <w:rPr>
                <w:sz w:val="18"/>
                <w:szCs w:val="18"/>
              </w:rPr>
            </w:pPr>
            <w:r w:rsidRPr="002724A4">
              <w:rPr>
                <w:sz w:val="18"/>
                <w:szCs w:val="18"/>
              </w:rPr>
              <w:t>$90,246</w:t>
            </w:r>
          </w:p>
        </w:tc>
      </w:tr>
      <w:tr w:rsidR="00254D1D" w14:paraId="5793FD95" w14:textId="77777777">
        <w:trPr>
          <w:trHeight w:val="300"/>
        </w:trPr>
        <w:tc>
          <w:tcPr>
            <w:tcW w:w="3397" w:type="dxa"/>
            <w:noWrap/>
          </w:tcPr>
          <w:p w14:paraId="10996D2C" w14:textId="77777777" w:rsidR="00254D1D" w:rsidRPr="00E73FA6" w:rsidRDefault="00254D1D">
            <w:pPr>
              <w:rPr>
                <w:sz w:val="18"/>
                <w:szCs w:val="18"/>
              </w:rPr>
            </w:pPr>
            <w:r w:rsidRPr="00E73FA6">
              <w:rPr>
                <w:sz w:val="18"/>
                <w:szCs w:val="18"/>
              </w:rPr>
              <w:t>Stockland Development</w:t>
            </w:r>
          </w:p>
        </w:tc>
        <w:tc>
          <w:tcPr>
            <w:tcW w:w="3969" w:type="dxa"/>
            <w:noWrap/>
          </w:tcPr>
          <w:p w14:paraId="68FDDD91" w14:textId="77777777" w:rsidR="00254D1D" w:rsidRPr="00E73FA6" w:rsidRDefault="00254D1D">
            <w:pPr>
              <w:rPr>
                <w:sz w:val="18"/>
                <w:szCs w:val="18"/>
              </w:rPr>
            </w:pPr>
            <w:r w:rsidRPr="00E73FA6">
              <w:rPr>
                <w:sz w:val="18"/>
                <w:szCs w:val="18"/>
              </w:rPr>
              <w:t>7 Star Program</w:t>
            </w:r>
          </w:p>
        </w:tc>
        <w:tc>
          <w:tcPr>
            <w:tcW w:w="1589" w:type="dxa"/>
            <w:noWrap/>
          </w:tcPr>
          <w:p w14:paraId="6E29E06F" w14:textId="77777777" w:rsidR="00254D1D" w:rsidRPr="00E73FA6" w:rsidRDefault="00254D1D">
            <w:pPr>
              <w:rPr>
                <w:sz w:val="18"/>
                <w:szCs w:val="18"/>
              </w:rPr>
            </w:pPr>
            <w:r w:rsidRPr="00E73FA6">
              <w:rPr>
                <w:sz w:val="18"/>
                <w:szCs w:val="18"/>
              </w:rPr>
              <w:t>$16,000*</w:t>
            </w:r>
          </w:p>
        </w:tc>
      </w:tr>
      <w:tr w:rsidR="00254D1D" w14:paraId="376379D6" w14:textId="77777777">
        <w:trPr>
          <w:trHeight w:val="300"/>
        </w:trPr>
        <w:tc>
          <w:tcPr>
            <w:tcW w:w="3397" w:type="dxa"/>
            <w:noWrap/>
          </w:tcPr>
          <w:p w14:paraId="63740F53" w14:textId="77777777" w:rsidR="00254D1D" w:rsidRPr="00650202" w:rsidRDefault="00254D1D">
            <w:pPr>
              <w:rPr>
                <w:sz w:val="18"/>
                <w:szCs w:val="18"/>
              </w:rPr>
            </w:pPr>
            <w:r w:rsidRPr="00650202">
              <w:rPr>
                <w:sz w:val="18"/>
                <w:szCs w:val="18"/>
              </w:rPr>
              <w:t>Surf Coast Shire Council</w:t>
            </w:r>
          </w:p>
        </w:tc>
        <w:tc>
          <w:tcPr>
            <w:tcW w:w="3969" w:type="dxa"/>
            <w:noWrap/>
          </w:tcPr>
          <w:p w14:paraId="767CC6F4" w14:textId="77777777" w:rsidR="00254D1D" w:rsidRPr="00650202" w:rsidRDefault="00254D1D">
            <w:pPr>
              <w:rPr>
                <w:sz w:val="18"/>
                <w:szCs w:val="18"/>
              </w:rPr>
            </w:pPr>
            <w:r w:rsidRPr="00650202">
              <w:rPr>
                <w:sz w:val="18"/>
                <w:szCs w:val="18"/>
              </w:rPr>
              <w:t>Surf Coast Shire Council Promoting Waste Prevention to Improve Recycling</w:t>
            </w:r>
          </w:p>
        </w:tc>
        <w:tc>
          <w:tcPr>
            <w:tcW w:w="1589" w:type="dxa"/>
            <w:noWrap/>
          </w:tcPr>
          <w:p w14:paraId="2BE97CBF" w14:textId="77777777" w:rsidR="00254D1D" w:rsidRPr="00650202" w:rsidRDefault="00254D1D">
            <w:pPr>
              <w:rPr>
                <w:sz w:val="18"/>
                <w:szCs w:val="18"/>
              </w:rPr>
            </w:pPr>
            <w:r w:rsidRPr="00650202">
              <w:rPr>
                <w:sz w:val="18"/>
                <w:szCs w:val="18"/>
              </w:rPr>
              <w:t>$32,650</w:t>
            </w:r>
          </w:p>
        </w:tc>
      </w:tr>
      <w:tr w:rsidR="00254D1D" w14:paraId="27F168D6" w14:textId="77777777">
        <w:trPr>
          <w:trHeight w:val="300"/>
        </w:trPr>
        <w:tc>
          <w:tcPr>
            <w:tcW w:w="3397" w:type="dxa"/>
            <w:noWrap/>
          </w:tcPr>
          <w:p w14:paraId="7E45E765" w14:textId="77777777" w:rsidR="00254D1D" w:rsidRPr="00650202" w:rsidRDefault="00254D1D">
            <w:pPr>
              <w:rPr>
                <w:sz w:val="18"/>
                <w:szCs w:val="18"/>
              </w:rPr>
            </w:pPr>
            <w:r w:rsidRPr="00650202">
              <w:rPr>
                <w:sz w:val="18"/>
                <w:szCs w:val="18"/>
              </w:rPr>
              <w:t>Surf Coast Shire Council</w:t>
            </w:r>
          </w:p>
        </w:tc>
        <w:tc>
          <w:tcPr>
            <w:tcW w:w="3969" w:type="dxa"/>
            <w:noWrap/>
          </w:tcPr>
          <w:p w14:paraId="5ACB1A08" w14:textId="77777777" w:rsidR="00254D1D" w:rsidRPr="00650202" w:rsidRDefault="00254D1D">
            <w:pPr>
              <w:rPr>
                <w:sz w:val="18"/>
                <w:szCs w:val="18"/>
              </w:rPr>
            </w:pPr>
            <w:r w:rsidRPr="00650202">
              <w:rPr>
                <w:sz w:val="18"/>
                <w:szCs w:val="18"/>
              </w:rPr>
              <w:t>Ce Councils Implementation Lorne Transfer Station Upgrade</w:t>
            </w:r>
          </w:p>
        </w:tc>
        <w:tc>
          <w:tcPr>
            <w:tcW w:w="1589" w:type="dxa"/>
            <w:noWrap/>
          </w:tcPr>
          <w:p w14:paraId="3CB286FD" w14:textId="77777777" w:rsidR="00254D1D" w:rsidRPr="00650202" w:rsidRDefault="00254D1D">
            <w:pPr>
              <w:rPr>
                <w:sz w:val="18"/>
                <w:szCs w:val="18"/>
              </w:rPr>
            </w:pPr>
            <w:r w:rsidRPr="00650202">
              <w:rPr>
                <w:sz w:val="18"/>
                <w:szCs w:val="18"/>
              </w:rPr>
              <w:t>$80,000</w:t>
            </w:r>
          </w:p>
        </w:tc>
      </w:tr>
      <w:tr w:rsidR="00254D1D" w14:paraId="64780F47" w14:textId="77777777">
        <w:trPr>
          <w:trHeight w:val="300"/>
        </w:trPr>
        <w:tc>
          <w:tcPr>
            <w:tcW w:w="3397" w:type="dxa"/>
            <w:noWrap/>
          </w:tcPr>
          <w:p w14:paraId="734F93CF" w14:textId="77777777" w:rsidR="00254D1D" w:rsidRPr="00E60810" w:rsidRDefault="00254D1D">
            <w:pPr>
              <w:rPr>
                <w:sz w:val="18"/>
                <w:szCs w:val="18"/>
              </w:rPr>
            </w:pPr>
            <w:r w:rsidRPr="00E60810">
              <w:rPr>
                <w:sz w:val="18"/>
                <w:szCs w:val="18"/>
              </w:rPr>
              <w:t>Sustain: The Australian Food Network Ltd</w:t>
            </w:r>
          </w:p>
        </w:tc>
        <w:tc>
          <w:tcPr>
            <w:tcW w:w="3969" w:type="dxa"/>
            <w:noWrap/>
          </w:tcPr>
          <w:p w14:paraId="4EE663A2" w14:textId="77777777" w:rsidR="00254D1D" w:rsidRPr="00E60810" w:rsidRDefault="00254D1D">
            <w:pPr>
              <w:rPr>
                <w:sz w:val="18"/>
                <w:szCs w:val="18"/>
              </w:rPr>
            </w:pPr>
            <w:r w:rsidRPr="00E60810">
              <w:rPr>
                <w:sz w:val="18"/>
                <w:szCs w:val="18"/>
              </w:rPr>
              <w:t>Oakhill Food Justice Farm Resource and Composting Hub</w:t>
            </w:r>
          </w:p>
        </w:tc>
        <w:tc>
          <w:tcPr>
            <w:tcW w:w="1589" w:type="dxa"/>
            <w:noWrap/>
          </w:tcPr>
          <w:p w14:paraId="77892C5E" w14:textId="77777777" w:rsidR="00254D1D" w:rsidRPr="00E60810" w:rsidRDefault="00254D1D">
            <w:pPr>
              <w:rPr>
                <w:sz w:val="18"/>
                <w:szCs w:val="18"/>
              </w:rPr>
            </w:pPr>
            <w:r w:rsidRPr="00E60810">
              <w:rPr>
                <w:sz w:val="18"/>
                <w:szCs w:val="18"/>
              </w:rPr>
              <w:t>$</w:t>
            </w:r>
            <w:r>
              <w:rPr>
                <w:sz w:val="18"/>
                <w:szCs w:val="18"/>
              </w:rPr>
              <w:t>32,450</w:t>
            </w:r>
          </w:p>
        </w:tc>
      </w:tr>
      <w:tr w:rsidR="00254D1D" w14:paraId="54D96231" w14:textId="77777777">
        <w:trPr>
          <w:trHeight w:val="300"/>
        </w:trPr>
        <w:tc>
          <w:tcPr>
            <w:tcW w:w="3397" w:type="dxa"/>
            <w:noWrap/>
          </w:tcPr>
          <w:p w14:paraId="6CEEFDD1" w14:textId="77777777" w:rsidR="00254D1D" w:rsidRPr="00E60810" w:rsidRDefault="00254D1D">
            <w:pPr>
              <w:rPr>
                <w:sz w:val="18"/>
                <w:szCs w:val="18"/>
              </w:rPr>
            </w:pPr>
            <w:r w:rsidRPr="00E60810">
              <w:rPr>
                <w:sz w:val="18"/>
                <w:szCs w:val="18"/>
              </w:rPr>
              <w:t>Sustain: The Australian Food Network Ltd</w:t>
            </w:r>
          </w:p>
        </w:tc>
        <w:tc>
          <w:tcPr>
            <w:tcW w:w="3969" w:type="dxa"/>
            <w:noWrap/>
          </w:tcPr>
          <w:p w14:paraId="278C31C4" w14:textId="77777777" w:rsidR="00254D1D" w:rsidRPr="00E60810" w:rsidRDefault="00254D1D">
            <w:pPr>
              <w:rPr>
                <w:sz w:val="18"/>
                <w:szCs w:val="18"/>
              </w:rPr>
            </w:pPr>
            <w:r w:rsidRPr="00E60810">
              <w:rPr>
                <w:sz w:val="18"/>
                <w:szCs w:val="18"/>
              </w:rPr>
              <w:t>Unboxed Victoria</w:t>
            </w:r>
          </w:p>
        </w:tc>
        <w:tc>
          <w:tcPr>
            <w:tcW w:w="1589" w:type="dxa"/>
            <w:noWrap/>
          </w:tcPr>
          <w:p w14:paraId="485DE2FA" w14:textId="77777777" w:rsidR="00254D1D" w:rsidRPr="00E60810" w:rsidRDefault="00254D1D">
            <w:pPr>
              <w:rPr>
                <w:sz w:val="18"/>
                <w:szCs w:val="18"/>
                <w:highlight w:val="yellow"/>
              </w:rPr>
            </w:pPr>
            <w:r w:rsidRPr="00C26279">
              <w:rPr>
                <w:sz w:val="18"/>
                <w:szCs w:val="18"/>
              </w:rPr>
              <w:t>$95,267</w:t>
            </w:r>
          </w:p>
        </w:tc>
      </w:tr>
      <w:tr w:rsidR="00254D1D" w14:paraId="745F50F9" w14:textId="77777777">
        <w:trPr>
          <w:trHeight w:val="300"/>
        </w:trPr>
        <w:tc>
          <w:tcPr>
            <w:tcW w:w="3397" w:type="dxa"/>
            <w:noWrap/>
          </w:tcPr>
          <w:p w14:paraId="3298D5AE" w14:textId="77777777" w:rsidR="00254D1D" w:rsidRPr="00C41A9F" w:rsidRDefault="00254D1D">
            <w:pPr>
              <w:rPr>
                <w:sz w:val="18"/>
                <w:szCs w:val="18"/>
              </w:rPr>
            </w:pPr>
            <w:r w:rsidRPr="00C41A9F">
              <w:rPr>
                <w:sz w:val="18"/>
                <w:szCs w:val="18"/>
              </w:rPr>
              <w:t>Swan Hill Rural City Council</w:t>
            </w:r>
          </w:p>
        </w:tc>
        <w:tc>
          <w:tcPr>
            <w:tcW w:w="3969" w:type="dxa"/>
            <w:noWrap/>
          </w:tcPr>
          <w:p w14:paraId="2C4A52EC" w14:textId="77777777" w:rsidR="00254D1D" w:rsidRPr="00C41A9F" w:rsidRDefault="00254D1D">
            <w:pPr>
              <w:rPr>
                <w:sz w:val="18"/>
                <w:szCs w:val="18"/>
              </w:rPr>
            </w:pPr>
            <w:r w:rsidRPr="00C41A9F">
              <w:rPr>
                <w:sz w:val="18"/>
                <w:szCs w:val="18"/>
              </w:rPr>
              <w:t>CE Councils Implementation - Swan Hill Compost Facility Stage 1</w:t>
            </w:r>
          </w:p>
        </w:tc>
        <w:tc>
          <w:tcPr>
            <w:tcW w:w="1589" w:type="dxa"/>
            <w:noWrap/>
          </w:tcPr>
          <w:p w14:paraId="3A5BF1FD" w14:textId="77777777" w:rsidR="00254D1D" w:rsidRPr="00C41A9F" w:rsidRDefault="00254D1D">
            <w:pPr>
              <w:rPr>
                <w:sz w:val="18"/>
                <w:szCs w:val="18"/>
              </w:rPr>
            </w:pPr>
            <w:r w:rsidRPr="00C41A9F">
              <w:rPr>
                <w:sz w:val="18"/>
                <w:szCs w:val="18"/>
              </w:rPr>
              <w:t>$30,000</w:t>
            </w:r>
          </w:p>
        </w:tc>
      </w:tr>
      <w:tr w:rsidR="00254D1D" w14:paraId="75CB6B71" w14:textId="77777777">
        <w:trPr>
          <w:trHeight w:val="300"/>
        </w:trPr>
        <w:tc>
          <w:tcPr>
            <w:tcW w:w="3397" w:type="dxa"/>
            <w:noWrap/>
          </w:tcPr>
          <w:p w14:paraId="07B2470A" w14:textId="77777777" w:rsidR="00254D1D" w:rsidRPr="00C41A9F" w:rsidRDefault="00254D1D">
            <w:pPr>
              <w:rPr>
                <w:sz w:val="18"/>
                <w:szCs w:val="18"/>
              </w:rPr>
            </w:pPr>
            <w:r w:rsidRPr="00C41A9F">
              <w:rPr>
                <w:sz w:val="18"/>
                <w:szCs w:val="18"/>
              </w:rPr>
              <w:t>Swan Hill Rural City Council</w:t>
            </w:r>
          </w:p>
        </w:tc>
        <w:tc>
          <w:tcPr>
            <w:tcW w:w="3969" w:type="dxa"/>
            <w:noWrap/>
          </w:tcPr>
          <w:p w14:paraId="5D5BF15F" w14:textId="77777777" w:rsidR="00254D1D" w:rsidRPr="00C41A9F" w:rsidRDefault="00254D1D">
            <w:pPr>
              <w:rPr>
                <w:sz w:val="18"/>
                <w:szCs w:val="18"/>
              </w:rPr>
            </w:pPr>
            <w:r w:rsidRPr="00C41A9F">
              <w:rPr>
                <w:sz w:val="18"/>
                <w:szCs w:val="18"/>
              </w:rPr>
              <w:t>CE Councils Implementation Swan Hill Mattress Processing &amp; Recycling Facility</w:t>
            </w:r>
          </w:p>
        </w:tc>
        <w:tc>
          <w:tcPr>
            <w:tcW w:w="1589" w:type="dxa"/>
            <w:noWrap/>
          </w:tcPr>
          <w:p w14:paraId="2B479FD5" w14:textId="77777777" w:rsidR="00254D1D" w:rsidRPr="00C41A9F" w:rsidRDefault="00254D1D">
            <w:pPr>
              <w:rPr>
                <w:sz w:val="18"/>
                <w:szCs w:val="18"/>
              </w:rPr>
            </w:pPr>
            <w:r w:rsidRPr="00C41A9F">
              <w:rPr>
                <w:sz w:val="18"/>
                <w:szCs w:val="18"/>
              </w:rPr>
              <w:t>$75,000</w:t>
            </w:r>
          </w:p>
        </w:tc>
      </w:tr>
      <w:tr w:rsidR="00254D1D" w14:paraId="7D96D280" w14:textId="77777777">
        <w:trPr>
          <w:trHeight w:val="300"/>
        </w:trPr>
        <w:tc>
          <w:tcPr>
            <w:tcW w:w="3397" w:type="dxa"/>
            <w:noWrap/>
          </w:tcPr>
          <w:p w14:paraId="17E5CFAE" w14:textId="77777777" w:rsidR="00254D1D" w:rsidRPr="00C41A9F" w:rsidRDefault="00254D1D">
            <w:pPr>
              <w:rPr>
                <w:sz w:val="18"/>
                <w:szCs w:val="18"/>
              </w:rPr>
            </w:pPr>
            <w:r w:rsidRPr="00C41A9F">
              <w:rPr>
                <w:sz w:val="18"/>
                <w:szCs w:val="18"/>
              </w:rPr>
              <w:t>Swan Hill Rural City Council</w:t>
            </w:r>
          </w:p>
        </w:tc>
        <w:tc>
          <w:tcPr>
            <w:tcW w:w="3969" w:type="dxa"/>
            <w:noWrap/>
          </w:tcPr>
          <w:p w14:paraId="665D02FA" w14:textId="77777777" w:rsidR="00254D1D" w:rsidRPr="00C41A9F" w:rsidRDefault="00254D1D">
            <w:pPr>
              <w:rPr>
                <w:sz w:val="18"/>
                <w:szCs w:val="18"/>
              </w:rPr>
            </w:pPr>
            <w:r w:rsidRPr="00C41A9F">
              <w:rPr>
                <w:sz w:val="18"/>
                <w:szCs w:val="18"/>
              </w:rPr>
              <w:t>CE Councils Swan Hill - A Circular Agricultural Plastics Economy (CAPE) for Loddon Mallee</w:t>
            </w:r>
          </w:p>
        </w:tc>
        <w:tc>
          <w:tcPr>
            <w:tcW w:w="1589" w:type="dxa"/>
            <w:noWrap/>
          </w:tcPr>
          <w:p w14:paraId="19481693" w14:textId="77777777" w:rsidR="00254D1D" w:rsidRPr="00C41A9F" w:rsidRDefault="00254D1D">
            <w:pPr>
              <w:rPr>
                <w:sz w:val="18"/>
                <w:szCs w:val="18"/>
              </w:rPr>
            </w:pPr>
            <w:r w:rsidRPr="00C41A9F">
              <w:rPr>
                <w:sz w:val="18"/>
                <w:szCs w:val="18"/>
              </w:rPr>
              <w:t>$92,500</w:t>
            </w:r>
          </w:p>
        </w:tc>
      </w:tr>
      <w:tr w:rsidR="00254D1D" w14:paraId="4C437D96" w14:textId="77777777">
        <w:trPr>
          <w:trHeight w:val="300"/>
        </w:trPr>
        <w:tc>
          <w:tcPr>
            <w:tcW w:w="3397" w:type="dxa"/>
            <w:noWrap/>
          </w:tcPr>
          <w:p w14:paraId="1E16752F" w14:textId="77777777" w:rsidR="00254D1D" w:rsidRPr="00A97890" w:rsidRDefault="00254D1D">
            <w:pPr>
              <w:rPr>
                <w:sz w:val="18"/>
                <w:szCs w:val="18"/>
              </w:rPr>
            </w:pPr>
            <w:r w:rsidRPr="00A97890">
              <w:rPr>
                <w:sz w:val="18"/>
                <w:szCs w:val="18"/>
              </w:rPr>
              <w:t>Swinburne University of Technology</w:t>
            </w:r>
          </w:p>
        </w:tc>
        <w:tc>
          <w:tcPr>
            <w:tcW w:w="3969" w:type="dxa"/>
            <w:noWrap/>
          </w:tcPr>
          <w:p w14:paraId="5E9A4924" w14:textId="77777777" w:rsidR="00254D1D" w:rsidRPr="00A97890" w:rsidRDefault="00254D1D">
            <w:pPr>
              <w:rPr>
                <w:sz w:val="18"/>
                <w:szCs w:val="18"/>
              </w:rPr>
            </w:pPr>
            <w:r w:rsidRPr="00A97890">
              <w:rPr>
                <w:sz w:val="18"/>
                <w:szCs w:val="18"/>
              </w:rPr>
              <w:t>Swinburne - Injection Moulding of Reinforced Recycled Plastics for Innovative Bedding Solutions</w:t>
            </w:r>
          </w:p>
        </w:tc>
        <w:tc>
          <w:tcPr>
            <w:tcW w:w="1589" w:type="dxa"/>
            <w:noWrap/>
          </w:tcPr>
          <w:p w14:paraId="5FF4C557" w14:textId="77777777" w:rsidR="00254D1D" w:rsidRPr="00A97890" w:rsidRDefault="00254D1D">
            <w:pPr>
              <w:rPr>
                <w:sz w:val="18"/>
                <w:szCs w:val="18"/>
              </w:rPr>
            </w:pPr>
            <w:r w:rsidRPr="00A97890">
              <w:rPr>
                <w:sz w:val="18"/>
                <w:szCs w:val="18"/>
              </w:rPr>
              <w:t>$25,000</w:t>
            </w:r>
          </w:p>
        </w:tc>
      </w:tr>
      <w:tr w:rsidR="00254D1D" w14:paraId="2726E0CA" w14:textId="77777777">
        <w:trPr>
          <w:trHeight w:val="300"/>
        </w:trPr>
        <w:tc>
          <w:tcPr>
            <w:tcW w:w="3397" w:type="dxa"/>
            <w:noWrap/>
          </w:tcPr>
          <w:p w14:paraId="5435BB4F" w14:textId="77777777" w:rsidR="00254D1D" w:rsidRPr="00A97890" w:rsidRDefault="00254D1D">
            <w:pPr>
              <w:rPr>
                <w:sz w:val="18"/>
                <w:szCs w:val="18"/>
              </w:rPr>
            </w:pPr>
            <w:r w:rsidRPr="00A97890">
              <w:rPr>
                <w:sz w:val="18"/>
                <w:szCs w:val="18"/>
              </w:rPr>
              <w:t>Swinburne University of Technology</w:t>
            </w:r>
          </w:p>
        </w:tc>
        <w:tc>
          <w:tcPr>
            <w:tcW w:w="3969" w:type="dxa"/>
            <w:noWrap/>
          </w:tcPr>
          <w:p w14:paraId="2C5F9B0B" w14:textId="77777777" w:rsidR="00254D1D" w:rsidRPr="00A97890" w:rsidRDefault="00254D1D">
            <w:pPr>
              <w:rPr>
                <w:sz w:val="18"/>
                <w:szCs w:val="18"/>
              </w:rPr>
            </w:pPr>
            <w:r w:rsidRPr="00A97890">
              <w:rPr>
                <w:sz w:val="18"/>
                <w:szCs w:val="18"/>
              </w:rPr>
              <w:t>Swinburne - Composite Spacers from Recycled Plastics and Rubber</w:t>
            </w:r>
          </w:p>
        </w:tc>
        <w:tc>
          <w:tcPr>
            <w:tcW w:w="1589" w:type="dxa"/>
            <w:noWrap/>
          </w:tcPr>
          <w:p w14:paraId="6ACBCA90" w14:textId="77777777" w:rsidR="00254D1D" w:rsidRPr="00A97890" w:rsidRDefault="00254D1D">
            <w:pPr>
              <w:rPr>
                <w:sz w:val="18"/>
                <w:szCs w:val="18"/>
                <w:highlight w:val="yellow"/>
              </w:rPr>
            </w:pPr>
            <w:r w:rsidRPr="00BF4FC8">
              <w:rPr>
                <w:sz w:val="18"/>
                <w:szCs w:val="18"/>
              </w:rPr>
              <w:t>$100,000</w:t>
            </w:r>
          </w:p>
        </w:tc>
      </w:tr>
      <w:tr w:rsidR="00254D1D" w14:paraId="37EB03BC" w14:textId="77777777">
        <w:trPr>
          <w:trHeight w:val="300"/>
        </w:trPr>
        <w:tc>
          <w:tcPr>
            <w:tcW w:w="3397" w:type="dxa"/>
            <w:noWrap/>
          </w:tcPr>
          <w:p w14:paraId="198A5D35" w14:textId="77777777" w:rsidR="00254D1D" w:rsidRPr="00A97890" w:rsidRDefault="00254D1D">
            <w:pPr>
              <w:rPr>
                <w:sz w:val="18"/>
                <w:szCs w:val="18"/>
              </w:rPr>
            </w:pPr>
            <w:r w:rsidRPr="00A97890">
              <w:rPr>
                <w:sz w:val="18"/>
                <w:szCs w:val="18"/>
              </w:rPr>
              <w:t>Swinburne University of Technology</w:t>
            </w:r>
          </w:p>
        </w:tc>
        <w:tc>
          <w:tcPr>
            <w:tcW w:w="3969" w:type="dxa"/>
            <w:noWrap/>
          </w:tcPr>
          <w:p w14:paraId="6C267A17" w14:textId="77777777" w:rsidR="00254D1D" w:rsidRPr="00A97890" w:rsidRDefault="00254D1D">
            <w:pPr>
              <w:rPr>
                <w:sz w:val="18"/>
                <w:szCs w:val="18"/>
              </w:rPr>
            </w:pPr>
            <w:r w:rsidRPr="00A97890">
              <w:rPr>
                <w:sz w:val="18"/>
                <w:szCs w:val="18"/>
              </w:rPr>
              <w:t>Converting Used Tyres to Road Safety Roller Barrier: Technology Development</w:t>
            </w:r>
          </w:p>
        </w:tc>
        <w:tc>
          <w:tcPr>
            <w:tcW w:w="1589" w:type="dxa"/>
            <w:noWrap/>
          </w:tcPr>
          <w:p w14:paraId="1B26BB45" w14:textId="77777777" w:rsidR="00254D1D" w:rsidRPr="00A97890" w:rsidRDefault="00254D1D">
            <w:pPr>
              <w:rPr>
                <w:sz w:val="18"/>
                <w:szCs w:val="18"/>
              </w:rPr>
            </w:pPr>
            <w:r w:rsidRPr="00A97890">
              <w:rPr>
                <w:sz w:val="18"/>
                <w:szCs w:val="18"/>
              </w:rPr>
              <w:t>$125,000</w:t>
            </w:r>
          </w:p>
        </w:tc>
      </w:tr>
      <w:tr w:rsidR="00254D1D" w14:paraId="55E3605C" w14:textId="77777777">
        <w:trPr>
          <w:trHeight w:val="300"/>
        </w:trPr>
        <w:tc>
          <w:tcPr>
            <w:tcW w:w="3397" w:type="dxa"/>
            <w:noWrap/>
          </w:tcPr>
          <w:p w14:paraId="4DFB0994" w14:textId="77777777" w:rsidR="00254D1D" w:rsidRPr="00D458E9" w:rsidRDefault="00254D1D">
            <w:pPr>
              <w:rPr>
                <w:sz w:val="18"/>
                <w:szCs w:val="18"/>
              </w:rPr>
            </w:pPr>
            <w:proofErr w:type="spellStart"/>
            <w:r w:rsidRPr="00D458E9">
              <w:rPr>
                <w:sz w:val="18"/>
                <w:szCs w:val="20"/>
              </w:rPr>
              <w:t>Syro</w:t>
            </w:r>
            <w:proofErr w:type="spellEnd"/>
            <w:r w:rsidRPr="00D458E9">
              <w:rPr>
                <w:sz w:val="18"/>
                <w:szCs w:val="20"/>
              </w:rPr>
              <w:t>-Malabar Eparchy of St Thomas</w:t>
            </w:r>
          </w:p>
        </w:tc>
        <w:tc>
          <w:tcPr>
            <w:tcW w:w="3969" w:type="dxa"/>
            <w:noWrap/>
          </w:tcPr>
          <w:p w14:paraId="32AB5B24" w14:textId="77777777" w:rsidR="00254D1D" w:rsidRPr="00D458E9" w:rsidRDefault="00254D1D">
            <w:pPr>
              <w:rPr>
                <w:sz w:val="18"/>
                <w:szCs w:val="18"/>
              </w:rPr>
            </w:pPr>
            <w:r w:rsidRPr="00D458E9">
              <w:rPr>
                <w:sz w:val="18"/>
                <w:szCs w:val="20"/>
              </w:rPr>
              <w:t xml:space="preserve">CCCEA RD2 Energy Efficiency Upgrades -The Trustees of the </w:t>
            </w:r>
            <w:proofErr w:type="spellStart"/>
            <w:r w:rsidRPr="00D458E9">
              <w:rPr>
                <w:sz w:val="18"/>
                <w:szCs w:val="20"/>
              </w:rPr>
              <w:t>Syro</w:t>
            </w:r>
            <w:proofErr w:type="spellEnd"/>
            <w:r w:rsidRPr="00D458E9">
              <w:rPr>
                <w:sz w:val="18"/>
                <w:szCs w:val="20"/>
              </w:rPr>
              <w:t>-Malabar Eparchy of St Thomas</w:t>
            </w:r>
          </w:p>
        </w:tc>
        <w:tc>
          <w:tcPr>
            <w:tcW w:w="1589" w:type="dxa"/>
            <w:noWrap/>
          </w:tcPr>
          <w:p w14:paraId="72D44EE3" w14:textId="77777777" w:rsidR="00254D1D" w:rsidRPr="00D458E9" w:rsidRDefault="00254D1D">
            <w:pPr>
              <w:rPr>
                <w:sz w:val="18"/>
                <w:szCs w:val="18"/>
              </w:rPr>
            </w:pPr>
            <w:r w:rsidRPr="00D458E9">
              <w:rPr>
                <w:sz w:val="18"/>
                <w:szCs w:val="20"/>
              </w:rPr>
              <w:t>$12,444</w:t>
            </w:r>
          </w:p>
        </w:tc>
      </w:tr>
      <w:tr w:rsidR="00254D1D" w14:paraId="6658618C" w14:textId="77777777">
        <w:trPr>
          <w:trHeight w:val="300"/>
        </w:trPr>
        <w:tc>
          <w:tcPr>
            <w:tcW w:w="3397" w:type="dxa"/>
            <w:noWrap/>
          </w:tcPr>
          <w:p w14:paraId="0EF49A0B" w14:textId="77777777" w:rsidR="00254D1D" w:rsidRPr="00890574" w:rsidRDefault="00254D1D">
            <w:pPr>
              <w:rPr>
                <w:sz w:val="18"/>
                <w:szCs w:val="18"/>
              </w:rPr>
            </w:pPr>
            <w:r w:rsidRPr="00890574">
              <w:rPr>
                <w:sz w:val="18"/>
                <w:szCs w:val="18"/>
              </w:rPr>
              <w:t>Tambo Waste</w:t>
            </w:r>
            <w:r>
              <w:rPr>
                <w:sz w:val="18"/>
                <w:szCs w:val="18"/>
              </w:rPr>
              <w:t xml:space="preserve"> Pty Ltd</w:t>
            </w:r>
          </w:p>
        </w:tc>
        <w:tc>
          <w:tcPr>
            <w:tcW w:w="3969" w:type="dxa"/>
            <w:noWrap/>
          </w:tcPr>
          <w:p w14:paraId="58C64BB2" w14:textId="77777777" w:rsidR="00254D1D" w:rsidRPr="00890574" w:rsidRDefault="00254D1D">
            <w:pPr>
              <w:rPr>
                <w:sz w:val="18"/>
                <w:szCs w:val="18"/>
              </w:rPr>
            </w:pPr>
            <w:r w:rsidRPr="00890574">
              <w:rPr>
                <w:sz w:val="18"/>
                <w:szCs w:val="18"/>
              </w:rPr>
              <w:t>Tambo Waste MRF Upgrade &amp; Glass Recycling Operation</w:t>
            </w:r>
          </w:p>
        </w:tc>
        <w:tc>
          <w:tcPr>
            <w:tcW w:w="1589" w:type="dxa"/>
            <w:noWrap/>
          </w:tcPr>
          <w:p w14:paraId="4A52D23E" w14:textId="77777777" w:rsidR="00254D1D" w:rsidRPr="00890574" w:rsidRDefault="00254D1D">
            <w:pPr>
              <w:rPr>
                <w:sz w:val="18"/>
                <w:szCs w:val="18"/>
              </w:rPr>
            </w:pPr>
            <w:r w:rsidRPr="00890574">
              <w:rPr>
                <w:sz w:val="18"/>
                <w:szCs w:val="18"/>
              </w:rPr>
              <w:t>$168,755</w:t>
            </w:r>
          </w:p>
        </w:tc>
      </w:tr>
      <w:tr w:rsidR="00254D1D" w14:paraId="079DF79B" w14:textId="77777777">
        <w:trPr>
          <w:trHeight w:val="300"/>
        </w:trPr>
        <w:tc>
          <w:tcPr>
            <w:tcW w:w="3397" w:type="dxa"/>
            <w:noWrap/>
          </w:tcPr>
          <w:p w14:paraId="67A32D92" w14:textId="77777777" w:rsidR="00254D1D" w:rsidRPr="002D0779" w:rsidRDefault="00254D1D">
            <w:pPr>
              <w:rPr>
                <w:sz w:val="18"/>
                <w:szCs w:val="18"/>
              </w:rPr>
            </w:pPr>
            <w:r w:rsidRPr="002D0779">
              <w:rPr>
                <w:sz w:val="18"/>
                <w:szCs w:val="18"/>
              </w:rPr>
              <w:t>Tangaroa Blue Foundation Ltd</w:t>
            </w:r>
          </w:p>
        </w:tc>
        <w:tc>
          <w:tcPr>
            <w:tcW w:w="3969" w:type="dxa"/>
            <w:noWrap/>
          </w:tcPr>
          <w:p w14:paraId="7A182196" w14:textId="77777777" w:rsidR="00254D1D" w:rsidRPr="002D0779" w:rsidRDefault="00254D1D">
            <w:pPr>
              <w:rPr>
                <w:sz w:val="18"/>
                <w:szCs w:val="18"/>
              </w:rPr>
            </w:pPr>
            <w:r w:rsidRPr="002D0779">
              <w:rPr>
                <w:sz w:val="18"/>
                <w:szCs w:val="18"/>
              </w:rPr>
              <w:t>Rig Recycle - Victoria</w:t>
            </w:r>
          </w:p>
        </w:tc>
        <w:tc>
          <w:tcPr>
            <w:tcW w:w="1589" w:type="dxa"/>
            <w:noWrap/>
          </w:tcPr>
          <w:p w14:paraId="0ACD78BF" w14:textId="77777777" w:rsidR="00254D1D" w:rsidRPr="002D0779" w:rsidRDefault="00254D1D">
            <w:pPr>
              <w:rPr>
                <w:sz w:val="18"/>
                <w:szCs w:val="18"/>
              </w:rPr>
            </w:pPr>
            <w:r w:rsidRPr="0011110B">
              <w:rPr>
                <w:sz w:val="18"/>
                <w:szCs w:val="18"/>
              </w:rPr>
              <w:t>$124,825</w:t>
            </w:r>
          </w:p>
        </w:tc>
      </w:tr>
      <w:tr w:rsidR="00254D1D" w14:paraId="4AAEFCDA" w14:textId="77777777">
        <w:trPr>
          <w:trHeight w:val="300"/>
        </w:trPr>
        <w:tc>
          <w:tcPr>
            <w:tcW w:w="3397" w:type="dxa"/>
            <w:noWrap/>
          </w:tcPr>
          <w:p w14:paraId="52309BF9" w14:textId="77777777" w:rsidR="00254D1D" w:rsidRPr="00413989" w:rsidRDefault="00254D1D">
            <w:pPr>
              <w:rPr>
                <w:sz w:val="18"/>
                <w:szCs w:val="18"/>
              </w:rPr>
            </w:pPr>
            <w:r w:rsidRPr="00413989">
              <w:rPr>
                <w:sz w:val="18"/>
                <w:szCs w:val="18"/>
              </w:rPr>
              <w:t>Tara Centre for Wisdom Culture Inc</w:t>
            </w:r>
          </w:p>
        </w:tc>
        <w:tc>
          <w:tcPr>
            <w:tcW w:w="3969" w:type="dxa"/>
            <w:noWrap/>
          </w:tcPr>
          <w:p w14:paraId="2DDC6ECF" w14:textId="77777777" w:rsidR="00254D1D" w:rsidRPr="00413989" w:rsidRDefault="00254D1D">
            <w:pPr>
              <w:rPr>
                <w:sz w:val="18"/>
                <w:szCs w:val="18"/>
              </w:rPr>
            </w:pPr>
            <w:r w:rsidRPr="00413989">
              <w:rPr>
                <w:sz w:val="18"/>
                <w:szCs w:val="18"/>
              </w:rPr>
              <w:t>CCCEA RD3 Energy Efficiency Upgrades - Tara Centre for Wisdom Culture Inc</w:t>
            </w:r>
          </w:p>
        </w:tc>
        <w:tc>
          <w:tcPr>
            <w:tcW w:w="1589" w:type="dxa"/>
            <w:noWrap/>
          </w:tcPr>
          <w:p w14:paraId="7C93BC62" w14:textId="77777777" w:rsidR="00254D1D" w:rsidRPr="00413989" w:rsidRDefault="00254D1D">
            <w:pPr>
              <w:rPr>
                <w:sz w:val="18"/>
                <w:szCs w:val="18"/>
              </w:rPr>
            </w:pPr>
            <w:r w:rsidRPr="00413989">
              <w:rPr>
                <w:sz w:val="18"/>
                <w:szCs w:val="18"/>
              </w:rPr>
              <w:t>$17,868</w:t>
            </w:r>
          </w:p>
        </w:tc>
      </w:tr>
      <w:tr w:rsidR="00254D1D" w14:paraId="1157DB40" w14:textId="77777777">
        <w:trPr>
          <w:trHeight w:val="300"/>
        </w:trPr>
        <w:tc>
          <w:tcPr>
            <w:tcW w:w="3397" w:type="dxa"/>
            <w:noWrap/>
          </w:tcPr>
          <w:p w14:paraId="36271DC6" w14:textId="77777777" w:rsidR="00254D1D" w:rsidRPr="002206DB" w:rsidRDefault="00254D1D">
            <w:pPr>
              <w:rPr>
                <w:sz w:val="18"/>
                <w:szCs w:val="18"/>
              </w:rPr>
            </w:pPr>
            <w:r w:rsidRPr="002206DB">
              <w:rPr>
                <w:sz w:val="18"/>
                <w:szCs w:val="18"/>
              </w:rPr>
              <w:t>Tempo Foods</w:t>
            </w:r>
          </w:p>
        </w:tc>
        <w:tc>
          <w:tcPr>
            <w:tcW w:w="3969" w:type="dxa"/>
            <w:noWrap/>
          </w:tcPr>
          <w:p w14:paraId="15AE01F5" w14:textId="77777777" w:rsidR="00254D1D" w:rsidRPr="002206DB" w:rsidRDefault="00254D1D">
            <w:pPr>
              <w:rPr>
                <w:sz w:val="18"/>
                <w:szCs w:val="18"/>
              </w:rPr>
            </w:pPr>
            <w:r w:rsidRPr="002206DB">
              <w:rPr>
                <w:sz w:val="18"/>
                <w:szCs w:val="18"/>
              </w:rPr>
              <w:t>Hart Bioenergy - Distributed Biogas System Demonstration</w:t>
            </w:r>
          </w:p>
        </w:tc>
        <w:tc>
          <w:tcPr>
            <w:tcW w:w="1589" w:type="dxa"/>
            <w:noWrap/>
          </w:tcPr>
          <w:p w14:paraId="4F8DE35A" w14:textId="77777777" w:rsidR="00254D1D" w:rsidRPr="002206DB" w:rsidRDefault="00254D1D">
            <w:pPr>
              <w:rPr>
                <w:sz w:val="18"/>
                <w:szCs w:val="18"/>
              </w:rPr>
            </w:pPr>
            <w:r w:rsidRPr="002206DB">
              <w:rPr>
                <w:sz w:val="18"/>
                <w:szCs w:val="18"/>
              </w:rPr>
              <w:t>$31,300</w:t>
            </w:r>
          </w:p>
        </w:tc>
      </w:tr>
      <w:tr w:rsidR="00254D1D" w14:paraId="274F2F13" w14:textId="77777777">
        <w:trPr>
          <w:trHeight w:val="300"/>
        </w:trPr>
        <w:tc>
          <w:tcPr>
            <w:tcW w:w="3397" w:type="dxa"/>
            <w:noWrap/>
          </w:tcPr>
          <w:p w14:paraId="7282DAC6" w14:textId="77777777" w:rsidR="00254D1D" w:rsidRPr="00913055" w:rsidRDefault="00254D1D">
            <w:pPr>
              <w:rPr>
                <w:sz w:val="18"/>
                <w:szCs w:val="18"/>
              </w:rPr>
            </w:pPr>
            <w:r w:rsidRPr="00913055">
              <w:rPr>
                <w:sz w:val="18"/>
                <w:szCs w:val="18"/>
                <w:lang w:eastAsia="en-AU"/>
              </w:rPr>
              <w:t>The Bicycle Recycle Shed</w:t>
            </w:r>
          </w:p>
        </w:tc>
        <w:tc>
          <w:tcPr>
            <w:tcW w:w="3969" w:type="dxa"/>
            <w:noWrap/>
          </w:tcPr>
          <w:p w14:paraId="210FC46F" w14:textId="77777777" w:rsidR="00254D1D" w:rsidRPr="00913055" w:rsidRDefault="00254D1D">
            <w:pPr>
              <w:rPr>
                <w:sz w:val="18"/>
                <w:szCs w:val="18"/>
              </w:rPr>
            </w:pPr>
            <w:r w:rsidRPr="00913055">
              <w:rPr>
                <w:sz w:val="18"/>
                <w:szCs w:val="18"/>
              </w:rPr>
              <w:t>Bicycle Landfill Diversion through Education and Empowerment Project</w:t>
            </w:r>
          </w:p>
        </w:tc>
        <w:tc>
          <w:tcPr>
            <w:tcW w:w="1589" w:type="dxa"/>
            <w:noWrap/>
          </w:tcPr>
          <w:p w14:paraId="74EF9C61" w14:textId="77777777" w:rsidR="00254D1D" w:rsidRPr="00913055" w:rsidRDefault="00254D1D">
            <w:pPr>
              <w:rPr>
                <w:sz w:val="18"/>
                <w:szCs w:val="18"/>
              </w:rPr>
            </w:pPr>
            <w:r w:rsidRPr="00913055">
              <w:rPr>
                <w:sz w:val="18"/>
                <w:szCs w:val="18"/>
              </w:rPr>
              <w:t>$17,963</w:t>
            </w:r>
          </w:p>
        </w:tc>
      </w:tr>
      <w:tr w:rsidR="00254D1D" w14:paraId="685084FE" w14:textId="77777777">
        <w:trPr>
          <w:trHeight w:val="300"/>
        </w:trPr>
        <w:tc>
          <w:tcPr>
            <w:tcW w:w="3397" w:type="dxa"/>
            <w:noWrap/>
          </w:tcPr>
          <w:p w14:paraId="23CDACDE" w14:textId="77777777" w:rsidR="00254D1D" w:rsidRPr="00267194" w:rsidRDefault="00254D1D">
            <w:pPr>
              <w:rPr>
                <w:sz w:val="18"/>
                <w:szCs w:val="18"/>
              </w:rPr>
            </w:pPr>
            <w:r>
              <w:rPr>
                <w:rFonts w:cs="Arial"/>
                <w:sz w:val="18"/>
                <w:szCs w:val="18"/>
              </w:rPr>
              <w:t>The Camperdown Compost Company</w:t>
            </w:r>
          </w:p>
        </w:tc>
        <w:tc>
          <w:tcPr>
            <w:tcW w:w="3969" w:type="dxa"/>
            <w:noWrap/>
          </w:tcPr>
          <w:p w14:paraId="246D86A2" w14:textId="77777777" w:rsidR="00254D1D" w:rsidRPr="00267194" w:rsidRDefault="00254D1D">
            <w:pPr>
              <w:rPr>
                <w:sz w:val="18"/>
                <w:szCs w:val="18"/>
              </w:rPr>
            </w:pPr>
            <w:r w:rsidRPr="00E3326C">
              <w:rPr>
                <w:rFonts w:cs="Arial"/>
                <w:sz w:val="18"/>
                <w:szCs w:val="18"/>
              </w:rPr>
              <w:t>Camperdown Compost Site Upgrade Stage 2</w:t>
            </w:r>
          </w:p>
        </w:tc>
        <w:tc>
          <w:tcPr>
            <w:tcW w:w="1589" w:type="dxa"/>
            <w:noWrap/>
          </w:tcPr>
          <w:p w14:paraId="18D2C15B" w14:textId="77777777" w:rsidR="00254D1D" w:rsidRPr="00267194" w:rsidRDefault="00254D1D">
            <w:pPr>
              <w:rPr>
                <w:sz w:val="18"/>
                <w:szCs w:val="18"/>
              </w:rPr>
            </w:pPr>
            <w:r>
              <w:rPr>
                <w:sz w:val="18"/>
                <w:szCs w:val="18"/>
              </w:rPr>
              <w:t>$43,750</w:t>
            </w:r>
          </w:p>
        </w:tc>
      </w:tr>
      <w:tr w:rsidR="00254D1D" w14:paraId="3E888543" w14:textId="77777777">
        <w:trPr>
          <w:trHeight w:val="300"/>
        </w:trPr>
        <w:tc>
          <w:tcPr>
            <w:tcW w:w="3397" w:type="dxa"/>
            <w:noWrap/>
          </w:tcPr>
          <w:p w14:paraId="740AE24E" w14:textId="77777777" w:rsidR="00254D1D" w:rsidRPr="00267194" w:rsidRDefault="00254D1D">
            <w:pPr>
              <w:rPr>
                <w:sz w:val="18"/>
                <w:szCs w:val="18"/>
              </w:rPr>
            </w:pPr>
            <w:r>
              <w:rPr>
                <w:rFonts w:cs="Arial"/>
                <w:sz w:val="18"/>
                <w:szCs w:val="18"/>
              </w:rPr>
              <w:t>The Camperdown Compost Company</w:t>
            </w:r>
          </w:p>
        </w:tc>
        <w:tc>
          <w:tcPr>
            <w:tcW w:w="3969" w:type="dxa"/>
            <w:noWrap/>
          </w:tcPr>
          <w:p w14:paraId="6098C8F7" w14:textId="77777777" w:rsidR="00254D1D" w:rsidRPr="00267194" w:rsidRDefault="00254D1D">
            <w:pPr>
              <w:rPr>
                <w:sz w:val="18"/>
                <w:szCs w:val="18"/>
              </w:rPr>
            </w:pPr>
            <w:r w:rsidRPr="00114428">
              <w:rPr>
                <w:rFonts w:cs="Arial"/>
                <w:sz w:val="18"/>
                <w:szCs w:val="18"/>
              </w:rPr>
              <w:t>Camperdown Compost Marketing Development</w:t>
            </w:r>
          </w:p>
        </w:tc>
        <w:tc>
          <w:tcPr>
            <w:tcW w:w="1589" w:type="dxa"/>
            <w:noWrap/>
          </w:tcPr>
          <w:p w14:paraId="606284AB" w14:textId="77777777" w:rsidR="00254D1D" w:rsidRPr="00267194" w:rsidRDefault="00254D1D">
            <w:pPr>
              <w:rPr>
                <w:sz w:val="18"/>
                <w:szCs w:val="18"/>
              </w:rPr>
            </w:pPr>
            <w:r>
              <w:rPr>
                <w:sz w:val="18"/>
                <w:szCs w:val="18"/>
              </w:rPr>
              <w:t>$7,000</w:t>
            </w:r>
          </w:p>
        </w:tc>
      </w:tr>
      <w:tr w:rsidR="00254D1D" w14:paraId="6919B25D" w14:textId="77777777">
        <w:trPr>
          <w:trHeight w:val="300"/>
        </w:trPr>
        <w:tc>
          <w:tcPr>
            <w:tcW w:w="3397" w:type="dxa"/>
            <w:noWrap/>
          </w:tcPr>
          <w:p w14:paraId="166D3FD2" w14:textId="77777777" w:rsidR="00254D1D" w:rsidRPr="00A823FA" w:rsidRDefault="00254D1D">
            <w:pPr>
              <w:rPr>
                <w:sz w:val="18"/>
                <w:szCs w:val="20"/>
              </w:rPr>
            </w:pPr>
            <w:r w:rsidRPr="00A823FA">
              <w:rPr>
                <w:sz w:val="18"/>
                <w:szCs w:val="20"/>
              </w:rPr>
              <w:t>The Frank Wild Pty Ltd</w:t>
            </w:r>
          </w:p>
        </w:tc>
        <w:tc>
          <w:tcPr>
            <w:tcW w:w="3969" w:type="dxa"/>
            <w:noWrap/>
          </w:tcPr>
          <w:p w14:paraId="78362504" w14:textId="77777777" w:rsidR="00254D1D" w:rsidRPr="00A823FA" w:rsidRDefault="00254D1D">
            <w:pPr>
              <w:rPr>
                <w:sz w:val="18"/>
                <w:szCs w:val="20"/>
              </w:rPr>
            </w:pPr>
            <w:r w:rsidRPr="00A823FA">
              <w:rPr>
                <w:sz w:val="18"/>
                <w:szCs w:val="20"/>
              </w:rPr>
              <w:t>Gate to Glass - Circular Wine Solutions for Events</w:t>
            </w:r>
          </w:p>
        </w:tc>
        <w:tc>
          <w:tcPr>
            <w:tcW w:w="1589" w:type="dxa"/>
            <w:noWrap/>
          </w:tcPr>
          <w:p w14:paraId="50370077" w14:textId="77777777" w:rsidR="00254D1D" w:rsidRPr="003D6E0C" w:rsidRDefault="00254D1D">
            <w:r w:rsidRPr="003D6E0C">
              <w:rPr>
                <w:sz w:val="18"/>
                <w:szCs w:val="20"/>
              </w:rPr>
              <w:t>$58,500</w:t>
            </w:r>
          </w:p>
        </w:tc>
      </w:tr>
      <w:tr w:rsidR="00254D1D" w14:paraId="02A17EA2" w14:textId="77777777">
        <w:trPr>
          <w:trHeight w:val="300"/>
        </w:trPr>
        <w:tc>
          <w:tcPr>
            <w:tcW w:w="3397" w:type="dxa"/>
            <w:noWrap/>
          </w:tcPr>
          <w:p w14:paraId="19DC9186" w14:textId="77777777" w:rsidR="00254D1D" w:rsidRPr="00A823FA" w:rsidRDefault="00254D1D">
            <w:pPr>
              <w:rPr>
                <w:sz w:val="18"/>
                <w:szCs w:val="20"/>
              </w:rPr>
            </w:pPr>
            <w:r w:rsidRPr="00D502AA">
              <w:rPr>
                <w:sz w:val="18"/>
                <w:szCs w:val="20"/>
              </w:rPr>
              <w:t xml:space="preserve">The Partners of S.J Thomas &amp; J Yap (Untwine) </w:t>
            </w:r>
          </w:p>
        </w:tc>
        <w:tc>
          <w:tcPr>
            <w:tcW w:w="3969" w:type="dxa"/>
            <w:noWrap/>
          </w:tcPr>
          <w:p w14:paraId="3DC77F32" w14:textId="77777777" w:rsidR="00254D1D" w:rsidRPr="00A823FA" w:rsidRDefault="00254D1D">
            <w:pPr>
              <w:rPr>
                <w:sz w:val="18"/>
                <w:szCs w:val="20"/>
              </w:rPr>
            </w:pPr>
            <w:proofErr w:type="spellStart"/>
            <w:r w:rsidRPr="00D502AA">
              <w:rPr>
                <w:sz w:val="18"/>
                <w:szCs w:val="20"/>
              </w:rPr>
              <w:t>ZeroTag</w:t>
            </w:r>
            <w:proofErr w:type="spellEnd"/>
            <w:r w:rsidRPr="00D502AA">
              <w:rPr>
                <w:sz w:val="18"/>
                <w:szCs w:val="20"/>
              </w:rPr>
              <w:t xml:space="preserve"> – a Passport for Reuse Systems </w:t>
            </w:r>
          </w:p>
        </w:tc>
        <w:tc>
          <w:tcPr>
            <w:tcW w:w="1589" w:type="dxa"/>
            <w:noWrap/>
          </w:tcPr>
          <w:p w14:paraId="29677FE0" w14:textId="77777777" w:rsidR="00254D1D" w:rsidRPr="003D6E0C" w:rsidRDefault="00254D1D">
            <w:pPr>
              <w:rPr>
                <w:sz w:val="18"/>
                <w:szCs w:val="20"/>
              </w:rPr>
            </w:pPr>
            <w:r w:rsidRPr="65E029B8">
              <w:rPr>
                <w:sz w:val="18"/>
                <w:szCs w:val="18"/>
              </w:rPr>
              <w:t>$5,445</w:t>
            </w:r>
          </w:p>
        </w:tc>
      </w:tr>
      <w:tr w:rsidR="00254D1D" w14:paraId="7194AA22" w14:textId="77777777">
        <w:trPr>
          <w:trHeight w:val="300"/>
        </w:trPr>
        <w:tc>
          <w:tcPr>
            <w:tcW w:w="3397" w:type="dxa"/>
            <w:noWrap/>
          </w:tcPr>
          <w:p w14:paraId="0883C08E" w14:textId="77777777" w:rsidR="00254D1D" w:rsidRPr="006A274C" w:rsidRDefault="00254D1D">
            <w:pPr>
              <w:rPr>
                <w:sz w:val="18"/>
                <w:szCs w:val="20"/>
              </w:rPr>
            </w:pPr>
            <w:r w:rsidRPr="006A274C">
              <w:rPr>
                <w:sz w:val="18"/>
                <w:szCs w:val="20"/>
              </w:rPr>
              <w:t>The Trustee for The Salvation Army (Victoria) Property Trust</w:t>
            </w:r>
          </w:p>
        </w:tc>
        <w:tc>
          <w:tcPr>
            <w:tcW w:w="3969" w:type="dxa"/>
            <w:noWrap/>
          </w:tcPr>
          <w:p w14:paraId="417EC7CD" w14:textId="77777777" w:rsidR="00254D1D" w:rsidRPr="006A274C" w:rsidRDefault="00254D1D">
            <w:pPr>
              <w:rPr>
                <w:sz w:val="18"/>
                <w:szCs w:val="20"/>
              </w:rPr>
            </w:pPr>
            <w:r w:rsidRPr="006A274C">
              <w:rPr>
                <w:sz w:val="18"/>
                <w:szCs w:val="20"/>
              </w:rPr>
              <w:t>Salvos Stores Electronics Circularity Best Practice</w:t>
            </w:r>
          </w:p>
        </w:tc>
        <w:tc>
          <w:tcPr>
            <w:tcW w:w="1589" w:type="dxa"/>
            <w:noWrap/>
          </w:tcPr>
          <w:p w14:paraId="37C3E77E" w14:textId="77777777" w:rsidR="00254D1D" w:rsidRPr="006A274C" w:rsidRDefault="00254D1D">
            <w:pPr>
              <w:rPr>
                <w:sz w:val="18"/>
                <w:szCs w:val="20"/>
              </w:rPr>
            </w:pPr>
            <w:r w:rsidRPr="006A274C">
              <w:rPr>
                <w:sz w:val="18"/>
                <w:szCs w:val="20"/>
              </w:rPr>
              <w:t>$32,400</w:t>
            </w:r>
          </w:p>
        </w:tc>
      </w:tr>
      <w:tr w:rsidR="00254D1D" w14:paraId="29AA53FB" w14:textId="77777777">
        <w:trPr>
          <w:trHeight w:val="300"/>
        </w:trPr>
        <w:tc>
          <w:tcPr>
            <w:tcW w:w="3397" w:type="dxa"/>
            <w:noWrap/>
          </w:tcPr>
          <w:p w14:paraId="6F4FC0A0" w14:textId="77777777" w:rsidR="00254D1D" w:rsidRPr="00843D20" w:rsidRDefault="00254D1D">
            <w:pPr>
              <w:rPr>
                <w:sz w:val="18"/>
                <w:szCs w:val="20"/>
              </w:rPr>
            </w:pPr>
            <w:r>
              <w:rPr>
                <w:sz w:val="18"/>
                <w:szCs w:val="20"/>
              </w:rPr>
              <w:t>Total Viticulture Solutions Pty Ltd</w:t>
            </w:r>
          </w:p>
        </w:tc>
        <w:tc>
          <w:tcPr>
            <w:tcW w:w="3969" w:type="dxa"/>
            <w:noWrap/>
          </w:tcPr>
          <w:p w14:paraId="619DB814" w14:textId="77777777" w:rsidR="00254D1D" w:rsidRPr="00843D20" w:rsidRDefault="00254D1D">
            <w:pPr>
              <w:rPr>
                <w:sz w:val="18"/>
                <w:szCs w:val="20"/>
              </w:rPr>
            </w:pPr>
            <w:r w:rsidRPr="00843D20">
              <w:rPr>
                <w:sz w:val="18"/>
                <w:szCs w:val="20"/>
              </w:rPr>
              <w:t>TVS - Agriculture Compost Market Expansion</w:t>
            </w:r>
          </w:p>
        </w:tc>
        <w:tc>
          <w:tcPr>
            <w:tcW w:w="1589" w:type="dxa"/>
            <w:noWrap/>
          </w:tcPr>
          <w:p w14:paraId="7AABBE24" w14:textId="77777777" w:rsidR="00254D1D" w:rsidRPr="00843D20" w:rsidRDefault="00254D1D">
            <w:pPr>
              <w:rPr>
                <w:sz w:val="18"/>
                <w:szCs w:val="20"/>
              </w:rPr>
            </w:pPr>
            <w:r w:rsidRPr="00843D20">
              <w:rPr>
                <w:sz w:val="18"/>
                <w:szCs w:val="20"/>
              </w:rPr>
              <w:t>$40,000</w:t>
            </w:r>
          </w:p>
        </w:tc>
      </w:tr>
      <w:tr w:rsidR="00254D1D" w14:paraId="753A38B8" w14:textId="77777777">
        <w:trPr>
          <w:trHeight w:val="300"/>
        </w:trPr>
        <w:tc>
          <w:tcPr>
            <w:tcW w:w="3397" w:type="dxa"/>
            <w:noWrap/>
          </w:tcPr>
          <w:p w14:paraId="0664830D" w14:textId="77777777" w:rsidR="00254D1D" w:rsidRPr="006D66F8" w:rsidRDefault="00254D1D">
            <w:pPr>
              <w:rPr>
                <w:sz w:val="18"/>
                <w:szCs w:val="20"/>
              </w:rPr>
            </w:pPr>
            <w:r w:rsidRPr="006D66F8">
              <w:rPr>
                <w:sz w:val="18"/>
                <w:szCs w:val="20"/>
              </w:rPr>
              <w:t>Timboon Golf Club Inc</w:t>
            </w:r>
          </w:p>
        </w:tc>
        <w:tc>
          <w:tcPr>
            <w:tcW w:w="3969" w:type="dxa"/>
            <w:noWrap/>
          </w:tcPr>
          <w:p w14:paraId="59044C68" w14:textId="77777777" w:rsidR="00254D1D" w:rsidRPr="006D66F8" w:rsidRDefault="00254D1D">
            <w:pPr>
              <w:rPr>
                <w:sz w:val="18"/>
                <w:szCs w:val="20"/>
              </w:rPr>
            </w:pPr>
            <w:r w:rsidRPr="006D66F8">
              <w:rPr>
                <w:sz w:val="18"/>
                <w:szCs w:val="20"/>
              </w:rPr>
              <w:t>CCCEA RD3 Energy Efficiency Upgrades - Timboon Golf Club Inc</w:t>
            </w:r>
          </w:p>
        </w:tc>
        <w:tc>
          <w:tcPr>
            <w:tcW w:w="1589" w:type="dxa"/>
            <w:noWrap/>
          </w:tcPr>
          <w:p w14:paraId="14F424F3" w14:textId="77777777" w:rsidR="00254D1D" w:rsidRPr="006D66F8" w:rsidRDefault="00254D1D">
            <w:pPr>
              <w:rPr>
                <w:sz w:val="18"/>
                <w:szCs w:val="20"/>
              </w:rPr>
            </w:pPr>
            <w:r w:rsidRPr="006D66F8">
              <w:rPr>
                <w:sz w:val="18"/>
                <w:szCs w:val="20"/>
              </w:rPr>
              <w:t>$625</w:t>
            </w:r>
          </w:p>
        </w:tc>
      </w:tr>
      <w:tr w:rsidR="00254D1D" w14:paraId="46303B79" w14:textId="77777777">
        <w:trPr>
          <w:trHeight w:val="300"/>
        </w:trPr>
        <w:tc>
          <w:tcPr>
            <w:tcW w:w="3397" w:type="dxa"/>
            <w:noWrap/>
          </w:tcPr>
          <w:p w14:paraId="559EDEC2" w14:textId="77777777" w:rsidR="00254D1D" w:rsidRPr="003755F1" w:rsidRDefault="00254D1D">
            <w:pPr>
              <w:rPr>
                <w:sz w:val="18"/>
                <w:szCs w:val="20"/>
              </w:rPr>
            </w:pPr>
            <w:r w:rsidRPr="003755F1">
              <w:rPr>
                <w:sz w:val="18"/>
                <w:szCs w:val="20"/>
              </w:rPr>
              <w:t>Towong Shire Council</w:t>
            </w:r>
          </w:p>
        </w:tc>
        <w:tc>
          <w:tcPr>
            <w:tcW w:w="3969" w:type="dxa"/>
            <w:noWrap/>
          </w:tcPr>
          <w:p w14:paraId="4AD49251" w14:textId="77777777" w:rsidR="00254D1D" w:rsidRPr="003755F1" w:rsidRDefault="00254D1D">
            <w:pPr>
              <w:rPr>
                <w:sz w:val="18"/>
                <w:szCs w:val="20"/>
              </w:rPr>
            </w:pPr>
            <w:r w:rsidRPr="003755F1">
              <w:rPr>
                <w:sz w:val="18"/>
                <w:szCs w:val="20"/>
              </w:rPr>
              <w:t>Towong Shire's Rural Waste Education for Glass and FOGO transition</w:t>
            </w:r>
          </w:p>
        </w:tc>
        <w:tc>
          <w:tcPr>
            <w:tcW w:w="1589" w:type="dxa"/>
            <w:noWrap/>
          </w:tcPr>
          <w:p w14:paraId="57FDFF19" w14:textId="77777777" w:rsidR="00254D1D" w:rsidRPr="003755F1" w:rsidRDefault="00254D1D">
            <w:pPr>
              <w:rPr>
                <w:sz w:val="18"/>
                <w:szCs w:val="20"/>
              </w:rPr>
            </w:pPr>
            <w:r w:rsidRPr="003755F1">
              <w:rPr>
                <w:sz w:val="18"/>
                <w:szCs w:val="20"/>
              </w:rPr>
              <w:t>$20,188</w:t>
            </w:r>
          </w:p>
        </w:tc>
      </w:tr>
      <w:tr w:rsidR="00254D1D" w14:paraId="38072D0D" w14:textId="77777777">
        <w:trPr>
          <w:trHeight w:val="300"/>
        </w:trPr>
        <w:tc>
          <w:tcPr>
            <w:tcW w:w="3397" w:type="dxa"/>
            <w:noWrap/>
          </w:tcPr>
          <w:p w14:paraId="43665F2F" w14:textId="77777777" w:rsidR="00254D1D" w:rsidRDefault="00254D1D">
            <w:pPr>
              <w:rPr>
                <w:sz w:val="18"/>
                <w:szCs w:val="18"/>
              </w:rPr>
            </w:pPr>
            <w:r w:rsidRPr="0095206A">
              <w:rPr>
                <w:sz w:val="18"/>
                <w:szCs w:val="18"/>
              </w:rPr>
              <w:t xml:space="preserve">Two Flowers Pty Ltd </w:t>
            </w:r>
          </w:p>
          <w:p w14:paraId="495E59D4" w14:textId="77777777" w:rsidR="00254D1D" w:rsidRPr="0095206A" w:rsidRDefault="00254D1D">
            <w:pPr>
              <w:rPr>
                <w:sz w:val="18"/>
                <w:szCs w:val="18"/>
              </w:rPr>
            </w:pPr>
            <w:r w:rsidRPr="0095206A">
              <w:rPr>
                <w:sz w:val="18"/>
                <w:szCs w:val="18"/>
              </w:rPr>
              <w:t xml:space="preserve">(Resilience Farming) </w:t>
            </w:r>
          </w:p>
        </w:tc>
        <w:tc>
          <w:tcPr>
            <w:tcW w:w="3969" w:type="dxa"/>
            <w:noWrap/>
          </w:tcPr>
          <w:p w14:paraId="43A8E5FE" w14:textId="77777777" w:rsidR="00254D1D" w:rsidRPr="0095206A" w:rsidRDefault="00254D1D">
            <w:pPr>
              <w:rPr>
                <w:sz w:val="18"/>
                <w:szCs w:val="18"/>
              </w:rPr>
            </w:pPr>
            <w:r w:rsidRPr="0095206A">
              <w:rPr>
                <w:sz w:val="18"/>
                <w:szCs w:val="18"/>
              </w:rPr>
              <w:t xml:space="preserve">Receival and Storage Bunkers – </w:t>
            </w:r>
            <w:r w:rsidRPr="0095206A">
              <w:rPr>
                <w:rFonts w:cs="DIN Next LT Pro Light"/>
                <w:color w:val="000000"/>
                <w:sz w:val="18"/>
                <w:szCs w:val="18"/>
              </w:rPr>
              <w:t>improving the access and distribution of recycled organic products</w:t>
            </w:r>
          </w:p>
        </w:tc>
        <w:tc>
          <w:tcPr>
            <w:tcW w:w="1589" w:type="dxa"/>
            <w:noWrap/>
          </w:tcPr>
          <w:p w14:paraId="418C2228" w14:textId="77777777" w:rsidR="00254D1D" w:rsidRPr="002C77E2" w:rsidRDefault="00254D1D">
            <w:pPr>
              <w:rPr>
                <w:sz w:val="18"/>
                <w:szCs w:val="18"/>
              </w:rPr>
            </w:pPr>
            <w:r w:rsidRPr="002C77E2">
              <w:rPr>
                <w:sz w:val="18"/>
                <w:szCs w:val="18"/>
              </w:rPr>
              <w:t>$11,200</w:t>
            </w:r>
          </w:p>
        </w:tc>
      </w:tr>
      <w:tr w:rsidR="00254D1D" w14:paraId="4C3BAC78" w14:textId="77777777">
        <w:trPr>
          <w:trHeight w:val="300"/>
        </w:trPr>
        <w:tc>
          <w:tcPr>
            <w:tcW w:w="3397" w:type="dxa"/>
            <w:noWrap/>
          </w:tcPr>
          <w:p w14:paraId="0658215F" w14:textId="77777777" w:rsidR="00254D1D" w:rsidRPr="00AA404E" w:rsidRDefault="00254D1D">
            <w:pPr>
              <w:rPr>
                <w:sz w:val="18"/>
                <w:szCs w:val="20"/>
              </w:rPr>
            </w:pPr>
            <w:r w:rsidRPr="00AA404E">
              <w:rPr>
                <w:sz w:val="18"/>
                <w:szCs w:val="20"/>
              </w:rPr>
              <w:t>Union Pastoral Pty Ltd</w:t>
            </w:r>
          </w:p>
          <w:p w14:paraId="7E04DE39" w14:textId="77777777" w:rsidR="00254D1D" w:rsidRPr="00AA404E" w:rsidRDefault="00254D1D">
            <w:pPr>
              <w:rPr>
                <w:sz w:val="18"/>
                <w:szCs w:val="20"/>
              </w:rPr>
            </w:pPr>
          </w:p>
        </w:tc>
        <w:tc>
          <w:tcPr>
            <w:tcW w:w="3969" w:type="dxa"/>
            <w:noWrap/>
          </w:tcPr>
          <w:p w14:paraId="1BCE3110" w14:textId="77777777" w:rsidR="00254D1D" w:rsidRPr="00AA404E" w:rsidRDefault="00254D1D">
            <w:pPr>
              <w:rPr>
                <w:sz w:val="18"/>
                <w:szCs w:val="20"/>
              </w:rPr>
            </w:pPr>
            <w:r w:rsidRPr="00AA404E">
              <w:rPr>
                <w:sz w:val="18"/>
                <w:szCs w:val="20"/>
              </w:rPr>
              <w:t>Union Methane Reduction Strategy</w:t>
            </w:r>
          </w:p>
        </w:tc>
        <w:tc>
          <w:tcPr>
            <w:tcW w:w="1589" w:type="dxa"/>
            <w:noWrap/>
          </w:tcPr>
          <w:p w14:paraId="503CEC22" w14:textId="77777777" w:rsidR="00254D1D" w:rsidRPr="00AA404E" w:rsidRDefault="00254D1D">
            <w:pPr>
              <w:rPr>
                <w:sz w:val="18"/>
                <w:szCs w:val="20"/>
              </w:rPr>
            </w:pPr>
            <w:r w:rsidRPr="00AA404E">
              <w:rPr>
                <w:sz w:val="18"/>
                <w:szCs w:val="20"/>
              </w:rPr>
              <w:t>$10,000</w:t>
            </w:r>
          </w:p>
        </w:tc>
      </w:tr>
      <w:tr w:rsidR="00254D1D" w14:paraId="3E4FE237" w14:textId="77777777">
        <w:trPr>
          <w:trHeight w:val="300"/>
        </w:trPr>
        <w:tc>
          <w:tcPr>
            <w:tcW w:w="3397" w:type="dxa"/>
            <w:noWrap/>
          </w:tcPr>
          <w:p w14:paraId="28544273" w14:textId="77777777" w:rsidR="00254D1D" w:rsidRPr="000B036C" w:rsidRDefault="00254D1D">
            <w:pPr>
              <w:rPr>
                <w:sz w:val="18"/>
                <w:szCs w:val="20"/>
              </w:rPr>
            </w:pPr>
            <w:r w:rsidRPr="000B036C">
              <w:rPr>
                <w:sz w:val="18"/>
                <w:szCs w:val="20"/>
              </w:rPr>
              <w:t>University of Melbourne</w:t>
            </w:r>
          </w:p>
        </w:tc>
        <w:tc>
          <w:tcPr>
            <w:tcW w:w="3969" w:type="dxa"/>
            <w:noWrap/>
          </w:tcPr>
          <w:p w14:paraId="4385FADD" w14:textId="77777777" w:rsidR="00254D1D" w:rsidRPr="000B036C" w:rsidRDefault="00254D1D">
            <w:pPr>
              <w:rPr>
                <w:sz w:val="18"/>
                <w:szCs w:val="20"/>
              </w:rPr>
            </w:pPr>
            <w:r>
              <w:rPr>
                <w:sz w:val="18"/>
                <w:szCs w:val="20"/>
              </w:rPr>
              <w:t xml:space="preserve">CE </w:t>
            </w:r>
            <w:r w:rsidRPr="000B036C">
              <w:rPr>
                <w:sz w:val="18"/>
                <w:szCs w:val="20"/>
              </w:rPr>
              <w:t>Innovation-A Novel, Extended-Use Infection Protection Gown</w:t>
            </w:r>
          </w:p>
        </w:tc>
        <w:tc>
          <w:tcPr>
            <w:tcW w:w="1589" w:type="dxa"/>
            <w:noWrap/>
          </w:tcPr>
          <w:p w14:paraId="05F5B5E6" w14:textId="77777777" w:rsidR="00254D1D" w:rsidRPr="000B036C" w:rsidRDefault="00254D1D">
            <w:pPr>
              <w:rPr>
                <w:sz w:val="18"/>
                <w:szCs w:val="20"/>
              </w:rPr>
            </w:pPr>
            <w:r w:rsidRPr="000B036C">
              <w:rPr>
                <w:sz w:val="18"/>
                <w:szCs w:val="20"/>
              </w:rPr>
              <w:t>$40,000</w:t>
            </w:r>
          </w:p>
        </w:tc>
      </w:tr>
      <w:tr w:rsidR="00254D1D" w14:paraId="083D03E5" w14:textId="77777777">
        <w:trPr>
          <w:trHeight w:val="300"/>
        </w:trPr>
        <w:tc>
          <w:tcPr>
            <w:tcW w:w="3397" w:type="dxa"/>
            <w:noWrap/>
          </w:tcPr>
          <w:p w14:paraId="19A63186" w14:textId="77777777" w:rsidR="00254D1D" w:rsidRPr="000B036C" w:rsidRDefault="00254D1D">
            <w:pPr>
              <w:rPr>
                <w:sz w:val="18"/>
                <w:szCs w:val="20"/>
              </w:rPr>
            </w:pPr>
            <w:r w:rsidRPr="000B036C">
              <w:rPr>
                <w:sz w:val="18"/>
                <w:szCs w:val="20"/>
              </w:rPr>
              <w:t>University of Melbourne</w:t>
            </w:r>
          </w:p>
        </w:tc>
        <w:tc>
          <w:tcPr>
            <w:tcW w:w="3969" w:type="dxa"/>
            <w:noWrap/>
          </w:tcPr>
          <w:p w14:paraId="17C6977B" w14:textId="77777777" w:rsidR="00254D1D" w:rsidRPr="000B036C" w:rsidRDefault="00254D1D">
            <w:pPr>
              <w:rPr>
                <w:sz w:val="18"/>
                <w:szCs w:val="20"/>
              </w:rPr>
            </w:pPr>
            <w:r w:rsidRPr="000B036C">
              <w:rPr>
                <w:sz w:val="18"/>
                <w:szCs w:val="20"/>
              </w:rPr>
              <w:t>Innovative Advanced Catalytic Microwave Pyrolysis for Recycling Polystyrene Waste</w:t>
            </w:r>
          </w:p>
        </w:tc>
        <w:tc>
          <w:tcPr>
            <w:tcW w:w="1589" w:type="dxa"/>
            <w:noWrap/>
          </w:tcPr>
          <w:p w14:paraId="38AE0D32" w14:textId="77777777" w:rsidR="00254D1D" w:rsidRPr="000B036C" w:rsidRDefault="00254D1D">
            <w:pPr>
              <w:rPr>
                <w:sz w:val="18"/>
                <w:szCs w:val="20"/>
              </w:rPr>
            </w:pPr>
            <w:r w:rsidRPr="000B036C">
              <w:rPr>
                <w:sz w:val="18"/>
                <w:szCs w:val="20"/>
              </w:rPr>
              <w:t>$60,000</w:t>
            </w:r>
          </w:p>
        </w:tc>
      </w:tr>
      <w:tr w:rsidR="00254D1D" w14:paraId="1CB35DF1" w14:textId="77777777">
        <w:trPr>
          <w:trHeight w:val="300"/>
        </w:trPr>
        <w:tc>
          <w:tcPr>
            <w:tcW w:w="3397" w:type="dxa"/>
            <w:noWrap/>
          </w:tcPr>
          <w:p w14:paraId="27CB1BAB" w14:textId="77777777" w:rsidR="00254D1D" w:rsidRPr="000B036C" w:rsidRDefault="00254D1D">
            <w:pPr>
              <w:rPr>
                <w:sz w:val="18"/>
                <w:szCs w:val="20"/>
              </w:rPr>
            </w:pPr>
            <w:r w:rsidRPr="000B036C">
              <w:rPr>
                <w:sz w:val="18"/>
                <w:szCs w:val="20"/>
              </w:rPr>
              <w:t>University of Melbourne</w:t>
            </w:r>
          </w:p>
        </w:tc>
        <w:tc>
          <w:tcPr>
            <w:tcW w:w="3969" w:type="dxa"/>
            <w:noWrap/>
          </w:tcPr>
          <w:p w14:paraId="35F140CB" w14:textId="77777777" w:rsidR="00254D1D" w:rsidRPr="000B036C" w:rsidRDefault="00254D1D">
            <w:pPr>
              <w:rPr>
                <w:sz w:val="18"/>
                <w:szCs w:val="20"/>
              </w:rPr>
            </w:pPr>
            <w:r w:rsidRPr="000B036C">
              <w:rPr>
                <w:sz w:val="18"/>
                <w:szCs w:val="20"/>
              </w:rPr>
              <w:t>Waste Tyre Permeable Kerbs; Design, Testing and Field Monitoring</w:t>
            </w:r>
          </w:p>
        </w:tc>
        <w:tc>
          <w:tcPr>
            <w:tcW w:w="1589" w:type="dxa"/>
            <w:noWrap/>
          </w:tcPr>
          <w:p w14:paraId="034F8524" w14:textId="77777777" w:rsidR="00254D1D" w:rsidRPr="000B036C" w:rsidRDefault="00254D1D">
            <w:pPr>
              <w:rPr>
                <w:sz w:val="18"/>
                <w:szCs w:val="20"/>
              </w:rPr>
            </w:pPr>
            <w:r w:rsidRPr="000B036C">
              <w:rPr>
                <w:sz w:val="18"/>
                <w:szCs w:val="20"/>
              </w:rPr>
              <w:t>$200,000</w:t>
            </w:r>
          </w:p>
        </w:tc>
      </w:tr>
      <w:tr w:rsidR="00254D1D" w14:paraId="421433DE" w14:textId="77777777">
        <w:trPr>
          <w:trHeight w:val="300"/>
        </w:trPr>
        <w:tc>
          <w:tcPr>
            <w:tcW w:w="3397" w:type="dxa"/>
            <w:noWrap/>
          </w:tcPr>
          <w:p w14:paraId="2827B24F" w14:textId="77777777" w:rsidR="00254D1D" w:rsidRPr="00D502AA" w:rsidRDefault="00254D1D">
            <w:pPr>
              <w:rPr>
                <w:sz w:val="18"/>
                <w:szCs w:val="20"/>
              </w:rPr>
            </w:pPr>
            <w:r w:rsidRPr="00D502AA">
              <w:rPr>
                <w:sz w:val="18"/>
                <w:szCs w:val="20"/>
              </w:rPr>
              <w:t>University of Melbourne</w:t>
            </w:r>
          </w:p>
        </w:tc>
        <w:tc>
          <w:tcPr>
            <w:tcW w:w="3969" w:type="dxa"/>
            <w:noWrap/>
          </w:tcPr>
          <w:p w14:paraId="15F03D52" w14:textId="77777777" w:rsidR="00254D1D" w:rsidRPr="00D502AA" w:rsidRDefault="00254D1D">
            <w:pPr>
              <w:rPr>
                <w:sz w:val="18"/>
                <w:szCs w:val="20"/>
              </w:rPr>
            </w:pPr>
            <w:r w:rsidRPr="00D502AA">
              <w:rPr>
                <w:sz w:val="18"/>
                <w:szCs w:val="20"/>
              </w:rPr>
              <w:t>Educational Institution Post-Consumer Plastic Packaging to Additive Manufacturing</w:t>
            </w:r>
          </w:p>
        </w:tc>
        <w:tc>
          <w:tcPr>
            <w:tcW w:w="1589" w:type="dxa"/>
            <w:noWrap/>
          </w:tcPr>
          <w:p w14:paraId="3C6D243E" w14:textId="77777777" w:rsidR="00254D1D" w:rsidRPr="00D502AA" w:rsidRDefault="00254D1D">
            <w:pPr>
              <w:rPr>
                <w:sz w:val="18"/>
                <w:szCs w:val="20"/>
              </w:rPr>
            </w:pPr>
            <w:r w:rsidRPr="00D502AA">
              <w:rPr>
                <w:sz w:val="18"/>
                <w:szCs w:val="20"/>
              </w:rPr>
              <w:t>$80,000</w:t>
            </w:r>
          </w:p>
        </w:tc>
      </w:tr>
      <w:tr w:rsidR="00254D1D" w14:paraId="19F1437D" w14:textId="77777777">
        <w:trPr>
          <w:trHeight w:val="300"/>
        </w:trPr>
        <w:tc>
          <w:tcPr>
            <w:tcW w:w="3397" w:type="dxa"/>
            <w:noWrap/>
          </w:tcPr>
          <w:p w14:paraId="1C16A138" w14:textId="77777777" w:rsidR="00254D1D" w:rsidRPr="0036670D" w:rsidRDefault="00254D1D">
            <w:pPr>
              <w:rPr>
                <w:sz w:val="18"/>
                <w:szCs w:val="20"/>
              </w:rPr>
            </w:pPr>
            <w:r w:rsidRPr="0036670D">
              <w:rPr>
                <w:sz w:val="18"/>
                <w:szCs w:val="20"/>
              </w:rPr>
              <w:t>Upper Goulburn Landcare Network</w:t>
            </w:r>
          </w:p>
        </w:tc>
        <w:tc>
          <w:tcPr>
            <w:tcW w:w="3969" w:type="dxa"/>
            <w:noWrap/>
          </w:tcPr>
          <w:p w14:paraId="2B33A575" w14:textId="77777777" w:rsidR="00254D1D" w:rsidRPr="0036670D" w:rsidRDefault="00254D1D">
            <w:pPr>
              <w:rPr>
                <w:sz w:val="18"/>
                <w:szCs w:val="20"/>
              </w:rPr>
            </w:pPr>
            <w:r w:rsidRPr="0036670D">
              <w:rPr>
                <w:sz w:val="18"/>
                <w:szCs w:val="20"/>
              </w:rPr>
              <w:t xml:space="preserve">A </w:t>
            </w:r>
            <w:r>
              <w:rPr>
                <w:sz w:val="18"/>
                <w:szCs w:val="20"/>
              </w:rPr>
              <w:t>H</w:t>
            </w:r>
            <w:r w:rsidRPr="0036670D">
              <w:rPr>
                <w:sz w:val="18"/>
                <w:szCs w:val="20"/>
              </w:rPr>
              <w:t xml:space="preserve">ome for Alexandra </w:t>
            </w:r>
            <w:r>
              <w:rPr>
                <w:sz w:val="18"/>
                <w:szCs w:val="20"/>
              </w:rPr>
              <w:t>S</w:t>
            </w:r>
            <w:r w:rsidRPr="0036670D">
              <w:rPr>
                <w:sz w:val="18"/>
                <w:szCs w:val="20"/>
              </w:rPr>
              <w:t xml:space="preserve">oil </w:t>
            </w:r>
            <w:r>
              <w:rPr>
                <w:sz w:val="18"/>
                <w:szCs w:val="20"/>
              </w:rPr>
              <w:t>F</w:t>
            </w:r>
            <w:r w:rsidRPr="0036670D">
              <w:rPr>
                <w:sz w:val="18"/>
                <w:szCs w:val="20"/>
              </w:rPr>
              <w:t>ood</w:t>
            </w:r>
          </w:p>
        </w:tc>
        <w:tc>
          <w:tcPr>
            <w:tcW w:w="1589" w:type="dxa"/>
            <w:shd w:val="clear" w:color="auto" w:fill="auto"/>
            <w:noWrap/>
          </w:tcPr>
          <w:p w14:paraId="775F313F" w14:textId="77777777" w:rsidR="00254D1D" w:rsidRPr="0036670D" w:rsidRDefault="00254D1D">
            <w:pPr>
              <w:rPr>
                <w:sz w:val="18"/>
                <w:szCs w:val="18"/>
                <w:highlight w:val="yellow"/>
              </w:rPr>
            </w:pPr>
            <w:r w:rsidRPr="00754BC0">
              <w:rPr>
                <w:sz w:val="18"/>
                <w:szCs w:val="18"/>
              </w:rPr>
              <w:t>$14,300</w:t>
            </w:r>
          </w:p>
        </w:tc>
      </w:tr>
      <w:tr w:rsidR="00254D1D" w:rsidRPr="0012521E" w14:paraId="352C233F" w14:textId="77777777">
        <w:tc>
          <w:tcPr>
            <w:tcW w:w="3397" w:type="dxa"/>
            <w:noWrap/>
          </w:tcPr>
          <w:p w14:paraId="57B6C0CA" w14:textId="77777777" w:rsidR="00254D1D" w:rsidRPr="00246F13" w:rsidRDefault="00254D1D">
            <w:pPr>
              <w:pStyle w:val="TableText"/>
              <w:rPr>
                <w:rFonts w:ascii="Arial" w:hAnsi="Arial" w:cs="Arial"/>
                <w:sz w:val="18"/>
                <w:szCs w:val="18"/>
              </w:rPr>
            </w:pPr>
            <w:r>
              <w:rPr>
                <w:rFonts w:ascii="Arial" w:hAnsi="Arial" w:cs="Arial"/>
                <w:sz w:val="18"/>
                <w:szCs w:val="18"/>
              </w:rPr>
              <w:t>Van Schaik’s Bio Gro Pty Ltd</w:t>
            </w:r>
          </w:p>
        </w:tc>
        <w:tc>
          <w:tcPr>
            <w:tcW w:w="3969" w:type="dxa"/>
            <w:noWrap/>
          </w:tcPr>
          <w:p w14:paraId="190EEFEF" w14:textId="77777777" w:rsidR="00254D1D" w:rsidRPr="00FE0F10" w:rsidRDefault="00254D1D">
            <w:pPr>
              <w:pStyle w:val="TableText"/>
              <w:rPr>
                <w:rFonts w:ascii="Arial" w:hAnsi="Arial" w:cs="Arial"/>
                <w:sz w:val="18"/>
                <w:szCs w:val="18"/>
              </w:rPr>
            </w:pPr>
            <w:r w:rsidRPr="00E53C36">
              <w:rPr>
                <w:rFonts w:ascii="Arial" w:hAnsi="Arial" w:cs="Arial"/>
                <w:sz w:val="18"/>
                <w:szCs w:val="18"/>
              </w:rPr>
              <w:t>Bio Gro New Regional Organics Recovery &amp; Processing Facility</w:t>
            </w:r>
          </w:p>
        </w:tc>
        <w:tc>
          <w:tcPr>
            <w:tcW w:w="1589" w:type="dxa"/>
            <w:noWrap/>
          </w:tcPr>
          <w:p w14:paraId="6D176289" w14:textId="77777777" w:rsidR="00254D1D" w:rsidRDefault="00254D1D">
            <w:pPr>
              <w:pStyle w:val="Tablerightlarge"/>
              <w:jc w:val="left"/>
              <w:rPr>
                <w:sz w:val="18"/>
                <w:szCs w:val="18"/>
              </w:rPr>
            </w:pPr>
            <w:r>
              <w:rPr>
                <w:sz w:val="18"/>
                <w:szCs w:val="18"/>
              </w:rPr>
              <w:t>$763,875</w:t>
            </w:r>
          </w:p>
        </w:tc>
      </w:tr>
      <w:tr w:rsidR="00254D1D" w14:paraId="4F5B46FF" w14:textId="77777777">
        <w:trPr>
          <w:trHeight w:val="300"/>
        </w:trPr>
        <w:tc>
          <w:tcPr>
            <w:tcW w:w="3397" w:type="dxa"/>
            <w:noWrap/>
          </w:tcPr>
          <w:p w14:paraId="7950FCED" w14:textId="77777777" w:rsidR="00254D1D" w:rsidRPr="00A97483" w:rsidRDefault="00254D1D">
            <w:pPr>
              <w:rPr>
                <w:sz w:val="18"/>
                <w:szCs w:val="20"/>
              </w:rPr>
            </w:pPr>
            <w:r w:rsidRPr="00A97483">
              <w:rPr>
                <w:sz w:val="18"/>
                <w:szCs w:val="20"/>
              </w:rPr>
              <w:t>Victoria University</w:t>
            </w:r>
          </w:p>
        </w:tc>
        <w:tc>
          <w:tcPr>
            <w:tcW w:w="3969" w:type="dxa"/>
            <w:noWrap/>
          </w:tcPr>
          <w:p w14:paraId="33041685" w14:textId="77777777" w:rsidR="00254D1D" w:rsidRPr="007F4B84" w:rsidRDefault="00254D1D">
            <w:pPr>
              <w:rPr>
                <w:sz w:val="18"/>
                <w:szCs w:val="20"/>
              </w:rPr>
            </w:pPr>
            <w:r w:rsidRPr="007F4B84">
              <w:rPr>
                <w:sz w:val="18"/>
                <w:szCs w:val="20"/>
              </w:rPr>
              <w:t>Victoria University - Recycled Material Blends to Backfill Sewer Trenches in Trafficable Areas</w:t>
            </w:r>
          </w:p>
        </w:tc>
        <w:tc>
          <w:tcPr>
            <w:tcW w:w="1589" w:type="dxa"/>
            <w:noWrap/>
          </w:tcPr>
          <w:p w14:paraId="3EE0C110" w14:textId="77777777" w:rsidR="00254D1D" w:rsidRPr="00CB1914" w:rsidRDefault="00254D1D">
            <w:r w:rsidRPr="00CB1914">
              <w:rPr>
                <w:sz w:val="18"/>
                <w:szCs w:val="20"/>
              </w:rPr>
              <w:t>$37,145</w:t>
            </w:r>
          </w:p>
        </w:tc>
      </w:tr>
      <w:tr w:rsidR="00254D1D" w14:paraId="40FF0279" w14:textId="77777777">
        <w:trPr>
          <w:trHeight w:val="300"/>
        </w:trPr>
        <w:tc>
          <w:tcPr>
            <w:tcW w:w="3397" w:type="dxa"/>
            <w:noWrap/>
          </w:tcPr>
          <w:p w14:paraId="7BBF89B6" w14:textId="77777777" w:rsidR="00254D1D" w:rsidRPr="00A97483" w:rsidRDefault="00254D1D">
            <w:pPr>
              <w:rPr>
                <w:sz w:val="18"/>
                <w:szCs w:val="20"/>
              </w:rPr>
            </w:pPr>
            <w:r w:rsidRPr="00A97483">
              <w:rPr>
                <w:sz w:val="18"/>
                <w:szCs w:val="20"/>
              </w:rPr>
              <w:t>Victoria University</w:t>
            </w:r>
          </w:p>
        </w:tc>
        <w:tc>
          <w:tcPr>
            <w:tcW w:w="3969" w:type="dxa"/>
            <w:noWrap/>
          </w:tcPr>
          <w:p w14:paraId="7E130C97" w14:textId="77777777" w:rsidR="00254D1D" w:rsidRPr="007F4B84" w:rsidRDefault="00254D1D">
            <w:pPr>
              <w:rPr>
                <w:sz w:val="18"/>
                <w:szCs w:val="20"/>
              </w:rPr>
            </w:pPr>
            <w:r w:rsidRPr="007F4B84">
              <w:rPr>
                <w:sz w:val="18"/>
                <w:szCs w:val="20"/>
              </w:rPr>
              <w:t xml:space="preserve">Used Textile and Cardboard Fibres as Reinforcing-Agents </w:t>
            </w:r>
            <w:r>
              <w:rPr>
                <w:sz w:val="18"/>
                <w:szCs w:val="20"/>
              </w:rPr>
              <w:t>i</w:t>
            </w:r>
            <w:r w:rsidRPr="007F4B84">
              <w:rPr>
                <w:sz w:val="18"/>
                <w:szCs w:val="20"/>
              </w:rPr>
              <w:t>n Structural Concrete</w:t>
            </w:r>
          </w:p>
        </w:tc>
        <w:tc>
          <w:tcPr>
            <w:tcW w:w="1589" w:type="dxa"/>
            <w:noWrap/>
          </w:tcPr>
          <w:p w14:paraId="3BD6F843" w14:textId="77777777" w:rsidR="00254D1D" w:rsidRDefault="00254D1D">
            <w:pPr>
              <w:rPr>
                <w:sz w:val="18"/>
                <w:szCs w:val="18"/>
              </w:rPr>
            </w:pPr>
            <w:r>
              <w:rPr>
                <w:sz w:val="18"/>
                <w:szCs w:val="18"/>
              </w:rPr>
              <w:t>$130,000</w:t>
            </w:r>
          </w:p>
        </w:tc>
      </w:tr>
      <w:tr w:rsidR="00254D1D" w14:paraId="617D5D3F" w14:textId="77777777">
        <w:trPr>
          <w:trHeight w:val="300"/>
        </w:trPr>
        <w:tc>
          <w:tcPr>
            <w:tcW w:w="3397" w:type="dxa"/>
            <w:noWrap/>
          </w:tcPr>
          <w:p w14:paraId="120EB786" w14:textId="77777777" w:rsidR="00254D1D" w:rsidRPr="009872B9" w:rsidRDefault="00254D1D">
            <w:r w:rsidRPr="009872B9">
              <w:rPr>
                <w:sz w:val="18"/>
                <w:szCs w:val="20"/>
              </w:rPr>
              <w:t xml:space="preserve">Visy Industries Australia Pty Ltd </w:t>
            </w:r>
          </w:p>
        </w:tc>
        <w:tc>
          <w:tcPr>
            <w:tcW w:w="3969" w:type="dxa"/>
            <w:noWrap/>
          </w:tcPr>
          <w:p w14:paraId="59A341CE" w14:textId="77777777" w:rsidR="00254D1D" w:rsidRPr="009872B9" w:rsidRDefault="00254D1D">
            <w:r w:rsidRPr="009872B9">
              <w:rPr>
                <w:sz w:val="18"/>
                <w:szCs w:val="20"/>
              </w:rPr>
              <w:t>Project Zepplin – Installing Advanced Drum Pulping Technology to Recycle Mixed Kerbside Paper</w:t>
            </w:r>
          </w:p>
        </w:tc>
        <w:tc>
          <w:tcPr>
            <w:tcW w:w="1589" w:type="dxa"/>
            <w:noWrap/>
          </w:tcPr>
          <w:p w14:paraId="67206987" w14:textId="77777777" w:rsidR="00254D1D" w:rsidRPr="00AB25E8" w:rsidRDefault="00254D1D">
            <w:r w:rsidRPr="00AB25E8">
              <w:rPr>
                <w:sz w:val="18"/>
                <w:szCs w:val="20"/>
              </w:rPr>
              <w:t>$11,650,000</w:t>
            </w:r>
          </w:p>
        </w:tc>
      </w:tr>
      <w:tr w:rsidR="00254D1D" w14:paraId="2FA7945F" w14:textId="77777777">
        <w:trPr>
          <w:trHeight w:val="300"/>
        </w:trPr>
        <w:tc>
          <w:tcPr>
            <w:tcW w:w="3397" w:type="dxa"/>
            <w:noWrap/>
          </w:tcPr>
          <w:p w14:paraId="216F27BC" w14:textId="77777777" w:rsidR="00254D1D" w:rsidRPr="00195AFD" w:rsidRDefault="00254D1D">
            <w:pPr>
              <w:rPr>
                <w:sz w:val="18"/>
                <w:szCs w:val="20"/>
              </w:rPr>
            </w:pPr>
            <w:r w:rsidRPr="00195AFD">
              <w:rPr>
                <w:sz w:val="18"/>
                <w:szCs w:val="20"/>
              </w:rPr>
              <w:t>Wangaratta Rural City Council</w:t>
            </w:r>
          </w:p>
        </w:tc>
        <w:tc>
          <w:tcPr>
            <w:tcW w:w="3969" w:type="dxa"/>
            <w:noWrap/>
          </w:tcPr>
          <w:p w14:paraId="405415B6" w14:textId="77777777" w:rsidR="00254D1D" w:rsidRPr="00195AFD" w:rsidRDefault="00254D1D">
            <w:pPr>
              <w:rPr>
                <w:sz w:val="18"/>
                <w:szCs w:val="20"/>
              </w:rPr>
            </w:pPr>
            <w:r w:rsidRPr="00195AFD">
              <w:rPr>
                <w:sz w:val="18"/>
                <w:szCs w:val="20"/>
              </w:rPr>
              <w:t>Wangaratta - Organics Expansion to 12,000 Tonne</w:t>
            </w:r>
          </w:p>
        </w:tc>
        <w:tc>
          <w:tcPr>
            <w:tcW w:w="1589" w:type="dxa"/>
            <w:noWrap/>
          </w:tcPr>
          <w:p w14:paraId="74D1CCB8" w14:textId="77777777" w:rsidR="00254D1D" w:rsidRPr="00195AFD" w:rsidRDefault="00254D1D">
            <w:pPr>
              <w:rPr>
                <w:sz w:val="18"/>
                <w:szCs w:val="20"/>
              </w:rPr>
            </w:pPr>
            <w:r w:rsidRPr="00195AFD">
              <w:rPr>
                <w:sz w:val="18"/>
                <w:szCs w:val="20"/>
              </w:rPr>
              <w:t>$328,445</w:t>
            </w:r>
          </w:p>
        </w:tc>
      </w:tr>
      <w:tr w:rsidR="00254D1D" w14:paraId="52C8DC56" w14:textId="77777777">
        <w:trPr>
          <w:trHeight w:val="300"/>
        </w:trPr>
        <w:tc>
          <w:tcPr>
            <w:tcW w:w="3397" w:type="dxa"/>
            <w:noWrap/>
          </w:tcPr>
          <w:p w14:paraId="4AF3DF25" w14:textId="77777777" w:rsidR="00254D1D" w:rsidRPr="00195AFD" w:rsidRDefault="00254D1D">
            <w:pPr>
              <w:rPr>
                <w:sz w:val="18"/>
                <w:szCs w:val="20"/>
              </w:rPr>
            </w:pPr>
            <w:r w:rsidRPr="00195AFD">
              <w:rPr>
                <w:sz w:val="18"/>
                <w:szCs w:val="20"/>
              </w:rPr>
              <w:t>Wangaratta Rural City Council</w:t>
            </w:r>
          </w:p>
        </w:tc>
        <w:tc>
          <w:tcPr>
            <w:tcW w:w="3969" w:type="dxa"/>
            <w:noWrap/>
          </w:tcPr>
          <w:p w14:paraId="08C47818" w14:textId="77777777" w:rsidR="00254D1D" w:rsidRPr="00195AFD" w:rsidRDefault="00254D1D">
            <w:pPr>
              <w:rPr>
                <w:sz w:val="18"/>
                <w:szCs w:val="20"/>
              </w:rPr>
            </w:pPr>
            <w:r w:rsidRPr="00195AFD">
              <w:rPr>
                <w:sz w:val="18"/>
                <w:szCs w:val="20"/>
              </w:rPr>
              <w:t>Rural City of Wangaratta - Kerbside Transition Community Education Program</w:t>
            </w:r>
          </w:p>
        </w:tc>
        <w:tc>
          <w:tcPr>
            <w:tcW w:w="1589" w:type="dxa"/>
            <w:noWrap/>
          </w:tcPr>
          <w:p w14:paraId="743FE88A" w14:textId="77777777" w:rsidR="00254D1D" w:rsidRPr="00195AFD" w:rsidRDefault="00254D1D">
            <w:pPr>
              <w:rPr>
                <w:sz w:val="18"/>
                <w:szCs w:val="20"/>
              </w:rPr>
            </w:pPr>
            <w:r w:rsidRPr="00195AFD">
              <w:rPr>
                <w:sz w:val="18"/>
                <w:szCs w:val="20"/>
              </w:rPr>
              <w:t>$30,259</w:t>
            </w:r>
          </w:p>
        </w:tc>
      </w:tr>
      <w:tr w:rsidR="00254D1D" w14:paraId="1B43D79C" w14:textId="77777777">
        <w:trPr>
          <w:trHeight w:val="300"/>
        </w:trPr>
        <w:tc>
          <w:tcPr>
            <w:tcW w:w="3397" w:type="dxa"/>
            <w:noWrap/>
          </w:tcPr>
          <w:p w14:paraId="7EB99FC9" w14:textId="77777777" w:rsidR="00254D1D" w:rsidRPr="00195AFD" w:rsidRDefault="00254D1D">
            <w:pPr>
              <w:rPr>
                <w:sz w:val="18"/>
                <w:szCs w:val="20"/>
              </w:rPr>
            </w:pPr>
            <w:r w:rsidRPr="00195AFD">
              <w:rPr>
                <w:sz w:val="18"/>
                <w:szCs w:val="20"/>
              </w:rPr>
              <w:t>Wangaratta Rural City Council</w:t>
            </w:r>
          </w:p>
        </w:tc>
        <w:tc>
          <w:tcPr>
            <w:tcW w:w="3969" w:type="dxa"/>
            <w:noWrap/>
          </w:tcPr>
          <w:p w14:paraId="3233EC57" w14:textId="77777777" w:rsidR="00254D1D" w:rsidRPr="00195AFD" w:rsidRDefault="00254D1D">
            <w:pPr>
              <w:rPr>
                <w:sz w:val="18"/>
                <w:szCs w:val="20"/>
              </w:rPr>
            </w:pPr>
            <w:r w:rsidRPr="00195AFD">
              <w:rPr>
                <w:sz w:val="18"/>
                <w:szCs w:val="20"/>
              </w:rPr>
              <w:t>CE Councils Wangaratta Organics Processing Facility Compost Product Enhancement Project</w:t>
            </w:r>
          </w:p>
        </w:tc>
        <w:tc>
          <w:tcPr>
            <w:tcW w:w="1589" w:type="dxa"/>
            <w:noWrap/>
          </w:tcPr>
          <w:p w14:paraId="0CFE8513" w14:textId="77777777" w:rsidR="00254D1D" w:rsidRPr="00195AFD" w:rsidRDefault="00254D1D">
            <w:pPr>
              <w:rPr>
                <w:sz w:val="18"/>
                <w:szCs w:val="20"/>
              </w:rPr>
            </w:pPr>
            <w:r w:rsidRPr="00195AFD">
              <w:rPr>
                <w:sz w:val="18"/>
                <w:szCs w:val="20"/>
              </w:rPr>
              <w:t>$74,599</w:t>
            </w:r>
          </w:p>
        </w:tc>
      </w:tr>
      <w:tr w:rsidR="00254D1D" w14:paraId="270D4A7A" w14:textId="77777777">
        <w:trPr>
          <w:trHeight w:val="300"/>
        </w:trPr>
        <w:tc>
          <w:tcPr>
            <w:tcW w:w="3397" w:type="dxa"/>
            <w:noWrap/>
          </w:tcPr>
          <w:p w14:paraId="14B34DDF" w14:textId="77777777" w:rsidR="00254D1D" w:rsidRPr="00195AFD" w:rsidRDefault="00254D1D">
            <w:pPr>
              <w:rPr>
                <w:sz w:val="18"/>
                <w:szCs w:val="20"/>
              </w:rPr>
            </w:pPr>
            <w:r w:rsidRPr="00195AFD">
              <w:rPr>
                <w:sz w:val="18"/>
                <w:szCs w:val="20"/>
              </w:rPr>
              <w:t>Wangaratta Rural City Council</w:t>
            </w:r>
          </w:p>
        </w:tc>
        <w:tc>
          <w:tcPr>
            <w:tcW w:w="3969" w:type="dxa"/>
            <w:noWrap/>
          </w:tcPr>
          <w:p w14:paraId="3DBF2174" w14:textId="77777777" w:rsidR="00254D1D" w:rsidRPr="00195AFD" w:rsidRDefault="00254D1D">
            <w:pPr>
              <w:rPr>
                <w:sz w:val="18"/>
                <w:szCs w:val="20"/>
              </w:rPr>
            </w:pPr>
            <w:r w:rsidRPr="00195AFD">
              <w:rPr>
                <w:sz w:val="18"/>
                <w:szCs w:val="20"/>
              </w:rPr>
              <w:t>CCCEA RD2 Energy Efficiency Upgrades - Wangaratta Rural City Council</w:t>
            </w:r>
          </w:p>
        </w:tc>
        <w:tc>
          <w:tcPr>
            <w:tcW w:w="1589" w:type="dxa"/>
            <w:noWrap/>
          </w:tcPr>
          <w:p w14:paraId="687336E1" w14:textId="77777777" w:rsidR="00254D1D" w:rsidRPr="00195AFD" w:rsidRDefault="00254D1D">
            <w:pPr>
              <w:rPr>
                <w:sz w:val="18"/>
                <w:szCs w:val="20"/>
              </w:rPr>
            </w:pPr>
            <w:r w:rsidRPr="00195AFD">
              <w:rPr>
                <w:sz w:val="18"/>
                <w:szCs w:val="20"/>
              </w:rPr>
              <w:t>$3,894</w:t>
            </w:r>
          </w:p>
        </w:tc>
      </w:tr>
      <w:tr w:rsidR="00254D1D" w14:paraId="384AB7FF" w14:textId="77777777">
        <w:trPr>
          <w:trHeight w:val="300"/>
        </w:trPr>
        <w:tc>
          <w:tcPr>
            <w:tcW w:w="3397" w:type="dxa"/>
            <w:noWrap/>
          </w:tcPr>
          <w:p w14:paraId="43EF0402" w14:textId="77777777" w:rsidR="00254D1D" w:rsidRPr="00CD77F6" w:rsidRDefault="00254D1D">
            <w:pPr>
              <w:rPr>
                <w:sz w:val="18"/>
                <w:szCs w:val="20"/>
              </w:rPr>
            </w:pPr>
            <w:r w:rsidRPr="00CD77F6">
              <w:rPr>
                <w:sz w:val="18"/>
                <w:szCs w:val="20"/>
              </w:rPr>
              <w:t>Warrnambool City Council</w:t>
            </w:r>
          </w:p>
        </w:tc>
        <w:tc>
          <w:tcPr>
            <w:tcW w:w="3969" w:type="dxa"/>
            <w:noWrap/>
          </w:tcPr>
          <w:p w14:paraId="4379AAD3" w14:textId="77777777" w:rsidR="00254D1D" w:rsidRPr="00CD77F6" w:rsidRDefault="00254D1D">
            <w:pPr>
              <w:rPr>
                <w:sz w:val="18"/>
                <w:szCs w:val="20"/>
              </w:rPr>
            </w:pPr>
            <w:r w:rsidRPr="00CD77F6">
              <w:rPr>
                <w:sz w:val="18"/>
                <w:szCs w:val="20"/>
              </w:rPr>
              <w:t xml:space="preserve">Promoting </w:t>
            </w:r>
            <w:r>
              <w:rPr>
                <w:sz w:val="18"/>
                <w:szCs w:val="20"/>
              </w:rPr>
              <w:t>t</w:t>
            </w:r>
            <w:r w:rsidRPr="00CD77F6">
              <w:rPr>
                <w:sz w:val="18"/>
                <w:szCs w:val="20"/>
              </w:rPr>
              <w:t>he Recycling System</w:t>
            </w:r>
          </w:p>
        </w:tc>
        <w:tc>
          <w:tcPr>
            <w:tcW w:w="1589" w:type="dxa"/>
            <w:noWrap/>
          </w:tcPr>
          <w:p w14:paraId="2D9B4249" w14:textId="77777777" w:rsidR="00254D1D" w:rsidRPr="00CD77F6" w:rsidRDefault="00254D1D">
            <w:pPr>
              <w:rPr>
                <w:sz w:val="18"/>
                <w:szCs w:val="20"/>
              </w:rPr>
            </w:pPr>
            <w:r w:rsidRPr="00CD77F6">
              <w:rPr>
                <w:sz w:val="18"/>
                <w:szCs w:val="20"/>
              </w:rPr>
              <w:t>$33,600</w:t>
            </w:r>
          </w:p>
        </w:tc>
      </w:tr>
      <w:tr w:rsidR="00254D1D" w14:paraId="3E34D200" w14:textId="77777777">
        <w:trPr>
          <w:trHeight w:val="300"/>
        </w:trPr>
        <w:tc>
          <w:tcPr>
            <w:tcW w:w="3397" w:type="dxa"/>
            <w:noWrap/>
          </w:tcPr>
          <w:p w14:paraId="2581846F" w14:textId="77777777" w:rsidR="00254D1D" w:rsidRPr="00CD77F6" w:rsidRDefault="00254D1D">
            <w:pPr>
              <w:rPr>
                <w:sz w:val="18"/>
                <w:szCs w:val="20"/>
              </w:rPr>
            </w:pPr>
            <w:r w:rsidRPr="00CD77F6">
              <w:rPr>
                <w:sz w:val="18"/>
                <w:szCs w:val="20"/>
              </w:rPr>
              <w:t>Warrnambool City Council</w:t>
            </w:r>
          </w:p>
        </w:tc>
        <w:tc>
          <w:tcPr>
            <w:tcW w:w="3969" w:type="dxa"/>
            <w:noWrap/>
          </w:tcPr>
          <w:p w14:paraId="74C26525" w14:textId="77777777" w:rsidR="00254D1D" w:rsidRPr="00CD77F6" w:rsidRDefault="00254D1D">
            <w:pPr>
              <w:rPr>
                <w:sz w:val="18"/>
                <w:szCs w:val="20"/>
              </w:rPr>
            </w:pPr>
            <w:r w:rsidRPr="00CD77F6">
              <w:rPr>
                <w:sz w:val="18"/>
                <w:szCs w:val="20"/>
              </w:rPr>
              <w:t>CCCEA Rd2 Energy Efficiency Upgrades - Warrnambool City Council</w:t>
            </w:r>
          </w:p>
        </w:tc>
        <w:tc>
          <w:tcPr>
            <w:tcW w:w="1589" w:type="dxa"/>
            <w:noWrap/>
          </w:tcPr>
          <w:p w14:paraId="60AF3FF0" w14:textId="77777777" w:rsidR="00254D1D" w:rsidRPr="00CD77F6" w:rsidRDefault="00254D1D">
            <w:pPr>
              <w:rPr>
                <w:sz w:val="18"/>
                <w:szCs w:val="20"/>
              </w:rPr>
            </w:pPr>
            <w:r w:rsidRPr="00CD77F6">
              <w:rPr>
                <w:sz w:val="18"/>
                <w:szCs w:val="20"/>
              </w:rPr>
              <w:t>$2,967</w:t>
            </w:r>
          </w:p>
        </w:tc>
      </w:tr>
      <w:tr w:rsidR="00254D1D" w14:paraId="257A9D03" w14:textId="77777777">
        <w:trPr>
          <w:trHeight w:val="300"/>
        </w:trPr>
        <w:tc>
          <w:tcPr>
            <w:tcW w:w="3397" w:type="dxa"/>
            <w:noWrap/>
          </w:tcPr>
          <w:p w14:paraId="0B690E7D" w14:textId="77777777" w:rsidR="00254D1D" w:rsidRPr="007C29D4" w:rsidRDefault="00254D1D">
            <w:pPr>
              <w:rPr>
                <w:sz w:val="18"/>
                <w:szCs w:val="20"/>
              </w:rPr>
            </w:pPr>
            <w:r w:rsidRPr="007C29D4">
              <w:rPr>
                <w:sz w:val="18"/>
                <w:szCs w:val="20"/>
              </w:rPr>
              <w:t>Wellington Shire Council</w:t>
            </w:r>
          </w:p>
        </w:tc>
        <w:tc>
          <w:tcPr>
            <w:tcW w:w="3969" w:type="dxa"/>
            <w:noWrap/>
          </w:tcPr>
          <w:p w14:paraId="585D85A2" w14:textId="77777777" w:rsidR="00254D1D" w:rsidRPr="007C29D4" w:rsidRDefault="00254D1D">
            <w:pPr>
              <w:rPr>
                <w:sz w:val="18"/>
                <w:szCs w:val="20"/>
              </w:rPr>
            </w:pPr>
            <w:r w:rsidRPr="007C29D4">
              <w:rPr>
                <w:sz w:val="18"/>
                <w:szCs w:val="20"/>
              </w:rPr>
              <w:t>Wellington Shire New F</w:t>
            </w:r>
            <w:r>
              <w:rPr>
                <w:sz w:val="18"/>
                <w:szCs w:val="20"/>
              </w:rPr>
              <w:t>OGO</w:t>
            </w:r>
            <w:r w:rsidRPr="007C29D4">
              <w:rPr>
                <w:sz w:val="18"/>
                <w:szCs w:val="20"/>
              </w:rPr>
              <w:t xml:space="preserve"> Kerbside Collection</w:t>
            </w:r>
          </w:p>
        </w:tc>
        <w:tc>
          <w:tcPr>
            <w:tcW w:w="1589" w:type="dxa"/>
            <w:noWrap/>
          </w:tcPr>
          <w:p w14:paraId="16DC88D9" w14:textId="77777777" w:rsidR="00254D1D" w:rsidRPr="007C29D4" w:rsidRDefault="00254D1D">
            <w:pPr>
              <w:rPr>
                <w:sz w:val="18"/>
                <w:szCs w:val="20"/>
              </w:rPr>
            </w:pPr>
            <w:r w:rsidRPr="007C29D4">
              <w:rPr>
                <w:sz w:val="18"/>
                <w:szCs w:val="20"/>
              </w:rPr>
              <w:t>$31,700</w:t>
            </w:r>
          </w:p>
        </w:tc>
      </w:tr>
      <w:tr w:rsidR="00254D1D" w14:paraId="05AED3E8" w14:textId="77777777">
        <w:trPr>
          <w:trHeight w:val="300"/>
        </w:trPr>
        <w:tc>
          <w:tcPr>
            <w:tcW w:w="3397" w:type="dxa"/>
            <w:noWrap/>
          </w:tcPr>
          <w:p w14:paraId="6BE64E0F" w14:textId="77777777" w:rsidR="00254D1D" w:rsidRPr="00303926" w:rsidRDefault="00254D1D">
            <w:pPr>
              <w:rPr>
                <w:sz w:val="18"/>
                <w:szCs w:val="20"/>
              </w:rPr>
            </w:pPr>
            <w:r w:rsidRPr="00303926">
              <w:rPr>
                <w:sz w:val="18"/>
                <w:szCs w:val="20"/>
              </w:rPr>
              <w:t>West Welcome Wagon Inc</w:t>
            </w:r>
          </w:p>
        </w:tc>
        <w:tc>
          <w:tcPr>
            <w:tcW w:w="3969" w:type="dxa"/>
            <w:noWrap/>
          </w:tcPr>
          <w:p w14:paraId="7D4D8AB5" w14:textId="77777777" w:rsidR="00254D1D" w:rsidRPr="00303926" w:rsidRDefault="00254D1D">
            <w:pPr>
              <w:rPr>
                <w:sz w:val="18"/>
                <w:szCs w:val="20"/>
              </w:rPr>
            </w:pPr>
            <w:r w:rsidRPr="00303926">
              <w:rPr>
                <w:sz w:val="18"/>
                <w:szCs w:val="20"/>
              </w:rPr>
              <w:t>Rescue, Revive and Repurpose to Support New Australians in Need</w:t>
            </w:r>
          </w:p>
        </w:tc>
        <w:tc>
          <w:tcPr>
            <w:tcW w:w="1589" w:type="dxa"/>
            <w:noWrap/>
          </w:tcPr>
          <w:p w14:paraId="22CF4C4C" w14:textId="77777777" w:rsidR="00254D1D" w:rsidRPr="00303926" w:rsidRDefault="00254D1D">
            <w:pPr>
              <w:rPr>
                <w:sz w:val="18"/>
                <w:szCs w:val="20"/>
              </w:rPr>
            </w:pPr>
            <w:r w:rsidRPr="00303926">
              <w:rPr>
                <w:sz w:val="18"/>
                <w:szCs w:val="20"/>
              </w:rPr>
              <w:t>$114,600</w:t>
            </w:r>
          </w:p>
        </w:tc>
      </w:tr>
      <w:tr w:rsidR="00254D1D" w14:paraId="62F2D96D" w14:textId="77777777">
        <w:trPr>
          <w:trHeight w:val="300"/>
        </w:trPr>
        <w:tc>
          <w:tcPr>
            <w:tcW w:w="3397" w:type="dxa"/>
            <w:noWrap/>
          </w:tcPr>
          <w:p w14:paraId="1F042C06" w14:textId="77777777" w:rsidR="00254D1D" w:rsidRPr="00303926" w:rsidRDefault="00254D1D">
            <w:pPr>
              <w:rPr>
                <w:sz w:val="18"/>
                <w:szCs w:val="20"/>
              </w:rPr>
            </w:pPr>
            <w:r w:rsidRPr="00303926">
              <w:rPr>
                <w:sz w:val="18"/>
                <w:szCs w:val="20"/>
              </w:rPr>
              <w:t>West Wimmera Shire Council</w:t>
            </w:r>
          </w:p>
        </w:tc>
        <w:tc>
          <w:tcPr>
            <w:tcW w:w="3969" w:type="dxa"/>
            <w:noWrap/>
          </w:tcPr>
          <w:p w14:paraId="7E199341" w14:textId="77777777" w:rsidR="00254D1D" w:rsidRPr="00303926" w:rsidRDefault="00254D1D">
            <w:pPr>
              <w:rPr>
                <w:sz w:val="18"/>
                <w:szCs w:val="20"/>
              </w:rPr>
            </w:pPr>
            <w:r w:rsidRPr="00303926">
              <w:rPr>
                <w:sz w:val="18"/>
                <w:szCs w:val="20"/>
              </w:rPr>
              <w:t>West Wimmera Shire Council's Glass Recycling Program</w:t>
            </w:r>
          </w:p>
        </w:tc>
        <w:tc>
          <w:tcPr>
            <w:tcW w:w="1589" w:type="dxa"/>
            <w:noWrap/>
          </w:tcPr>
          <w:p w14:paraId="363323D8" w14:textId="77777777" w:rsidR="00254D1D" w:rsidRPr="00303926" w:rsidRDefault="00254D1D">
            <w:pPr>
              <w:rPr>
                <w:sz w:val="18"/>
                <w:szCs w:val="20"/>
              </w:rPr>
            </w:pPr>
            <w:r w:rsidRPr="00303926">
              <w:rPr>
                <w:sz w:val="18"/>
                <w:szCs w:val="20"/>
              </w:rPr>
              <w:t>$23,227</w:t>
            </w:r>
          </w:p>
        </w:tc>
      </w:tr>
      <w:tr w:rsidR="00254D1D" w14:paraId="10DCCF73" w14:textId="77777777">
        <w:trPr>
          <w:trHeight w:val="300"/>
        </w:trPr>
        <w:tc>
          <w:tcPr>
            <w:tcW w:w="3397" w:type="dxa"/>
            <w:noWrap/>
          </w:tcPr>
          <w:p w14:paraId="198C2123" w14:textId="77777777" w:rsidR="00254D1D" w:rsidRPr="00303926" w:rsidRDefault="00254D1D">
            <w:pPr>
              <w:rPr>
                <w:sz w:val="18"/>
                <w:szCs w:val="20"/>
              </w:rPr>
            </w:pPr>
            <w:r w:rsidRPr="00303926">
              <w:rPr>
                <w:sz w:val="18"/>
                <w:szCs w:val="20"/>
              </w:rPr>
              <w:t>Westernport Region Water Corporation</w:t>
            </w:r>
          </w:p>
        </w:tc>
        <w:tc>
          <w:tcPr>
            <w:tcW w:w="3969" w:type="dxa"/>
            <w:noWrap/>
          </w:tcPr>
          <w:p w14:paraId="2FDFFCD4" w14:textId="77777777" w:rsidR="00254D1D" w:rsidRPr="00303926" w:rsidRDefault="00254D1D">
            <w:pPr>
              <w:rPr>
                <w:sz w:val="18"/>
                <w:szCs w:val="20"/>
              </w:rPr>
            </w:pPr>
            <w:r w:rsidRPr="00303926">
              <w:rPr>
                <w:sz w:val="18"/>
                <w:szCs w:val="20"/>
              </w:rPr>
              <w:t>Waste to Energy – Biogas Cogeneration</w:t>
            </w:r>
          </w:p>
        </w:tc>
        <w:tc>
          <w:tcPr>
            <w:tcW w:w="1589" w:type="dxa"/>
            <w:noWrap/>
          </w:tcPr>
          <w:p w14:paraId="3EF324F0" w14:textId="77777777" w:rsidR="00254D1D" w:rsidRPr="00303926" w:rsidRDefault="00254D1D">
            <w:pPr>
              <w:rPr>
                <w:sz w:val="18"/>
                <w:szCs w:val="20"/>
              </w:rPr>
            </w:pPr>
            <w:r w:rsidRPr="00303926">
              <w:rPr>
                <w:sz w:val="18"/>
                <w:szCs w:val="20"/>
              </w:rPr>
              <w:t>$33,887</w:t>
            </w:r>
          </w:p>
        </w:tc>
      </w:tr>
      <w:tr w:rsidR="00254D1D" w14:paraId="1C3EE726" w14:textId="77777777">
        <w:trPr>
          <w:trHeight w:val="300"/>
        </w:trPr>
        <w:tc>
          <w:tcPr>
            <w:tcW w:w="3397" w:type="dxa"/>
            <w:noWrap/>
          </w:tcPr>
          <w:p w14:paraId="020F3477" w14:textId="77777777" w:rsidR="00254D1D" w:rsidRPr="00235E00" w:rsidRDefault="00254D1D">
            <w:pPr>
              <w:rPr>
                <w:sz w:val="18"/>
                <w:szCs w:val="20"/>
              </w:rPr>
            </w:pPr>
            <w:r w:rsidRPr="00235E00">
              <w:rPr>
                <w:sz w:val="18"/>
                <w:szCs w:val="20"/>
              </w:rPr>
              <w:t>Wheelie Waste Pty Ltd</w:t>
            </w:r>
          </w:p>
        </w:tc>
        <w:tc>
          <w:tcPr>
            <w:tcW w:w="3969" w:type="dxa"/>
            <w:noWrap/>
          </w:tcPr>
          <w:p w14:paraId="1C5C69DD" w14:textId="77777777" w:rsidR="00254D1D" w:rsidRPr="00235E00" w:rsidRDefault="00254D1D">
            <w:pPr>
              <w:rPr>
                <w:sz w:val="18"/>
                <w:szCs w:val="20"/>
              </w:rPr>
            </w:pPr>
            <w:r w:rsidRPr="00235E00">
              <w:rPr>
                <w:sz w:val="18"/>
                <w:szCs w:val="20"/>
              </w:rPr>
              <w:t>Wheelie Waste – Warrnambool Recycling Facility</w:t>
            </w:r>
          </w:p>
        </w:tc>
        <w:tc>
          <w:tcPr>
            <w:tcW w:w="1589" w:type="dxa"/>
            <w:noWrap/>
          </w:tcPr>
          <w:p w14:paraId="2055F258" w14:textId="77777777" w:rsidR="00254D1D" w:rsidRPr="00235E00" w:rsidRDefault="00254D1D">
            <w:pPr>
              <w:rPr>
                <w:sz w:val="18"/>
                <w:szCs w:val="20"/>
              </w:rPr>
            </w:pPr>
            <w:r w:rsidRPr="00235E00">
              <w:rPr>
                <w:sz w:val="18"/>
                <w:szCs w:val="20"/>
              </w:rPr>
              <w:t>$100,000</w:t>
            </w:r>
          </w:p>
        </w:tc>
      </w:tr>
      <w:tr w:rsidR="00254D1D" w14:paraId="6D037655" w14:textId="77777777">
        <w:trPr>
          <w:trHeight w:val="300"/>
        </w:trPr>
        <w:tc>
          <w:tcPr>
            <w:tcW w:w="3397" w:type="dxa"/>
            <w:shd w:val="clear" w:color="auto" w:fill="auto"/>
            <w:noWrap/>
          </w:tcPr>
          <w:p w14:paraId="343653BA" w14:textId="77777777" w:rsidR="00254D1D" w:rsidRPr="004B007A" w:rsidRDefault="00254D1D">
            <w:pPr>
              <w:rPr>
                <w:sz w:val="18"/>
                <w:szCs w:val="20"/>
              </w:rPr>
            </w:pPr>
            <w:r w:rsidRPr="004B007A">
              <w:rPr>
                <w:sz w:val="18"/>
                <w:szCs w:val="20"/>
              </w:rPr>
              <w:t>Wild Homes Pty Ltd</w:t>
            </w:r>
          </w:p>
        </w:tc>
        <w:tc>
          <w:tcPr>
            <w:tcW w:w="3969" w:type="dxa"/>
            <w:shd w:val="clear" w:color="auto" w:fill="auto"/>
            <w:noWrap/>
          </w:tcPr>
          <w:p w14:paraId="2336E5E2" w14:textId="77777777" w:rsidR="00254D1D" w:rsidRPr="004B007A" w:rsidRDefault="00254D1D">
            <w:pPr>
              <w:rPr>
                <w:sz w:val="18"/>
                <w:szCs w:val="20"/>
              </w:rPr>
            </w:pPr>
            <w:r w:rsidRPr="004B007A">
              <w:rPr>
                <w:sz w:val="18"/>
                <w:szCs w:val="20"/>
              </w:rPr>
              <w:t>7 Star Program</w:t>
            </w:r>
          </w:p>
        </w:tc>
        <w:tc>
          <w:tcPr>
            <w:tcW w:w="1589" w:type="dxa"/>
            <w:shd w:val="clear" w:color="auto" w:fill="auto"/>
            <w:noWrap/>
          </w:tcPr>
          <w:p w14:paraId="0C1DC461" w14:textId="77777777" w:rsidR="00254D1D" w:rsidRPr="004B007A" w:rsidRDefault="00254D1D">
            <w:pPr>
              <w:rPr>
                <w:sz w:val="18"/>
                <w:szCs w:val="18"/>
              </w:rPr>
            </w:pPr>
            <w:r w:rsidRPr="004B007A">
              <w:rPr>
                <w:sz w:val="18"/>
                <w:szCs w:val="18"/>
              </w:rPr>
              <w:t>$4,000*</w:t>
            </w:r>
          </w:p>
        </w:tc>
      </w:tr>
      <w:tr w:rsidR="00254D1D" w14:paraId="7C4277AA" w14:textId="77777777">
        <w:trPr>
          <w:trHeight w:val="300"/>
        </w:trPr>
        <w:tc>
          <w:tcPr>
            <w:tcW w:w="3397" w:type="dxa"/>
            <w:noWrap/>
          </w:tcPr>
          <w:p w14:paraId="38DF8474" w14:textId="77777777" w:rsidR="00254D1D" w:rsidRPr="00235E00" w:rsidRDefault="00254D1D">
            <w:pPr>
              <w:rPr>
                <w:sz w:val="18"/>
                <w:szCs w:val="20"/>
              </w:rPr>
            </w:pPr>
            <w:r w:rsidRPr="00235E00">
              <w:rPr>
                <w:sz w:val="18"/>
                <w:szCs w:val="20"/>
              </w:rPr>
              <w:t>Wholefoods Unwrapped Moreland Inc</w:t>
            </w:r>
          </w:p>
        </w:tc>
        <w:tc>
          <w:tcPr>
            <w:tcW w:w="3969" w:type="dxa"/>
            <w:noWrap/>
          </w:tcPr>
          <w:p w14:paraId="71E92D6E" w14:textId="77777777" w:rsidR="00254D1D" w:rsidRPr="00235E00" w:rsidRDefault="00254D1D">
            <w:pPr>
              <w:rPr>
                <w:sz w:val="18"/>
                <w:szCs w:val="20"/>
              </w:rPr>
            </w:pPr>
            <w:r w:rsidRPr="00235E00">
              <w:rPr>
                <w:sz w:val="18"/>
                <w:szCs w:val="20"/>
              </w:rPr>
              <w:t>Unwrapped – Reducing Packaging in the Hospitality and Food Service Sector by Creating Reusable Containers for Food Transportation</w:t>
            </w:r>
          </w:p>
        </w:tc>
        <w:tc>
          <w:tcPr>
            <w:tcW w:w="1589" w:type="dxa"/>
            <w:noWrap/>
          </w:tcPr>
          <w:p w14:paraId="1980C641" w14:textId="77777777" w:rsidR="00254D1D" w:rsidRPr="00235E00" w:rsidRDefault="00254D1D">
            <w:pPr>
              <w:rPr>
                <w:sz w:val="18"/>
                <w:szCs w:val="18"/>
              </w:rPr>
            </w:pPr>
            <w:r w:rsidRPr="65E029B8">
              <w:rPr>
                <w:sz w:val="18"/>
                <w:szCs w:val="18"/>
              </w:rPr>
              <w:t>$1,000</w:t>
            </w:r>
          </w:p>
        </w:tc>
      </w:tr>
      <w:tr w:rsidR="00254D1D" w14:paraId="66E33B03" w14:textId="77777777">
        <w:trPr>
          <w:trHeight w:val="300"/>
        </w:trPr>
        <w:tc>
          <w:tcPr>
            <w:tcW w:w="3397" w:type="dxa"/>
            <w:noWrap/>
          </w:tcPr>
          <w:p w14:paraId="1CF59C9C" w14:textId="77777777" w:rsidR="00254D1D" w:rsidRDefault="00254D1D">
            <w:pPr>
              <w:rPr>
                <w:sz w:val="18"/>
                <w:szCs w:val="20"/>
              </w:rPr>
            </w:pPr>
            <w:r>
              <w:rPr>
                <w:sz w:val="18"/>
                <w:szCs w:val="20"/>
              </w:rPr>
              <w:t xml:space="preserve">Wodonga City Council </w:t>
            </w:r>
          </w:p>
          <w:p w14:paraId="1585DD39" w14:textId="77777777" w:rsidR="00254D1D" w:rsidRPr="00A823FA" w:rsidRDefault="00254D1D">
            <w:pPr>
              <w:rPr>
                <w:sz w:val="18"/>
                <w:szCs w:val="20"/>
              </w:rPr>
            </w:pPr>
            <w:r w:rsidRPr="00A823FA">
              <w:rPr>
                <w:sz w:val="18"/>
                <w:szCs w:val="20"/>
              </w:rPr>
              <w:t>The Cube Wodonga</w:t>
            </w:r>
          </w:p>
        </w:tc>
        <w:tc>
          <w:tcPr>
            <w:tcW w:w="3969" w:type="dxa"/>
            <w:noWrap/>
          </w:tcPr>
          <w:p w14:paraId="4B84914C" w14:textId="77777777" w:rsidR="00254D1D" w:rsidRPr="00A823FA" w:rsidRDefault="00254D1D">
            <w:pPr>
              <w:rPr>
                <w:sz w:val="18"/>
                <w:szCs w:val="20"/>
              </w:rPr>
            </w:pPr>
            <w:r w:rsidRPr="00A823FA">
              <w:rPr>
                <w:sz w:val="18"/>
                <w:szCs w:val="20"/>
              </w:rPr>
              <w:t>Cube Reusable Cup project</w:t>
            </w:r>
          </w:p>
        </w:tc>
        <w:tc>
          <w:tcPr>
            <w:tcW w:w="1589" w:type="dxa"/>
            <w:noWrap/>
          </w:tcPr>
          <w:p w14:paraId="37C6F64A" w14:textId="77777777" w:rsidR="00254D1D" w:rsidRPr="00A823FA" w:rsidRDefault="00254D1D">
            <w:pPr>
              <w:rPr>
                <w:sz w:val="18"/>
                <w:szCs w:val="20"/>
              </w:rPr>
            </w:pPr>
            <w:r w:rsidRPr="00A823FA">
              <w:rPr>
                <w:sz w:val="18"/>
                <w:szCs w:val="20"/>
              </w:rPr>
              <w:t>$3</w:t>
            </w:r>
            <w:r>
              <w:rPr>
                <w:sz w:val="18"/>
                <w:szCs w:val="20"/>
              </w:rPr>
              <w:t>,</w:t>
            </w:r>
            <w:r w:rsidRPr="00A823FA">
              <w:rPr>
                <w:sz w:val="18"/>
                <w:szCs w:val="20"/>
              </w:rPr>
              <w:t>000</w:t>
            </w:r>
          </w:p>
        </w:tc>
      </w:tr>
      <w:tr w:rsidR="00254D1D" w14:paraId="50F6C0C3" w14:textId="77777777">
        <w:trPr>
          <w:trHeight w:val="300"/>
        </w:trPr>
        <w:tc>
          <w:tcPr>
            <w:tcW w:w="3397" w:type="dxa"/>
            <w:noWrap/>
          </w:tcPr>
          <w:p w14:paraId="365BE2E4" w14:textId="77777777" w:rsidR="00254D1D" w:rsidRPr="00C3258D" w:rsidRDefault="00254D1D">
            <w:pPr>
              <w:rPr>
                <w:sz w:val="18"/>
                <w:szCs w:val="20"/>
              </w:rPr>
            </w:pPr>
            <w:r w:rsidRPr="00C3258D">
              <w:rPr>
                <w:sz w:val="18"/>
                <w:szCs w:val="20"/>
              </w:rPr>
              <w:t>Wyndham City Council</w:t>
            </w:r>
          </w:p>
        </w:tc>
        <w:tc>
          <w:tcPr>
            <w:tcW w:w="3969" w:type="dxa"/>
            <w:noWrap/>
          </w:tcPr>
          <w:p w14:paraId="7E1C27E1" w14:textId="77777777" w:rsidR="00254D1D" w:rsidRPr="00C3258D" w:rsidRDefault="00254D1D">
            <w:pPr>
              <w:rPr>
                <w:sz w:val="18"/>
                <w:szCs w:val="20"/>
              </w:rPr>
            </w:pPr>
            <w:r w:rsidRPr="00C3258D">
              <w:rPr>
                <w:sz w:val="18"/>
                <w:szCs w:val="20"/>
              </w:rPr>
              <w:t>Wyndham City Council Improving Recycling Services</w:t>
            </w:r>
          </w:p>
        </w:tc>
        <w:tc>
          <w:tcPr>
            <w:tcW w:w="1589" w:type="dxa"/>
            <w:noWrap/>
          </w:tcPr>
          <w:p w14:paraId="1932E7E3" w14:textId="77777777" w:rsidR="00254D1D" w:rsidRPr="00C3258D" w:rsidRDefault="00254D1D">
            <w:pPr>
              <w:rPr>
                <w:sz w:val="18"/>
                <w:szCs w:val="20"/>
              </w:rPr>
            </w:pPr>
            <w:r w:rsidRPr="00C3258D">
              <w:rPr>
                <w:sz w:val="18"/>
                <w:szCs w:val="20"/>
              </w:rPr>
              <w:t>$89,910</w:t>
            </w:r>
          </w:p>
        </w:tc>
      </w:tr>
      <w:tr w:rsidR="00254D1D" w14:paraId="31ED2150" w14:textId="77777777">
        <w:trPr>
          <w:trHeight w:val="300"/>
        </w:trPr>
        <w:tc>
          <w:tcPr>
            <w:tcW w:w="3397" w:type="dxa"/>
            <w:noWrap/>
          </w:tcPr>
          <w:p w14:paraId="254DD5C1" w14:textId="77777777" w:rsidR="00254D1D" w:rsidRPr="00C3258D" w:rsidRDefault="00254D1D">
            <w:pPr>
              <w:rPr>
                <w:sz w:val="18"/>
                <w:szCs w:val="20"/>
              </w:rPr>
            </w:pPr>
            <w:r w:rsidRPr="00C3258D">
              <w:rPr>
                <w:sz w:val="18"/>
                <w:szCs w:val="20"/>
              </w:rPr>
              <w:t>Wyndham City Council</w:t>
            </w:r>
          </w:p>
        </w:tc>
        <w:tc>
          <w:tcPr>
            <w:tcW w:w="3969" w:type="dxa"/>
            <w:noWrap/>
          </w:tcPr>
          <w:p w14:paraId="360E0995" w14:textId="77777777" w:rsidR="00254D1D" w:rsidRPr="00C3258D" w:rsidRDefault="00254D1D">
            <w:pPr>
              <w:rPr>
                <w:sz w:val="18"/>
                <w:szCs w:val="20"/>
              </w:rPr>
            </w:pPr>
            <w:r w:rsidRPr="00C3258D">
              <w:rPr>
                <w:sz w:val="18"/>
                <w:szCs w:val="20"/>
              </w:rPr>
              <w:t>CE Councils Implementation - Wyndham Bulk Resource Recovery Centre</w:t>
            </w:r>
          </w:p>
        </w:tc>
        <w:tc>
          <w:tcPr>
            <w:tcW w:w="1589" w:type="dxa"/>
            <w:noWrap/>
          </w:tcPr>
          <w:p w14:paraId="53926302" w14:textId="77777777" w:rsidR="00254D1D" w:rsidRPr="00C3258D" w:rsidRDefault="00254D1D">
            <w:pPr>
              <w:rPr>
                <w:sz w:val="18"/>
                <w:szCs w:val="20"/>
              </w:rPr>
            </w:pPr>
            <w:r w:rsidRPr="00C3258D">
              <w:rPr>
                <w:sz w:val="18"/>
                <w:szCs w:val="20"/>
              </w:rPr>
              <w:t>$30,000</w:t>
            </w:r>
          </w:p>
        </w:tc>
      </w:tr>
      <w:tr w:rsidR="00254D1D" w14:paraId="27DBB966" w14:textId="77777777">
        <w:trPr>
          <w:trHeight w:val="300"/>
        </w:trPr>
        <w:tc>
          <w:tcPr>
            <w:tcW w:w="3397" w:type="dxa"/>
            <w:noWrap/>
          </w:tcPr>
          <w:p w14:paraId="7123CEE1" w14:textId="77777777" w:rsidR="00254D1D" w:rsidRPr="00C3258D" w:rsidRDefault="00254D1D">
            <w:pPr>
              <w:rPr>
                <w:sz w:val="18"/>
                <w:szCs w:val="20"/>
              </w:rPr>
            </w:pPr>
            <w:r w:rsidRPr="00C3258D">
              <w:rPr>
                <w:sz w:val="18"/>
                <w:szCs w:val="20"/>
              </w:rPr>
              <w:t>Wyndham City Council</w:t>
            </w:r>
          </w:p>
        </w:tc>
        <w:tc>
          <w:tcPr>
            <w:tcW w:w="3969" w:type="dxa"/>
            <w:noWrap/>
          </w:tcPr>
          <w:p w14:paraId="05C47F42" w14:textId="77777777" w:rsidR="00254D1D" w:rsidRPr="00C3258D" w:rsidRDefault="00254D1D">
            <w:pPr>
              <w:rPr>
                <w:sz w:val="18"/>
                <w:szCs w:val="20"/>
              </w:rPr>
            </w:pPr>
            <w:r w:rsidRPr="00C3258D">
              <w:rPr>
                <w:sz w:val="18"/>
                <w:szCs w:val="20"/>
              </w:rPr>
              <w:t>CE Councils Implementation Wyndham Park Tool Library</w:t>
            </w:r>
          </w:p>
        </w:tc>
        <w:tc>
          <w:tcPr>
            <w:tcW w:w="1589" w:type="dxa"/>
            <w:noWrap/>
          </w:tcPr>
          <w:p w14:paraId="5E52C1A5" w14:textId="77777777" w:rsidR="00254D1D" w:rsidRPr="00C3258D" w:rsidRDefault="00254D1D">
            <w:pPr>
              <w:rPr>
                <w:sz w:val="18"/>
                <w:szCs w:val="20"/>
              </w:rPr>
            </w:pPr>
            <w:r w:rsidRPr="00C3258D">
              <w:rPr>
                <w:sz w:val="18"/>
                <w:szCs w:val="20"/>
              </w:rPr>
              <w:t>$20,000</w:t>
            </w:r>
          </w:p>
        </w:tc>
      </w:tr>
      <w:tr w:rsidR="00254D1D" w14:paraId="4610D96A" w14:textId="77777777">
        <w:trPr>
          <w:trHeight w:val="300"/>
        </w:trPr>
        <w:tc>
          <w:tcPr>
            <w:tcW w:w="3397" w:type="dxa"/>
            <w:noWrap/>
          </w:tcPr>
          <w:p w14:paraId="33644B75" w14:textId="77777777" w:rsidR="00254D1D" w:rsidRPr="001E37DF" w:rsidRDefault="00254D1D">
            <w:pPr>
              <w:rPr>
                <w:sz w:val="18"/>
                <w:szCs w:val="20"/>
              </w:rPr>
            </w:pPr>
            <w:r>
              <w:rPr>
                <w:rFonts w:cs="Arial"/>
                <w:sz w:val="18"/>
                <w:szCs w:val="18"/>
              </w:rPr>
              <w:t>Yarra City Council</w:t>
            </w:r>
          </w:p>
        </w:tc>
        <w:tc>
          <w:tcPr>
            <w:tcW w:w="3969" w:type="dxa"/>
            <w:noWrap/>
          </w:tcPr>
          <w:p w14:paraId="29AF9355" w14:textId="77777777" w:rsidR="00254D1D" w:rsidRPr="001E37DF" w:rsidRDefault="00254D1D">
            <w:pPr>
              <w:rPr>
                <w:sz w:val="18"/>
                <w:szCs w:val="20"/>
              </w:rPr>
            </w:pPr>
            <w:r w:rsidRPr="00A6394A">
              <w:rPr>
                <w:rFonts w:cs="Arial"/>
                <w:sz w:val="18"/>
                <w:szCs w:val="18"/>
              </w:rPr>
              <w:t xml:space="preserve">City Of Yarra's New Food </w:t>
            </w:r>
            <w:r>
              <w:rPr>
                <w:rFonts w:cs="Arial"/>
                <w:sz w:val="18"/>
                <w:szCs w:val="18"/>
              </w:rPr>
              <w:t>a</w:t>
            </w:r>
            <w:r w:rsidRPr="00A6394A">
              <w:rPr>
                <w:rFonts w:cs="Arial"/>
                <w:sz w:val="18"/>
                <w:szCs w:val="18"/>
              </w:rPr>
              <w:t xml:space="preserve">nd Garden Organics Education </w:t>
            </w:r>
            <w:r>
              <w:rPr>
                <w:rFonts w:cs="Arial"/>
                <w:sz w:val="18"/>
                <w:szCs w:val="18"/>
              </w:rPr>
              <w:t>a</w:t>
            </w:r>
            <w:r w:rsidRPr="00A6394A">
              <w:rPr>
                <w:rFonts w:cs="Arial"/>
                <w:sz w:val="18"/>
                <w:szCs w:val="18"/>
              </w:rPr>
              <w:t>nd Behaviour Change Program</w:t>
            </w:r>
            <w:r w:rsidRPr="001326C7">
              <w:rPr>
                <w:rFonts w:cs="Arial"/>
                <w:sz w:val="18"/>
                <w:szCs w:val="18"/>
              </w:rPr>
              <w:t xml:space="preserve"> – Household Education</w:t>
            </w:r>
          </w:p>
        </w:tc>
        <w:tc>
          <w:tcPr>
            <w:tcW w:w="1589" w:type="dxa"/>
            <w:noWrap/>
          </w:tcPr>
          <w:p w14:paraId="4FB3F6D3" w14:textId="77777777" w:rsidR="00254D1D" w:rsidRPr="65E029B8" w:rsidRDefault="00254D1D">
            <w:pPr>
              <w:rPr>
                <w:sz w:val="18"/>
                <w:szCs w:val="18"/>
              </w:rPr>
            </w:pPr>
            <w:r>
              <w:rPr>
                <w:sz w:val="18"/>
                <w:szCs w:val="18"/>
              </w:rPr>
              <w:t>$40,053</w:t>
            </w:r>
          </w:p>
        </w:tc>
      </w:tr>
      <w:tr w:rsidR="00254D1D" w14:paraId="7BA0ECF4" w14:textId="77777777">
        <w:trPr>
          <w:trHeight w:val="300"/>
        </w:trPr>
        <w:tc>
          <w:tcPr>
            <w:tcW w:w="3397" w:type="dxa"/>
            <w:noWrap/>
          </w:tcPr>
          <w:p w14:paraId="0F718C68" w14:textId="77777777" w:rsidR="00254D1D" w:rsidRPr="001E37DF" w:rsidRDefault="00254D1D">
            <w:pPr>
              <w:rPr>
                <w:sz w:val="18"/>
                <w:szCs w:val="20"/>
              </w:rPr>
            </w:pPr>
            <w:r w:rsidRPr="001E37DF">
              <w:rPr>
                <w:sz w:val="18"/>
                <w:szCs w:val="20"/>
              </w:rPr>
              <w:t>Yarra Ranges Council</w:t>
            </w:r>
          </w:p>
        </w:tc>
        <w:tc>
          <w:tcPr>
            <w:tcW w:w="3969" w:type="dxa"/>
            <w:noWrap/>
          </w:tcPr>
          <w:p w14:paraId="12241D8B" w14:textId="77777777" w:rsidR="00254D1D" w:rsidRPr="001E37DF" w:rsidRDefault="00254D1D">
            <w:pPr>
              <w:rPr>
                <w:sz w:val="18"/>
                <w:szCs w:val="20"/>
              </w:rPr>
            </w:pPr>
            <w:r w:rsidRPr="001E37DF">
              <w:rPr>
                <w:sz w:val="18"/>
                <w:szCs w:val="20"/>
              </w:rPr>
              <w:t>CE Councils Yarra Ranges - Community Textiles Collection Day</w:t>
            </w:r>
          </w:p>
        </w:tc>
        <w:tc>
          <w:tcPr>
            <w:tcW w:w="1589" w:type="dxa"/>
            <w:noWrap/>
          </w:tcPr>
          <w:p w14:paraId="0E8E13F9" w14:textId="77777777" w:rsidR="00254D1D" w:rsidRPr="001E37DF" w:rsidRDefault="00254D1D">
            <w:pPr>
              <w:rPr>
                <w:sz w:val="18"/>
                <w:szCs w:val="18"/>
              </w:rPr>
            </w:pPr>
            <w:r w:rsidRPr="65E029B8">
              <w:rPr>
                <w:sz w:val="18"/>
                <w:szCs w:val="18"/>
              </w:rPr>
              <w:t>$</w:t>
            </w:r>
            <w:r w:rsidRPr="00A5740C">
              <w:rPr>
                <w:sz w:val="18"/>
                <w:szCs w:val="18"/>
              </w:rPr>
              <w:t>45,000</w:t>
            </w:r>
          </w:p>
        </w:tc>
      </w:tr>
      <w:tr w:rsidR="00254D1D" w14:paraId="2BD765AD" w14:textId="77777777">
        <w:trPr>
          <w:trHeight w:val="300"/>
        </w:trPr>
        <w:tc>
          <w:tcPr>
            <w:tcW w:w="3397" w:type="dxa"/>
            <w:noWrap/>
          </w:tcPr>
          <w:p w14:paraId="67AF4101" w14:textId="77777777" w:rsidR="00254D1D" w:rsidRPr="001E37DF" w:rsidRDefault="00254D1D">
            <w:pPr>
              <w:rPr>
                <w:sz w:val="18"/>
                <w:szCs w:val="20"/>
              </w:rPr>
            </w:pPr>
            <w:r w:rsidRPr="001E37DF">
              <w:rPr>
                <w:sz w:val="18"/>
                <w:szCs w:val="20"/>
              </w:rPr>
              <w:t>Yarra Ranges Council</w:t>
            </w:r>
          </w:p>
        </w:tc>
        <w:tc>
          <w:tcPr>
            <w:tcW w:w="3969" w:type="dxa"/>
            <w:noWrap/>
          </w:tcPr>
          <w:p w14:paraId="495DA0A6" w14:textId="77777777" w:rsidR="00254D1D" w:rsidRPr="001E37DF" w:rsidRDefault="00254D1D">
            <w:pPr>
              <w:rPr>
                <w:sz w:val="18"/>
                <w:szCs w:val="20"/>
              </w:rPr>
            </w:pPr>
            <w:r w:rsidRPr="001E37DF">
              <w:rPr>
                <w:sz w:val="18"/>
                <w:szCs w:val="20"/>
              </w:rPr>
              <w:t>CCCEA RD3 Energy Efficiency Upgrades - Yarra Ranges Shire Council</w:t>
            </w:r>
          </w:p>
        </w:tc>
        <w:tc>
          <w:tcPr>
            <w:tcW w:w="1589" w:type="dxa"/>
            <w:noWrap/>
          </w:tcPr>
          <w:p w14:paraId="27E8DF9E" w14:textId="77777777" w:rsidR="00254D1D" w:rsidRPr="001E37DF" w:rsidRDefault="00254D1D">
            <w:pPr>
              <w:rPr>
                <w:sz w:val="18"/>
                <w:szCs w:val="20"/>
              </w:rPr>
            </w:pPr>
            <w:r w:rsidRPr="001E37DF">
              <w:rPr>
                <w:sz w:val="18"/>
                <w:szCs w:val="20"/>
              </w:rPr>
              <w:t>$15,696</w:t>
            </w:r>
          </w:p>
        </w:tc>
      </w:tr>
      <w:tr w:rsidR="00254D1D" w14:paraId="2EAB5648" w14:textId="77777777">
        <w:trPr>
          <w:trHeight w:val="300"/>
        </w:trPr>
        <w:tc>
          <w:tcPr>
            <w:tcW w:w="3397" w:type="dxa"/>
            <w:noWrap/>
          </w:tcPr>
          <w:p w14:paraId="016456F2" w14:textId="77777777" w:rsidR="00254D1D" w:rsidRDefault="00254D1D">
            <w:pPr>
              <w:rPr>
                <w:sz w:val="18"/>
                <w:szCs w:val="18"/>
              </w:rPr>
            </w:pPr>
            <w:r w:rsidRPr="65E029B8">
              <w:rPr>
                <w:sz w:val="18"/>
                <w:szCs w:val="18"/>
              </w:rPr>
              <w:t xml:space="preserve">Yarra Ranges Council  </w:t>
            </w:r>
          </w:p>
        </w:tc>
        <w:tc>
          <w:tcPr>
            <w:tcW w:w="3969" w:type="dxa"/>
            <w:noWrap/>
          </w:tcPr>
          <w:p w14:paraId="01684521" w14:textId="77777777" w:rsidR="00254D1D" w:rsidRDefault="00254D1D">
            <w:pPr>
              <w:rPr>
                <w:sz w:val="18"/>
                <w:szCs w:val="18"/>
              </w:rPr>
            </w:pPr>
            <w:r w:rsidRPr="65E029B8">
              <w:rPr>
                <w:sz w:val="18"/>
                <w:szCs w:val="18"/>
              </w:rPr>
              <w:t xml:space="preserve">Yarra Ranges Four-stream </w:t>
            </w:r>
            <w:r>
              <w:rPr>
                <w:sz w:val="18"/>
                <w:szCs w:val="18"/>
              </w:rPr>
              <w:t>S</w:t>
            </w:r>
            <w:r w:rsidRPr="65E029B8">
              <w:rPr>
                <w:sz w:val="18"/>
                <w:szCs w:val="18"/>
              </w:rPr>
              <w:t xml:space="preserve">ervice </w:t>
            </w:r>
            <w:r>
              <w:rPr>
                <w:sz w:val="18"/>
                <w:szCs w:val="18"/>
              </w:rPr>
              <w:t>E</w:t>
            </w:r>
            <w:r w:rsidRPr="65E029B8">
              <w:rPr>
                <w:sz w:val="18"/>
                <w:szCs w:val="18"/>
              </w:rPr>
              <w:t xml:space="preserve">ducation </w:t>
            </w:r>
            <w:r>
              <w:rPr>
                <w:sz w:val="18"/>
                <w:szCs w:val="18"/>
              </w:rPr>
              <w:t>P</w:t>
            </w:r>
            <w:r w:rsidRPr="65E029B8">
              <w:rPr>
                <w:sz w:val="18"/>
                <w:szCs w:val="18"/>
              </w:rPr>
              <w:t>rogram</w:t>
            </w:r>
            <w:r>
              <w:rPr>
                <w:sz w:val="18"/>
                <w:szCs w:val="18"/>
              </w:rPr>
              <w:t xml:space="preserve"> – Household Education</w:t>
            </w:r>
          </w:p>
        </w:tc>
        <w:tc>
          <w:tcPr>
            <w:tcW w:w="1589" w:type="dxa"/>
            <w:noWrap/>
          </w:tcPr>
          <w:p w14:paraId="1830B3D8" w14:textId="77777777" w:rsidR="00254D1D" w:rsidRPr="003D2EF6" w:rsidRDefault="00254D1D">
            <w:pPr>
              <w:rPr>
                <w:sz w:val="18"/>
                <w:szCs w:val="18"/>
              </w:rPr>
            </w:pPr>
            <w:r w:rsidRPr="003D2EF6">
              <w:rPr>
                <w:sz w:val="18"/>
                <w:szCs w:val="18"/>
              </w:rPr>
              <w:t>$41,63</w:t>
            </w:r>
            <w:r>
              <w:rPr>
                <w:sz w:val="18"/>
                <w:szCs w:val="18"/>
              </w:rPr>
              <w:t>8</w:t>
            </w:r>
          </w:p>
          <w:p w14:paraId="1F7034EE" w14:textId="77777777" w:rsidR="00254D1D" w:rsidRDefault="00254D1D">
            <w:pPr>
              <w:rPr>
                <w:sz w:val="18"/>
                <w:szCs w:val="18"/>
              </w:rPr>
            </w:pPr>
          </w:p>
        </w:tc>
      </w:tr>
      <w:tr w:rsidR="00254D1D" w14:paraId="5F456C1F" w14:textId="77777777">
        <w:trPr>
          <w:trHeight w:val="300"/>
        </w:trPr>
        <w:tc>
          <w:tcPr>
            <w:tcW w:w="3397" w:type="dxa"/>
            <w:noWrap/>
          </w:tcPr>
          <w:p w14:paraId="7E19D2BE" w14:textId="77777777" w:rsidR="00254D1D" w:rsidRPr="001E37DF" w:rsidRDefault="00254D1D">
            <w:pPr>
              <w:rPr>
                <w:sz w:val="18"/>
                <w:szCs w:val="20"/>
              </w:rPr>
            </w:pPr>
            <w:r w:rsidRPr="001E37DF">
              <w:rPr>
                <w:sz w:val="18"/>
                <w:szCs w:val="20"/>
              </w:rPr>
              <w:t>Yarra Valley Water Corporation</w:t>
            </w:r>
          </w:p>
        </w:tc>
        <w:tc>
          <w:tcPr>
            <w:tcW w:w="3969" w:type="dxa"/>
            <w:noWrap/>
          </w:tcPr>
          <w:p w14:paraId="3FB6CFA0" w14:textId="77777777" w:rsidR="00254D1D" w:rsidRPr="001E37DF" w:rsidRDefault="00254D1D">
            <w:pPr>
              <w:rPr>
                <w:sz w:val="18"/>
                <w:szCs w:val="20"/>
              </w:rPr>
            </w:pPr>
            <w:r w:rsidRPr="001E37DF">
              <w:rPr>
                <w:sz w:val="18"/>
                <w:szCs w:val="20"/>
              </w:rPr>
              <w:t>Waste To Energy Lilydale</w:t>
            </w:r>
          </w:p>
        </w:tc>
        <w:tc>
          <w:tcPr>
            <w:tcW w:w="1589" w:type="dxa"/>
            <w:noWrap/>
          </w:tcPr>
          <w:p w14:paraId="63481473" w14:textId="77777777" w:rsidR="00254D1D" w:rsidRPr="001E37DF" w:rsidRDefault="00254D1D">
            <w:pPr>
              <w:rPr>
                <w:sz w:val="18"/>
                <w:szCs w:val="20"/>
              </w:rPr>
            </w:pPr>
            <w:r w:rsidRPr="001E37DF">
              <w:rPr>
                <w:sz w:val="18"/>
                <w:szCs w:val="20"/>
              </w:rPr>
              <w:t>$560,000</w:t>
            </w:r>
          </w:p>
        </w:tc>
      </w:tr>
      <w:tr w:rsidR="00254D1D" w14:paraId="606E822B" w14:textId="77777777">
        <w:trPr>
          <w:trHeight w:val="300"/>
        </w:trPr>
        <w:tc>
          <w:tcPr>
            <w:tcW w:w="3397" w:type="dxa"/>
            <w:noWrap/>
          </w:tcPr>
          <w:p w14:paraId="0551D421" w14:textId="77777777" w:rsidR="00254D1D" w:rsidRPr="001E37DF" w:rsidRDefault="00254D1D">
            <w:pPr>
              <w:rPr>
                <w:sz w:val="18"/>
                <w:szCs w:val="20"/>
              </w:rPr>
            </w:pPr>
            <w:r w:rsidRPr="001E37DF">
              <w:rPr>
                <w:sz w:val="18"/>
                <w:szCs w:val="20"/>
              </w:rPr>
              <w:t>Yarra Valley Water Corporation</w:t>
            </w:r>
          </w:p>
          <w:p w14:paraId="2F43BAEC" w14:textId="77777777" w:rsidR="00254D1D" w:rsidRPr="001E37DF" w:rsidRDefault="00254D1D">
            <w:pPr>
              <w:rPr>
                <w:sz w:val="18"/>
                <w:szCs w:val="20"/>
              </w:rPr>
            </w:pPr>
          </w:p>
        </w:tc>
        <w:tc>
          <w:tcPr>
            <w:tcW w:w="3969" w:type="dxa"/>
            <w:noWrap/>
          </w:tcPr>
          <w:p w14:paraId="5466CDC5" w14:textId="77777777" w:rsidR="00254D1D" w:rsidRPr="001E37DF" w:rsidRDefault="00254D1D">
            <w:pPr>
              <w:rPr>
                <w:sz w:val="18"/>
                <w:szCs w:val="20"/>
              </w:rPr>
            </w:pPr>
            <w:proofErr w:type="spellStart"/>
            <w:r w:rsidRPr="001E37DF">
              <w:rPr>
                <w:sz w:val="18"/>
                <w:szCs w:val="20"/>
              </w:rPr>
              <w:t>ReWaste</w:t>
            </w:r>
            <w:proofErr w:type="spellEnd"/>
            <w:r w:rsidRPr="001E37DF">
              <w:rPr>
                <w:sz w:val="18"/>
                <w:szCs w:val="20"/>
              </w:rPr>
              <w:t xml:space="preserve"> Additional Engine Design Works</w:t>
            </w:r>
          </w:p>
        </w:tc>
        <w:tc>
          <w:tcPr>
            <w:tcW w:w="1589" w:type="dxa"/>
            <w:noWrap/>
          </w:tcPr>
          <w:p w14:paraId="06F0D6D6" w14:textId="77777777" w:rsidR="00254D1D" w:rsidRPr="001E37DF" w:rsidRDefault="00254D1D">
            <w:pPr>
              <w:rPr>
                <w:sz w:val="18"/>
                <w:szCs w:val="20"/>
              </w:rPr>
            </w:pPr>
            <w:r w:rsidRPr="001E37DF">
              <w:rPr>
                <w:sz w:val="18"/>
                <w:szCs w:val="20"/>
              </w:rPr>
              <w:t>$7000</w:t>
            </w:r>
          </w:p>
        </w:tc>
      </w:tr>
      <w:tr w:rsidR="00254D1D" w14:paraId="378D3040" w14:textId="77777777">
        <w:trPr>
          <w:trHeight w:val="300"/>
        </w:trPr>
        <w:tc>
          <w:tcPr>
            <w:tcW w:w="3397" w:type="dxa"/>
            <w:noWrap/>
          </w:tcPr>
          <w:p w14:paraId="0A848ED4" w14:textId="77777777" w:rsidR="00254D1D" w:rsidRPr="001E37DF" w:rsidRDefault="00254D1D">
            <w:pPr>
              <w:rPr>
                <w:sz w:val="18"/>
                <w:szCs w:val="20"/>
              </w:rPr>
            </w:pPr>
            <w:r w:rsidRPr="001E37DF">
              <w:rPr>
                <w:sz w:val="18"/>
                <w:szCs w:val="20"/>
              </w:rPr>
              <w:t>Yarram Neighbourhood House Inc</w:t>
            </w:r>
          </w:p>
        </w:tc>
        <w:tc>
          <w:tcPr>
            <w:tcW w:w="3969" w:type="dxa"/>
            <w:noWrap/>
          </w:tcPr>
          <w:p w14:paraId="1A682160" w14:textId="77777777" w:rsidR="00254D1D" w:rsidRPr="001E37DF" w:rsidRDefault="00254D1D">
            <w:pPr>
              <w:rPr>
                <w:sz w:val="18"/>
                <w:szCs w:val="20"/>
              </w:rPr>
            </w:pPr>
            <w:r w:rsidRPr="001E37DF">
              <w:rPr>
                <w:sz w:val="18"/>
                <w:szCs w:val="20"/>
              </w:rPr>
              <w:t>Energy Efficiency Upgrades - Yarram Neighbourhood House</w:t>
            </w:r>
          </w:p>
        </w:tc>
        <w:tc>
          <w:tcPr>
            <w:tcW w:w="1589" w:type="dxa"/>
            <w:noWrap/>
          </w:tcPr>
          <w:p w14:paraId="27D528DB" w14:textId="77777777" w:rsidR="00254D1D" w:rsidRPr="001E37DF" w:rsidRDefault="00254D1D">
            <w:pPr>
              <w:rPr>
                <w:sz w:val="18"/>
                <w:szCs w:val="20"/>
              </w:rPr>
            </w:pPr>
            <w:r w:rsidRPr="001E37DF">
              <w:rPr>
                <w:sz w:val="18"/>
                <w:szCs w:val="20"/>
              </w:rPr>
              <w:t>$1,746</w:t>
            </w:r>
          </w:p>
        </w:tc>
      </w:tr>
      <w:tr w:rsidR="00254D1D" w14:paraId="7166381A" w14:textId="77777777">
        <w:trPr>
          <w:trHeight w:val="300"/>
        </w:trPr>
        <w:tc>
          <w:tcPr>
            <w:tcW w:w="3397" w:type="dxa"/>
            <w:noWrap/>
          </w:tcPr>
          <w:p w14:paraId="3E80E729" w14:textId="77777777" w:rsidR="00254D1D" w:rsidRPr="001E37DF" w:rsidRDefault="00254D1D">
            <w:pPr>
              <w:rPr>
                <w:sz w:val="18"/>
                <w:szCs w:val="20"/>
              </w:rPr>
            </w:pPr>
            <w:proofErr w:type="spellStart"/>
            <w:r w:rsidRPr="001E37DF">
              <w:rPr>
                <w:sz w:val="18"/>
                <w:szCs w:val="20"/>
              </w:rPr>
              <w:t>Yarriambiack</w:t>
            </w:r>
            <w:proofErr w:type="spellEnd"/>
            <w:r w:rsidRPr="001E37DF">
              <w:rPr>
                <w:sz w:val="18"/>
                <w:szCs w:val="20"/>
              </w:rPr>
              <w:t xml:space="preserve"> Shire Council</w:t>
            </w:r>
          </w:p>
          <w:p w14:paraId="7230D68D" w14:textId="77777777" w:rsidR="00254D1D" w:rsidRPr="001E37DF" w:rsidRDefault="00254D1D">
            <w:pPr>
              <w:rPr>
                <w:sz w:val="18"/>
                <w:szCs w:val="20"/>
              </w:rPr>
            </w:pPr>
          </w:p>
        </w:tc>
        <w:tc>
          <w:tcPr>
            <w:tcW w:w="3969" w:type="dxa"/>
            <w:noWrap/>
          </w:tcPr>
          <w:p w14:paraId="56A3C413" w14:textId="77777777" w:rsidR="00254D1D" w:rsidRPr="001E37DF" w:rsidRDefault="00254D1D">
            <w:pPr>
              <w:rPr>
                <w:sz w:val="18"/>
                <w:szCs w:val="20"/>
              </w:rPr>
            </w:pPr>
            <w:proofErr w:type="spellStart"/>
            <w:r w:rsidRPr="001E37DF">
              <w:rPr>
                <w:sz w:val="18"/>
                <w:szCs w:val="20"/>
              </w:rPr>
              <w:t>Yarriambiack</w:t>
            </w:r>
            <w:proofErr w:type="spellEnd"/>
            <w:r w:rsidRPr="001E37DF">
              <w:rPr>
                <w:sz w:val="18"/>
                <w:szCs w:val="20"/>
              </w:rPr>
              <w:t xml:space="preserve"> Shire Council's New Glass Drop-Off and Kerbside Collection System</w:t>
            </w:r>
          </w:p>
        </w:tc>
        <w:tc>
          <w:tcPr>
            <w:tcW w:w="1589" w:type="dxa"/>
            <w:noWrap/>
          </w:tcPr>
          <w:p w14:paraId="63A5F99F" w14:textId="77777777" w:rsidR="00254D1D" w:rsidRPr="001E37DF" w:rsidRDefault="00254D1D">
            <w:pPr>
              <w:rPr>
                <w:sz w:val="18"/>
                <w:szCs w:val="20"/>
              </w:rPr>
            </w:pPr>
            <w:r w:rsidRPr="001E37DF">
              <w:rPr>
                <w:sz w:val="18"/>
                <w:szCs w:val="20"/>
              </w:rPr>
              <w:t>$3,870</w:t>
            </w:r>
          </w:p>
        </w:tc>
      </w:tr>
      <w:tr w:rsidR="00254D1D" w14:paraId="397D4117" w14:textId="77777777">
        <w:trPr>
          <w:trHeight w:val="300"/>
        </w:trPr>
        <w:tc>
          <w:tcPr>
            <w:tcW w:w="3397" w:type="dxa"/>
            <w:noWrap/>
          </w:tcPr>
          <w:p w14:paraId="79833A7F" w14:textId="77777777" w:rsidR="00254D1D" w:rsidRPr="001E37DF" w:rsidRDefault="00254D1D">
            <w:pPr>
              <w:rPr>
                <w:sz w:val="18"/>
                <w:szCs w:val="20"/>
              </w:rPr>
            </w:pPr>
            <w:proofErr w:type="spellStart"/>
            <w:r w:rsidRPr="001E37DF">
              <w:rPr>
                <w:sz w:val="18"/>
                <w:szCs w:val="20"/>
              </w:rPr>
              <w:t>Yarriambiack</w:t>
            </w:r>
            <w:proofErr w:type="spellEnd"/>
            <w:r w:rsidRPr="001E37DF">
              <w:rPr>
                <w:sz w:val="18"/>
                <w:szCs w:val="20"/>
              </w:rPr>
              <w:t xml:space="preserve"> Shire Council</w:t>
            </w:r>
          </w:p>
        </w:tc>
        <w:tc>
          <w:tcPr>
            <w:tcW w:w="3969" w:type="dxa"/>
            <w:noWrap/>
          </w:tcPr>
          <w:p w14:paraId="3A68207C" w14:textId="77777777" w:rsidR="00254D1D" w:rsidRPr="001E37DF" w:rsidRDefault="00254D1D">
            <w:pPr>
              <w:rPr>
                <w:sz w:val="18"/>
                <w:szCs w:val="20"/>
              </w:rPr>
            </w:pPr>
            <w:r w:rsidRPr="001E37DF">
              <w:rPr>
                <w:sz w:val="18"/>
                <w:szCs w:val="20"/>
              </w:rPr>
              <w:t xml:space="preserve">RV Councils Implementation - </w:t>
            </w:r>
            <w:proofErr w:type="spellStart"/>
            <w:r w:rsidRPr="001E37DF">
              <w:rPr>
                <w:sz w:val="18"/>
                <w:szCs w:val="20"/>
              </w:rPr>
              <w:t>Yarriambiack</w:t>
            </w:r>
            <w:proofErr w:type="spellEnd"/>
            <w:r w:rsidRPr="001E37DF">
              <w:rPr>
                <w:sz w:val="18"/>
                <w:szCs w:val="20"/>
              </w:rPr>
              <w:t xml:space="preserve"> - Wimmera Mallee Councils Recycled Glass Processing Collaboration</w:t>
            </w:r>
          </w:p>
        </w:tc>
        <w:tc>
          <w:tcPr>
            <w:tcW w:w="1589" w:type="dxa"/>
            <w:noWrap/>
          </w:tcPr>
          <w:p w14:paraId="47B302BF" w14:textId="77777777" w:rsidR="00254D1D" w:rsidRPr="001E37DF" w:rsidRDefault="00254D1D">
            <w:pPr>
              <w:rPr>
                <w:sz w:val="18"/>
                <w:szCs w:val="20"/>
              </w:rPr>
            </w:pPr>
            <w:r w:rsidRPr="001E37DF">
              <w:rPr>
                <w:sz w:val="18"/>
                <w:szCs w:val="20"/>
              </w:rPr>
              <w:t>$25,000</w:t>
            </w:r>
          </w:p>
        </w:tc>
      </w:tr>
    </w:tbl>
    <w:p w14:paraId="15326F87" w14:textId="77777777" w:rsidR="00254D1D" w:rsidRPr="0012521E" w:rsidRDefault="00254D1D" w:rsidP="009E4CF2">
      <w:pPr>
        <w:rPr>
          <w:rFonts w:asciiTheme="majorHAnsi" w:hAnsiTheme="majorHAnsi" w:cstheme="majorHAnsi"/>
        </w:rPr>
      </w:pPr>
    </w:p>
    <w:p w14:paraId="7D50DBBE" w14:textId="77777777" w:rsidR="00094284" w:rsidRPr="0012521E" w:rsidRDefault="00094284" w:rsidP="00094284">
      <w:pPr>
        <w:rPr>
          <w:rFonts w:asciiTheme="majorHAnsi" w:hAnsiTheme="majorHAnsi" w:cstheme="majorHAnsi"/>
        </w:rPr>
      </w:pPr>
    </w:p>
    <w:p w14:paraId="1A11245F" w14:textId="77777777" w:rsidR="00094284" w:rsidRPr="0012521E" w:rsidRDefault="00094284" w:rsidP="009E4CF2">
      <w:pPr>
        <w:rPr>
          <w:rFonts w:asciiTheme="majorHAnsi" w:hAnsiTheme="majorHAnsi" w:cstheme="majorHAnsi"/>
        </w:rPr>
      </w:pPr>
    </w:p>
    <w:p w14:paraId="013A2EA6" w14:textId="16485119" w:rsidR="009E4CF2" w:rsidRPr="002E3473" w:rsidRDefault="009E4CF2" w:rsidP="009E4CF2">
      <w:pPr>
        <w:rPr>
          <w:rFonts w:asciiTheme="majorHAnsi" w:hAnsiTheme="majorHAnsi" w:cstheme="majorHAnsi"/>
        </w:rPr>
      </w:pPr>
      <w:bookmarkStart w:id="366" w:name="_Toc56627372"/>
      <w:bookmarkStart w:id="367" w:name="_Toc57039899"/>
      <w:bookmarkStart w:id="368" w:name="_Ref84950153"/>
      <w:bookmarkStart w:id="369" w:name="_Ref85023422"/>
    </w:p>
    <w:p w14:paraId="46542782" w14:textId="77777777" w:rsidR="002E3473" w:rsidRDefault="002E3473">
      <w:pPr>
        <w:spacing w:line="259" w:lineRule="auto"/>
        <w:rPr>
          <w:rFonts w:asciiTheme="majorHAnsi" w:eastAsiaTheme="majorEastAsia" w:hAnsiTheme="majorHAnsi" w:cstheme="majorHAnsi"/>
          <w:b/>
          <w:color w:val="174F37"/>
          <w:sz w:val="40"/>
          <w:szCs w:val="32"/>
        </w:rPr>
      </w:pPr>
      <w:bookmarkStart w:id="370" w:name="_Ref139545474"/>
      <w:bookmarkStart w:id="371" w:name="_Ref139545483"/>
      <w:bookmarkStart w:id="372" w:name="_Toc144883461"/>
      <w:bookmarkStart w:id="373" w:name="_Toc144884500"/>
      <w:bookmarkStart w:id="374" w:name="_Toc147395365"/>
      <w:bookmarkStart w:id="375" w:name="_Toc166585796"/>
      <w:r>
        <w:rPr>
          <w:rFonts w:asciiTheme="majorHAnsi" w:hAnsiTheme="majorHAnsi" w:cstheme="majorHAnsi"/>
        </w:rPr>
        <w:br w:type="page"/>
      </w:r>
    </w:p>
    <w:p w14:paraId="301C46DC" w14:textId="5E7B96C7" w:rsidR="009E4CF2" w:rsidRPr="0012521E" w:rsidRDefault="009E4CF2" w:rsidP="009E4CF2">
      <w:pPr>
        <w:pStyle w:val="Heading1"/>
        <w:rPr>
          <w:rFonts w:asciiTheme="majorHAnsi" w:hAnsiTheme="majorHAnsi" w:cstheme="majorHAnsi"/>
        </w:rPr>
      </w:pPr>
      <w:bookmarkStart w:id="376" w:name="_Toc179469487"/>
      <w:r w:rsidRPr="0012521E">
        <w:rPr>
          <w:rFonts w:asciiTheme="majorHAnsi" w:hAnsiTheme="majorHAnsi" w:cstheme="majorHAnsi"/>
        </w:rPr>
        <w:t xml:space="preserve">Appendix 4: Attestation for compliance with Ministerial Standing </w:t>
      </w:r>
      <w:bookmarkEnd w:id="366"/>
      <w:bookmarkEnd w:id="367"/>
      <w:bookmarkEnd w:id="368"/>
      <w:bookmarkEnd w:id="369"/>
      <w:r w:rsidRPr="0012521E">
        <w:rPr>
          <w:rFonts w:asciiTheme="majorHAnsi" w:hAnsiTheme="majorHAnsi" w:cstheme="majorHAnsi"/>
        </w:rPr>
        <w:t>Directions</w:t>
      </w:r>
      <w:bookmarkEnd w:id="370"/>
      <w:bookmarkEnd w:id="371"/>
      <w:bookmarkEnd w:id="372"/>
      <w:bookmarkEnd w:id="373"/>
      <w:bookmarkEnd w:id="374"/>
      <w:bookmarkEnd w:id="375"/>
      <w:bookmarkEnd w:id="376"/>
    </w:p>
    <w:p w14:paraId="47D7345F" w14:textId="77777777" w:rsidR="009E4CF2" w:rsidRPr="0012521E" w:rsidRDefault="009E4CF2" w:rsidP="009E4CF2">
      <w:pPr>
        <w:rPr>
          <w:rFonts w:asciiTheme="majorHAnsi" w:hAnsiTheme="majorHAnsi" w:cstheme="majorHAnsi"/>
        </w:rPr>
      </w:pPr>
    </w:p>
    <w:p w14:paraId="26010CAC" w14:textId="77777777" w:rsidR="009E4CF2" w:rsidRPr="006A4B9B" w:rsidRDefault="009E4CF2" w:rsidP="00105389">
      <w:pPr>
        <w:pStyle w:val="Body"/>
      </w:pPr>
      <w:r w:rsidRPr="006A4B9B">
        <w:t>Sustainability Victoria Financial Management Compliance Attestation Statement</w:t>
      </w:r>
    </w:p>
    <w:p w14:paraId="114FF0B6" w14:textId="77CDE6F7" w:rsidR="009E4CF2" w:rsidRDefault="00421E08" w:rsidP="00421E08">
      <w:pPr>
        <w:pStyle w:val="Body"/>
        <w:rPr>
          <w:rFonts w:cs="DIN Next LT Pro Light"/>
          <w:color w:val="000000"/>
          <w:sz w:val="19"/>
          <w:szCs w:val="19"/>
        </w:rPr>
      </w:pPr>
      <w:r>
        <w:t xml:space="preserve">I, Johan Scheffer, on behalf of the Responsible Body, certify that SV has the following Material Compliance Deficiencies with respect to the applicable Standing Directions under the </w:t>
      </w:r>
      <w:r w:rsidR="009E4CF2" w:rsidRPr="006A4B9B">
        <w:rPr>
          <w:i/>
        </w:rPr>
        <w:t>Financial Management Act 1994</w:t>
      </w:r>
      <w:r w:rsidR="009E4CF2" w:rsidRPr="006A4B9B">
        <w:t xml:space="preserve"> </w:t>
      </w:r>
      <w:r w:rsidR="00A935C2">
        <w:t>(</w:t>
      </w:r>
      <w:r w:rsidR="00A935C2">
        <w:rPr>
          <w:rFonts w:cs="DIN Next LT Pro Light"/>
          <w:color w:val="000000"/>
          <w:sz w:val="19"/>
          <w:szCs w:val="19"/>
        </w:rPr>
        <w:t xml:space="preserve">FMA) and Instructions: </w:t>
      </w:r>
    </w:p>
    <w:p w14:paraId="63DBE351" w14:textId="77777777" w:rsidR="00552DDC" w:rsidRPr="00552DDC" w:rsidRDefault="00552DDC" w:rsidP="00552DDC">
      <w:pPr>
        <w:pStyle w:val="Body"/>
        <w:rPr>
          <w:rFonts w:cs="DIN Next LT Pro Light"/>
          <w:color w:val="000000"/>
          <w:sz w:val="19"/>
          <w:szCs w:val="19"/>
        </w:rPr>
      </w:pPr>
      <w:r w:rsidRPr="00552DDC">
        <w:rPr>
          <w:rFonts w:cs="DIN Next LT Pro Light"/>
          <w:color w:val="000000"/>
          <w:sz w:val="19"/>
          <w:szCs w:val="19"/>
        </w:rPr>
        <w:t>Direction 3.4 - Internal control system:</w:t>
      </w:r>
    </w:p>
    <w:p w14:paraId="46B286D2" w14:textId="3410CDAF" w:rsidR="00552DDC" w:rsidRPr="00552DDC" w:rsidRDefault="00552DDC" w:rsidP="00552DDC">
      <w:pPr>
        <w:pStyle w:val="Body"/>
        <w:rPr>
          <w:rFonts w:cs="DIN Next LT Pro Light"/>
          <w:color w:val="000000"/>
          <w:sz w:val="19"/>
          <w:szCs w:val="19"/>
        </w:rPr>
      </w:pPr>
      <w:r w:rsidRPr="00552DDC">
        <w:rPr>
          <w:rFonts w:cs="DIN Next LT Pro Light"/>
          <w:color w:val="000000"/>
          <w:sz w:val="19"/>
          <w:szCs w:val="19"/>
        </w:rPr>
        <w:t>(b) comply with applicable laws, regulations and standards and promptly, completely,</w:t>
      </w:r>
      <w:r>
        <w:rPr>
          <w:rFonts w:cs="DIN Next LT Pro Light"/>
          <w:color w:val="000000"/>
          <w:sz w:val="19"/>
          <w:szCs w:val="19"/>
        </w:rPr>
        <w:t xml:space="preserve"> </w:t>
      </w:r>
      <w:r w:rsidRPr="00552DDC">
        <w:rPr>
          <w:rFonts w:cs="DIN Next LT Pro Light"/>
          <w:color w:val="000000"/>
          <w:sz w:val="19"/>
          <w:szCs w:val="19"/>
        </w:rPr>
        <w:t>and</w:t>
      </w:r>
    </w:p>
    <w:p w14:paraId="49EAF796" w14:textId="77777777" w:rsidR="00552DDC" w:rsidRPr="00552DDC" w:rsidRDefault="00552DDC" w:rsidP="00552DDC">
      <w:pPr>
        <w:pStyle w:val="Body"/>
        <w:rPr>
          <w:rFonts w:cs="DIN Next LT Pro Light"/>
          <w:color w:val="000000"/>
          <w:sz w:val="19"/>
          <w:szCs w:val="19"/>
        </w:rPr>
      </w:pPr>
      <w:r w:rsidRPr="00552DDC">
        <w:rPr>
          <w:rFonts w:cs="DIN Next LT Pro Light"/>
          <w:color w:val="000000"/>
          <w:sz w:val="19"/>
          <w:szCs w:val="19"/>
        </w:rPr>
        <w:t>3 (a) accurately identifying, managing, recording and reporting of revenue.</w:t>
      </w:r>
    </w:p>
    <w:p w14:paraId="19E78FBA" w14:textId="430BB2B1" w:rsidR="00552DDC" w:rsidRPr="00552DDC" w:rsidRDefault="00552DDC" w:rsidP="00552DDC">
      <w:pPr>
        <w:pStyle w:val="Body"/>
        <w:rPr>
          <w:rFonts w:cs="DIN Next LT Pro Light"/>
          <w:color w:val="000000"/>
          <w:sz w:val="19"/>
          <w:szCs w:val="19"/>
        </w:rPr>
      </w:pPr>
      <w:r w:rsidRPr="00552DDC">
        <w:rPr>
          <w:rFonts w:cs="DIN Next LT Pro Light"/>
          <w:color w:val="000000"/>
          <w:sz w:val="19"/>
          <w:szCs w:val="19"/>
        </w:rPr>
        <w:t>Recent advice received from the Victorian Government Solicitors Office (VGSO)</w:t>
      </w:r>
      <w:r w:rsidR="00237E31">
        <w:rPr>
          <w:rFonts w:cs="DIN Next LT Pro Light"/>
          <w:color w:val="000000"/>
          <w:sz w:val="19"/>
          <w:szCs w:val="19"/>
        </w:rPr>
        <w:t xml:space="preserve"> </w:t>
      </w:r>
      <w:r w:rsidRPr="00552DDC">
        <w:rPr>
          <w:rFonts w:cs="DIN Next LT Pro Light"/>
          <w:color w:val="000000"/>
          <w:sz w:val="19"/>
          <w:szCs w:val="19"/>
        </w:rPr>
        <w:t>communicates that SV requires a statutory power to charge a fee when undertaking</w:t>
      </w:r>
      <w:r w:rsidR="00237E31">
        <w:rPr>
          <w:rFonts w:cs="DIN Next LT Pro Light"/>
          <w:color w:val="000000"/>
          <w:sz w:val="19"/>
          <w:szCs w:val="19"/>
        </w:rPr>
        <w:t xml:space="preserve"> </w:t>
      </w:r>
      <w:r w:rsidRPr="00552DDC">
        <w:rPr>
          <w:rFonts w:cs="DIN Next LT Pro Light"/>
          <w:color w:val="000000"/>
          <w:sz w:val="19"/>
          <w:szCs w:val="19"/>
        </w:rPr>
        <w:t>commercial activities directly related to the functions in the Sustainability Victoria</w:t>
      </w:r>
      <w:r w:rsidR="00237E31">
        <w:rPr>
          <w:rFonts w:cs="DIN Next LT Pro Light"/>
          <w:color w:val="000000"/>
          <w:sz w:val="19"/>
          <w:szCs w:val="19"/>
        </w:rPr>
        <w:t xml:space="preserve"> </w:t>
      </w:r>
      <w:r w:rsidRPr="00552DDC">
        <w:rPr>
          <w:rFonts w:cs="DIN Next LT Pro Light"/>
          <w:color w:val="000000"/>
          <w:sz w:val="19"/>
          <w:szCs w:val="19"/>
        </w:rPr>
        <w:t xml:space="preserve">Act </w:t>
      </w:r>
      <w:proofErr w:type="gramStart"/>
      <w:r w:rsidRPr="00552DDC">
        <w:rPr>
          <w:rFonts w:cs="DIN Next LT Pro Light"/>
          <w:color w:val="000000"/>
          <w:sz w:val="19"/>
          <w:szCs w:val="19"/>
        </w:rPr>
        <w:t>2005, and</w:t>
      </w:r>
      <w:proofErr w:type="gramEnd"/>
      <w:r w:rsidRPr="00552DDC">
        <w:rPr>
          <w:rFonts w:cs="DIN Next LT Pro Light"/>
          <w:color w:val="000000"/>
          <w:sz w:val="19"/>
          <w:szCs w:val="19"/>
        </w:rPr>
        <w:t xml:space="preserve"> has an obligation to remit all First Rate 5 certificate monies to the</w:t>
      </w:r>
      <w:r w:rsidR="00237E31">
        <w:rPr>
          <w:rFonts w:cs="DIN Next LT Pro Light"/>
          <w:color w:val="000000"/>
          <w:sz w:val="19"/>
          <w:szCs w:val="19"/>
        </w:rPr>
        <w:t xml:space="preserve"> </w:t>
      </w:r>
      <w:r w:rsidRPr="00552DDC">
        <w:rPr>
          <w:rFonts w:cs="DIN Next LT Pro Light"/>
          <w:color w:val="000000"/>
          <w:sz w:val="19"/>
          <w:szCs w:val="19"/>
        </w:rPr>
        <w:t>Consolidated Fund.</w:t>
      </w:r>
    </w:p>
    <w:p w14:paraId="6184725D" w14:textId="69E05320" w:rsidR="00552DDC" w:rsidRPr="00552DDC" w:rsidRDefault="00552DDC" w:rsidP="00552DDC">
      <w:pPr>
        <w:pStyle w:val="Body"/>
        <w:rPr>
          <w:rFonts w:cs="DIN Next LT Pro Light"/>
          <w:color w:val="000000"/>
          <w:sz w:val="19"/>
          <w:szCs w:val="19"/>
        </w:rPr>
      </w:pPr>
      <w:r w:rsidRPr="00552DDC">
        <w:rPr>
          <w:rFonts w:cs="DIN Next LT Pro Light"/>
          <w:color w:val="000000"/>
          <w:sz w:val="19"/>
          <w:szCs w:val="19"/>
        </w:rPr>
        <w:t>This is an inadvertent technical breach of the FMA. At all times SV’s Board and staff</w:t>
      </w:r>
      <w:r w:rsidR="00237E31">
        <w:rPr>
          <w:rFonts w:cs="DIN Next LT Pro Light"/>
          <w:color w:val="000000"/>
          <w:sz w:val="19"/>
          <w:szCs w:val="19"/>
        </w:rPr>
        <w:t xml:space="preserve"> </w:t>
      </w:r>
      <w:r w:rsidRPr="00552DDC">
        <w:rPr>
          <w:rFonts w:cs="DIN Next LT Pro Light"/>
          <w:color w:val="000000"/>
          <w:sz w:val="19"/>
          <w:szCs w:val="19"/>
        </w:rPr>
        <w:t>have made decisions consistent with the legal advice provided at the time. All items</w:t>
      </w:r>
      <w:r w:rsidR="00237E31">
        <w:rPr>
          <w:rFonts w:cs="DIN Next LT Pro Light"/>
          <w:color w:val="000000"/>
          <w:sz w:val="19"/>
          <w:szCs w:val="19"/>
        </w:rPr>
        <w:t xml:space="preserve"> </w:t>
      </w:r>
      <w:r w:rsidRPr="00552DDC">
        <w:rPr>
          <w:rFonts w:cs="DIN Next LT Pro Light"/>
          <w:color w:val="000000"/>
          <w:sz w:val="19"/>
          <w:szCs w:val="19"/>
        </w:rPr>
        <w:t>that have been identified by the Board as areas of risk following the most recent</w:t>
      </w:r>
      <w:r w:rsidR="00237E31">
        <w:rPr>
          <w:rFonts w:cs="DIN Next LT Pro Light"/>
          <w:color w:val="000000"/>
          <w:sz w:val="19"/>
          <w:szCs w:val="19"/>
        </w:rPr>
        <w:t xml:space="preserve"> </w:t>
      </w:r>
      <w:r w:rsidRPr="00552DDC">
        <w:rPr>
          <w:rFonts w:cs="DIN Next LT Pro Light"/>
          <w:color w:val="000000"/>
          <w:sz w:val="19"/>
          <w:szCs w:val="19"/>
        </w:rPr>
        <w:t>advice from the VGSO were historically approved by the relevant Ministers through</w:t>
      </w:r>
      <w:r w:rsidR="00237E31">
        <w:rPr>
          <w:rFonts w:cs="DIN Next LT Pro Light"/>
          <w:color w:val="000000"/>
          <w:sz w:val="19"/>
          <w:szCs w:val="19"/>
        </w:rPr>
        <w:t xml:space="preserve"> </w:t>
      </w:r>
      <w:r w:rsidRPr="00552DDC">
        <w:rPr>
          <w:rFonts w:cs="DIN Next LT Pro Light"/>
          <w:color w:val="000000"/>
          <w:sz w:val="19"/>
          <w:szCs w:val="19"/>
        </w:rPr>
        <w:t>the Whole of Victorian Government Intellectual Property Policy.</w:t>
      </w:r>
    </w:p>
    <w:p w14:paraId="31D17ADC" w14:textId="2B252C96" w:rsidR="00A935C2" w:rsidRDefault="00237E31" w:rsidP="00421E08">
      <w:pPr>
        <w:pStyle w:val="Body"/>
        <w:rPr>
          <w:rFonts w:cs="DIN Next LT Pro Light"/>
          <w:color w:val="000000"/>
          <w:sz w:val="19"/>
          <w:szCs w:val="19"/>
        </w:rPr>
      </w:pPr>
      <w:r>
        <w:rPr>
          <w:rFonts w:cs="DIN Next LT Pro Light"/>
          <w:color w:val="000000"/>
          <w:sz w:val="19"/>
          <w:szCs w:val="19"/>
        </w:rPr>
        <w:t>SV is currently in negotiations with the Department of Energy, Environment and Climate Change to address the treatment of the deficiency.</w:t>
      </w:r>
    </w:p>
    <w:p w14:paraId="7CEED6A7" w14:textId="77777777" w:rsidR="00237E31" w:rsidRPr="006A4B9B" w:rsidRDefault="00237E31" w:rsidP="00421E08">
      <w:pPr>
        <w:pStyle w:val="Body"/>
      </w:pPr>
    </w:p>
    <w:p w14:paraId="0562D250" w14:textId="77777777" w:rsidR="00EE5A69" w:rsidRDefault="009E4CF2" w:rsidP="00105389">
      <w:pPr>
        <w:pStyle w:val="Body"/>
        <w:rPr>
          <w:shd w:val="clear" w:color="auto" w:fill="FFFFFF"/>
        </w:rPr>
      </w:pPr>
      <w:r w:rsidRPr="006A4B9B">
        <w:rPr>
          <w:shd w:val="clear" w:color="auto" w:fill="FFFFFF"/>
        </w:rPr>
        <w:t>Johan Scheffer</w:t>
      </w:r>
    </w:p>
    <w:p w14:paraId="1735D3FE" w14:textId="615B4494" w:rsidR="009E4CF2" w:rsidRPr="006A4B9B" w:rsidRDefault="009E4CF2" w:rsidP="00105389">
      <w:pPr>
        <w:pStyle w:val="Body"/>
      </w:pPr>
      <w:r w:rsidRPr="006A4B9B">
        <w:t>Chairperson, Sustainability Victoria</w:t>
      </w:r>
    </w:p>
    <w:p w14:paraId="071271CC" w14:textId="06EC18C6" w:rsidR="009E4CF2" w:rsidRPr="0012521E" w:rsidRDefault="00C356CE" w:rsidP="00105389">
      <w:pPr>
        <w:pStyle w:val="Body"/>
      </w:pPr>
      <w:r>
        <w:t>12</w:t>
      </w:r>
      <w:r w:rsidRPr="00C356CE">
        <w:rPr>
          <w:vertAlign w:val="superscript"/>
        </w:rPr>
        <w:t>th</w:t>
      </w:r>
      <w:r w:rsidR="009E4CF2" w:rsidRPr="00F10043">
        <w:t xml:space="preserve"> September 202</w:t>
      </w:r>
      <w:r w:rsidR="00094284" w:rsidRPr="00F10043">
        <w:t>4</w:t>
      </w:r>
    </w:p>
    <w:p w14:paraId="69A44D43" w14:textId="77777777" w:rsidR="009E4CF2" w:rsidRPr="0012521E" w:rsidRDefault="009E4CF2" w:rsidP="009E4CF2">
      <w:pPr>
        <w:rPr>
          <w:rFonts w:asciiTheme="majorHAnsi" w:hAnsiTheme="majorHAnsi" w:cstheme="majorHAnsi"/>
        </w:rPr>
      </w:pPr>
    </w:p>
    <w:p w14:paraId="5F34FF58" w14:textId="77777777" w:rsidR="009E4CF2" w:rsidRPr="0012521E" w:rsidRDefault="009E4CF2" w:rsidP="009E4CF2">
      <w:pPr>
        <w:rPr>
          <w:rFonts w:asciiTheme="majorHAnsi" w:hAnsiTheme="majorHAnsi" w:cstheme="majorHAnsi"/>
          <w:highlight w:val="yellow"/>
        </w:rPr>
      </w:pPr>
      <w:r w:rsidRPr="0012521E">
        <w:rPr>
          <w:rFonts w:asciiTheme="majorHAnsi" w:hAnsiTheme="majorHAnsi" w:cstheme="majorHAnsi"/>
        </w:rPr>
        <w:br w:type="page"/>
      </w:r>
    </w:p>
    <w:p w14:paraId="0F34C46A" w14:textId="011B8FB8" w:rsidR="009E4CF2" w:rsidRPr="0012521E" w:rsidRDefault="009E4CF2" w:rsidP="009E4CF2">
      <w:pPr>
        <w:pStyle w:val="Heading1"/>
        <w:rPr>
          <w:rFonts w:asciiTheme="majorHAnsi" w:hAnsiTheme="majorHAnsi" w:cstheme="majorHAnsi"/>
        </w:rPr>
      </w:pPr>
      <w:bookmarkStart w:id="377" w:name="_Toc144883462"/>
      <w:bookmarkStart w:id="378" w:name="_Toc144884501"/>
      <w:bookmarkStart w:id="379" w:name="_Toc147395366"/>
      <w:bookmarkStart w:id="380" w:name="_Toc166585797"/>
      <w:bookmarkStart w:id="381" w:name="_Toc179469488"/>
      <w:bookmarkStart w:id="382" w:name="_Toc56627373"/>
      <w:bookmarkStart w:id="383" w:name="_Toc57039900"/>
      <w:r w:rsidRPr="0012521E">
        <w:rPr>
          <w:rFonts w:asciiTheme="majorHAnsi" w:hAnsiTheme="majorHAnsi" w:cstheme="majorHAnsi"/>
        </w:rPr>
        <w:t>Appendix 5: Ministerial Statement of Expectations</w:t>
      </w:r>
      <w:bookmarkEnd w:id="377"/>
      <w:bookmarkEnd w:id="378"/>
      <w:bookmarkEnd w:id="379"/>
      <w:bookmarkEnd w:id="380"/>
      <w:bookmarkEnd w:id="381"/>
    </w:p>
    <w:p w14:paraId="765FCA21" w14:textId="3A964CC3" w:rsidR="009E4CF2" w:rsidRPr="00BF0599" w:rsidRDefault="009E4CF2" w:rsidP="00105389">
      <w:pPr>
        <w:pStyle w:val="Body"/>
      </w:pPr>
      <w:r w:rsidRPr="00BF0599">
        <w:t>The Minister</w:t>
      </w:r>
      <w:r w:rsidR="00D4623B">
        <w:t>ial</w:t>
      </w:r>
      <w:r w:rsidRPr="00BF0599">
        <w:t xml:space="preserve"> Statement of Expectations </w:t>
      </w:r>
      <w:r w:rsidR="00170263" w:rsidRPr="00C733C1">
        <w:t xml:space="preserve">issued on </w:t>
      </w:r>
      <w:r w:rsidR="00C733C1" w:rsidRPr="00C733C1">
        <w:t>June</w:t>
      </w:r>
      <w:r w:rsidR="00C733C1">
        <w:t xml:space="preserve"> 2020</w:t>
      </w:r>
      <w:r w:rsidRPr="00170263">
        <w:t xml:space="preserve"> </w:t>
      </w:r>
      <w:r w:rsidR="00170263">
        <w:t>to</w:t>
      </w:r>
      <w:r w:rsidRPr="00BF0599">
        <w:t xml:space="preserve"> deliver the </w:t>
      </w:r>
      <w:r w:rsidRPr="002C0C98">
        <w:rPr>
          <w:i/>
          <w:iCs/>
        </w:rPr>
        <w:t>Circular Economy Policy</w:t>
      </w:r>
      <w:r w:rsidRPr="00BF0599">
        <w:t xml:space="preserve"> include the following deliverables for SV:</w:t>
      </w:r>
    </w:p>
    <w:p w14:paraId="53DA59F6" w14:textId="77777777" w:rsidR="009E4CF2" w:rsidRPr="00BF0599" w:rsidRDefault="009E4CF2" w:rsidP="00C356CE">
      <w:pPr>
        <w:pStyle w:val="Body"/>
        <w:numPr>
          <w:ilvl w:val="0"/>
          <w:numId w:val="22"/>
        </w:numPr>
      </w:pPr>
      <w:r w:rsidRPr="00BF0599">
        <w:t>An industry and infrastructure development program to increase recovery and local processing of priority materials and reduce the volume and harm from waste going to landfill.</w:t>
      </w:r>
    </w:p>
    <w:p w14:paraId="7ABA0383" w14:textId="77777777" w:rsidR="009E4CF2" w:rsidRPr="00BF0599" w:rsidRDefault="009E4CF2" w:rsidP="00C356CE">
      <w:pPr>
        <w:pStyle w:val="Body"/>
        <w:numPr>
          <w:ilvl w:val="0"/>
          <w:numId w:val="22"/>
        </w:numPr>
      </w:pPr>
      <w:r w:rsidRPr="00BF0599">
        <w:t>In collaboration with DEECA, a Circular Economy Business Innovation Centre to enable collaboration among government, industry research organisations and communities.</w:t>
      </w:r>
    </w:p>
    <w:p w14:paraId="4D25ADED" w14:textId="77777777" w:rsidR="009E4CF2" w:rsidRPr="00BF0599" w:rsidRDefault="009E4CF2" w:rsidP="00C356CE">
      <w:pPr>
        <w:pStyle w:val="Body"/>
        <w:numPr>
          <w:ilvl w:val="0"/>
          <w:numId w:val="22"/>
        </w:numPr>
      </w:pPr>
      <w:r w:rsidRPr="00BF0599">
        <w:t>Business support grants to help businesses improve materials productivity and reduce waste.</w:t>
      </w:r>
    </w:p>
    <w:p w14:paraId="48FD59BD" w14:textId="4FEB93A0" w:rsidR="006577BF" w:rsidRPr="00DF0A25" w:rsidRDefault="009E4CF2" w:rsidP="00C356CE">
      <w:pPr>
        <w:pStyle w:val="Body"/>
        <w:numPr>
          <w:ilvl w:val="0"/>
          <w:numId w:val="22"/>
        </w:numPr>
      </w:pPr>
      <w:r w:rsidRPr="00BF0599">
        <w:t>Grants to support Local Government and Alpine Resort Management Boards transition towards a circular economy. Councils will be supported to act on opportunities to reduce waste and increase recycling locally and increase economic development.</w:t>
      </w:r>
    </w:p>
    <w:p w14:paraId="21ECD5F3" w14:textId="77777777" w:rsidR="009E4CF2" w:rsidRPr="00BF0599" w:rsidRDefault="009E4CF2" w:rsidP="00C356CE">
      <w:pPr>
        <w:pStyle w:val="Body"/>
        <w:numPr>
          <w:ilvl w:val="0"/>
          <w:numId w:val="22"/>
        </w:numPr>
      </w:pPr>
      <w:r w:rsidRPr="00BF0599">
        <w:t>Grants to support local community groups, social enterprises and other not-for-profit businesses to reduce waste, boost recycling and transition towards a circular economy.</w:t>
      </w:r>
    </w:p>
    <w:p w14:paraId="15D87D55" w14:textId="77777777" w:rsidR="009E4CF2" w:rsidRPr="00BF0599" w:rsidRDefault="009E4CF2" w:rsidP="00C356CE">
      <w:pPr>
        <w:pStyle w:val="Body"/>
        <w:numPr>
          <w:ilvl w:val="0"/>
          <w:numId w:val="22"/>
        </w:numPr>
      </w:pPr>
      <w:r w:rsidRPr="00BF0599">
        <w:t>Deliver statewide education and behaviour change programs to support Circular Economy Policy objectives.</w:t>
      </w:r>
    </w:p>
    <w:p w14:paraId="2D4CE63E" w14:textId="77777777" w:rsidR="009E4CF2" w:rsidRPr="00BF0599" w:rsidRDefault="009E4CF2" w:rsidP="00C356CE">
      <w:pPr>
        <w:pStyle w:val="Body"/>
        <w:numPr>
          <w:ilvl w:val="0"/>
          <w:numId w:val="22"/>
        </w:numPr>
      </w:pPr>
      <w:r w:rsidRPr="00BF0599">
        <w:t>In collaboration with DEECA, support businesses to reduce problematic and unnecessary single-use plastics as part of a statewide ban.</w:t>
      </w:r>
    </w:p>
    <w:p w14:paraId="7A29B37C" w14:textId="77777777" w:rsidR="009E4CF2" w:rsidRPr="00BF0599" w:rsidRDefault="009E4CF2" w:rsidP="00C356CE">
      <w:pPr>
        <w:pStyle w:val="Body"/>
        <w:numPr>
          <w:ilvl w:val="0"/>
          <w:numId w:val="22"/>
        </w:numPr>
        <w:rPr>
          <w:rFonts w:eastAsia="SimHei"/>
        </w:rPr>
      </w:pPr>
      <w:r w:rsidRPr="00BF0599">
        <w:t>A Recycling Markets Acceleration program in collaboration with DEECA and EPA to support Victorian businesses to innovate in the use of recycled materials.</w:t>
      </w:r>
    </w:p>
    <w:p w14:paraId="2CD78985" w14:textId="77777777" w:rsidR="009E4CF2" w:rsidRPr="00BF0599" w:rsidRDefault="009E4CF2" w:rsidP="00C356CE">
      <w:pPr>
        <w:pStyle w:val="Body"/>
        <w:numPr>
          <w:ilvl w:val="0"/>
          <w:numId w:val="22"/>
        </w:numPr>
      </w:pPr>
      <w:r w:rsidRPr="00BF0599">
        <w:t>In consultation with MTIA, support local governments to increase use of recycled materials.</w:t>
      </w:r>
    </w:p>
    <w:p w14:paraId="63C37554" w14:textId="77777777" w:rsidR="009E4CF2" w:rsidRPr="00BF0599" w:rsidRDefault="009E4CF2" w:rsidP="00C356CE">
      <w:pPr>
        <w:pStyle w:val="Body"/>
        <w:numPr>
          <w:ilvl w:val="0"/>
          <w:numId w:val="22"/>
        </w:numPr>
      </w:pPr>
      <w:r w:rsidRPr="00BF0599">
        <w:t>Develop an asbestos disposal management plan to support adequate safe disposal points across the state and reduce illegal dumping.</w:t>
      </w:r>
    </w:p>
    <w:p w14:paraId="5C78F254" w14:textId="77777777" w:rsidR="009E4CF2" w:rsidRPr="00BF0599" w:rsidRDefault="009E4CF2" w:rsidP="00C356CE">
      <w:pPr>
        <w:pStyle w:val="Body"/>
        <w:numPr>
          <w:ilvl w:val="0"/>
          <w:numId w:val="22"/>
        </w:numPr>
      </w:pPr>
      <w:r w:rsidRPr="00BF0599">
        <w:t>Continue to deliver the successful Detox your Home program.</w:t>
      </w:r>
    </w:p>
    <w:p w14:paraId="2E729CE7" w14:textId="77777777" w:rsidR="009E4CF2" w:rsidRPr="0012521E" w:rsidRDefault="009E4CF2" w:rsidP="009E4CF2">
      <w:pPr>
        <w:spacing w:line="264" w:lineRule="auto"/>
        <w:rPr>
          <w:rFonts w:asciiTheme="majorHAnsi" w:eastAsiaTheme="majorEastAsia" w:hAnsiTheme="majorHAnsi" w:cstheme="majorHAnsi"/>
          <w:b/>
          <w:color w:val="174F37"/>
          <w:sz w:val="52"/>
          <w:szCs w:val="52"/>
        </w:rPr>
      </w:pPr>
      <w:bookmarkStart w:id="384" w:name="_Toc144883463"/>
      <w:bookmarkStart w:id="385" w:name="_Toc144884502"/>
      <w:r w:rsidRPr="0012521E">
        <w:rPr>
          <w:rFonts w:asciiTheme="majorHAnsi" w:hAnsiTheme="majorHAnsi" w:cstheme="majorHAnsi"/>
        </w:rPr>
        <w:br w:type="page"/>
      </w:r>
    </w:p>
    <w:p w14:paraId="7DFA1D03" w14:textId="77777777" w:rsidR="009E4CF2" w:rsidRPr="0012521E" w:rsidRDefault="009E4CF2" w:rsidP="009E4CF2">
      <w:pPr>
        <w:pStyle w:val="Heading1"/>
        <w:rPr>
          <w:rFonts w:asciiTheme="majorHAnsi" w:hAnsiTheme="majorHAnsi" w:cstheme="majorHAnsi"/>
        </w:rPr>
      </w:pPr>
      <w:bookmarkStart w:id="386" w:name="_Toc147395367"/>
      <w:bookmarkStart w:id="387" w:name="_Toc166585798"/>
      <w:bookmarkStart w:id="388" w:name="_Toc179469489"/>
      <w:r w:rsidRPr="0012521E">
        <w:rPr>
          <w:rFonts w:asciiTheme="majorHAnsi" w:hAnsiTheme="majorHAnsi" w:cstheme="majorHAnsi"/>
        </w:rPr>
        <w:t>Acronyms</w:t>
      </w:r>
      <w:bookmarkEnd w:id="382"/>
      <w:bookmarkEnd w:id="383"/>
      <w:bookmarkEnd w:id="384"/>
      <w:bookmarkEnd w:id="385"/>
      <w:bookmarkEnd w:id="386"/>
      <w:bookmarkEnd w:id="387"/>
      <w:bookmarkEnd w:id="388"/>
    </w:p>
    <w:tbl>
      <w:tblPr>
        <w:tblStyle w:val="TableGrid"/>
        <w:tblW w:w="0" w:type="auto"/>
        <w:tblLayout w:type="fixed"/>
        <w:tblLook w:val="04A0" w:firstRow="1" w:lastRow="0" w:firstColumn="1" w:lastColumn="0" w:noHBand="0" w:noVBand="1"/>
      </w:tblPr>
      <w:tblGrid>
        <w:gridCol w:w="1909"/>
        <w:gridCol w:w="6542"/>
      </w:tblGrid>
      <w:tr w:rsidR="009E4CF2" w:rsidRPr="009831F0" w14:paraId="20114C38" w14:textId="77777777" w:rsidTr="00874E27">
        <w:trPr>
          <w:trHeight w:val="240"/>
          <w:tblHeader/>
        </w:trPr>
        <w:tc>
          <w:tcPr>
            <w:tcW w:w="1909" w:type="dxa"/>
            <w:shd w:val="clear" w:color="auto" w:fill="D4DFA0" w:themeFill="accent3"/>
          </w:tcPr>
          <w:p w14:paraId="7F37E6C9" w14:textId="77777777" w:rsidR="009E4CF2" w:rsidRPr="009831F0" w:rsidRDefault="009E4CF2" w:rsidP="00EC78E4">
            <w:pPr>
              <w:pStyle w:val="TableHeading"/>
              <w:rPr>
                <w:rFonts w:cstheme="majorHAnsi"/>
                <w:color w:val="auto"/>
                <w:sz w:val="20"/>
                <w:szCs w:val="20"/>
              </w:rPr>
            </w:pPr>
            <w:r w:rsidRPr="009831F0">
              <w:rPr>
                <w:rFonts w:cstheme="majorHAnsi"/>
                <w:color w:val="auto"/>
                <w:sz w:val="20"/>
                <w:szCs w:val="20"/>
              </w:rPr>
              <w:t xml:space="preserve">Acronym </w:t>
            </w:r>
          </w:p>
        </w:tc>
        <w:tc>
          <w:tcPr>
            <w:tcW w:w="6542" w:type="dxa"/>
            <w:shd w:val="clear" w:color="auto" w:fill="D4DFA0" w:themeFill="accent3"/>
          </w:tcPr>
          <w:p w14:paraId="1E9DA009" w14:textId="77777777" w:rsidR="009E4CF2" w:rsidRPr="009831F0" w:rsidRDefault="009E4CF2" w:rsidP="00EC78E4">
            <w:pPr>
              <w:pStyle w:val="TableHeading"/>
              <w:rPr>
                <w:rFonts w:cstheme="majorHAnsi"/>
                <w:color w:val="auto"/>
                <w:sz w:val="20"/>
                <w:szCs w:val="20"/>
              </w:rPr>
            </w:pPr>
            <w:r w:rsidRPr="009831F0">
              <w:rPr>
                <w:rFonts w:cstheme="majorHAnsi"/>
                <w:color w:val="auto"/>
                <w:sz w:val="20"/>
                <w:szCs w:val="20"/>
              </w:rPr>
              <w:t>Description</w:t>
            </w:r>
          </w:p>
        </w:tc>
      </w:tr>
      <w:tr w:rsidR="009E4CF2" w:rsidRPr="009831F0" w14:paraId="2018E87F" w14:textId="77777777" w:rsidTr="00874E27">
        <w:trPr>
          <w:trHeight w:val="257"/>
        </w:trPr>
        <w:tc>
          <w:tcPr>
            <w:tcW w:w="1909" w:type="dxa"/>
          </w:tcPr>
          <w:p w14:paraId="52A5B6BE"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AAS</w:t>
            </w:r>
          </w:p>
        </w:tc>
        <w:tc>
          <w:tcPr>
            <w:tcW w:w="6542" w:type="dxa"/>
          </w:tcPr>
          <w:p w14:paraId="3A606BE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Australian Accounting Standards</w:t>
            </w:r>
          </w:p>
        </w:tc>
      </w:tr>
      <w:tr w:rsidR="009E4CF2" w:rsidRPr="009831F0" w14:paraId="2321D7EC" w14:textId="77777777" w:rsidTr="00874E27">
        <w:trPr>
          <w:trHeight w:val="257"/>
        </w:trPr>
        <w:tc>
          <w:tcPr>
            <w:tcW w:w="1909" w:type="dxa"/>
          </w:tcPr>
          <w:p w14:paraId="769C069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AASB</w:t>
            </w:r>
          </w:p>
        </w:tc>
        <w:tc>
          <w:tcPr>
            <w:tcW w:w="6542" w:type="dxa"/>
          </w:tcPr>
          <w:p w14:paraId="5AB66A88"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Australian Accounting Standards Board</w:t>
            </w:r>
          </w:p>
        </w:tc>
      </w:tr>
      <w:tr w:rsidR="009E4CF2" w:rsidRPr="009831F0" w14:paraId="3277EA63" w14:textId="77777777" w:rsidTr="00874E27">
        <w:trPr>
          <w:trHeight w:val="271"/>
        </w:trPr>
        <w:tc>
          <w:tcPr>
            <w:tcW w:w="1909" w:type="dxa"/>
          </w:tcPr>
          <w:p w14:paraId="490FA77E"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AMAF</w:t>
            </w:r>
          </w:p>
        </w:tc>
        <w:tc>
          <w:tcPr>
            <w:tcW w:w="6542" w:type="dxa"/>
          </w:tcPr>
          <w:p w14:paraId="78997705"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Asset Management Accountability Framework</w:t>
            </w:r>
          </w:p>
        </w:tc>
      </w:tr>
      <w:tr w:rsidR="009E4CF2" w:rsidRPr="009831F0" w14:paraId="41D8E793" w14:textId="77777777" w:rsidTr="00874E27">
        <w:trPr>
          <w:trHeight w:val="257"/>
        </w:trPr>
        <w:tc>
          <w:tcPr>
            <w:tcW w:w="1909" w:type="dxa"/>
          </w:tcPr>
          <w:p w14:paraId="3D679D46"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AUD</w:t>
            </w:r>
          </w:p>
        </w:tc>
        <w:tc>
          <w:tcPr>
            <w:tcW w:w="6542" w:type="dxa"/>
          </w:tcPr>
          <w:p w14:paraId="4B0960F1"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Australian Dollars</w:t>
            </w:r>
          </w:p>
        </w:tc>
      </w:tr>
      <w:tr w:rsidR="009E4CF2" w:rsidRPr="009831F0" w14:paraId="077F3C5B" w14:textId="77777777" w:rsidTr="00874E27">
        <w:trPr>
          <w:trHeight w:val="257"/>
        </w:trPr>
        <w:tc>
          <w:tcPr>
            <w:tcW w:w="1909" w:type="dxa"/>
          </w:tcPr>
          <w:p w14:paraId="3938CD11" w14:textId="77777777" w:rsidR="009E4CF2" w:rsidRPr="009831F0" w:rsidRDefault="009E4CF2" w:rsidP="00EC78E4">
            <w:pPr>
              <w:pStyle w:val="TableText"/>
              <w:rPr>
                <w:rFonts w:asciiTheme="majorHAnsi" w:hAnsiTheme="majorHAnsi" w:cstheme="majorHAnsi"/>
                <w:sz w:val="20"/>
                <w:szCs w:val="20"/>
              </w:rPr>
            </w:pPr>
            <w:proofErr w:type="spellStart"/>
            <w:r w:rsidRPr="009831F0">
              <w:rPr>
                <w:rFonts w:asciiTheme="majorHAnsi" w:hAnsiTheme="majorHAnsi" w:cstheme="majorHAnsi"/>
                <w:sz w:val="20"/>
                <w:szCs w:val="20"/>
              </w:rPr>
              <w:t>AusLM</w:t>
            </w:r>
            <w:proofErr w:type="spellEnd"/>
          </w:p>
        </w:tc>
        <w:tc>
          <w:tcPr>
            <w:tcW w:w="6542" w:type="dxa"/>
          </w:tcPr>
          <w:p w14:paraId="531FD6C6"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Australian Litter Measure</w:t>
            </w:r>
          </w:p>
        </w:tc>
      </w:tr>
      <w:tr w:rsidR="009E4CF2" w:rsidRPr="009831F0" w14:paraId="39777260" w14:textId="77777777" w:rsidTr="00874E27">
        <w:trPr>
          <w:trHeight w:val="271"/>
        </w:trPr>
        <w:tc>
          <w:tcPr>
            <w:tcW w:w="1909" w:type="dxa"/>
          </w:tcPr>
          <w:p w14:paraId="373B1B0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BAU</w:t>
            </w:r>
          </w:p>
        </w:tc>
        <w:tc>
          <w:tcPr>
            <w:tcW w:w="6542" w:type="dxa"/>
          </w:tcPr>
          <w:p w14:paraId="7189405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Business as Usual</w:t>
            </w:r>
          </w:p>
        </w:tc>
      </w:tr>
      <w:tr w:rsidR="009E4CF2" w:rsidRPr="009831F0" w14:paraId="54E9D115" w14:textId="77777777" w:rsidTr="00874E27">
        <w:trPr>
          <w:trHeight w:val="257"/>
        </w:trPr>
        <w:tc>
          <w:tcPr>
            <w:tcW w:w="1909" w:type="dxa"/>
          </w:tcPr>
          <w:p w14:paraId="366B9C13"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Capex</w:t>
            </w:r>
          </w:p>
        </w:tc>
        <w:tc>
          <w:tcPr>
            <w:tcW w:w="6542" w:type="dxa"/>
          </w:tcPr>
          <w:p w14:paraId="594F5E8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Capital Expenditure</w:t>
            </w:r>
          </w:p>
        </w:tc>
      </w:tr>
      <w:tr w:rsidR="009E4CF2" w:rsidRPr="009831F0" w14:paraId="17836E19" w14:textId="77777777" w:rsidTr="00874E27">
        <w:trPr>
          <w:trHeight w:val="257"/>
        </w:trPr>
        <w:tc>
          <w:tcPr>
            <w:tcW w:w="1909" w:type="dxa"/>
          </w:tcPr>
          <w:p w14:paraId="1F5B6A30"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CEBIC</w:t>
            </w:r>
          </w:p>
        </w:tc>
        <w:tc>
          <w:tcPr>
            <w:tcW w:w="6542" w:type="dxa"/>
          </w:tcPr>
          <w:p w14:paraId="1105686A"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Circular Economy Business Innovation Centre</w:t>
            </w:r>
          </w:p>
        </w:tc>
      </w:tr>
      <w:tr w:rsidR="009E4CF2" w:rsidRPr="009831F0" w14:paraId="78F64D1D" w14:textId="77777777" w:rsidTr="00874E27">
        <w:trPr>
          <w:trHeight w:val="271"/>
        </w:trPr>
        <w:tc>
          <w:tcPr>
            <w:tcW w:w="1909" w:type="dxa"/>
          </w:tcPr>
          <w:p w14:paraId="2823626A"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CEO</w:t>
            </w:r>
          </w:p>
        </w:tc>
        <w:tc>
          <w:tcPr>
            <w:tcW w:w="6542" w:type="dxa"/>
          </w:tcPr>
          <w:p w14:paraId="70835239"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Chief Executive Officer</w:t>
            </w:r>
          </w:p>
        </w:tc>
      </w:tr>
      <w:tr w:rsidR="009E4CF2" w:rsidRPr="009831F0" w14:paraId="6414AF2C" w14:textId="77777777" w:rsidTr="00874E27">
        <w:trPr>
          <w:trHeight w:val="257"/>
        </w:trPr>
        <w:tc>
          <w:tcPr>
            <w:tcW w:w="1909" w:type="dxa"/>
          </w:tcPr>
          <w:p w14:paraId="14F9D30A"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DEECA</w:t>
            </w:r>
          </w:p>
        </w:tc>
        <w:tc>
          <w:tcPr>
            <w:tcW w:w="6542" w:type="dxa"/>
          </w:tcPr>
          <w:p w14:paraId="4F21F083"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Department of Environment, Energy and Climate Action</w:t>
            </w:r>
          </w:p>
        </w:tc>
      </w:tr>
      <w:tr w:rsidR="009E4CF2" w:rsidRPr="009831F0" w14:paraId="7F54ADB5" w14:textId="77777777" w:rsidTr="00874E27">
        <w:trPr>
          <w:trHeight w:val="257"/>
        </w:trPr>
        <w:tc>
          <w:tcPr>
            <w:tcW w:w="1909" w:type="dxa"/>
          </w:tcPr>
          <w:p w14:paraId="665795F3"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DTF</w:t>
            </w:r>
          </w:p>
        </w:tc>
        <w:tc>
          <w:tcPr>
            <w:tcW w:w="6542" w:type="dxa"/>
          </w:tcPr>
          <w:p w14:paraId="4920832A"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Department of Treasury and Finance</w:t>
            </w:r>
          </w:p>
        </w:tc>
      </w:tr>
      <w:tr w:rsidR="009E4CF2" w:rsidRPr="009831F0" w14:paraId="412D08F9" w14:textId="77777777" w:rsidTr="00874E27">
        <w:trPr>
          <w:trHeight w:val="271"/>
        </w:trPr>
        <w:tc>
          <w:tcPr>
            <w:tcW w:w="1909" w:type="dxa"/>
          </w:tcPr>
          <w:p w14:paraId="6E98F595"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EMS</w:t>
            </w:r>
          </w:p>
        </w:tc>
        <w:tc>
          <w:tcPr>
            <w:tcW w:w="6542" w:type="dxa"/>
          </w:tcPr>
          <w:p w14:paraId="7D1246A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Environmental Management System</w:t>
            </w:r>
          </w:p>
        </w:tc>
      </w:tr>
      <w:tr w:rsidR="009E4CF2" w:rsidRPr="009831F0" w14:paraId="482F0203" w14:textId="77777777" w:rsidTr="00874E27">
        <w:trPr>
          <w:trHeight w:val="257"/>
        </w:trPr>
        <w:tc>
          <w:tcPr>
            <w:tcW w:w="1909" w:type="dxa"/>
          </w:tcPr>
          <w:p w14:paraId="77BE1AFC"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EPA</w:t>
            </w:r>
          </w:p>
        </w:tc>
        <w:tc>
          <w:tcPr>
            <w:tcW w:w="6542" w:type="dxa"/>
          </w:tcPr>
          <w:p w14:paraId="531E3047"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Environment Protection Authority Victoria</w:t>
            </w:r>
          </w:p>
        </w:tc>
      </w:tr>
      <w:tr w:rsidR="009E4CF2" w:rsidRPr="009831F0" w14:paraId="2CB20714" w14:textId="77777777" w:rsidTr="00874E27">
        <w:trPr>
          <w:trHeight w:val="257"/>
        </w:trPr>
        <w:tc>
          <w:tcPr>
            <w:tcW w:w="1909" w:type="dxa"/>
          </w:tcPr>
          <w:p w14:paraId="30655253"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FOI</w:t>
            </w:r>
          </w:p>
        </w:tc>
        <w:tc>
          <w:tcPr>
            <w:tcW w:w="6542" w:type="dxa"/>
          </w:tcPr>
          <w:p w14:paraId="3A140289"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Freedom of Information</w:t>
            </w:r>
          </w:p>
        </w:tc>
      </w:tr>
      <w:tr w:rsidR="009E4CF2" w:rsidRPr="009831F0" w14:paraId="651FCE16" w14:textId="77777777" w:rsidTr="00874E27">
        <w:trPr>
          <w:trHeight w:val="271"/>
        </w:trPr>
        <w:tc>
          <w:tcPr>
            <w:tcW w:w="1909" w:type="dxa"/>
          </w:tcPr>
          <w:p w14:paraId="44C664C7"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FOGO</w:t>
            </w:r>
          </w:p>
        </w:tc>
        <w:tc>
          <w:tcPr>
            <w:tcW w:w="6542" w:type="dxa"/>
          </w:tcPr>
          <w:p w14:paraId="0A151052"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Food and Garden Organics</w:t>
            </w:r>
          </w:p>
        </w:tc>
      </w:tr>
      <w:tr w:rsidR="009E4CF2" w:rsidRPr="009831F0" w14:paraId="2B7CD029" w14:textId="77777777" w:rsidTr="00874E27">
        <w:trPr>
          <w:trHeight w:val="257"/>
        </w:trPr>
        <w:tc>
          <w:tcPr>
            <w:tcW w:w="1909" w:type="dxa"/>
          </w:tcPr>
          <w:p w14:paraId="103219F5"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FRD</w:t>
            </w:r>
          </w:p>
        </w:tc>
        <w:tc>
          <w:tcPr>
            <w:tcW w:w="6542" w:type="dxa"/>
          </w:tcPr>
          <w:p w14:paraId="6D1A780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Financial Reporting Direction</w:t>
            </w:r>
          </w:p>
        </w:tc>
      </w:tr>
      <w:tr w:rsidR="009E4CF2" w:rsidRPr="009831F0" w14:paraId="6F33FFA0" w14:textId="77777777" w:rsidTr="00874E27">
        <w:trPr>
          <w:trHeight w:val="257"/>
        </w:trPr>
        <w:tc>
          <w:tcPr>
            <w:tcW w:w="1909" w:type="dxa"/>
          </w:tcPr>
          <w:p w14:paraId="6E4A8058"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FT</w:t>
            </w:r>
          </w:p>
        </w:tc>
        <w:tc>
          <w:tcPr>
            <w:tcW w:w="6542" w:type="dxa"/>
          </w:tcPr>
          <w:p w14:paraId="3B2AACCD"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Full-time</w:t>
            </w:r>
          </w:p>
        </w:tc>
      </w:tr>
      <w:tr w:rsidR="009E4CF2" w:rsidRPr="009831F0" w14:paraId="32E85B2A" w14:textId="77777777" w:rsidTr="00874E27">
        <w:trPr>
          <w:trHeight w:val="271"/>
        </w:trPr>
        <w:tc>
          <w:tcPr>
            <w:tcW w:w="1909" w:type="dxa"/>
          </w:tcPr>
          <w:p w14:paraId="38E27E15"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FTE</w:t>
            </w:r>
          </w:p>
        </w:tc>
        <w:tc>
          <w:tcPr>
            <w:tcW w:w="6542" w:type="dxa"/>
          </w:tcPr>
          <w:p w14:paraId="640BC74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Full-time equivalent</w:t>
            </w:r>
          </w:p>
        </w:tc>
      </w:tr>
      <w:tr w:rsidR="009E4CF2" w:rsidRPr="009831F0" w14:paraId="5477FE86" w14:textId="77777777" w:rsidTr="00874E27">
        <w:trPr>
          <w:trHeight w:val="257"/>
        </w:trPr>
        <w:tc>
          <w:tcPr>
            <w:tcW w:w="1909" w:type="dxa"/>
          </w:tcPr>
          <w:p w14:paraId="16FE1D79"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FY</w:t>
            </w:r>
          </w:p>
        </w:tc>
        <w:tc>
          <w:tcPr>
            <w:tcW w:w="6542" w:type="dxa"/>
          </w:tcPr>
          <w:p w14:paraId="2DBD5BD0"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Financial Year</w:t>
            </w:r>
          </w:p>
        </w:tc>
      </w:tr>
      <w:tr w:rsidR="009E4CF2" w:rsidRPr="009831F0" w14:paraId="2E4F9E68" w14:textId="77777777" w:rsidTr="00874E27">
        <w:trPr>
          <w:trHeight w:val="257"/>
        </w:trPr>
        <w:tc>
          <w:tcPr>
            <w:tcW w:w="1909" w:type="dxa"/>
          </w:tcPr>
          <w:p w14:paraId="1A6C2AD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GHG</w:t>
            </w:r>
          </w:p>
        </w:tc>
        <w:tc>
          <w:tcPr>
            <w:tcW w:w="6542" w:type="dxa"/>
          </w:tcPr>
          <w:p w14:paraId="42B4D4AC"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Greenhouse gases</w:t>
            </w:r>
          </w:p>
        </w:tc>
      </w:tr>
      <w:tr w:rsidR="009E4CF2" w:rsidRPr="009831F0" w14:paraId="45F88934" w14:textId="77777777" w:rsidTr="00874E27">
        <w:trPr>
          <w:trHeight w:val="271"/>
        </w:trPr>
        <w:tc>
          <w:tcPr>
            <w:tcW w:w="1909" w:type="dxa"/>
          </w:tcPr>
          <w:p w14:paraId="3F7CC00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GST</w:t>
            </w:r>
          </w:p>
        </w:tc>
        <w:tc>
          <w:tcPr>
            <w:tcW w:w="6542" w:type="dxa"/>
          </w:tcPr>
          <w:p w14:paraId="2FE02BAE"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Goods and Service tax</w:t>
            </w:r>
          </w:p>
        </w:tc>
      </w:tr>
      <w:tr w:rsidR="009E4CF2" w:rsidRPr="009831F0" w14:paraId="4C929F84" w14:textId="77777777" w:rsidTr="00874E27">
        <w:trPr>
          <w:trHeight w:val="257"/>
        </w:trPr>
        <w:tc>
          <w:tcPr>
            <w:tcW w:w="1909" w:type="dxa"/>
          </w:tcPr>
          <w:p w14:paraId="04D7E84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IBAC</w:t>
            </w:r>
          </w:p>
        </w:tc>
        <w:tc>
          <w:tcPr>
            <w:tcW w:w="6542" w:type="dxa"/>
          </w:tcPr>
          <w:p w14:paraId="69F73AA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Independent Broad-based Anti-</w:t>
            </w:r>
            <w:proofErr w:type="gramStart"/>
            <w:r w:rsidRPr="009831F0">
              <w:rPr>
                <w:rFonts w:asciiTheme="majorHAnsi" w:hAnsiTheme="majorHAnsi" w:cstheme="majorHAnsi"/>
                <w:sz w:val="20"/>
                <w:szCs w:val="20"/>
              </w:rPr>
              <w:t>corruption</w:t>
            </w:r>
            <w:proofErr w:type="gramEnd"/>
            <w:r w:rsidRPr="009831F0">
              <w:rPr>
                <w:rFonts w:asciiTheme="majorHAnsi" w:hAnsiTheme="majorHAnsi" w:cstheme="majorHAnsi"/>
                <w:sz w:val="20"/>
                <w:szCs w:val="20"/>
              </w:rPr>
              <w:t xml:space="preserve"> Commission</w:t>
            </w:r>
          </w:p>
        </w:tc>
      </w:tr>
      <w:tr w:rsidR="009E4CF2" w:rsidRPr="009831F0" w14:paraId="12F1EC54" w14:textId="77777777" w:rsidTr="00874E27">
        <w:trPr>
          <w:trHeight w:val="257"/>
        </w:trPr>
        <w:tc>
          <w:tcPr>
            <w:tcW w:w="1909" w:type="dxa"/>
          </w:tcPr>
          <w:p w14:paraId="2FFE6C49"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ICT</w:t>
            </w:r>
          </w:p>
        </w:tc>
        <w:tc>
          <w:tcPr>
            <w:tcW w:w="6542" w:type="dxa"/>
          </w:tcPr>
          <w:p w14:paraId="4E8D047C"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Information and Communications Technology</w:t>
            </w:r>
          </w:p>
        </w:tc>
      </w:tr>
      <w:tr w:rsidR="009E4CF2" w:rsidRPr="009831F0" w14:paraId="1A662E72" w14:textId="77777777" w:rsidTr="00874E27">
        <w:trPr>
          <w:trHeight w:val="271"/>
        </w:trPr>
        <w:tc>
          <w:tcPr>
            <w:tcW w:w="1909" w:type="dxa"/>
          </w:tcPr>
          <w:p w14:paraId="4BAAE49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IT</w:t>
            </w:r>
          </w:p>
        </w:tc>
        <w:tc>
          <w:tcPr>
            <w:tcW w:w="6542" w:type="dxa"/>
          </w:tcPr>
          <w:p w14:paraId="76118D49"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Information Technology</w:t>
            </w:r>
          </w:p>
        </w:tc>
      </w:tr>
      <w:tr w:rsidR="009E4CF2" w:rsidRPr="009831F0" w14:paraId="669424C4" w14:textId="77777777" w:rsidTr="00874E27">
        <w:trPr>
          <w:trHeight w:val="257"/>
        </w:trPr>
        <w:tc>
          <w:tcPr>
            <w:tcW w:w="1909" w:type="dxa"/>
          </w:tcPr>
          <w:p w14:paraId="5D1087E1"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LSL</w:t>
            </w:r>
          </w:p>
        </w:tc>
        <w:tc>
          <w:tcPr>
            <w:tcW w:w="6542" w:type="dxa"/>
          </w:tcPr>
          <w:p w14:paraId="5E39B2F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Long service leave</w:t>
            </w:r>
          </w:p>
        </w:tc>
      </w:tr>
      <w:tr w:rsidR="009E4CF2" w:rsidRPr="009831F0" w14:paraId="35B83ADB" w14:textId="77777777" w:rsidTr="00874E27">
        <w:trPr>
          <w:trHeight w:val="257"/>
        </w:trPr>
        <w:tc>
          <w:tcPr>
            <w:tcW w:w="1909" w:type="dxa"/>
          </w:tcPr>
          <w:p w14:paraId="5C536E62"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MEPS</w:t>
            </w:r>
          </w:p>
        </w:tc>
        <w:tc>
          <w:tcPr>
            <w:tcW w:w="6542" w:type="dxa"/>
          </w:tcPr>
          <w:p w14:paraId="07BE971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Minimum energy performance standards</w:t>
            </w:r>
          </w:p>
        </w:tc>
      </w:tr>
      <w:tr w:rsidR="009E4CF2" w:rsidRPr="009831F0" w14:paraId="054AA98F" w14:textId="77777777" w:rsidTr="00874E27">
        <w:trPr>
          <w:trHeight w:val="271"/>
        </w:trPr>
        <w:tc>
          <w:tcPr>
            <w:tcW w:w="1909" w:type="dxa"/>
          </w:tcPr>
          <w:p w14:paraId="77B6BF0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MPSG</w:t>
            </w:r>
          </w:p>
        </w:tc>
        <w:tc>
          <w:tcPr>
            <w:tcW w:w="6542" w:type="dxa"/>
          </w:tcPr>
          <w:p w14:paraId="38CC00E2"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Major Project Skills Guarantee</w:t>
            </w:r>
          </w:p>
        </w:tc>
      </w:tr>
      <w:tr w:rsidR="009E4CF2" w:rsidRPr="009831F0" w14:paraId="4112E213" w14:textId="77777777" w:rsidTr="00874E27">
        <w:trPr>
          <w:trHeight w:val="257"/>
        </w:trPr>
        <w:tc>
          <w:tcPr>
            <w:tcW w:w="1909" w:type="dxa"/>
          </w:tcPr>
          <w:p w14:paraId="1D92F1F1"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NABERS</w:t>
            </w:r>
          </w:p>
        </w:tc>
        <w:tc>
          <w:tcPr>
            <w:tcW w:w="6542" w:type="dxa"/>
          </w:tcPr>
          <w:p w14:paraId="295871C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National Australian Built Environment Rating System</w:t>
            </w:r>
          </w:p>
        </w:tc>
      </w:tr>
      <w:tr w:rsidR="009E4CF2" w:rsidRPr="009831F0" w14:paraId="318BFCD4" w14:textId="77777777" w:rsidTr="00874E27">
        <w:trPr>
          <w:trHeight w:val="257"/>
        </w:trPr>
        <w:tc>
          <w:tcPr>
            <w:tcW w:w="1909" w:type="dxa"/>
          </w:tcPr>
          <w:p w14:paraId="0C77BE82" w14:textId="77777777" w:rsidR="009E4CF2" w:rsidRPr="009831F0" w:rsidRDefault="009E4CF2" w:rsidP="00EC78E4">
            <w:pPr>
              <w:pStyle w:val="TableText"/>
              <w:rPr>
                <w:rFonts w:asciiTheme="majorHAnsi" w:hAnsiTheme="majorHAnsi" w:cstheme="majorHAnsi"/>
                <w:sz w:val="20"/>
                <w:szCs w:val="20"/>
              </w:rPr>
            </w:pPr>
            <w:proofErr w:type="spellStart"/>
            <w:r w:rsidRPr="009831F0">
              <w:rPr>
                <w:rFonts w:asciiTheme="majorHAnsi" w:hAnsiTheme="majorHAnsi" w:cstheme="majorHAnsi"/>
                <w:sz w:val="20"/>
                <w:szCs w:val="20"/>
              </w:rPr>
              <w:t>NatHERS</w:t>
            </w:r>
            <w:proofErr w:type="spellEnd"/>
          </w:p>
        </w:tc>
        <w:tc>
          <w:tcPr>
            <w:tcW w:w="6542" w:type="dxa"/>
          </w:tcPr>
          <w:p w14:paraId="68D43F4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 xml:space="preserve">Nationwide House Energy Rating Scheme </w:t>
            </w:r>
          </w:p>
        </w:tc>
      </w:tr>
      <w:tr w:rsidR="009E4CF2" w:rsidRPr="009831F0" w14:paraId="0DDE60AF" w14:textId="77777777" w:rsidTr="00874E27">
        <w:trPr>
          <w:trHeight w:val="271"/>
        </w:trPr>
        <w:tc>
          <w:tcPr>
            <w:tcW w:w="1909" w:type="dxa"/>
          </w:tcPr>
          <w:p w14:paraId="626F24C9"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NCC</w:t>
            </w:r>
          </w:p>
        </w:tc>
        <w:tc>
          <w:tcPr>
            <w:tcW w:w="6542" w:type="dxa"/>
          </w:tcPr>
          <w:p w14:paraId="5CE30FB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National Construction Code</w:t>
            </w:r>
          </w:p>
        </w:tc>
      </w:tr>
      <w:tr w:rsidR="009E4CF2" w:rsidRPr="009831F0" w14:paraId="753E4A53" w14:textId="77777777" w:rsidTr="00874E27">
        <w:trPr>
          <w:trHeight w:val="257"/>
        </w:trPr>
        <w:tc>
          <w:tcPr>
            <w:tcW w:w="1909" w:type="dxa"/>
          </w:tcPr>
          <w:p w14:paraId="272FC975"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OHS</w:t>
            </w:r>
          </w:p>
        </w:tc>
        <w:tc>
          <w:tcPr>
            <w:tcW w:w="6542" w:type="dxa"/>
          </w:tcPr>
          <w:p w14:paraId="6F504399"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Occupational Health and Safety</w:t>
            </w:r>
          </w:p>
        </w:tc>
      </w:tr>
      <w:tr w:rsidR="009E4CF2" w:rsidRPr="009831F0" w14:paraId="4625145E" w14:textId="77777777" w:rsidTr="00874E27">
        <w:trPr>
          <w:trHeight w:val="257"/>
        </w:trPr>
        <w:tc>
          <w:tcPr>
            <w:tcW w:w="1909" w:type="dxa"/>
          </w:tcPr>
          <w:p w14:paraId="71B65B32" w14:textId="77777777" w:rsidR="009E4CF2" w:rsidRPr="009831F0" w:rsidRDefault="009E4CF2" w:rsidP="00EC78E4">
            <w:pPr>
              <w:pStyle w:val="TableText"/>
              <w:rPr>
                <w:rFonts w:asciiTheme="majorHAnsi" w:hAnsiTheme="majorHAnsi" w:cstheme="majorHAnsi"/>
                <w:sz w:val="20"/>
                <w:szCs w:val="20"/>
              </w:rPr>
            </w:pPr>
            <w:proofErr w:type="spellStart"/>
            <w:r w:rsidRPr="009831F0">
              <w:rPr>
                <w:rFonts w:asciiTheme="majorHAnsi" w:hAnsiTheme="majorHAnsi" w:cstheme="majorHAnsi"/>
                <w:sz w:val="20"/>
                <w:szCs w:val="20"/>
              </w:rPr>
              <w:t>Opex</w:t>
            </w:r>
            <w:proofErr w:type="spellEnd"/>
          </w:p>
        </w:tc>
        <w:tc>
          <w:tcPr>
            <w:tcW w:w="6542" w:type="dxa"/>
          </w:tcPr>
          <w:p w14:paraId="7BD56F8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Operating Expenditure</w:t>
            </w:r>
          </w:p>
        </w:tc>
      </w:tr>
      <w:tr w:rsidR="009E4CF2" w:rsidRPr="009831F0" w14:paraId="73D16FAC" w14:textId="77777777" w:rsidTr="00874E27">
        <w:trPr>
          <w:trHeight w:val="271"/>
        </w:trPr>
        <w:tc>
          <w:tcPr>
            <w:tcW w:w="1909" w:type="dxa"/>
          </w:tcPr>
          <w:p w14:paraId="178B3125"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OTLP</w:t>
            </w:r>
          </w:p>
        </w:tc>
        <w:tc>
          <w:tcPr>
            <w:tcW w:w="6542" w:type="dxa"/>
          </w:tcPr>
          <w:p w14:paraId="51E9077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Office tenant light and power</w:t>
            </w:r>
          </w:p>
        </w:tc>
      </w:tr>
      <w:tr w:rsidR="009E4CF2" w:rsidRPr="009831F0" w14:paraId="3736B386" w14:textId="77777777" w:rsidTr="00874E27">
        <w:trPr>
          <w:trHeight w:val="257"/>
        </w:trPr>
        <w:tc>
          <w:tcPr>
            <w:tcW w:w="1909" w:type="dxa"/>
          </w:tcPr>
          <w:p w14:paraId="44B5FFD6"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OVIC</w:t>
            </w:r>
          </w:p>
        </w:tc>
        <w:tc>
          <w:tcPr>
            <w:tcW w:w="6542" w:type="dxa"/>
          </w:tcPr>
          <w:p w14:paraId="15249361"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Office of the Victorian Information Commissioner</w:t>
            </w:r>
          </w:p>
        </w:tc>
      </w:tr>
      <w:tr w:rsidR="009E4CF2" w:rsidRPr="009831F0" w14:paraId="495B15B5" w14:textId="77777777" w:rsidTr="00874E27">
        <w:trPr>
          <w:trHeight w:val="257"/>
        </w:trPr>
        <w:tc>
          <w:tcPr>
            <w:tcW w:w="1909" w:type="dxa"/>
          </w:tcPr>
          <w:p w14:paraId="20C01AF6"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PID</w:t>
            </w:r>
          </w:p>
        </w:tc>
        <w:tc>
          <w:tcPr>
            <w:tcW w:w="6542" w:type="dxa"/>
          </w:tcPr>
          <w:p w14:paraId="04D70EA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Public Interest Disclosure</w:t>
            </w:r>
          </w:p>
        </w:tc>
      </w:tr>
      <w:tr w:rsidR="009E4CF2" w:rsidRPr="009831F0" w14:paraId="34477558" w14:textId="77777777" w:rsidTr="00874E27">
        <w:trPr>
          <w:trHeight w:val="271"/>
        </w:trPr>
        <w:tc>
          <w:tcPr>
            <w:tcW w:w="1909" w:type="dxa"/>
          </w:tcPr>
          <w:p w14:paraId="465C9B31"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PMF</w:t>
            </w:r>
          </w:p>
        </w:tc>
        <w:tc>
          <w:tcPr>
            <w:tcW w:w="6542" w:type="dxa"/>
          </w:tcPr>
          <w:p w14:paraId="69BA89DB"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Performance Management Framework</w:t>
            </w:r>
          </w:p>
        </w:tc>
      </w:tr>
      <w:tr w:rsidR="009E4CF2" w:rsidRPr="009831F0" w14:paraId="3A7A4C46" w14:textId="77777777" w:rsidTr="00874E27">
        <w:trPr>
          <w:trHeight w:val="257"/>
        </w:trPr>
        <w:tc>
          <w:tcPr>
            <w:tcW w:w="1909" w:type="dxa"/>
          </w:tcPr>
          <w:p w14:paraId="1217A25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PV</w:t>
            </w:r>
          </w:p>
        </w:tc>
        <w:tc>
          <w:tcPr>
            <w:tcW w:w="6542" w:type="dxa"/>
          </w:tcPr>
          <w:p w14:paraId="2FBB2B56"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Photovoltaic</w:t>
            </w:r>
          </w:p>
        </w:tc>
      </w:tr>
      <w:tr w:rsidR="009E4CF2" w:rsidRPr="009831F0" w14:paraId="0F899B24" w14:textId="77777777" w:rsidTr="00874E27">
        <w:trPr>
          <w:trHeight w:val="257"/>
        </w:trPr>
        <w:tc>
          <w:tcPr>
            <w:tcW w:w="1909" w:type="dxa"/>
          </w:tcPr>
          <w:p w14:paraId="05D430E8"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RV</w:t>
            </w:r>
          </w:p>
        </w:tc>
        <w:tc>
          <w:tcPr>
            <w:tcW w:w="6542" w:type="dxa"/>
          </w:tcPr>
          <w:p w14:paraId="3864D69A"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Recycling Victoria</w:t>
            </w:r>
          </w:p>
        </w:tc>
      </w:tr>
      <w:tr w:rsidR="009E4CF2" w:rsidRPr="009831F0" w14:paraId="5DBAEED7" w14:textId="77777777" w:rsidTr="00874E27">
        <w:trPr>
          <w:trHeight w:val="271"/>
        </w:trPr>
        <w:tc>
          <w:tcPr>
            <w:tcW w:w="1909" w:type="dxa"/>
          </w:tcPr>
          <w:p w14:paraId="59E4BE50"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SV</w:t>
            </w:r>
          </w:p>
        </w:tc>
        <w:tc>
          <w:tcPr>
            <w:tcW w:w="6542" w:type="dxa"/>
          </w:tcPr>
          <w:p w14:paraId="3765F6D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Sustainability Victoria</w:t>
            </w:r>
          </w:p>
        </w:tc>
      </w:tr>
      <w:tr w:rsidR="009E4CF2" w:rsidRPr="009831F0" w14:paraId="0421ADF7" w14:textId="77777777" w:rsidTr="00874E27">
        <w:trPr>
          <w:trHeight w:val="257"/>
        </w:trPr>
        <w:tc>
          <w:tcPr>
            <w:tcW w:w="1909" w:type="dxa"/>
          </w:tcPr>
          <w:p w14:paraId="6769A76A"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THC</w:t>
            </w:r>
          </w:p>
        </w:tc>
        <w:tc>
          <w:tcPr>
            <w:tcW w:w="6542" w:type="dxa"/>
          </w:tcPr>
          <w:p w14:paraId="5B486A45"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Total Head Count</w:t>
            </w:r>
          </w:p>
        </w:tc>
      </w:tr>
      <w:tr w:rsidR="009E4CF2" w:rsidRPr="009831F0" w14:paraId="3A264CC0" w14:textId="77777777" w:rsidTr="00874E27">
        <w:trPr>
          <w:trHeight w:val="257"/>
        </w:trPr>
        <w:tc>
          <w:tcPr>
            <w:tcW w:w="1909" w:type="dxa"/>
          </w:tcPr>
          <w:p w14:paraId="1B1B887E"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VIPP</w:t>
            </w:r>
          </w:p>
        </w:tc>
        <w:tc>
          <w:tcPr>
            <w:tcW w:w="6542" w:type="dxa"/>
          </w:tcPr>
          <w:p w14:paraId="0A500040"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Victorian Industry Participation Policy</w:t>
            </w:r>
          </w:p>
        </w:tc>
      </w:tr>
      <w:tr w:rsidR="009E4CF2" w:rsidRPr="009831F0" w14:paraId="7C19B894" w14:textId="77777777" w:rsidTr="00874E27">
        <w:trPr>
          <w:trHeight w:val="271"/>
        </w:trPr>
        <w:tc>
          <w:tcPr>
            <w:tcW w:w="1909" w:type="dxa"/>
          </w:tcPr>
          <w:p w14:paraId="58DEDD83"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VPS</w:t>
            </w:r>
          </w:p>
        </w:tc>
        <w:tc>
          <w:tcPr>
            <w:tcW w:w="6542" w:type="dxa"/>
          </w:tcPr>
          <w:p w14:paraId="78E4C9AC"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Victorian Public Sector</w:t>
            </w:r>
          </w:p>
        </w:tc>
      </w:tr>
      <w:tr w:rsidR="009E4CF2" w:rsidRPr="009831F0" w14:paraId="42DEB235" w14:textId="77777777" w:rsidTr="00874E27">
        <w:trPr>
          <w:trHeight w:val="257"/>
        </w:trPr>
        <w:tc>
          <w:tcPr>
            <w:tcW w:w="1909" w:type="dxa"/>
          </w:tcPr>
          <w:p w14:paraId="01CAF197"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VPSC</w:t>
            </w:r>
          </w:p>
        </w:tc>
        <w:tc>
          <w:tcPr>
            <w:tcW w:w="6542" w:type="dxa"/>
          </w:tcPr>
          <w:p w14:paraId="61A2F00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Victoria Public Sector Commission</w:t>
            </w:r>
          </w:p>
        </w:tc>
      </w:tr>
      <w:tr w:rsidR="009E4CF2" w:rsidRPr="009831F0" w14:paraId="7DAD58EC" w14:textId="77777777" w:rsidTr="00874E27">
        <w:trPr>
          <w:trHeight w:val="257"/>
        </w:trPr>
        <w:tc>
          <w:tcPr>
            <w:tcW w:w="1909" w:type="dxa"/>
          </w:tcPr>
          <w:p w14:paraId="7467632F"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VRIP</w:t>
            </w:r>
          </w:p>
        </w:tc>
        <w:tc>
          <w:tcPr>
            <w:tcW w:w="6542" w:type="dxa"/>
          </w:tcPr>
          <w:p w14:paraId="3D54EA4D"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Victorian Recycling Infrastructure Plan</w:t>
            </w:r>
          </w:p>
        </w:tc>
      </w:tr>
      <w:tr w:rsidR="009E4CF2" w:rsidRPr="009831F0" w14:paraId="354A959B" w14:textId="77777777" w:rsidTr="00874E27">
        <w:trPr>
          <w:trHeight w:val="257"/>
        </w:trPr>
        <w:tc>
          <w:tcPr>
            <w:tcW w:w="1909" w:type="dxa"/>
          </w:tcPr>
          <w:p w14:paraId="7E39447A"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WHS</w:t>
            </w:r>
          </w:p>
        </w:tc>
        <w:tc>
          <w:tcPr>
            <w:tcW w:w="6542" w:type="dxa"/>
          </w:tcPr>
          <w:p w14:paraId="7604E824" w14:textId="77777777" w:rsidR="009E4CF2" w:rsidRPr="009831F0" w:rsidRDefault="009E4CF2" w:rsidP="00EC78E4">
            <w:pPr>
              <w:pStyle w:val="TableText"/>
              <w:rPr>
                <w:rFonts w:asciiTheme="majorHAnsi" w:hAnsiTheme="majorHAnsi" w:cstheme="majorHAnsi"/>
                <w:sz w:val="20"/>
                <w:szCs w:val="20"/>
              </w:rPr>
            </w:pPr>
            <w:r w:rsidRPr="009831F0">
              <w:rPr>
                <w:rFonts w:asciiTheme="majorHAnsi" w:hAnsiTheme="majorHAnsi" w:cstheme="majorHAnsi"/>
                <w:sz w:val="20"/>
                <w:szCs w:val="20"/>
              </w:rPr>
              <w:t>Wellbeing, health and safety</w:t>
            </w:r>
          </w:p>
        </w:tc>
      </w:tr>
    </w:tbl>
    <w:p w14:paraId="19777513" w14:textId="77777777" w:rsidR="0073268C" w:rsidRPr="0012521E" w:rsidRDefault="0073268C" w:rsidP="00AB49F4">
      <w:pPr>
        <w:rPr>
          <w:rFonts w:asciiTheme="majorHAnsi" w:hAnsiTheme="majorHAnsi" w:cstheme="majorHAnsi"/>
        </w:rPr>
      </w:pPr>
    </w:p>
    <w:sectPr w:rsidR="0073268C" w:rsidRPr="0012521E" w:rsidSect="00E77AB0">
      <w:pgSz w:w="11907" w:h="16840" w:code="9"/>
      <w:pgMar w:top="1440" w:right="1440" w:bottom="1440" w:left="1440"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EF71D" w14:textId="77777777" w:rsidR="00374D24" w:rsidRDefault="00374D24">
      <w:pPr>
        <w:spacing w:after="0" w:line="240" w:lineRule="auto"/>
      </w:pPr>
      <w:r>
        <w:separator/>
      </w:r>
    </w:p>
  </w:endnote>
  <w:endnote w:type="continuationSeparator" w:id="0">
    <w:p w14:paraId="67EA847E" w14:textId="77777777" w:rsidR="00374D24" w:rsidRDefault="00374D24">
      <w:pPr>
        <w:spacing w:after="0" w:line="240" w:lineRule="auto"/>
      </w:pPr>
      <w:r>
        <w:continuationSeparator/>
      </w:r>
    </w:p>
  </w:endnote>
  <w:endnote w:type="continuationNotice" w:id="1">
    <w:p w14:paraId="64B4CCAB" w14:textId="77777777" w:rsidR="00374D24" w:rsidRDefault="00374D24">
      <w:pPr>
        <w:spacing w:after="0" w:line="240" w:lineRule="auto"/>
      </w:pPr>
    </w:p>
  </w:endnote>
  <w:endnote w:id="2">
    <w:p w14:paraId="7E40F6A0" w14:textId="3613624C" w:rsidR="00EC6C32" w:rsidRPr="00C75D63" w:rsidRDefault="00EC6C32">
      <w:pPr>
        <w:pStyle w:val="EndnoteText"/>
        <w:rPr>
          <w:sz w:val="18"/>
          <w:szCs w:val="18"/>
        </w:rPr>
      </w:pPr>
      <w:r w:rsidRPr="00874E27">
        <w:rPr>
          <w:rStyle w:val="EndnoteReference"/>
          <w:sz w:val="18"/>
          <w:szCs w:val="18"/>
        </w:rPr>
        <w:endnoteRef/>
      </w:r>
      <w:r w:rsidRPr="00C75D63">
        <w:rPr>
          <w:sz w:val="18"/>
          <w:szCs w:val="18"/>
        </w:rPr>
        <w:t xml:space="preserve"> </w:t>
      </w:r>
      <w:r w:rsidR="004A4AB2" w:rsidRPr="00C75D63">
        <w:rPr>
          <w:sz w:val="18"/>
          <w:szCs w:val="18"/>
        </w:rPr>
        <w:t>The 2023</w:t>
      </w:r>
      <w:r w:rsidR="00D26F2C">
        <w:rPr>
          <w:sz w:val="18"/>
          <w:szCs w:val="18"/>
        </w:rPr>
        <w:t>–</w:t>
      </w:r>
      <w:r w:rsidR="004A4AB2" w:rsidRPr="00C75D63">
        <w:rPr>
          <w:sz w:val="18"/>
          <w:szCs w:val="18"/>
        </w:rPr>
        <w:t>24 outcome is below target, the grant rounds released in the second half of the year were high risk and high value. As such, the application process required additional time and resources to adequately identify risk mitigations, due diligence checks and approvals for proposed projects.</w:t>
      </w:r>
    </w:p>
  </w:endnote>
  <w:endnote w:id="3">
    <w:p w14:paraId="031868DC" w14:textId="20AEE0E4" w:rsidR="009F43B6" w:rsidRPr="00C75D63" w:rsidRDefault="009F43B6">
      <w:pPr>
        <w:pStyle w:val="EndnoteText"/>
        <w:rPr>
          <w:sz w:val="18"/>
          <w:szCs w:val="18"/>
        </w:rPr>
      </w:pPr>
      <w:r w:rsidRPr="00C75D63">
        <w:rPr>
          <w:rStyle w:val="EndnoteReference"/>
          <w:sz w:val="18"/>
          <w:szCs w:val="18"/>
        </w:rPr>
        <w:endnoteRef/>
      </w:r>
      <w:r w:rsidRPr="00C75D63">
        <w:rPr>
          <w:sz w:val="18"/>
          <w:szCs w:val="18"/>
        </w:rPr>
        <w:t xml:space="preserve"> </w:t>
      </w:r>
      <w:r w:rsidR="00401E66" w:rsidRPr="00D26F2C">
        <w:rPr>
          <w:sz w:val="18"/>
          <w:szCs w:val="18"/>
        </w:rPr>
        <w:t>In 2023</w:t>
      </w:r>
      <w:r w:rsidR="00373413">
        <w:rPr>
          <w:sz w:val="18"/>
          <w:szCs w:val="18"/>
        </w:rPr>
        <w:t>–</w:t>
      </w:r>
      <w:r w:rsidR="00401E66" w:rsidRPr="00D26F2C">
        <w:rPr>
          <w:sz w:val="18"/>
          <w:szCs w:val="18"/>
        </w:rPr>
        <w:t xml:space="preserve">24, </w:t>
      </w:r>
      <w:r w:rsidRPr="00C75D63">
        <w:rPr>
          <w:rFonts w:eastAsia="Times New Roman" w:cstheme="minorHAnsi"/>
          <w:color w:val="000000"/>
          <w:sz w:val="18"/>
          <w:szCs w:val="18"/>
          <w:lang w:eastAsia="en-AU"/>
        </w:rPr>
        <w:t xml:space="preserve">102 contracts signed </w:t>
      </w:r>
      <w:r w:rsidR="00F854C1" w:rsidRPr="00C75D63">
        <w:rPr>
          <w:rFonts w:eastAsia="Times New Roman" w:cstheme="minorHAnsi"/>
          <w:color w:val="000000"/>
          <w:sz w:val="18"/>
          <w:szCs w:val="18"/>
          <w:lang w:eastAsia="en-AU"/>
        </w:rPr>
        <w:t>with a leveraged</w:t>
      </w:r>
      <w:r w:rsidRPr="00C75D63">
        <w:rPr>
          <w:rFonts w:eastAsia="Times New Roman" w:cstheme="minorHAnsi"/>
          <w:color w:val="000000"/>
          <w:sz w:val="18"/>
          <w:szCs w:val="18"/>
          <w:lang w:eastAsia="en-AU"/>
        </w:rPr>
        <w:t xml:space="preserve"> value of</w:t>
      </w:r>
      <w:r w:rsidR="0085123C" w:rsidRPr="00C75D63">
        <w:rPr>
          <w:rFonts w:eastAsia="Times New Roman" w:cstheme="minorHAnsi"/>
          <w:color w:val="000000"/>
          <w:sz w:val="18"/>
          <w:szCs w:val="18"/>
          <w:lang w:eastAsia="en-AU"/>
        </w:rPr>
        <w:t xml:space="preserve"> </w:t>
      </w:r>
      <w:r w:rsidRPr="00C75D63">
        <w:rPr>
          <w:rFonts w:eastAsia="Times New Roman" w:cstheme="minorHAnsi"/>
          <w:color w:val="000000"/>
          <w:sz w:val="18"/>
          <w:szCs w:val="18"/>
          <w:lang w:eastAsia="en-AU"/>
        </w:rPr>
        <w:t>$</w:t>
      </w:r>
      <w:r w:rsidR="009C0F57" w:rsidRPr="00C75D63">
        <w:rPr>
          <w:rFonts w:eastAsia="Times New Roman" w:cstheme="minorHAnsi"/>
          <w:color w:val="000000"/>
          <w:sz w:val="18"/>
          <w:szCs w:val="18"/>
          <w:lang w:eastAsia="en-AU"/>
        </w:rPr>
        <w:t>74,832,227</w:t>
      </w:r>
      <w:r w:rsidR="004602A6" w:rsidRPr="00D26F2C">
        <w:rPr>
          <w:rFonts w:eastAsia="Times New Roman" w:cstheme="minorHAnsi"/>
          <w:color w:val="000000"/>
          <w:sz w:val="18"/>
          <w:szCs w:val="18"/>
          <w:lang w:eastAsia="en-AU"/>
        </w:rPr>
        <w:t xml:space="preserve"> from private and Commonwealth </w:t>
      </w:r>
      <w:r w:rsidR="00892B37" w:rsidRPr="00D26F2C">
        <w:rPr>
          <w:rFonts w:eastAsia="Times New Roman" w:cstheme="minorHAnsi"/>
          <w:color w:val="000000"/>
          <w:sz w:val="18"/>
          <w:szCs w:val="18"/>
          <w:lang w:eastAsia="en-AU"/>
        </w:rPr>
        <w:t>investors</w:t>
      </w:r>
      <w:r w:rsidR="0085123C" w:rsidRPr="00C75D63">
        <w:rPr>
          <w:rFonts w:eastAsia="Times New Roman" w:cstheme="minorHAnsi"/>
          <w:color w:val="000000"/>
          <w:sz w:val="18"/>
          <w:szCs w:val="18"/>
          <w:lang w:eastAsia="en-AU"/>
        </w:rPr>
        <w:t>.</w:t>
      </w:r>
    </w:p>
  </w:endnote>
  <w:endnote w:id="4">
    <w:p w14:paraId="3E2DB120" w14:textId="6FF65827" w:rsidR="007616CA" w:rsidRPr="00C75D63" w:rsidRDefault="007616CA">
      <w:pPr>
        <w:pStyle w:val="EndnoteText"/>
        <w:rPr>
          <w:sz w:val="18"/>
          <w:szCs w:val="18"/>
        </w:rPr>
      </w:pPr>
      <w:r w:rsidRPr="00C75D63">
        <w:rPr>
          <w:rStyle w:val="EndnoteReference"/>
          <w:sz w:val="18"/>
          <w:szCs w:val="18"/>
        </w:rPr>
        <w:endnoteRef/>
      </w:r>
      <w:r w:rsidRPr="00C75D63">
        <w:rPr>
          <w:sz w:val="18"/>
          <w:szCs w:val="18"/>
        </w:rPr>
        <w:t xml:space="preserve"> </w:t>
      </w:r>
      <w:r w:rsidR="00B7063A">
        <w:rPr>
          <w:sz w:val="18"/>
          <w:szCs w:val="18"/>
        </w:rPr>
        <w:t>Greenhouse gas</w:t>
      </w:r>
      <w:r w:rsidR="00305537" w:rsidRPr="00C75D63">
        <w:rPr>
          <w:sz w:val="18"/>
          <w:szCs w:val="18"/>
        </w:rPr>
        <w:t xml:space="preserve"> savings are based on </w:t>
      </w:r>
      <w:r w:rsidR="00501038" w:rsidRPr="00C75D63">
        <w:rPr>
          <w:sz w:val="18"/>
          <w:szCs w:val="18"/>
        </w:rPr>
        <w:t>resources</w:t>
      </w:r>
      <w:r w:rsidR="00A00B4F" w:rsidRPr="00C75D63">
        <w:rPr>
          <w:sz w:val="18"/>
          <w:szCs w:val="18"/>
        </w:rPr>
        <w:t xml:space="preserve"> recovered</w:t>
      </w:r>
      <w:r w:rsidR="00AD7EC5" w:rsidRPr="00C75D63">
        <w:rPr>
          <w:sz w:val="18"/>
          <w:szCs w:val="18"/>
        </w:rPr>
        <w:t xml:space="preserve"> and used</w:t>
      </w:r>
      <w:r w:rsidR="00A00B4F" w:rsidRPr="00C75D63">
        <w:rPr>
          <w:sz w:val="18"/>
          <w:szCs w:val="18"/>
        </w:rPr>
        <w:t xml:space="preserve"> in place of new</w:t>
      </w:r>
      <w:r w:rsidR="00C47FE7" w:rsidRPr="00C75D63">
        <w:rPr>
          <w:sz w:val="18"/>
          <w:szCs w:val="18"/>
        </w:rPr>
        <w:t xml:space="preserve"> </w:t>
      </w:r>
      <w:r w:rsidR="00501038" w:rsidRPr="00C75D63">
        <w:rPr>
          <w:sz w:val="18"/>
          <w:szCs w:val="18"/>
        </w:rPr>
        <w:t>material.</w:t>
      </w:r>
    </w:p>
  </w:endnote>
  <w:endnote w:id="5">
    <w:p w14:paraId="542F8C2A" w14:textId="58A0BB64" w:rsidR="00620B25" w:rsidRPr="00C75D63" w:rsidRDefault="00620B25">
      <w:pPr>
        <w:pStyle w:val="EndnoteText"/>
        <w:rPr>
          <w:sz w:val="18"/>
          <w:szCs w:val="18"/>
        </w:rPr>
      </w:pPr>
      <w:r w:rsidRPr="00C75D63">
        <w:rPr>
          <w:rStyle w:val="EndnoteReference"/>
          <w:sz w:val="18"/>
          <w:szCs w:val="18"/>
        </w:rPr>
        <w:endnoteRef/>
      </w:r>
      <w:r w:rsidRPr="00C75D63">
        <w:rPr>
          <w:sz w:val="18"/>
          <w:szCs w:val="18"/>
        </w:rPr>
        <w:t xml:space="preserve"> </w:t>
      </w:r>
      <w:r w:rsidR="00236D51" w:rsidRPr="00D26F2C">
        <w:rPr>
          <w:sz w:val="18"/>
          <w:szCs w:val="18"/>
        </w:rPr>
        <w:t>In 2023</w:t>
      </w:r>
      <w:r w:rsidR="00B7063A">
        <w:rPr>
          <w:sz w:val="18"/>
          <w:szCs w:val="18"/>
        </w:rPr>
        <w:t>–</w:t>
      </w:r>
      <w:r w:rsidR="00236D51" w:rsidRPr="00D26F2C">
        <w:rPr>
          <w:sz w:val="18"/>
          <w:szCs w:val="18"/>
        </w:rPr>
        <w:t>24, 1</w:t>
      </w:r>
      <w:r w:rsidR="0040725C" w:rsidRPr="00C75D63">
        <w:rPr>
          <w:rFonts w:eastAsia="Times New Roman" w:cstheme="minorHAnsi"/>
          <w:color w:val="000000"/>
          <w:sz w:val="18"/>
          <w:szCs w:val="18"/>
          <w:lang w:eastAsia="en-AU"/>
        </w:rPr>
        <w:t xml:space="preserve">02 contracts signed </w:t>
      </w:r>
      <w:r w:rsidR="00D40C0B" w:rsidRPr="00D26F2C">
        <w:rPr>
          <w:rFonts w:eastAsia="Times New Roman" w:cstheme="minorHAnsi"/>
          <w:color w:val="000000"/>
          <w:sz w:val="18"/>
          <w:szCs w:val="18"/>
          <w:lang w:eastAsia="en-AU"/>
        </w:rPr>
        <w:t xml:space="preserve">to the </w:t>
      </w:r>
      <w:r w:rsidR="0040725C" w:rsidRPr="00C75D63">
        <w:rPr>
          <w:rFonts w:eastAsia="Times New Roman" w:cstheme="minorHAnsi"/>
          <w:color w:val="000000"/>
          <w:sz w:val="18"/>
          <w:szCs w:val="18"/>
          <w:lang w:eastAsia="en-AU"/>
        </w:rPr>
        <w:t>value of $19,775,561.65.</w:t>
      </w:r>
    </w:p>
  </w:endnote>
  <w:endnote w:id="6">
    <w:p w14:paraId="76E51379" w14:textId="10C5EA9E" w:rsidR="009C24A5" w:rsidRPr="00C75D63" w:rsidRDefault="009C24A5">
      <w:pPr>
        <w:pStyle w:val="EndnoteText"/>
        <w:rPr>
          <w:sz w:val="18"/>
          <w:szCs w:val="18"/>
        </w:rPr>
      </w:pPr>
      <w:r w:rsidRPr="00C75D63">
        <w:rPr>
          <w:rStyle w:val="EndnoteReference"/>
          <w:sz w:val="18"/>
          <w:szCs w:val="18"/>
        </w:rPr>
        <w:endnoteRef/>
      </w:r>
      <w:r w:rsidRPr="00C75D63">
        <w:rPr>
          <w:sz w:val="18"/>
          <w:szCs w:val="18"/>
        </w:rPr>
        <w:t xml:space="preserve"> </w:t>
      </w:r>
      <w:r w:rsidR="00C72610" w:rsidRPr="00C75D63">
        <w:rPr>
          <w:rFonts w:eastAsia="Times New Roman" w:cstheme="minorHAnsi"/>
          <w:color w:val="000000"/>
          <w:sz w:val="18"/>
          <w:szCs w:val="18"/>
          <w:lang w:eastAsia="en-AU"/>
        </w:rPr>
        <w:t>The result is below the annual target due to delays in council and EPA approvals, the delays have meant that a significant amount of processing capacity that was expected to be commissioned by December 2023 has been pushed to the 2024-25 financial year.</w:t>
      </w:r>
    </w:p>
  </w:endnote>
  <w:endnote w:id="7">
    <w:p w14:paraId="5CB993C7" w14:textId="35F005F8" w:rsidR="00AD1F77" w:rsidRPr="00C75D63" w:rsidRDefault="00AD1F77">
      <w:pPr>
        <w:pStyle w:val="EndnoteText"/>
        <w:rPr>
          <w:sz w:val="18"/>
          <w:szCs w:val="18"/>
        </w:rPr>
      </w:pPr>
      <w:r w:rsidRPr="00C75D63">
        <w:rPr>
          <w:rStyle w:val="EndnoteReference"/>
          <w:sz w:val="18"/>
          <w:szCs w:val="18"/>
        </w:rPr>
        <w:endnoteRef/>
      </w:r>
      <w:r w:rsidRPr="00C75D63">
        <w:rPr>
          <w:sz w:val="18"/>
          <w:szCs w:val="18"/>
        </w:rPr>
        <w:t xml:space="preserve"> </w:t>
      </w:r>
      <w:r w:rsidR="004D6285" w:rsidRPr="00C75D63">
        <w:rPr>
          <w:rFonts w:eastAsia="Times New Roman" w:cstheme="minorHAnsi"/>
          <w:color w:val="000000"/>
          <w:sz w:val="18"/>
          <w:szCs w:val="18"/>
          <w:lang w:eastAsia="en-AU"/>
        </w:rPr>
        <w:t>20%</w:t>
      </w:r>
      <w:r w:rsidR="007061A1" w:rsidRPr="00C75D63">
        <w:rPr>
          <w:rFonts w:eastAsia="Times New Roman" w:cstheme="minorHAnsi"/>
          <w:color w:val="000000"/>
          <w:sz w:val="18"/>
          <w:szCs w:val="18"/>
          <w:lang w:eastAsia="en-AU"/>
        </w:rPr>
        <w:t xml:space="preserve"> of the total result has been achieved through </w:t>
      </w:r>
      <w:r w:rsidR="00785CA1" w:rsidRPr="00D26F2C">
        <w:rPr>
          <w:rFonts w:eastAsia="Times New Roman" w:cstheme="minorHAnsi"/>
          <w:color w:val="000000"/>
          <w:sz w:val="18"/>
          <w:szCs w:val="18"/>
          <w:lang w:eastAsia="en-AU"/>
        </w:rPr>
        <w:t xml:space="preserve">new </w:t>
      </w:r>
      <w:r w:rsidR="007061A1" w:rsidRPr="00C75D63">
        <w:rPr>
          <w:rFonts w:eastAsia="Times New Roman" w:cstheme="minorHAnsi"/>
          <w:color w:val="000000"/>
          <w:sz w:val="18"/>
          <w:szCs w:val="18"/>
          <w:lang w:eastAsia="en-AU"/>
        </w:rPr>
        <w:t xml:space="preserve">resource recovery capacity delivered in 2023-24. The remaining </w:t>
      </w:r>
      <w:r w:rsidR="00404C3E" w:rsidRPr="00D26F2C">
        <w:rPr>
          <w:rFonts w:eastAsia="Times New Roman" w:cstheme="minorHAnsi"/>
          <w:color w:val="000000"/>
          <w:sz w:val="18"/>
          <w:szCs w:val="18"/>
          <w:lang w:eastAsia="en-AU"/>
        </w:rPr>
        <w:t xml:space="preserve">80% </w:t>
      </w:r>
      <w:r w:rsidR="00785CA1" w:rsidRPr="00D26F2C">
        <w:rPr>
          <w:rFonts w:eastAsia="Times New Roman" w:cstheme="minorHAnsi"/>
          <w:color w:val="000000"/>
          <w:sz w:val="18"/>
          <w:szCs w:val="18"/>
          <w:lang w:eastAsia="en-AU"/>
        </w:rPr>
        <w:t>(</w:t>
      </w:r>
      <w:r w:rsidR="007061A1" w:rsidRPr="00C75D63">
        <w:rPr>
          <w:rFonts w:eastAsia="Times New Roman" w:cstheme="minorHAnsi"/>
          <w:color w:val="000000"/>
          <w:sz w:val="18"/>
          <w:szCs w:val="18"/>
          <w:lang w:eastAsia="en-AU"/>
        </w:rPr>
        <w:t>estimated) is the result of capacity commissioned in earlier years (by RRIF and CE programs)</w:t>
      </w:r>
      <w:r w:rsidR="00650A79" w:rsidRPr="00D26F2C">
        <w:rPr>
          <w:rFonts w:eastAsia="Times New Roman" w:cstheme="minorHAnsi"/>
          <w:color w:val="000000"/>
          <w:sz w:val="18"/>
          <w:szCs w:val="18"/>
          <w:lang w:eastAsia="en-AU"/>
        </w:rPr>
        <w:t>, result will be available in August 2024.</w:t>
      </w:r>
    </w:p>
  </w:endnote>
  <w:endnote w:id="8">
    <w:p w14:paraId="57F75E21" w14:textId="6ABC82B7" w:rsidR="00341F6F" w:rsidRPr="00C75D63" w:rsidRDefault="00341F6F">
      <w:pPr>
        <w:pStyle w:val="EndnoteText"/>
        <w:rPr>
          <w:sz w:val="18"/>
          <w:szCs w:val="18"/>
        </w:rPr>
      </w:pPr>
      <w:r w:rsidRPr="00C75D63">
        <w:rPr>
          <w:rStyle w:val="EndnoteReference"/>
          <w:sz w:val="18"/>
          <w:szCs w:val="18"/>
        </w:rPr>
        <w:endnoteRef/>
      </w:r>
      <w:r w:rsidRPr="00C75D63">
        <w:rPr>
          <w:sz w:val="18"/>
          <w:szCs w:val="18"/>
        </w:rPr>
        <w:t xml:space="preserve"> </w:t>
      </w:r>
      <w:r w:rsidR="00760856" w:rsidRPr="00C75D63">
        <w:rPr>
          <w:rFonts w:eastAsia="Times New Roman" w:cstheme="minorHAnsi"/>
          <w:color w:val="000000"/>
          <w:sz w:val="18"/>
          <w:szCs w:val="18"/>
          <w:lang w:eastAsia="en-AU"/>
        </w:rPr>
        <w:t>The annual target was not met in the 2023-24 period due to continued challenges in the uptake of extracurricular activities in schools.</w:t>
      </w:r>
    </w:p>
  </w:endnote>
  <w:endnote w:id="9">
    <w:p w14:paraId="52C6719F" w14:textId="0DDB2FE2" w:rsidR="00341F6F" w:rsidRPr="00C75D63" w:rsidRDefault="00341F6F">
      <w:pPr>
        <w:pStyle w:val="EndnoteText"/>
        <w:rPr>
          <w:sz w:val="18"/>
          <w:szCs w:val="18"/>
        </w:rPr>
      </w:pPr>
      <w:r w:rsidRPr="00C75D63">
        <w:rPr>
          <w:rStyle w:val="EndnoteReference"/>
          <w:sz w:val="18"/>
          <w:szCs w:val="24"/>
        </w:rPr>
        <w:endnoteRef/>
      </w:r>
      <w:r w:rsidRPr="00C75D63">
        <w:rPr>
          <w:rStyle w:val="EndnoteReference"/>
          <w:sz w:val="18"/>
          <w:szCs w:val="24"/>
        </w:rPr>
        <w:t xml:space="preserve"> </w:t>
      </w:r>
      <w:r w:rsidR="00936BD6" w:rsidRPr="00C75D63">
        <w:rPr>
          <w:sz w:val="18"/>
          <w:szCs w:val="18"/>
        </w:rPr>
        <w:t>The increase in performance exceeds the annual performance by schools achieved in 2023 and is a demonstration of consistent engagement by participating schools using the RSS online platform to track their initiatives and quantify their resource savings. Note: The kwh savings are measured using the calendar year to align with the Victorian school teaching period.</w:t>
      </w:r>
    </w:p>
  </w:endnote>
  <w:endnote w:id="10">
    <w:p w14:paraId="46E2681B" w14:textId="4E19DAD7" w:rsidR="002A525E" w:rsidRPr="00C75D63" w:rsidRDefault="002A525E">
      <w:pPr>
        <w:pStyle w:val="EndnoteText"/>
        <w:rPr>
          <w:sz w:val="18"/>
          <w:szCs w:val="18"/>
        </w:rPr>
      </w:pPr>
      <w:r w:rsidRPr="00C75D63">
        <w:rPr>
          <w:rStyle w:val="EndnoteReference"/>
          <w:sz w:val="18"/>
          <w:szCs w:val="18"/>
        </w:rPr>
        <w:endnoteRef/>
      </w:r>
      <w:r w:rsidRPr="00C75D63">
        <w:rPr>
          <w:sz w:val="18"/>
          <w:szCs w:val="18"/>
        </w:rPr>
        <w:t xml:space="preserve"> </w:t>
      </w:r>
      <w:r w:rsidR="00FC3BDC" w:rsidRPr="00D26F2C">
        <w:rPr>
          <w:sz w:val="18"/>
          <w:szCs w:val="18"/>
        </w:rPr>
        <w:t xml:space="preserve">Over six million </w:t>
      </w:r>
      <w:r w:rsidR="00FC3BDC" w:rsidRPr="00C75D63">
        <w:rPr>
          <w:rFonts w:eastAsia="Times New Roman" w:cstheme="minorHAnsi"/>
          <w:color w:val="000000"/>
          <w:sz w:val="18"/>
          <w:szCs w:val="18"/>
          <w:lang w:eastAsia="en-AU"/>
        </w:rPr>
        <w:t>people have been reached by the CE Education and behaviour change campaigns</w:t>
      </w:r>
    </w:p>
  </w:endnote>
  <w:endnote w:id="11">
    <w:p w14:paraId="4B852944" w14:textId="58A81483" w:rsidR="002A525E" w:rsidRPr="00C75D63" w:rsidRDefault="002A525E">
      <w:pPr>
        <w:pStyle w:val="EndnoteText"/>
        <w:rPr>
          <w:sz w:val="18"/>
          <w:szCs w:val="18"/>
        </w:rPr>
      </w:pPr>
      <w:r w:rsidRPr="00C75D63">
        <w:rPr>
          <w:rStyle w:val="EndnoteReference"/>
          <w:sz w:val="18"/>
          <w:szCs w:val="18"/>
        </w:rPr>
        <w:endnoteRef/>
      </w:r>
      <w:r w:rsidRPr="00C75D63">
        <w:rPr>
          <w:sz w:val="18"/>
          <w:szCs w:val="18"/>
        </w:rPr>
        <w:t xml:space="preserve"> </w:t>
      </w:r>
      <w:r w:rsidR="00DA1909" w:rsidRPr="00C75D63">
        <w:rPr>
          <w:rFonts w:eastAsia="Times New Roman" w:cstheme="minorHAnsi"/>
          <w:color w:val="000000"/>
          <w:sz w:val="18"/>
          <w:szCs w:val="18"/>
          <w:lang w:eastAsia="en-AU"/>
        </w:rPr>
        <w:t>11,781 attendees across the 5</w:t>
      </w:r>
      <w:r w:rsidR="00994FB3" w:rsidRPr="00C75D63">
        <w:rPr>
          <w:rFonts w:eastAsia="Times New Roman" w:cstheme="minorHAnsi"/>
          <w:color w:val="000000"/>
          <w:sz w:val="18"/>
          <w:szCs w:val="18"/>
          <w:lang w:eastAsia="en-AU"/>
        </w:rPr>
        <w:t>3</w:t>
      </w:r>
      <w:r w:rsidR="00DA1909" w:rsidRPr="00C75D63">
        <w:rPr>
          <w:rFonts w:eastAsia="Times New Roman" w:cstheme="minorHAnsi"/>
          <w:color w:val="000000"/>
          <w:sz w:val="18"/>
          <w:szCs w:val="18"/>
          <w:lang w:eastAsia="en-AU"/>
        </w:rPr>
        <w:t xml:space="preserve"> events that were held in the 2023-24 financial year.</w:t>
      </w:r>
    </w:p>
  </w:endnote>
  <w:endnote w:id="12">
    <w:p w14:paraId="679D7D50" w14:textId="5F889CF3" w:rsidR="009276FA" w:rsidRPr="00C75D63" w:rsidRDefault="002A525E">
      <w:pPr>
        <w:pStyle w:val="EndnoteText"/>
        <w:rPr>
          <w:sz w:val="18"/>
          <w:szCs w:val="18"/>
        </w:rPr>
      </w:pPr>
      <w:r w:rsidRPr="00C75D63">
        <w:rPr>
          <w:rStyle w:val="EndnoteReference"/>
          <w:sz w:val="18"/>
          <w:szCs w:val="18"/>
        </w:rPr>
        <w:endnoteRef/>
      </w:r>
      <w:r w:rsidRPr="00C75D63">
        <w:rPr>
          <w:sz w:val="18"/>
          <w:szCs w:val="18"/>
        </w:rPr>
        <w:t xml:space="preserve"> </w:t>
      </w:r>
      <w:r w:rsidR="00E57200" w:rsidRPr="00D26F2C">
        <w:rPr>
          <w:sz w:val="18"/>
          <w:szCs w:val="18"/>
        </w:rPr>
        <w:t>Estimates provided by</w:t>
      </w:r>
      <w:r w:rsidR="000A4FDF" w:rsidRPr="00D26F2C">
        <w:rPr>
          <w:sz w:val="18"/>
          <w:szCs w:val="18"/>
        </w:rPr>
        <w:t xml:space="preserve"> a</w:t>
      </w:r>
      <w:r w:rsidR="00F03B3C" w:rsidRPr="00D26F2C">
        <w:rPr>
          <w:sz w:val="18"/>
          <w:szCs w:val="18"/>
        </w:rPr>
        <w:t xml:space="preserve"> consultant on behalf </w:t>
      </w:r>
      <w:r w:rsidR="00310224" w:rsidRPr="00D26F2C">
        <w:rPr>
          <w:sz w:val="18"/>
          <w:szCs w:val="18"/>
        </w:rPr>
        <w:t>of</w:t>
      </w:r>
      <w:r w:rsidR="00FD06EF" w:rsidRPr="00D26F2C">
        <w:rPr>
          <w:sz w:val="18"/>
          <w:szCs w:val="18"/>
        </w:rPr>
        <w:t xml:space="preserve"> the</w:t>
      </w:r>
      <w:r w:rsidR="00F03B3C" w:rsidRPr="00D26F2C">
        <w:rPr>
          <w:sz w:val="18"/>
          <w:szCs w:val="18"/>
        </w:rPr>
        <w:t xml:space="preserve"> </w:t>
      </w:r>
      <w:r w:rsidR="00310224" w:rsidRPr="00D26F2C">
        <w:rPr>
          <w:sz w:val="18"/>
          <w:szCs w:val="18"/>
        </w:rPr>
        <w:t xml:space="preserve">E3 committee, </w:t>
      </w:r>
      <w:r w:rsidR="00FD06EF" w:rsidRPr="00D26F2C">
        <w:rPr>
          <w:sz w:val="18"/>
          <w:szCs w:val="18"/>
        </w:rPr>
        <w:t>the E3</w:t>
      </w:r>
      <w:r w:rsidR="00310224" w:rsidRPr="00D26F2C">
        <w:rPr>
          <w:sz w:val="18"/>
          <w:szCs w:val="18"/>
        </w:rPr>
        <w:t xml:space="preserve"> program</w:t>
      </w:r>
      <w:r w:rsidR="00EE481F" w:rsidRPr="00D26F2C">
        <w:rPr>
          <w:sz w:val="18"/>
          <w:szCs w:val="18"/>
        </w:rPr>
        <w:t xml:space="preserve"> delivers a single, integrated approach to energy efficiency standards and </w:t>
      </w:r>
      <w:r w:rsidR="000A4FDF" w:rsidRPr="00D26F2C">
        <w:rPr>
          <w:sz w:val="18"/>
          <w:szCs w:val="18"/>
        </w:rPr>
        <w:t>labelling.</w:t>
      </w:r>
    </w:p>
  </w:endnote>
  <w:endnote w:id="13">
    <w:p w14:paraId="6E108811" w14:textId="29241593" w:rsidR="009276FA" w:rsidRPr="00C75D63" w:rsidRDefault="009276FA">
      <w:pPr>
        <w:pStyle w:val="EndnoteText"/>
        <w:rPr>
          <w:sz w:val="18"/>
          <w:szCs w:val="18"/>
        </w:rPr>
      </w:pPr>
      <w:r w:rsidRPr="00C75D63">
        <w:rPr>
          <w:rStyle w:val="EndnoteReference"/>
          <w:sz w:val="18"/>
          <w:szCs w:val="18"/>
        </w:rPr>
        <w:endnoteRef/>
      </w:r>
      <w:r w:rsidRPr="00C75D63">
        <w:rPr>
          <w:sz w:val="18"/>
          <w:szCs w:val="18"/>
        </w:rPr>
        <w:t xml:space="preserve"> </w:t>
      </w:r>
      <w:r w:rsidR="00FD06EF" w:rsidRPr="00D26F2C">
        <w:rPr>
          <w:sz w:val="18"/>
          <w:szCs w:val="18"/>
        </w:rPr>
        <w:t>Estimates provided by a consultant on behalf of the E3 committee, the E3 program delivers a single, integrated approach to energy efficiency standards and labelling.</w:t>
      </w:r>
    </w:p>
  </w:endnote>
  <w:endnote w:id="14">
    <w:p w14:paraId="0634E78B" w14:textId="195ECC07" w:rsidR="00BB21D9" w:rsidRPr="00C75D63" w:rsidRDefault="00BB21D9">
      <w:pPr>
        <w:pStyle w:val="EndnoteText"/>
        <w:rPr>
          <w:sz w:val="18"/>
          <w:szCs w:val="18"/>
        </w:rPr>
      </w:pPr>
      <w:r w:rsidRPr="00C75D63">
        <w:rPr>
          <w:rStyle w:val="EndnoteReference"/>
          <w:sz w:val="18"/>
          <w:szCs w:val="18"/>
        </w:rPr>
        <w:endnoteRef/>
      </w:r>
      <w:r w:rsidRPr="00C75D63">
        <w:rPr>
          <w:sz w:val="18"/>
          <w:szCs w:val="18"/>
        </w:rPr>
        <w:t xml:space="preserve"> </w:t>
      </w:r>
      <w:r w:rsidR="00ED06DF" w:rsidRPr="00D26F2C">
        <w:rPr>
          <w:sz w:val="18"/>
          <w:szCs w:val="18"/>
        </w:rPr>
        <w:t>In 2023-24</w:t>
      </w:r>
      <w:r w:rsidR="005B4B86" w:rsidRPr="00D26F2C">
        <w:rPr>
          <w:sz w:val="18"/>
          <w:szCs w:val="18"/>
        </w:rPr>
        <w:t>,</w:t>
      </w:r>
      <w:r w:rsidR="00ED06DF" w:rsidRPr="00D26F2C">
        <w:rPr>
          <w:sz w:val="18"/>
          <w:szCs w:val="18"/>
        </w:rPr>
        <w:t xml:space="preserve"> </w:t>
      </w:r>
      <w:r w:rsidR="00ED06DF" w:rsidRPr="00C75D63">
        <w:rPr>
          <w:rFonts w:eastAsia="Times New Roman" w:cstheme="minorHAnsi"/>
          <w:color w:val="000000"/>
          <w:sz w:val="18"/>
          <w:szCs w:val="18"/>
          <w:lang w:eastAsia="en-AU"/>
        </w:rPr>
        <w:t>295 temporary jobs and 234 permanent jobs have been realised.</w:t>
      </w:r>
    </w:p>
  </w:endnote>
  <w:endnote w:id="15">
    <w:p w14:paraId="4B2F4D03" w14:textId="6033EB97" w:rsidR="00187850" w:rsidRPr="00C75D63" w:rsidRDefault="00187850">
      <w:pPr>
        <w:pStyle w:val="EndnoteText"/>
        <w:rPr>
          <w:sz w:val="18"/>
          <w:szCs w:val="18"/>
        </w:rPr>
      </w:pPr>
      <w:r w:rsidRPr="00C75D63">
        <w:rPr>
          <w:rStyle w:val="EndnoteReference"/>
          <w:sz w:val="18"/>
          <w:szCs w:val="18"/>
        </w:rPr>
        <w:endnoteRef/>
      </w:r>
      <w:r w:rsidRPr="00C75D63">
        <w:rPr>
          <w:sz w:val="18"/>
          <w:szCs w:val="18"/>
        </w:rPr>
        <w:t xml:space="preserve"> </w:t>
      </w:r>
      <w:r w:rsidR="00561E9E" w:rsidRPr="00D26F2C">
        <w:rPr>
          <w:rFonts w:eastAsia="Times New Roman" w:cstheme="minorHAnsi"/>
          <w:color w:val="000000"/>
          <w:sz w:val="18"/>
          <w:szCs w:val="18"/>
          <w:lang w:eastAsia="en-AU"/>
        </w:rPr>
        <w:t>The Household Education and Behaviour change campaigns have improved the food waste behaviour of approximately 63,000 Victorians. While CE Councils program supported six events in the Bayside area which saw 92,867 residents learn to retain their items and understand and learn to repair, rather than disposing to landfill and buying a replacement item.</w:t>
      </w:r>
    </w:p>
  </w:endnote>
  <w:endnote w:id="16">
    <w:p w14:paraId="50C97743" w14:textId="74E75E3B" w:rsidR="00FC3BDC" w:rsidRPr="00C75D63" w:rsidRDefault="00FC3BDC">
      <w:pPr>
        <w:pStyle w:val="EndnoteText"/>
        <w:rPr>
          <w:sz w:val="18"/>
          <w:szCs w:val="18"/>
        </w:rPr>
      </w:pPr>
      <w:r w:rsidRPr="00C75D63">
        <w:rPr>
          <w:rStyle w:val="EndnoteReference"/>
          <w:sz w:val="18"/>
          <w:szCs w:val="18"/>
        </w:rPr>
        <w:endnoteRef/>
      </w:r>
      <w:r w:rsidRPr="00C75D63">
        <w:rPr>
          <w:sz w:val="18"/>
          <w:szCs w:val="18"/>
        </w:rPr>
        <w:t xml:space="preserve"> </w:t>
      </w:r>
      <w:r w:rsidR="00FF5EA3" w:rsidRPr="00D26F2C">
        <w:rPr>
          <w:sz w:val="18"/>
          <w:szCs w:val="18"/>
        </w:rPr>
        <w:t>V</w:t>
      </w:r>
      <w:r w:rsidR="007A051D" w:rsidRPr="00C75D63">
        <w:rPr>
          <w:sz w:val="18"/>
          <w:szCs w:val="18"/>
        </w:rPr>
        <w:t>olunteer</w:t>
      </w:r>
      <w:r w:rsidR="00FF5EA3" w:rsidRPr="00D26F2C">
        <w:rPr>
          <w:sz w:val="18"/>
          <w:szCs w:val="18"/>
        </w:rPr>
        <w:t xml:space="preserve"> hours reported as part of acquittal forms</w:t>
      </w:r>
      <w:r w:rsidR="00057912" w:rsidRPr="00D26F2C">
        <w:rPr>
          <w:sz w:val="18"/>
          <w:szCs w:val="18"/>
        </w:rPr>
        <w:t>,</w:t>
      </w:r>
      <w:r w:rsidR="00FF5EA3" w:rsidRPr="00D26F2C">
        <w:rPr>
          <w:sz w:val="18"/>
          <w:szCs w:val="18"/>
        </w:rPr>
        <w:t xml:space="preserve"> </w:t>
      </w:r>
      <w:r w:rsidR="00057912" w:rsidRPr="00D26F2C">
        <w:rPr>
          <w:sz w:val="18"/>
          <w:szCs w:val="18"/>
        </w:rPr>
        <w:t>showcasing</w:t>
      </w:r>
      <w:r w:rsidR="00FF5EA3" w:rsidRPr="00D26F2C">
        <w:rPr>
          <w:sz w:val="18"/>
          <w:szCs w:val="18"/>
        </w:rPr>
        <w:t xml:space="preserve"> Victorians</w:t>
      </w:r>
      <w:r w:rsidR="007A051D" w:rsidRPr="00C75D63">
        <w:rPr>
          <w:sz w:val="18"/>
          <w:szCs w:val="18"/>
        </w:rPr>
        <w:t xml:space="preserve"> participating in the CE Communities </w:t>
      </w:r>
      <w:r w:rsidR="0073663B" w:rsidRPr="00C75D63">
        <w:rPr>
          <w:sz w:val="18"/>
          <w:szCs w:val="18"/>
        </w:rPr>
        <w:t>program</w:t>
      </w:r>
      <w:r w:rsidR="005B1CAE" w:rsidRPr="00D26F2C">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IN Next LT Pro">
    <w:panose1 w:val="00000000000000000000"/>
    <w:charset w:val="4D"/>
    <w:family w:val="swiss"/>
    <w:notTrueType/>
    <w:pitch w:val="variable"/>
    <w:sig w:usb0="A000002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DIN Next LT Pro Medium">
    <w:panose1 w:val="00000000000000000000"/>
    <w:charset w:val="4D"/>
    <w:family w:val="swiss"/>
    <w:notTrueType/>
    <w:pitch w:val="variable"/>
    <w:sig w:usb0="A000002F" w:usb1="5000205B" w:usb2="00000000" w:usb3="00000000" w:csb0="0000009B" w:csb1="00000000"/>
  </w:font>
  <w:font w:name="DIN Next LT Pro Light">
    <w:altName w:val="Calibri"/>
    <w:panose1 w:val="00000000000000000000"/>
    <w:charset w:val="4D"/>
    <w:family w:val="swiss"/>
    <w:notTrueType/>
    <w:pitch w:val="variable"/>
    <w:sig w:usb0="A000002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DIN Next LT Pro Bold">
    <w:panose1 w:val="00000000000000000000"/>
    <w:charset w:val="4D"/>
    <w:family w:val="swiss"/>
    <w:notTrueType/>
    <w:pitch w:val="variable"/>
    <w:sig w:usb0="A000002F" w:usb1="5000205B" w:usb2="00000000" w:usb3="00000000" w:csb0="0000009B" w:csb1="00000000"/>
  </w:font>
  <w:font w:name="DIN Next LT Pro Light Italic">
    <w:panose1 w:val="00000000000000000000"/>
    <w:charset w:val="4D"/>
    <w:family w:val="swiss"/>
    <w:notTrueType/>
    <w:pitch w:val="variable"/>
    <w:sig w:usb0="A000002F" w:usb1="5000205B" w:usb2="00000000" w:usb3="00000000" w:csb0="0000009B" w:csb1="00000000"/>
  </w:font>
  <w:font w:name="DIN Next LT Pro Medium Italic">
    <w:panose1 w:val="00000000000000000000"/>
    <w:charset w:val="4D"/>
    <w:family w:val="swiss"/>
    <w:notTrueType/>
    <w:pitch w:val="variable"/>
    <w:sig w:usb0="A000002F" w:usb1="5000205B" w:usb2="00000000" w:usb3="00000000" w:csb0="0000009B" w:csb1="00000000"/>
  </w:font>
  <w:font w:name="VIC SemiBold">
    <w:charset w:val="4D"/>
    <w:family w:val="auto"/>
    <w:pitch w:val="variable"/>
    <w:sig w:usb0="00000007" w:usb1="00000000" w:usb2="00000000" w:usb3="00000000" w:csb0="00000093" w:csb1="00000000"/>
  </w:font>
  <w:font w:name="VIC Light">
    <w:charset w:val="4D"/>
    <w:family w:val="auto"/>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906A3" w14:textId="3278718E" w:rsidR="00E73C34" w:rsidRDefault="00665B74">
    <w:pPr>
      <w:pStyle w:val="Footer"/>
    </w:pPr>
    <w:r>
      <w:rPr>
        <w:noProof/>
      </w:rPr>
      <mc:AlternateContent>
        <mc:Choice Requires="wps">
          <w:drawing>
            <wp:anchor distT="0" distB="0" distL="0" distR="0" simplePos="0" relativeHeight="251658255" behindDoc="0" locked="0" layoutInCell="1" allowOverlap="1" wp14:anchorId="01357FF9" wp14:editId="3C494072">
              <wp:simplePos x="635" y="635"/>
              <wp:positionH relativeFrom="page">
                <wp:align>left</wp:align>
              </wp:positionH>
              <wp:positionV relativeFrom="page">
                <wp:align>bottom</wp:align>
              </wp:positionV>
              <wp:extent cx="713740" cy="384175"/>
              <wp:effectExtent l="0" t="0" r="10160" b="0"/>
              <wp:wrapNone/>
              <wp:docPr id="141613174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1CE4A13D" w14:textId="0A0A6C2B"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357FF9" id="_x0000_t202" coordsize="21600,21600" o:spt="202" path="m,l,21600r21600,l21600,xe">
              <v:stroke joinstyle="miter"/>
              <v:path gradientshapeok="t" o:connecttype="rect"/>
            </v:shapetype>
            <v:shape id="Text Box 2" o:spid="_x0000_s1026" type="#_x0000_t202" alt="OFFICIAL" style="position:absolute;margin-left:0;margin-top:0;width:56.2pt;height:30.25pt;z-index:25165825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" filled="f" stroked="f">
              <v:textbox style="mso-fit-shape-to-text:t" inset="20pt,0,0,15pt">
                <w:txbxContent>
                  <w:p w14:paraId="1CE4A13D" w14:textId="0A0A6C2B"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44" behindDoc="0" locked="0" layoutInCell="1" allowOverlap="1" wp14:anchorId="504ABD94" wp14:editId="431B4927">
              <wp:simplePos x="635" y="635"/>
              <wp:positionH relativeFrom="page">
                <wp:align>left</wp:align>
              </wp:positionH>
              <wp:positionV relativeFrom="page">
                <wp:align>bottom</wp:align>
              </wp:positionV>
              <wp:extent cx="711200" cy="371475"/>
              <wp:effectExtent l="0" t="0" r="1270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0E0381E" w14:textId="74D5A4AC"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504ABD94" id="Text Box 6" o:spid="_x0000_s1027" type="#_x0000_t202" alt="OFFICIAL"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filled="f" stroked="f">
              <v:textbox style="mso-fit-shape-to-text:t" inset="20pt,0,0,15pt">
                <w:txbxContent>
                  <w:p w14:paraId="40E0381E" w14:textId="74D5A4AC"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3D93C" w14:textId="612DF726" w:rsidR="00E73C34" w:rsidRDefault="00665B74">
    <w:pPr>
      <w:pStyle w:val="Footer"/>
    </w:pPr>
    <w:r>
      <w:rPr>
        <w:noProof/>
      </w:rPr>
      <mc:AlternateContent>
        <mc:Choice Requires="wps">
          <w:drawing>
            <wp:anchor distT="0" distB="0" distL="0" distR="0" simplePos="0" relativeHeight="251658263" behindDoc="0" locked="0" layoutInCell="1" allowOverlap="1" wp14:anchorId="56F961FC" wp14:editId="7270619E">
              <wp:simplePos x="635" y="635"/>
              <wp:positionH relativeFrom="page">
                <wp:align>left</wp:align>
              </wp:positionH>
              <wp:positionV relativeFrom="page">
                <wp:align>bottom</wp:align>
              </wp:positionV>
              <wp:extent cx="713740" cy="384175"/>
              <wp:effectExtent l="0" t="0" r="10160" b="0"/>
              <wp:wrapNone/>
              <wp:docPr id="121049071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290955C4" w14:textId="662C09C8"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F961FC" id="_x0000_t202" coordsize="21600,21600" o:spt="202" path="m,l,21600r21600,l21600,xe">
              <v:stroke joinstyle="miter"/>
              <v:path gradientshapeok="t" o:connecttype="rect"/>
            </v:shapetype>
            <v:shape id="Text Box 11" o:spid="_x0000_s1042" type="#_x0000_t202" alt="OFFICIAL" style="position:absolute;margin-left:0;margin-top:0;width:56.2pt;height:30.25pt;z-index:25165826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" filled="f" stroked="f">
              <v:textbox style="mso-fit-shape-to-text:t" inset="20pt,0,0,15pt">
                <w:txbxContent>
                  <w:p w14:paraId="290955C4" w14:textId="662C09C8"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50" behindDoc="0" locked="0" layoutInCell="1" allowOverlap="1" wp14:anchorId="5EC977A6" wp14:editId="210DFA30">
              <wp:simplePos x="635" y="635"/>
              <wp:positionH relativeFrom="page">
                <wp:align>left</wp:align>
              </wp:positionH>
              <wp:positionV relativeFrom="page">
                <wp:align>bottom</wp:align>
              </wp:positionV>
              <wp:extent cx="711200" cy="371475"/>
              <wp:effectExtent l="0" t="0" r="12700"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D02BAEC" w14:textId="3CC9B412"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5EC977A6" id="Text Box 22" o:spid="_x0000_s1043" type="#_x0000_t202" alt="OFFICIAL"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leEwIAACI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" filled="f" stroked="f">
              <v:textbox style="mso-fit-shape-to-text:t" inset="20pt,0,0,15pt">
                <w:txbxContent>
                  <w:p w14:paraId="0D02BAEC" w14:textId="3CC9B412"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3BAA7" w14:textId="7CA2ADD4" w:rsidR="00A96A27" w:rsidRDefault="00665B74">
    <w:pPr>
      <w:pStyle w:val="Footer"/>
      <w:jc w:val="right"/>
    </w:pPr>
    <w:r>
      <w:rPr>
        <w:noProof/>
      </w:rPr>
      <mc:AlternateContent>
        <mc:Choice Requires="wps">
          <w:drawing>
            <wp:anchor distT="0" distB="0" distL="0" distR="0" simplePos="0" relativeHeight="251658264" behindDoc="0" locked="0" layoutInCell="1" allowOverlap="1" wp14:anchorId="745D8995" wp14:editId="72F99F2D">
              <wp:simplePos x="635" y="635"/>
              <wp:positionH relativeFrom="page">
                <wp:align>left</wp:align>
              </wp:positionH>
              <wp:positionV relativeFrom="page">
                <wp:align>bottom</wp:align>
              </wp:positionV>
              <wp:extent cx="713740" cy="384175"/>
              <wp:effectExtent l="0" t="0" r="10160" b="0"/>
              <wp:wrapNone/>
              <wp:docPr id="14885281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5942A422" w14:textId="6C9F90FA"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5D8995" id="_x0000_t202" coordsize="21600,21600" o:spt="202" path="m,l,21600r21600,l21600,xe">
              <v:stroke joinstyle="miter"/>
              <v:path gradientshapeok="t" o:connecttype="rect"/>
            </v:shapetype>
            <v:shape id="Text Box 12" o:spid="_x0000_s1044" type="#_x0000_t202" alt="OFFICIAL" style="position:absolute;left:0;text-align:left;margin-left:0;margin-top:0;width:56.2pt;height:30.25pt;z-index:251658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" filled="f" stroked="f">
              <v:textbox style="mso-fit-shape-to-text:t" inset="20pt,0,0,15pt">
                <w:txbxContent>
                  <w:p w14:paraId="5942A422" w14:textId="6C9F90FA"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51" behindDoc="0" locked="0" layoutInCell="1" allowOverlap="1" wp14:anchorId="417ACE53" wp14:editId="33B1E360">
              <wp:simplePos x="635" y="635"/>
              <wp:positionH relativeFrom="page">
                <wp:align>left</wp:align>
              </wp:positionH>
              <wp:positionV relativeFrom="page">
                <wp:align>bottom</wp:align>
              </wp:positionV>
              <wp:extent cx="711200" cy="371475"/>
              <wp:effectExtent l="0" t="0" r="1270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8F8B4D8" w14:textId="183E939E"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417ACE53" id="Text Box 23" o:spid="_x0000_s1045" type="#_x0000_t202" alt="OFFICIAL" style="position:absolute;left:0;text-align:left;margin-left:0;margin-top:0;width:56pt;height:29.2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REEwIAACI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" filled="f" stroked="f">
              <v:textbox style="mso-fit-shape-to-text:t" inset="20pt,0,0,15pt">
                <w:txbxContent>
                  <w:p w14:paraId="18F8B4D8" w14:textId="183E939E"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sdt>
    <w:sdtPr>
      <w:id w:val="944424538"/>
      <w:docPartObj>
        <w:docPartGallery w:val="Page Numbers (Bottom of Page)"/>
        <w:docPartUnique/>
      </w:docPartObj>
    </w:sdtPr>
    <w:sdtEndPr>
      <w:rPr>
        <w:noProof/>
      </w:rPr>
    </w:sdtEndPr>
    <w:sdtContent>
      <w:p w14:paraId="50298D5B" w14:textId="77777777" w:rsidR="00A96A27" w:rsidRDefault="00A96A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CCE25D" w14:textId="1FF22F77" w:rsidR="00E73C34" w:rsidRDefault="00E73C3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BA7B3" w14:textId="3B45C7F4" w:rsidR="00E73C34" w:rsidRDefault="00665B74">
    <w:pPr>
      <w:pStyle w:val="Footer"/>
    </w:pPr>
    <w:r>
      <w:rPr>
        <w:noProof/>
      </w:rPr>
      <mc:AlternateContent>
        <mc:Choice Requires="wps">
          <w:drawing>
            <wp:anchor distT="0" distB="0" distL="0" distR="0" simplePos="0" relativeHeight="251658262" behindDoc="0" locked="0" layoutInCell="1" allowOverlap="1" wp14:anchorId="1B9EE165" wp14:editId="7D0B8BBE">
              <wp:simplePos x="635" y="635"/>
              <wp:positionH relativeFrom="page">
                <wp:align>left</wp:align>
              </wp:positionH>
              <wp:positionV relativeFrom="page">
                <wp:align>bottom</wp:align>
              </wp:positionV>
              <wp:extent cx="713740" cy="384175"/>
              <wp:effectExtent l="0" t="0" r="10160" b="0"/>
              <wp:wrapNone/>
              <wp:docPr id="14561303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3C71E0C7" w14:textId="77C90709"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9EE165" id="_x0000_t202" coordsize="21600,21600" o:spt="202" path="m,l,21600r21600,l21600,xe">
              <v:stroke joinstyle="miter"/>
              <v:path gradientshapeok="t" o:connecttype="rect"/>
            </v:shapetype>
            <v:shape id="_x0000_s1046" type="#_x0000_t202" alt="OFFICIAL" style="position:absolute;margin-left:0;margin-top:0;width:56.2pt;height:30.25pt;z-index:2516582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" filled="f" stroked="f">
              <v:textbox style="mso-fit-shape-to-text:t" inset="20pt,0,0,15pt">
                <w:txbxContent>
                  <w:p w14:paraId="3C71E0C7" w14:textId="77C90709"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49" behindDoc="0" locked="0" layoutInCell="1" allowOverlap="1" wp14:anchorId="691AD6D0" wp14:editId="65943492">
              <wp:simplePos x="635" y="635"/>
              <wp:positionH relativeFrom="page">
                <wp:align>left</wp:align>
              </wp:positionH>
              <wp:positionV relativeFrom="page">
                <wp:align>bottom</wp:align>
              </wp:positionV>
              <wp:extent cx="711200" cy="371475"/>
              <wp:effectExtent l="0" t="0" r="12700" b="0"/>
              <wp:wrapNone/>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05EB925" w14:textId="4CF1714B"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691AD6D0" id="Text Box 21" o:spid="_x0000_s1047" type="#_x0000_t202" alt="OFFICIAL"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DH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VnV7Gr6E54lYORsK95esOe2+YD8/MIcM4Lqo2&#10;POEhFfQVhZNFSQvux9/8MR+BxyglPSqmogYlTYn6ZpCQ6ewmjyCEdEPDnY06GcXnfBbjZq/vAcVY&#10;4LuwPJkxOaizKR3oVxT1KnbDEDMce1a0Ppv3YdQvPgouVquUhGKyLGzM1vJYOoIWEX0ZXpmzJ9gD&#10;8vUIZ02x8g36Y27809vVPiAHiZoI8IjmCXcUYiL39Gii0n+9p6zr0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O6cDHEgIA&#10;ACIEAAAOAAAAAAAAAAAAAAAAAC4CAABkcnMvZTJvRG9jLnhtbFBLAQItABQABgAIAAAAIQC1zStt&#10;2QAAAAQBAAAPAAAAAAAAAAAAAAAAAGwEAABkcnMvZG93bnJldi54bWxQSwUGAAAAAAQABADzAAAA&#10;cgUAAAAA&#10;" filled="f" stroked="f">
              <v:textbox style="mso-fit-shape-to-text:t" inset="20pt,0,0,15pt">
                <w:txbxContent>
                  <w:p w14:paraId="005EB925" w14:textId="4CF1714B"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C31BC" w14:textId="51A9109A" w:rsidR="00205B23" w:rsidRDefault="00665B74">
    <w:pPr>
      <w:pStyle w:val="Footer"/>
    </w:pPr>
    <w:r>
      <w:rPr>
        <w:noProof/>
      </w:rPr>
      <mc:AlternateContent>
        <mc:Choice Requires="wps">
          <w:drawing>
            <wp:anchor distT="0" distB="0" distL="0" distR="0" simplePos="0" relativeHeight="251658256" behindDoc="0" locked="0" layoutInCell="1" allowOverlap="1" wp14:anchorId="1A572D40" wp14:editId="3B0C2A0A">
              <wp:simplePos x="635" y="635"/>
              <wp:positionH relativeFrom="page">
                <wp:align>left</wp:align>
              </wp:positionH>
              <wp:positionV relativeFrom="page">
                <wp:align>bottom</wp:align>
              </wp:positionV>
              <wp:extent cx="713740" cy="384175"/>
              <wp:effectExtent l="0" t="0" r="10160" b="0"/>
              <wp:wrapNone/>
              <wp:docPr id="179906555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61D166BF" w14:textId="395F8D98"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572D40" id="_x0000_t202" coordsize="21600,21600" o:spt="202" path="m,l,21600r21600,l21600,xe">
              <v:stroke joinstyle="miter"/>
              <v:path gradientshapeok="t" o:connecttype="rect"/>
            </v:shapetype>
            <v:shape id="Text Box 3" o:spid="_x0000_s1028" type="#_x0000_t202" alt="OFFICIAL" style="position:absolute;margin-left:0;margin-top:0;width:56.2pt;height:30.25pt;z-index:2516582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" filled="f" stroked="f">
              <v:textbox style="mso-fit-shape-to-text:t" inset="20pt,0,0,15pt">
                <w:txbxContent>
                  <w:p w14:paraId="61D166BF" w14:textId="395F8D98"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45" behindDoc="0" locked="0" layoutInCell="1" allowOverlap="1" wp14:anchorId="6E249B7A" wp14:editId="1AB18DC0">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81241F1" w14:textId="0F7871C7"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6E249B7A" id="Text Box 10" o:spid="_x0000_s1029" type="#_x0000_t202" alt="OFFICIAL"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filled="f" stroked="f">
              <v:textbox style="mso-fit-shape-to-text:t" inset="20pt,0,0,15pt">
                <w:txbxContent>
                  <w:p w14:paraId="181241F1" w14:textId="0F7871C7"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329F7" w14:textId="5DEED0BD" w:rsidR="005734D6" w:rsidRDefault="00665B74">
    <w:pPr>
      <w:pStyle w:val="Footer"/>
    </w:pPr>
    <w:r>
      <w:rPr>
        <w:noProof/>
        <w:lang w:eastAsia="en-AU"/>
      </w:rPr>
      <mc:AlternateContent>
        <mc:Choice Requires="wps">
          <w:drawing>
            <wp:anchor distT="0" distB="0" distL="0" distR="0" simplePos="0" relativeHeight="251658254" behindDoc="0" locked="0" layoutInCell="1" allowOverlap="1" wp14:anchorId="610F48E7" wp14:editId="747805E4">
              <wp:simplePos x="635" y="635"/>
              <wp:positionH relativeFrom="page">
                <wp:align>left</wp:align>
              </wp:positionH>
              <wp:positionV relativeFrom="page">
                <wp:align>bottom</wp:align>
              </wp:positionV>
              <wp:extent cx="713740" cy="384175"/>
              <wp:effectExtent l="0" t="0" r="10160" b="0"/>
              <wp:wrapNone/>
              <wp:docPr id="83304206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3CDA9FE8" w14:textId="2A356013"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10F48E7" id="_x0000_t202" coordsize="21600,21600" o:spt="202" path="m,l,21600r21600,l21600,xe">
              <v:stroke joinstyle="miter"/>
              <v:path gradientshapeok="t" o:connecttype="rect"/>
            </v:shapetype>
            <v:shape id="Text Box 1" o:spid="_x0000_s1030" type="#_x0000_t202" alt="OFFICIAL" style="position:absolute;margin-left:0;margin-top:0;width:56.2pt;height:30.25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" filled="f" stroked="f">
              <v:textbox style="mso-fit-shape-to-text:t" inset="20pt,0,0,15pt">
                <w:txbxContent>
                  <w:p w14:paraId="3CDA9FE8" w14:textId="2A356013"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lang w:eastAsia="en-AU"/>
      </w:rPr>
      <mc:AlternateContent>
        <mc:Choice Requires="wps">
          <w:drawing>
            <wp:anchor distT="0" distB="0" distL="0" distR="0" simplePos="0" relativeHeight="251658243" behindDoc="0" locked="0" layoutInCell="1" allowOverlap="1" wp14:anchorId="0A6222F3" wp14:editId="74CE1035">
              <wp:simplePos x="635" y="635"/>
              <wp:positionH relativeFrom="page">
                <wp:align>left</wp:align>
              </wp:positionH>
              <wp:positionV relativeFrom="page">
                <wp:align>bottom</wp:align>
              </wp:positionV>
              <wp:extent cx="711200" cy="371475"/>
              <wp:effectExtent l="0" t="0" r="12700" b="0"/>
              <wp:wrapNone/>
              <wp:docPr id="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AF75C19" w14:textId="3E94FD81"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0A6222F3" id="Text Box 5" o:spid="_x0000_s1031" type="#_x0000_t202" alt="OFFICIAL"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filled="f" stroked="f">
              <v:textbox style="mso-fit-shape-to-text:t" inset="20pt,0,0,15pt">
                <w:txbxContent>
                  <w:p w14:paraId="3AF75C19" w14:textId="3E94FD81"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r w:rsidR="005734D6">
      <w:rPr>
        <w:noProof/>
        <w:lang w:eastAsia="en-AU"/>
      </w:rPr>
      <w:drawing>
        <wp:anchor distT="0" distB="0" distL="114300" distR="114300" simplePos="0" relativeHeight="251658242" behindDoc="0" locked="0" layoutInCell="1" allowOverlap="1" wp14:anchorId="79F84FBE" wp14:editId="37148A8C">
          <wp:simplePos x="0" y="0"/>
          <wp:positionH relativeFrom="column">
            <wp:posOffset>3931920</wp:posOffset>
          </wp:positionH>
          <wp:positionV relativeFrom="paragraph">
            <wp:posOffset>-278990</wp:posOffset>
          </wp:positionV>
          <wp:extent cx="2336760" cy="461160"/>
          <wp:effectExtent l="0" t="0" r="635" b="0"/>
          <wp:wrapNone/>
          <wp:docPr id="1531265363" name="Picture 1531265363" descr="Sustainability Victoria and Victoria Government logo lock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stainability Victoria and Victoria Government logo lockup">
                    <a:extLst>
                      <a:ext uri="{C183D7F6-B498-43B3-948B-1728B52AA6E4}">
                        <adec:decorative xmlns:adec="http://schemas.microsoft.com/office/drawing/2017/decorative" val="0"/>
                      </a:ext>
                    </a:extLst>
                  </pic:cNvPr>
                  <pic:cNvPicPr/>
                </pic:nvPicPr>
                <pic:blipFill>
                  <a:blip r:embed="rId1"/>
                  <a:stretch>
                    <a:fillRect/>
                  </a:stretch>
                </pic:blipFill>
                <pic:spPr>
                  <a:xfrm>
                    <a:off x="0" y="0"/>
                    <a:ext cx="2336760" cy="461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3862D" w14:textId="2DCAD8F9" w:rsidR="00E73C34" w:rsidRDefault="00665B74">
    <w:pPr>
      <w:pStyle w:val="Footer"/>
    </w:pPr>
    <w:r>
      <w:rPr>
        <w:noProof/>
      </w:rPr>
      <mc:AlternateContent>
        <mc:Choice Requires="wps">
          <w:drawing>
            <wp:anchor distT="0" distB="0" distL="0" distR="0" simplePos="0" relativeHeight="251658258" behindDoc="0" locked="0" layoutInCell="1" allowOverlap="1" wp14:anchorId="319E7906" wp14:editId="1BEC4EEC">
              <wp:simplePos x="635" y="635"/>
              <wp:positionH relativeFrom="page">
                <wp:align>left</wp:align>
              </wp:positionH>
              <wp:positionV relativeFrom="page">
                <wp:align>bottom</wp:align>
              </wp:positionV>
              <wp:extent cx="713740" cy="384175"/>
              <wp:effectExtent l="0" t="0" r="10160" b="0"/>
              <wp:wrapNone/>
              <wp:docPr id="6949824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354B729E" w14:textId="2A78F4E9"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9E7906" id="_x0000_t202" coordsize="21600,21600" o:spt="202" path="m,l,21600r21600,l21600,xe">
              <v:stroke joinstyle="miter"/>
              <v:path gradientshapeok="t" o:connecttype="rect"/>
            </v:shapetype>
            <v:shape id="_x0000_s1032" type="#_x0000_t202" alt="OFFICIAL" style="position:absolute;margin-left:0;margin-top:0;width:56.2pt;height:30.25pt;z-index:25165825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" filled="f" stroked="f">
              <v:textbox style="mso-fit-shape-to-text:t" inset="20pt,0,0,15pt">
                <w:txbxContent>
                  <w:p w14:paraId="354B729E" w14:textId="2A78F4E9"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47" behindDoc="0" locked="0" layoutInCell="1" allowOverlap="1" wp14:anchorId="2CDA5092" wp14:editId="61291D29">
              <wp:simplePos x="635" y="635"/>
              <wp:positionH relativeFrom="page">
                <wp:align>left</wp:align>
              </wp:positionH>
              <wp:positionV relativeFrom="page">
                <wp:align>bottom</wp:align>
              </wp:positionV>
              <wp:extent cx="711200" cy="371475"/>
              <wp:effectExtent l="0" t="0" r="1270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76443B7" w14:textId="4C868F02"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2CDA5092" id="Text Box 14" o:spid="_x0000_s1033" type="#_x0000_t202" alt="OFFICIAL"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ck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vjIOP0O6hPuJSDgW9v+brF1hvmwzNzSDBOi6IN&#10;T3hIBV1F4WxR0oD78Td/zEfcMUpJh4KpqEFFU6K+GeRjOrvJIwYh3dBwo7FLRvE5n8W4Oeh7QC0W&#10;+CwsT2ZMDmo0pQP9ippexW4YYoZjz4ruRvM+DPLFN8HFapWSUEuWhY3ZWh5LR8wioC/9K3P2jHpA&#10;uh5hlBQr34A/5MY/vV0dAlKQmIn4DmieYUcdJm7PbyYK/dd7yrq+7O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FU3ckEgIA&#10;ACEEAAAOAAAAAAAAAAAAAAAAAC4CAABkcnMvZTJvRG9jLnhtbFBLAQItABQABgAIAAAAIQC1zStt&#10;2QAAAAQBAAAPAAAAAAAAAAAAAAAAAGwEAABkcnMvZG93bnJldi54bWxQSwUGAAAAAAQABADzAAAA&#10;cgUAAAAA&#10;" filled="f" stroked="f">
              <v:textbox style="mso-fit-shape-to-text:t" inset="20pt,0,0,15pt">
                <w:txbxContent>
                  <w:p w14:paraId="276443B7" w14:textId="4C868F02"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5935D" w14:textId="0BFCFDB4" w:rsidR="00026F80" w:rsidRDefault="00665B74">
    <w:pPr>
      <w:pStyle w:val="Footer"/>
      <w:jc w:val="right"/>
    </w:pPr>
    <w:r>
      <w:rPr>
        <w:noProof/>
      </w:rPr>
      <mc:AlternateContent>
        <mc:Choice Requires="wps">
          <w:drawing>
            <wp:anchor distT="0" distB="0" distL="0" distR="0" simplePos="0" relativeHeight="251658259" behindDoc="0" locked="0" layoutInCell="1" allowOverlap="1" wp14:anchorId="7B44A9CD" wp14:editId="33D8C790">
              <wp:simplePos x="635" y="635"/>
              <wp:positionH relativeFrom="page">
                <wp:align>left</wp:align>
              </wp:positionH>
              <wp:positionV relativeFrom="page">
                <wp:align>bottom</wp:align>
              </wp:positionV>
              <wp:extent cx="713740" cy="384175"/>
              <wp:effectExtent l="0" t="0" r="10160" b="0"/>
              <wp:wrapNone/>
              <wp:docPr id="134852280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057F84C6" w14:textId="0815410D"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44A9CD" id="_x0000_t202" coordsize="21600,21600" o:spt="202" path="m,l,21600r21600,l21600,xe">
              <v:stroke joinstyle="miter"/>
              <v:path gradientshapeok="t" o:connecttype="rect"/>
            </v:shapetype>
            <v:shape id="_x0000_s1034" type="#_x0000_t202" alt="OFFICIAL" style="position:absolute;left:0;text-align:left;margin-left:0;margin-top:0;width:56.2pt;height:30.25pt;z-index:25165825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" filled="f" stroked="f">
              <v:textbox style="mso-fit-shape-to-text:t" inset="20pt,0,0,15pt">
                <w:txbxContent>
                  <w:p w14:paraId="057F84C6" w14:textId="0815410D"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48" behindDoc="0" locked="0" layoutInCell="1" allowOverlap="1" wp14:anchorId="54C60D2A" wp14:editId="75619227">
              <wp:simplePos x="635" y="635"/>
              <wp:positionH relativeFrom="page">
                <wp:align>left</wp:align>
              </wp:positionH>
              <wp:positionV relativeFrom="page">
                <wp:align>bottom</wp:align>
              </wp:positionV>
              <wp:extent cx="711200" cy="371475"/>
              <wp:effectExtent l="0" t="0" r="1270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50F4CFA" w14:textId="0708BDAF"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54C60D2A" id="Text Box 15" o:spid="_x0000_s1035" type="#_x0000_t202" alt="OFFICIAL" style="position:absolute;left:0;text-align:left;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o+EgIAACE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au6O04/Q7qEy7lYODbW75usfWG+fDMHBKM06Jo&#10;wxMeUkFXUThblDTgfvzNH/MRd4xS0qFgKmpQ0ZSobwb5mM5u8ohBSDc03GjsklHc5r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hFbo+EgIA&#10;ACEEAAAOAAAAAAAAAAAAAAAAAC4CAABkcnMvZTJvRG9jLnhtbFBLAQItABQABgAIAAAAIQC1zStt&#10;2QAAAAQBAAAPAAAAAAAAAAAAAAAAAGwEAABkcnMvZG93bnJldi54bWxQSwUGAAAAAAQABADzAAAA&#10;cgUAAAAA&#10;" filled="f" stroked="f">
              <v:textbox style="mso-fit-shape-to-text:t" inset="20pt,0,0,15pt">
                <w:txbxContent>
                  <w:p w14:paraId="150F4CFA" w14:textId="0708BDAF"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sdt>
    <w:sdtPr>
      <w:id w:val="852313157"/>
      <w:docPartObj>
        <w:docPartGallery w:val="Page Numbers (Bottom of Page)"/>
        <w:docPartUnique/>
      </w:docPartObj>
    </w:sdtPr>
    <w:sdtEndPr>
      <w:rPr>
        <w:noProof/>
      </w:rPr>
    </w:sdtEndPr>
    <w:sdtContent>
      <w:p w14:paraId="7DCE1AED" w14:textId="77777777" w:rsidR="00026F80" w:rsidRDefault="00026F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754E53" w14:textId="567C7A1D" w:rsidR="00E73C34" w:rsidRDefault="00E73C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5AB2E" w14:textId="4B323BD3" w:rsidR="00E73C34" w:rsidRDefault="00665B74">
    <w:pPr>
      <w:pStyle w:val="Footer"/>
    </w:pPr>
    <w:r>
      <w:rPr>
        <w:noProof/>
      </w:rPr>
      <mc:AlternateContent>
        <mc:Choice Requires="wps">
          <w:drawing>
            <wp:anchor distT="0" distB="0" distL="0" distR="0" simplePos="0" relativeHeight="251658257" behindDoc="0" locked="0" layoutInCell="1" allowOverlap="1" wp14:anchorId="7706B067" wp14:editId="214BC9F1">
              <wp:simplePos x="635" y="635"/>
              <wp:positionH relativeFrom="page">
                <wp:align>left</wp:align>
              </wp:positionH>
              <wp:positionV relativeFrom="page">
                <wp:align>bottom</wp:align>
              </wp:positionV>
              <wp:extent cx="713740" cy="384175"/>
              <wp:effectExtent l="0" t="0" r="10160" b="0"/>
              <wp:wrapNone/>
              <wp:docPr id="140085712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60C44CD9" w14:textId="65C51D10"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06B067" id="_x0000_t202" coordsize="21600,21600" o:spt="202" path="m,l,21600r21600,l21600,xe">
              <v:stroke joinstyle="miter"/>
              <v:path gradientshapeok="t" o:connecttype="rect"/>
            </v:shapetype>
            <v:shape id="Text Box 4" o:spid="_x0000_s1036" type="#_x0000_t202" alt="OFFICIAL" style="position:absolute;margin-left:0;margin-top:0;width:56.2pt;height:30.25pt;z-index:25165825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" filled="f" stroked="f">
              <v:textbox style="mso-fit-shape-to-text:t" inset="20pt,0,0,15pt">
                <w:txbxContent>
                  <w:p w14:paraId="60C44CD9" w14:textId="65C51D10"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r w:rsidR="00141E46">
      <w:rPr>
        <w:noProof/>
      </w:rPr>
      <mc:AlternateContent>
        <mc:Choice Requires="wps">
          <w:drawing>
            <wp:anchor distT="0" distB="0" distL="0" distR="0" simplePos="0" relativeHeight="251658246" behindDoc="0" locked="0" layoutInCell="1" allowOverlap="1" wp14:anchorId="6DB503DC" wp14:editId="0CBB25DE">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552323" w14:textId="2131C0B8"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6DB503DC" id="Text Box 13" o:spid="_x0000_s1037" type="#_x0000_t202" alt="OFFICIAL"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filled="f" stroked="f">
              <v:textbox style="mso-fit-shape-to-text:t" inset="20pt,0,0,15pt">
                <w:txbxContent>
                  <w:p w14:paraId="14552323" w14:textId="2131C0B8"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4DA18" w14:textId="77777777" w:rsidR="00BC7AC4" w:rsidRDefault="00141E46">
    <w:pPr>
      <w:pStyle w:val="Footer"/>
      <w:rPr>
        <w:noProof/>
      </w:rPr>
    </w:pPr>
    <w:r>
      <w:rPr>
        <w:noProof/>
      </w:rPr>
      <mc:AlternateContent>
        <mc:Choice Requires="wps">
          <w:drawing>
            <wp:anchor distT="0" distB="0" distL="0" distR="0" simplePos="0" relativeHeight="251658252" behindDoc="0" locked="0" layoutInCell="1" allowOverlap="1" wp14:anchorId="45F36592" wp14:editId="12D92576">
              <wp:simplePos x="635" y="635"/>
              <wp:positionH relativeFrom="page">
                <wp:align>left</wp:align>
              </wp:positionH>
              <wp:positionV relativeFrom="page">
                <wp:align>bottom</wp:align>
              </wp:positionV>
              <wp:extent cx="711200" cy="371475"/>
              <wp:effectExtent l="0" t="0" r="1270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AD9C641" w14:textId="1F978514"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F36592" id="_x0000_t202" coordsize="21600,21600" o:spt="202" path="m,l,21600r21600,l21600,xe">
              <v:stroke joinstyle="miter"/>
              <v:path gradientshapeok="t" o:connecttype="rect"/>
            </v:shapetype>
            <v:shape id="Text Box 17" o:spid="_x0000_s1038" type="#_x0000_t202" alt="OFFICIAL" style="position:absolute;margin-left:0;margin-top:0;width:56pt;height:29.2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2ZEwIAACI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" filled="f" stroked="f">
              <v:textbox style="mso-fit-shape-to-text:t" inset="20pt,0,0,15pt">
                <w:txbxContent>
                  <w:p w14:paraId="4AD9C641" w14:textId="1F978514"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p w14:paraId="40A35B81" w14:textId="039DA6CE" w:rsidR="008E63DC" w:rsidRDefault="00665B74">
    <w:pPr>
      <w:pStyle w:val="Footer"/>
    </w:pPr>
    <w:r>
      <w:rPr>
        <w:noProof/>
      </w:rPr>
      <mc:AlternateContent>
        <mc:Choice Requires="wps">
          <w:drawing>
            <wp:anchor distT="0" distB="0" distL="0" distR="0" simplePos="0" relativeHeight="251658261" behindDoc="0" locked="0" layoutInCell="1" allowOverlap="1" wp14:anchorId="17A1C584" wp14:editId="2AAB8672">
              <wp:simplePos x="635" y="635"/>
              <wp:positionH relativeFrom="page">
                <wp:align>left</wp:align>
              </wp:positionH>
              <wp:positionV relativeFrom="page">
                <wp:align>bottom</wp:align>
              </wp:positionV>
              <wp:extent cx="713740" cy="384175"/>
              <wp:effectExtent l="0" t="0" r="10160" b="0"/>
              <wp:wrapNone/>
              <wp:docPr id="119877876"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2A905449" w14:textId="7DFE4E48"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17A1C584" id="Text Box 8" o:spid="_x0000_s1039" type="#_x0000_t202" alt="OFFICIAL" style="position:absolute;margin-left:0;margin-top:0;width:56.2pt;height:30.25pt;z-index:25165826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" filled="f" stroked="f">
              <v:textbox style="mso-fit-shape-to-text:t" inset="20pt,0,0,15pt">
                <w:txbxContent>
                  <w:p w14:paraId="2A905449" w14:textId="7DFE4E48"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4666398"/>
      <w:docPartObj>
        <w:docPartGallery w:val="Page Numbers (Bottom of Page)"/>
        <w:docPartUnique/>
      </w:docPartObj>
    </w:sdtPr>
    <w:sdtEndPr>
      <w:rPr>
        <w:noProof/>
      </w:rPr>
    </w:sdtEndPr>
    <w:sdtContent>
      <w:p w14:paraId="2AC9B089" w14:textId="7BAB1F63" w:rsidR="001A2D4B" w:rsidRDefault="001A2D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83E5DA" w14:textId="4EF5123E" w:rsidR="008E63DC" w:rsidRDefault="008E63D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9CC63" w14:textId="77777777" w:rsidR="00BC7AC4" w:rsidRDefault="00141E46">
    <w:pPr>
      <w:pStyle w:val="Footer"/>
      <w:rPr>
        <w:noProof/>
      </w:rPr>
    </w:pPr>
    <w:r>
      <w:rPr>
        <w:noProof/>
      </w:rPr>
      <mc:AlternateContent>
        <mc:Choice Requires="wps">
          <w:drawing>
            <wp:anchor distT="0" distB="0" distL="0" distR="0" simplePos="0" relativeHeight="251658253" behindDoc="0" locked="0" layoutInCell="1" allowOverlap="1" wp14:anchorId="4E8E7463" wp14:editId="0887E719">
              <wp:simplePos x="635" y="635"/>
              <wp:positionH relativeFrom="page">
                <wp:align>left</wp:align>
              </wp:positionH>
              <wp:positionV relativeFrom="page">
                <wp:align>bottom</wp:align>
              </wp:positionV>
              <wp:extent cx="711200" cy="371475"/>
              <wp:effectExtent l="0" t="0" r="1270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B213DA0" w14:textId="2545F9AB"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8E7463" id="_x0000_t202" coordsize="21600,21600" o:spt="202" path="m,l,21600r21600,l21600,xe">
              <v:stroke joinstyle="miter"/>
              <v:path gradientshapeok="t" o:connecttype="rect"/>
            </v:shapetype>
            <v:shape id="Text Box 16" o:spid="_x0000_s1040" type="#_x0000_t202" alt="OFFICIAL" style="position:absolute;margin-left:0;margin-top:0;width:56pt;height:29.2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ocEwIAACI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" filled="f" stroked="f">
              <v:textbox style="mso-fit-shape-to-text:t" inset="20pt,0,0,15pt">
                <w:txbxContent>
                  <w:p w14:paraId="5B213DA0" w14:textId="2545F9AB" w:rsidR="00141E46" w:rsidRPr="00874E27" w:rsidRDefault="00141E46" w:rsidP="00874E27">
                    <w:pPr>
                      <w:spacing w:after="0"/>
                      <w:rPr>
                        <w:rFonts w:ascii="Calibri" w:eastAsia="Calibri" w:hAnsi="Calibri" w:cs="Calibri"/>
                        <w:noProof/>
                        <w:color w:val="FF0000"/>
                        <w:szCs w:val="20"/>
                      </w:rPr>
                    </w:pPr>
                    <w:r w:rsidRPr="00874E27">
                      <w:rPr>
                        <w:rFonts w:ascii="Calibri" w:eastAsia="Calibri" w:hAnsi="Calibri" w:cs="Calibri"/>
                        <w:noProof/>
                        <w:color w:val="FF0000"/>
                        <w:szCs w:val="20"/>
                      </w:rPr>
                      <w:t>OFFICIAL</w:t>
                    </w:r>
                  </w:p>
                </w:txbxContent>
              </v:textbox>
              <w10:wrap anchorx="page" anchory="page"/>
            </v:shape>
          </w:pict>
        </mc:Fallback>
      </mc:AlternateContent>
    </w:r>
  </w:p>
  <w:p w14:paraId="59A073EA" w14:textId="50061C55" w:rsidR="008E63DC" w:rsidRDefault="00665B74">
    <w:pPr>
      <w:pStyle w:val="Footer"/>
    </w:pPr>
    <w:r>
      <w:rPr>
        <w:noProof/>
      </w:rPr>
      <mc:AlternateContent>
        <mc:Choice Requires="wps">
          <w:drawing>
            <wp:anchor distT="0" distB="0" distL="0" distR="0" simplePos="0" relativeHeight="251658260" behindDoc="0" locked="0" layoutInCell="1" allowOverlap="1" wp14:anchorId="78CE06A6" wp14:editId="4EC3DC36">
              <wp:simplePos x="635" y="635"/>
              <wp:positionH relativeFrom="page">
                <wp:align>left</wp:align>
              </wp:positionH>
              <wp:positionV relativeFrom="page">
                <wp:align>bottom</wp:align>
              </wp:positionV>
              <wp:extent cx="713740" cy="384175"/>
              <wp:effectExtent l="0" t="0" r="10160" b="0"/>
              <wp:wrapNone/>
              <wp:docPr id="195415405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3740" cy="384175"/>
                      </a:xfrm>
                      <a:prstGeom prst="rect">
                        <a:avLst/>
                      </a:prstGeom>
                      <a:noFill/>
                      <a:ln>
                        <a:noFill/>
                      </a:ln>
                    </wps:spPr>
                    <wps:txbx>
                      <w:txbxContent>
                        <w:p w14:paraId="039B96D7" w14:textId="02F6616B"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 w14:anchorId="78CE06A6" id="Text Box 7" o:spid="_x0000_s1041" type="#_x0000_t202" alt="OFFICIAL" style="position:absolute;margin-left:0;margin-top:0;width:56.2pt;height:30.25pt;z-index:2516582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" filled="f" stroked="f">
              <v:textbox style="mso-fit-shape-to-text:t" inset="20pt,0,0,15pt">
                <w:txbxContent>
                  <w:p w14:paraId="039B96D7" w14:textId="02F6616B" w:rsidR="00665B74" w:rsidRPr="00665B74" w:rsidRDefault="00665B74" w:rsidP="00665B74">
                    <w:pPr>
                      <w:spacing w:after="0"/>
                      <w:rPr>
                        <w:rFonts w:ascii="Calibri" w:eastAsia="Calibri" w:hAnsi="Calibri" w:cs="Calibri"/>
                        <w:noProof/>
                        <w:color w:val="FF0000"/>
                        <w:szCs w:val="20"/>
                      </w:rPr>
                    </w:pPr>
                    <w:r w:rsidRPr="00665B74">
                      <w:rPr>
                        <w:rFonts w:ascii="Calibri" w:eastAsia="Calibri" w:hAnsi="Calibri" w:cs="Calibri"/>
                        <w:noProof/>
                        <w:color w:val="FF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7DA27" w14:textId="77777777" w:rsidR="00374D24" w:rsidRDefault="00374D24">
      <w:pPr>
        <w:spacing w:after="0" w:line="240" w:lineRule="auto"/>
      </w:pPr>
      <w:r>
        <w:separator/>
      </w:r>
    </w:p>
  </w:footnote>
  <w:footnote w:type="continuationSeparator" w:id="0">
    <w:p w14:paraId="2B82ED3A" w14:textId="77777777" w:rsidR="00374D24" w:rsidRDefault="00374D24">
      <w:pPr>
        <w:spacing w:after="0" w:line="240" w:lineRule="auto"/>
      </w:pPr>
      <w:r>
        <w:continuationSeparator/>
      </w:r>
    </w:p>
  </w:footnote>
  <w:footnote w:type="continuationNotice" w:id="1">
    <w:p w14:paraId="487DC7C0" w14:textId="77777777" w:rsidR="00374D24" w:rsidRDefault="00374D24">
      <w:pPr>
        <w:spacing w:after="0" w:line="240" w:lineRule="auto"/>
      </w:pPr>
    </w:p>
  </w:footnote>
  <w:footnote w:id="2">
    <w:p w14:paraId="4D6AE8B6" w14:textId="151024F2" w:rsidR="001332C5" w:rsidRDefault="001332C5" w:rsidP="001332C5">
      <w:pPr>
        <w:pStyle w:val="FootnoteText"/>
      </w:pPr>
      <w:r>
        <w:rPr>
          <w:rStyle w:val="FootnoteReference"/>
        </w:rPr>
        <w:footnoteRef/>
      </w:r>
      <w:r>
        <w:t xml:space="preserve"> Note: </w:t>
      </w:r>
      <w:r>
        <w:rPr>
          <w:rFonts w:eastAsia="Times New Roman" w:cs="Arial"/>
          <w:sz w:val="20"/>
          <w:szCs w:val="20"/>
        </w:rPr>
        <w:t>$3</w:t>
      </w:r>
      <w:r w:rsidR="00361D5B">
        <w:rPr>
          <w:rFonts w:eastAsia="Times New Roman" w:cs="Arial"/>
          <w:sz w:val="20"/>
          <w:szCs w:val="20"/>
        </w:rPr>
        <w:t>8</w:t>
      </w:r>
      <w:r>
        <w:rPr>
          <w:rFonts w:eastAsia="Times New Roman" w:cs="Arial"/>
          <w:sz w:val="20"/>
          <w:szCs w:val="20"/>
        </w:rPr>
        <w:t xml:space="preserve">0 million had been dedicated to the </w:t>
      </w:r>
      <w:r>
        <w:rPr>
          <w:rFonts w:eastAsia="Times New Roman" w:cs="Arial"/>
          <w:i/>
          <w:iCs/>
          <w:sz w:val="20"/>
          <w:szCs w:val="20"/>
        </w:rPr>
        <w:t>Recycling Victoria: A New Economy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1B775" w14:textId="3CE35C45" w:rsidR="005734D6" w:rsidRDefault="005734D6" w:rsidP="005734D6">
    <w:pPr>
      <w:pStyle w:val="Header"/>
    </w:pPr>
    <w:r>
      <w:rPr>
        <w:noProof/>
        <w:lang w:eastAsia="en-AU"/>
      </w:rPr>
      <w:drawing>
        <wp:anchor distT="0" distB="0" distL="114300" distR="114300" simplePos="0" relativeHeight="251658241" behindDoc="1" locked="1" layoutInCell="1" allowOverlap="1" wp14:anchorId="722D46FC" wp14:editId="414A794E">
          <wp:simplePos x="0" y="0"/>
          <wp:positionH relativeFrom="page">
            <wp:align>left</wp:align>
          </wp:positionH>
          <wp:positionV relativeFrom="page">
            <wp:align>top</wp:align>
          </wp:positionV>
          <wp:extent cx="7553520" cy="10689120"/>
          <wp:effectExtent l="0" t="0" r="3175" b="4445"/>
          <wp:wrapNone/>
          <wp:docPr id="606136622" name="Picture 606136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520" cy="10689120"/>
                  </a:xfrm>
                  <a:prstGeom prst="rect">
                    <a:avLst/>
                  </a:prstGeom>
                </pic:spPr>
              </pic:pic>
            </a:graphicData>
          </a:graphic>
          <wp14:sizeRelH relativeFrom="page">
            <wp14:pctWidth>0</wp14:pctWidth>
          </wp14:sizeRelH>
          <wp14:sizeRelV relativeFrom="page">
            <wp14:pctHeight>0</wp14:pctHeight>
          </wp14:sizeRelV>
        </wp:anchor>
      </w:drawing>
    </w:r>
  </w:p>
  <w:p w14:paraId="733D90EF" w14:textId="335EF910" w:rsidR="00C40D9C" w:rsidRDefault="005734D6" w:rsidP="00860D3D">
    <w:pPr>
      <w:pStyle w:val="Header"/>
      <w:tabs>
        <w:tab w:val="left" w:pos="7725"/>
      </w:tabs>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F5C99F" id="Rectangle 1" o:spid="_x0000_s1026" alt="&quot;&quot;"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fillcolor="#82c341 [3204]" stroked="f" strokeweight="1pt"/>
          </w:pict>
        </mc:Fallback>
      </mc:AlternateContent>
    </w:r>
    <w:r w:rsidR="00860D3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9D349" w14:textId="53CEF55A" w:rsidR="00860D3D" w:rsidRDefault="00860D3D" w:rsidP="005734D6">
    <w:pPr>
      <w:pStyle w:val="Header"/>
    </w:pPr>
  </w:p>
  <w:p w14:paraId="248B56B0" w14:textId="45A75762" w:rsidR="00860D3D" w:rsidRDefault="00860D3D" w:rsidP="00860D3D">
    <w:pPr>
      <w:pStyle w:val="Header"/>
      <w:tabs>
        <w:tab w:val="left" w:pos="772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styleLink w:val="Bullets1"/>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1565E"/>
    <w:multiLevelType w:val="hybridMultilevel"/>
    <w:tmpl w:val="034849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722841"/>
    <w:multiLevelType w:val="hybridMultilevel"/>
    <w:tmpl w:val="05C00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DC209BE"/>
    <w:multiLevelType w:val="hybridMultilevel"/>
    <w:tmpl w:val="BFA0F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1313DA"/>
    <w:multiLevelType w:val="hybridMultilevel"/>
    <w:tmpl w:val="AC92F16C"/>
    <w:lvl w:ilvl="0" w:tplc="38B6F954">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873A55"/>
    <w:multiLevelType w:val="hybridMultilevel"/>
    <w:tmpl w:val="77A8C2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317159"/>
    <w:multiLevelType w:val="multilevel"/>
    <w:tmpl w:val="C204A7C8"/>
    <w:styleLink w:val="ListNumbers1"/>
    <w:lvl w:ilvl="0">
      <w:start w:val="1"/>
      <w:numFmt w:val="decimal"/>
      <w:lvlText w:val="%1"/>
      <w:lvlJc w:val="left"/>
      <w:pPr>
        <w:ind w:left="2041" w:hanging="2041"/>
      </w:pPr>
      <w:rPr>
        <w:rFonts w:asciiTheme="minorHAnsi" w:hAnsiTheme="minorHAnsi" w:hint="default"/>
        <w:b/>
        <w:i w:val="0"/>
        <w:color w:val="FFFFFF" w:themeColor="background1"/>
        <w:sz w:val="72"/>
      </w:rPr>
    </w:lvl>
    <w:lvl w:ilvl="1">
      <w:start w:val="1"/>
      <w:numFmt w:val="decimal"/>
      <w:lvlText w:val="%1.%2"/>
      <w:lvlJc w:val="left"/>
      <w:pPr>
        <w:ind w:left="0" w:hanging="851"/>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17" w15:restartNumberingAfterBreak="0">
    <w:nsid w:val="1C522B79"/>
    <w:multiLevelType w:val="hybridMultilevel"/>
    <w:tmpl w:val="B272414E"/>
    <w:lvl w:ilvl="0" w:tplc="0C090001">
      <w:start w:val="1"/>
      <w:numFmt w:val="bullet"/>
      <w:lvlText w:val=""/>
      <w:lvlJc w:val="left"/>
      <w:pPr>
        <w:ind w:left="720" w:hanging="360"/>
      </w:pPr>
      <w:rPr>
        <w:rFonts w:ascii="Symbol" w:hAnsi="Symbol" w:hint="default"/>
      </w:rPr>
    </w:lvl>
    <w:lvl w:ilvl="1" w:tplc="42EA9A64">
      <w:numFmt w:val="bullet"/>
      <w:lvlText w:val="–"/>
      <w:lvlJc w:val="left"/>
      <w:pPr>
        <w:ind w:left="1440" w:hanging="360"/>
      </w:pPr>
      <w:rPr>
        <w:rFonts w:ascii="Arial" w:eastAsiaTheme="minorHAnsi" w:hAnsi="Arial" w:cs="Arial"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033818"/>
    <w:multiLevelType w:val="multilevel"/>
    <w:tmpl w:val="9A8C6A78"/>
    <w:styleLink w:val="NumberedHeadings1"/>
    <w:lvl w:ilvl="0">
      <w:start w:val="1"/>
      <w:numFmt w:val="bullet"/>
      <w:lvlText w:val="»"/>
      <w:lvlJc w:val="left"/>
      <w:pPr>
        <w:ind w:left="227" w:hanging="227"/>
      </w:pPr>
      <w:rPr>
        <w:rFonts w:asciiTheme="minorHAnsi" w:hAnsiTheme="minorHAnsi" w:cs="Times New Roman" w:hint="default"/>
        <w:color w:val="FFFFFF" w:themeColor="background1"/>
        <w:szCs w:val="10"/>
      </w:rPr>
    </w:lvl>
    <w:lvl w:ilvl="1">
      <w:start w:val="1"/>
      <w:numFmt w:val="bullet"/>
      <w:lvlText w:val=""/>
      <w:lvlJc w:val="left"/>
      <w:pPr>
        <w:ind w:left="454" w:hanging="227"/>
      </w:pPr>
      <w:rPr>
        <w:rFonts w:ascii="Symbol" w:hAnsi="Symbol" w:cs="Times New Roman" w:hint="default"/>
        <w:color w:val="000000" w:themeColor="text1"/>
      </w:rPr>
    </w:lvl>
    <w:lvl w:ilvl="2">
      <w:start w:val="1"/>
      <w:numFmt w:val="none"/>
      <w:lvlText w:val=""/>
      <w:lvlJc w:val="left"/>
      <w:pPr>
        <w:ind w:left="681" w:hanging="227"/>
      </w:pPr>
      <w:rPr>
        <w:rFonts w:hint="default"/>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9" w15:restartNumberingAfterBreak="0">
    <w:nsid w:val="22F429C8"/>
    <w:multiLevelType w:val="hybridMultilevel"/>
    <w:tmpl w:val="3C981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7C3D9A"/>
    <w:multiLevelType w:val="hybridMultilevel"/>
    <w:tmpl w:val="7D685BF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7E00123"/>
    <w:multiLevelType w:val="hybridMultilevel"/>
    <w:tmpl w:val="A64C4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C67A8B"/>
    <w:multiLevelType w:val="hybridMultilevel"/>
    <w:tmpl w:val="05AAC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9A13D7"/>
    <w:multiLevelType w:val="hybridMultilevel"/>
    <w:tmpl w:val="8D7E9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6E1847"/>
    <w:multiLevelType w:val="hybridMultilevel"/>
    <w:tmpl w:val="476458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187D67"/>
    <w:multiLevelType w:val="hybridMultilevel"/>
    <w:tmpl w:val="6FEAD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6384013"/>
    <w:multiLevelType w:val="hybridMultilevel"/>
    <w:tmpl w:val="B67E89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8846E86"/>
    <w:multiLevelType w:val="hybridMultilevel"/>
    <w:tmpl w:val="D2EE7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59497F"/>
    <w:multiLevelType w:val="hybridMultilevel"/>
    <w:tmpl w:val="8A7E66A4"/>
    <w:styleLink w:val="ListNumbers"/>
    <w:lvl w:ilvl="0" w:tplc="1422A6C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4D67C1"/>
    <w:multiLevelType w:val="hybridMultilevel"/>
    <w:tmpl w:val="35BCE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B4A47B3"/>
    <w:multiLevelType w:val="hybridMultilevel"/>
    <w:tmpl w:val="A336E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972044"/>
    <w:multiLevelType w:val="hybridMultilevel"/>
    <w:tmpl w:val="06AEC3A0"/>
    <w:lvl w:ilvl="0" w:tplc="8A8450EE">
      <w:start w:val="1"/>
      <w:numFmt w:val="bullet"/>
      <w:lvlText w:val=""/>
      <w:lvlJc w:val="left"/>
      <w:pPr>
        <w:ind w:left="1440" w:hanging="360"/>
      </w:pPr>
      <w:rPr>
        <w:rFonts w:ascii="Symbol" w:hAnsi="Symbol"/>
      </w:rPr>
    </w:lvl>
    <w:lvl w:ilvl="1" w:tplc="534CFF3A">
      <w:start w:val="1"/>
      <w:numFmt w:val="bullet"/>
      <w:lvlText w:val=""/>
      <w:lvlJc w:val="left"/>
      <w:pPr>
        <w:ind w:left="1440" w:hanging="360"/>
      </w:pPr>
      <w:rPr>
        <w:rFonts w:ascii="Symbol" w:hAnsi="Symbol"/>
      </w:rPr>
    </w:lvl>
    <w:lvl w:ilvl="2" w:tplc="1FF8E2C0">
      <w:start w:val="1"/>
      <w:numFmt w:val="bullet"/>
      <w:lvlText w:val=""/>
      <w:lvlJc w:val="left"/>
      <w:pPr>
        <w:ind w:left="1440" w:hanging="360"/>
      </w:pPr>
      <w:rPr>
        <w:rFonts w:ascii="Symbol" w:hAnsi="Symbol"/>
      </w:rPr>
    </w:lvl>
    <w:lvl w:ilvl="3" w:tplc="8EA2802E">
      <w:start w:val="1"/>
      <w:numFmt w:val="bullet"/>
      <w:lvlText w:val=""/>
      <w:lvlJc w:val="left"/>
      <w:pPr>
        <w:ind w:left="1440" w:hanging="360"/>
      </w:pPr>
      <w:rPr>
        <w:rFonts w:ascii="Symbol" w:hAnsi="Symbol"/>
      </w:rPr>
    </w:lvl>
    <w:lvl w:ilvl="4" w:tplc="05BC388A">
      <w:start w:val="1"/>
      <w:numFmt w:val="bullet"/>
      <w:lvlText w:val=""/>
      <w:lvlJc w:val="left"/>
      <w:pPr>
        <w:ind w:left="1440" w:hanging="360"/>
      </w:pPr>
      <w:rPr>
        <w:rFonts w:ascii="Symbol" w:hAnsi="Symbol"/>
      </w:rPr>
    </w:lvl>
    <w:lvl w:ilvl="5" w:tplc="947A760A">
      <w:start w:val="1"/>
      <w:numFmt w:val="bullet"/>
      <w:lvlText w:val=""/>
      <w:lvlJc w:val="left"/>
      <w:pPr>
        <w:ind w:left="1440" w:hanging="360"/>
      </w:pPr>
      <w:rPr>
        <w:rFonts w:ascii="Symbol" w:hAnsi="Symbol"/>
      </w:rPr>
    </w:lvl>
    <w:lvl w:ilvl="6" w:tplc="D10EBF28">
      <w:start w:val="1"/>
      <w:numFmt w:val="bullet"/>
      <w:lvlText w:val=""/>
      <w:lvlJc w:val="left"/>
      <w:pPr>
        <w:ind w:left="1440" w:hanging="360"/>
      </w:pPr>
      <w:rPr>
        <w:rFonts w:ascii="Symbol" w:hAnsi="Symbol"/>
      </w:rPr>
    </w:lvl>
    <w:lvl w:ilvl="7" w:tplc="10CCA5C4">
      <w:start w:val="1"/>
      <w:numFmt w:val="bullet"/>
      <w:lvlText w:val=""/>
      <w:lvlJc w:val="left"/>
      <w:pPr>
        <w:ind w:left="1440" w:hanging="360"/>
      </w:pPr>
      <w:rPr>
        <w:rFonts w:ascii="Symbol" w:hAnsi="Symbol"/>
      </w:rPr>
    </w:lvl>
    <w:lvl w:ilvl="8" w:tplc="C73E25C6">
      <w:start w:val="1"/>
      <w:numFmt w:val="bullet"/>
      <w:lvlText w:val=""/>
      <w:lvlJc w:val="left"/>
      <w:pPr>
        <w:ind w:left="1440" w:hanging="360"/>
      </w:pPr>
      <w:rPr>
        <w:rFonts w:ascii="Symbol" w:hAnsi="Symbol"/>
      </w:rPr>
    </w:lvl>
  </w:abstractNum>
  <w:abstractNum w:abstractNumId="33" w15:restartNumberingAfterBreak="0">
    <w:nsid w:val="3CF25F91"/>
    <w:multiLevelType w:val="hybridMultilevel"/>
    <w:tmpl w:val="1F00B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845F4D"/>
    <w:multiLevelType w:val="hybridMultilevel"/>
    <w:tmpl w:val="8810481C"/>
    <w:lvl w:ilvl="0" w:tplc="C13A549A">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385124"/>
    <w:multiLevelType w:val="hybridMultilevel"/>
    <w:tmpl w:val="A6AEF53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1A767CC"/>
    <w:multiLevelType w:val="hybridMultilevel"/>
    <w:tmpl w:val="D9A67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28A6A33"/>
    <w:multiLevelType w:val="hybridMultilevel"/>
    <w:tmpl w:val="D282545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38B6F34"/>
    <w:multiLevelType w:val="hybridMultilevel"/>
    <w:tmpl w:val="C7602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7BB2156"/>
    <w:multiLevelType w:val="hybridMultilevel"/>
    <w:tmpl w:val="A80AFFD4"/>
    <w:lvl w:ilvl="0" w:tplc="FFFFFFFF">
      <w:start w:val="1"/>
      <w:numFmt w:val="lowerRoman"/>
      <w:lvlText w:val="%1."/>
      <w:lvlJc w:val="righ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7D2795F"/>
    <w:multiLevelType w:val="hybridMultilevel"/>
    <w:tmpl w:val="E9D42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ED621E"/>
    <w:multiLevelType w:val="hybridMultilevel"/>
    <w:tmpl w:val="BFB288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25F5652"/>
    <w:multiLevelType w:val="hybridMultilevel"/>
    <w:tmpl w:val="B64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7BA4094"/>
    <w:multiLevelType w:val="hybridMultilevel"/>
    <w:tmpl w:val="70FE3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4D3A3D"/>
    <w:multiLevelType w:val="hybridMultilevel"/>
    <w:tmpl w:val="9C829898"/>
    <w:lvl w:ilvl="0" w:tplc="E8B032FE">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870040D"/>
    <w:multiLevelType w:val="hybridMultilevel"/>
    <w:tmpl w:val="4D9AA6CA"/>
    <w:lvl w:ilvl="0" w:tplc="7F50906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ABB0AB2"/>
    <w:multiLevelType w:val="hybridMultilevel"/>
    <w:tmpl w:val="E64ED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AFD5E8E"/>
    <w:multiLevelType w:val="hybridMultilevel"/>
    <w:tmpl w:val="847285E0"/>
    <w:lvl w:ilvl="0" w:tplc="0BDA2FEA">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EA946EF"/>
    <w:multiLevelType w:val="hybridMultilevel"/>
    <w:tmpl w:val="E1181446"/>
    <w:lvl w:ilvl="0" w:tplc="0C09001B">
      <w:start w:val="1"/>
      <w:numFmt w:val="lowerRoman"/>
      <w:lvlText w:val="%1."/>
      <w:lvlJc w:val="righ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1E97D21"/>
    <w:multiLevelType w:val="hybridMultilevel"/>
    <w:tmpl w:val="425AF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152FB2"/>
    <w:multiLevelType w:val="hybridMultilevel"/>
    <w:tmpl w:val="78E4289A"/>
    <w:lvl w:ilvl="0" w:tplc="FFFFFFFF">
      <w:start w:val="1"/>
      <w:numFmt w:val="lowerRoman"/>
      <w:lvlText w:val="%1."/>
      <w:lvlJc w:val="right"/>
      <w:pPr>
        <w:ind w:left="720" w:hanging="360"/>
      </w:pPr>
    </w:lvl>
    <w:lvl w:ilvl="1" w:tplc="0C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56328C6"/>
    <w:multiLevelType w:val="hybridMultilevel"/>
    <w:tmpl w:val="FFFFFFFF"/>
    <w:lvl w:ilvl="0" w:tplc="0B86639C">
      <w:start w:val="1"/>
      <w:numFmt w:val="decimal"/>
      <w:lvlText w:val="%1."/>
      <w:lvlJc w:val="left"/>
      <w:pPr>
        <w:ind w:left="720" w:hanging="360"/>
      </w:pPr>
    </w:lvl>
    <w:lvl w:ilvl="1" w:tplc="C28A9A7A">
      <w:start w:val="1"/>
      <w:numFmt w:val="lowerLetter"/>
      <w:lvlText w:val="%2."/>
      <w:lvlJc w:val="left"/>
      <w:pPr>
        <w:ind w:left="1440" w:hanging="360"/>
      </w:pPr>
    </w:lvl>
    <w:lvl w:ilvl="2" w:tplc="BDEC8736">
      <w:start w:val="1"/>
      <w:numFmt w:val="lowerRoman"/>
      <w:lvlText w:val="%3."/>
      <w:lvlJc w:val="right"/>
      <w:pPr>
        <w:ind w:left="2160" w:hanging="180"/>
      </w:pPr>
    </w:lvl>
    <w:lvl w:ilvl="3" w:tplc="A0EADB32">
      <w:start w:val="1"/>
      <w:numFmt w:val="decimal"/>
      <w:lvlText w:val="%4."/>
      <w:lvlJc w:val="left"/>
      <w:pPr>
        <w:ind w:left="2880" w:hanging="360"/>
      </w:pPr>
    </w:lvl>
    <w:lvl w:ilvl="4" w:tplc="C5F6E650">
      <w:start w:val="1"/>
      <w:numFmt w:val="lowerLetter"/>
      <w:lvlText w:val="%5."/>
      <w:lvlJc w:val="left"/>
      <w:pPr>
        <w:ind w:left="3600" w:hanging="360"/>
      </w:pPr>
    </w:lvl>
    <w:lvl w:ilvl="5" w:tplc="2744E84A">
      <w:start w:val="1"/>
      <w:numFmt w:val="lowerRoman"/>
      <w:lvlText w:val="%6."/>
      <w:lvlJc w:val="right"/>
      <w:pPr>
        <w:ind w:left="4320" w:hanging="180"/>
      </w:pPr>
    </w:lvl>
    <w:lvl w:ilvl="6" w:tplc="1C02ECC0">
      <w:start w:val="1"/>
      <w:numFmt w:val="decimal"/>
      <w:lvlText w:val="%7."/>
      <w:lvlJc w:val="left"/>
      <w:pPr>
        <w:ind w:left="5040" w:hanging="360"/>
      </w:pPr>
    </w:lvl>
    <w:lvl w:ilvl="7" w:tplc="288006AC">
      <w:start w:val="1"/>
      <w:numFmt w:val="lowerLetter"/>
      <w:lvlText w:val="%8."/>
      <w:lvlJc w:val="left"/>
      <w:pPr>
        <w:ind w:left="5760" w:hanging="360"/>
      </w:pPr>
    </w:lvl>
    <w:lvl w:ilvl="8" w:tplc="79401E2C">
      <w:start w:val="1"/>
      <w:numFmt w:val="lowerRoman"/>
      <w:lvlText w:val="%9."/>
      <w:lvlJc w:val="right"/>
      <w:pPr>
        <w:ind w:left="6480" w:hanging="180"/>
      </w:pPr>
    </w:lvl>
  </w:abstractNum>
  <w:abstractNum w:abstractNumId="53" w15:restartNumberingAfterBreak="0">
    <w:nsid w:val="666A45B1"/>
    <w:multiLevelType w:val="hybridMultilevel"/>
    <w:tmpl w:val="C60E7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8251F27"/>
    <w:multiLevelType w:val="hybridMultilevel"/>
    <w:tmpl w:val="9A44B768"/>
    <w:styleLink w:val="NumberedHeadings"/>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443A06"/>
    <w:multiLevelType w:val="hybridMultilevel"/>
    <w:tmpl w:val="8AFEC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A90711D"/>
    <w:multiLevelType w:val="hybridMultilevel"/>
    <w:tmpl w:val="53823848"/>
    <w:lvl w:ilvl="0" w:tplc="4E86EF32">
      <w:start w:val="1"/>
      <w:numFmt w:val="bullet"/>
      <w:pStyle w:val="bulletSV"/>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1FF0526"/>
    <w:multiLevelType w:val="hybridMultilevel"/>
    <w:tmpl w:val="648E17BC"/>
    <w:styleLink w:val="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99B7C4B"/>
    <w:multiLevelType w:val="hybridMultilevel"/>
    <w:tmpl w:val="45A4F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D21675"/>
    <w:multiLevelType w:val="hybridMultilevel"/>
    <w:tmpl w:val="8BA00BEE"/>
    <w:lvl w:ilvl="0" w:tplc="EED2963E">
      <w:start w:val="1"/>
      <w:numFmt w:val="decimal"/>
      <w:pStyle w:val="Numbered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2B1D13"/>
    <w:multiLevelType w:val="hybridMultilevel"/>
    <w:tmpl w:val="4E56B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C94BAD"/>
    <w:multiLevelType w:val="hybridMultilevel"/>
    <w:tmpl w:val="BEF8B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702282">
    <w:abstractNumId w:val="9"/>
  </w:num>
  <w:num w:numId="2" w16cid:durableId="808205715">
    <w:abstractNumId w:val="8"/>
  </w:num>
  <w:num w:numId="3" w16cid:durableId="161507663">
    <w:abstractNumId w:val="11"/>
  </w:num>
  <w:num w:numId="4" w16cid:durableId="2135713146">
    <w:abstractNumId w:val="7"/>
  </w:num>
  <w:num w:numId="5" w16cid:durableId="585112331">
    <w:abstractNumId w:val="6"/>
  </w:num>
  <w:num w:numId="6" w16cid:durableId="1474449325">
    <w:abstractNumId w:val="5"/>
  </w:num>
  <w:num w:numId="7" w16cid:durableId="1239972641">
    <w:abstractNumId w:val="4"/>
  </w:num>
  <w:num w:numId="8" w16cid:durableId="1139152399">
    <w:abstractNumId w:val="3"/>
  </w:num>
  <w:num w:numId="9" w16cid:durableId="472528503">
    <w:abstractNumId w:val="2"/>
  </w:num>
  <w:num w:numId="10" w16cid:durableId="538858246">
    <w:abstractNumId w:val="1"/>
  </w:num>
  <w:num w:numId="11" w16cid:durableId="107890972">
    <w:abstractNumId w:val="0"/>
  </w:num>
  <w:num w:numId="12" w16cid:durableId="643974405">
    <w:abstractNumId w:val="22"/>
  </w:num>
  <w:num w:numId="13" w16cid:durableId="2139446412">
    <w:abstractNumId w:val="10"/>
  </w:num>
  <w:num w:numId="14" w16cid:durableId="2021422979">
    <w:abstractNumId w:val="57"/>
  </w:num>
  <w:num w:numId="15" w16cid:durableId="1736853695">
    <w:abstractNumId w:val="56"/>
  </w:num>
  <w:num w:numId="16" w16cid:durableId="114836554">
    <w:abstractNumId w:val="59"/>
  </w:num>
  <w:num w:numId="17" w16cid:durableId="1030032770">
    <w:abstractNumId w:val="42"/>
  </w:num>
  <w:num w:numId="18" w16cid:durableId="1047989287">
    <w:abstractNumId w:val="54"/>
  </w:num>
  <w:num w:numId="19" w16cid:durableId="389768369">
    <w:abstractNumId w:val="29"/>
  </w:num>
  <w:num w:numId="20" w16cid:durableId="297077051">
    <w:abstractNumId w:val="34"/>
  </w:num>
  <w:num w:numId="21" w16cid:durableId="357465517">
    <w:abstractNumId w:val="31"/>
  </w:num>
  <w:num w:numId="22" w16cid:durableId="1784036168">
    <w:abstractNumId w:val="37"/>
  </w:num>
  <w:num w:numId="23" w16cid:durableId="303581854">
    <w:abstractNumId w:val="35"/>
  </w:num>
  <w:num w:numId="24" w16cid:durableId="1417943568">
    <w:abstractNumId w:val="13"/>
  </w:num>
  <w:num w:numId="25" w16cid:durableId="1523400295">
    <w:abstractNumId w:val="28"/>
  </w:num>
  <w:num w:numId="26" w16cid:durableId="1168521748">
    <w:abstractNumId w:val="43"/>
  </w:num>
  <w:num w:numId="27" w16cid:durableId="1805348499">
    <w:abstractNumId w:val="20"/>
  </w:num>
  <w:num w:numId="28" w16cid:durableId="1843280405">
    <w:abstractNumId w:val="53"/>
  </w:num>
  <w:num w:numId="29" w16cid:durableId="2025785074">
    <w:abstractNumId w:val="52"/>
  </w:num>
  <w:num w:numId="30" w16cid:durableId="1951160617">
    <w:abstractNumId w:val="27"/>
  </w:num>
  <w:num w:numId="31" w16cid:durableId="716709881">
    <w:abstractNumId w:val="46"/>
  </w:num>
  <w:num w:numId="32" w16cid:durableId="1770660070">
    <w:abstractNumId w:val="16"/>
  </w:num>
  <w:num w:numId="33" w16cid:durableId="1627201679">
    <w:abstractNumId w:val="18"/>
  </w:num>
  <w:num w:numId="34" w16cid:durableId="1698123018">
    <w:abstractNumId w:val="36"/>
  </w:num>
  <w:num w:numId="35" w16cid:durableId="720983278">
    <w:abstractNumId w:val="12"/>
  </w:num>
  <w:num w:numId="36" w16cid:durableId="1241598396">
    <w:abstractNumId w:val="60"/>
  </w:num>
  <w:num w:numId="37" w16cid:durableId="505638440">
    <w:abstractNumId w:val="30"/>
  </w:num>
  <w:num w:numId="38" w16cid:durableId="345522648">
    <w:abstractNumId w:val="24"/>
  </w:num>
  <w:num w:numId="39" w16cid:durableId="1203858870">
    <w:abstractNumId w:val="21"/>
  </w:num>
  <w:num w:numId="40" w16cid:durableId="1705910095">
    <w:abstractNumId w:val="44"/>
  </w:num>
  <w:num w:numId="41" w16cid:durableId="1519806590">
    <w:abstractNumId w:val="55"/>
  </w:num>
  <w:num w:numId="42" w16cid:durableId="514269349">
    <w:abstractNumId w:val="61"/>
  </w:num>
  <w:num w:numId="43" w16cid:durableId="17629606">
    <w:abstractNumId w:val="47"/>
  </w:num>
  <w:num w:numId="44" w16cid:durableId="1553079595">
    <w:abstractNumId w:val="19"/>
  </w:num>
  <w:num w:numId="45" w16cid:durableId="1880509175">
    <w:abstractNumId w:val="17"/>
  </w:num>
  <w:num w:numId="46" w16cid:durableId="1030186139">
    <w:abstractNumId w:val="50"/>
  </w:num>
  <w:num w:numId="47" w16cid:durableId="452944291">
    <w:abstractNumId w:val="58"/>
  </w:num>
  <w:num w:numId="48" w16cid:durableId="152567932">
    <w:abstractNumId w:val="40"/>
  </w:num>
  <w:num w:numId="49" w16cid:durableId="379331387">
    <w:abstractNumId w:val="41"/>
  </w:num>
  <w:num w:numId="50" w16cid:durableId="1554465607">
    <w:abstractNumId w:val="38"/>
  </w:num>
  <w:num w:numId="51" w16cid:durableId="1843160321">
    <w:abstractNumId w:val="23"/>
  </w:num>
  <w:num w:numId="52" w16cid:durableId="1521972086">
    <w:abstractNumId w:val="33"/>
  </w:num>
  <w:num w:numId="53" w16cid:durableId="934553783">
    <w:abstractNumId w:val="25"/>
  </w:num>
  <w:num w:numId="54" w16cid:durableId="2017610761">
    <w:abstractNumId w:val="51"/>
  </w:num>
  <w:num w:numId="55" w16cid:durableId="466363075">
    <w:abstractNumId w:val="39"/>
  </w:num>
  <w:num w:numId="56" w16cid:durableId="1876191739">
    <w:abstractNumId w:val="15"/>
  </w:num>
  <w:num w:numId="57" w16cid:durableId="427893594">
    <w:abstractNumId w:val="49"/>
  </w:num>
  <w:num w:numId="58" w16cid:durableId="254673080">
    <w:abstractNumId w:val="26"/>
  </w:num>
  <w:num w:numId="59" w16cid:durableId="1327979612">
    <w:abstractNumId w:val="48"/>
  </w:num>
  <w:num w:numId="60" w16cid:durableId="1886335098">
    <w:abstractNumId w:val="45"/>
  </w:num>
  <w:num w:numId="61" w16cid:durableId="1251085742">
    <w:abstractNumId w:val="32"/>
  </w:num>
  <w:num w:numId="62" w16cid:durableId="927663981">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B23"/>
    <w:rsid w:val="000002B5"/>
    <w:rsid w:val="000004F9"/>
    <w:rsid w:val="00000700"/>
    <w:rsid w:val="00000DFD"/>
    <w:rsid w:val="00000E63"/>
    <w:rsid w:val="00001287"/>
    <w:rsid w:val="0000147C"/>
    <w:rsid w:val="00001619"/>
    <w:rsid w:val="000016CD"/>
    <w:rsid w:val="00001A6B"/>
    <w:rsid w:val="00001D32"/>
    <w:rsid w:val="00001DBE"/>
    <w:rsid w:val="00002037"/>
    <w:rsid w:val="000028C5"/>
    <w:rsid w:val="00002986"/>
    <w:rsid w:val="00002C69"/>
    <w:rsid w:val="00002E34"/>
    <w:rsid w:val="0000317C"/>
    <w:rsid w:val="000031FD"/>
    <w:rsid w:val="000033ED"/>
    <w:rsid w:val="000036BD"/>
    <w:rsid w:val="000040DD"/>
    <w:rsid w:val="00004296"/>
    <w:rsid w:val="000043CE"/>
    <w:rsid w:val="00004443"/>
    <w:rsid w:val="000044B9"/>
    <w:rsid w:val="0000468C"/>
    <w:rsid w:val="00004A2F"/>
    <w:rsid w:val="00004B28"/>
    <w:rsid w:val="00005584"/>
    <w:rsid w:val="00005DE2"/>
    <w:rsid w:val="000063CA"/>
    <w:rsid w:val="00006537"/>
    <w:rsid w:val="00006A82"/>
    <w:rsid w:val="00006FB1"/>
    <w:rsid w:val="00007061"/>
    <w:rsid w:val="000075D9"/>
    <w:rsid w:val="0000762F"/>
    <w:rsid w:val="00007E04"/>
    <w:rsid w:val="00007E12"/>
    <w:rsid w:val="00010139"/>
    <w:rsid w:val="0001044D"/>
    <w:rsid w:val="00010A14"/>
    <w:rsid w:val="00010B39"/>
    <w:rsid w:val="00010BD2"/>
    <w:rsid w:val="00010D73"/>
    <w:rsid w:val="00011057"/>
    <w:rsid w:val="000110D0"/>
    <w:rsid w:val="00011A3E"/>
    <w:rsid w:val="00011BA1"/>
    <w:rsid w:val="00011DB4"/>
    <w:rsid w:val="00011EC3"/>
    <w:rsid w:val="00012730"/>
    <w:rsid w:val="00012B06"/>
    <w:rsid w:val="00012B1C"/>
    <w:rsid w:val="00013007"/>
    <w:rsid w:val="0001339B"/>
    <w:rsid w:val="000133BB"/>
    <w:rsid w:val="0001375C"/>
    <w:rsid w:val="0001386B"/>
    <w:rsid w:val="0001419C"/>
    <w:rsid w:val="00014716"/>
    <w:rsid w:val="00014B6F"/>
    <w:rsid w:val="0001591C"/>
    <w:rsid w:val="000159B1"/>
    <w:rsid w:val="000161EE"/>
    <w:rsid w:val="000167CF"/>
    <w:rsid w:val="0001715E"/>
    <w:rsid w:val="00017268"/>
    <w:rsid w:val="000172F5"/>
    <w:rsid w:val="000174A2"/>
    <w:rsid w:val="000174F2"/>
    <w:rsid w:val="00017591"/>
    <w:rsid w:val="00017956"/>
    <w:rsid w:val="00020022"/>
    <w:rsid w:val="0002002D"/>
    <w:rsid w:val="00020162"/>
    <w:rsid w:val="000202BB"/>
    <w:rsid w:val="00020301"/>
    <w:rsid w:val="000203A4"/>
    <w:rsid w:val="00020741"/>
    <w:rsid w:val="00020758"/>
    <w:rsid w:val="000207B3"/>
    <w:rsid w:val="000207EF"/>
    <w:rsid w:val="00020B7A"/>
    <w:rsid w:val="00020B90"/>
    <w:rsid w:val="00020C39"/>
    <w:rsid w:val="00020C51"/>
    <w:rsid w:val="00020F24"/>
    <w:rsid w:val="00021022"/>
    <w:rsid w:val="00021140"/>
    <w:rsid w:val="00021AE3"/>
    <w:rsid w:val="00021B1B"/>
    <w:rsid w:val="00021BD5"/>
    <w:rsid w:val="00021DE5"/>
    <w:rsid w:val="00021E5E"/>
    <w:rsid w:val="0002252B"/>
    <w:rsid w:val="000226EC"/>
    <w:rsid w:val="0002280A"/>
    <w:rsid w:val="000228D7"/>
    <w:rsid w:val="00022D27"/>
    <w:rsid w:val="0002340B"/>
    <w:rsid w:val="00023B2E"/>
    <w:rsid w:val="00023D4D"/>
    <w:rsid w:val="0002430F"/>
    <w:rsid w:val="000246FA"/>
    <w:rsid w:val="000247EF"/>
    <w:rsid w:val="00024A6A"/>
    <w:rsid w:val="00024B7A"/>
    <w:rsid w:val="0002519B"/>
    <w:rsid w:val="00025341"/>
    <w:rsid w:val="000254B7"/>
    <w:rsid w:val="0002571E"/>
    <w:rsid w:val="00025DE3"/>
    <w:rsid w:val="00025FBA"/>
    <w:rsid w:val="00025FFB"/>
    <w:rsid w:val="00026372"/>
    <w:rsid w:val="00026C1D"/>
    <w:rsid w:val="00026DC6"/>
    <w:rsid w:val="00026F80"/>
    <w:rsid w:val="00027529"/>
    <w:rsid w:val="000276A8"/>
    <w:rsid w:val="000277FB"/>
    <w:rsid w:val="00027850"/>
    <w:rsid w:val="00027D11"/>
    <w:rsid w:val="000301D4"/>
    <w:rsid w:val="000302BF"/>
    <w:rsid w:val="0003067A"/>
    <w:rsid w:val="0003071C"/>
    <w:rsid w:val="000307F1"/>
    <w:rsid w:val="00030AC5"/>
    <w:rsid w:val="00030E86"/>
    <w:rsid w:val="000312C5"/>
    <w:rsid w:val="0003149B"/>
    <w:rsid w:val="00031683"/>
    <w:rsid w:val="000316AD"/>
    <w:rsid w:val="0003171D"/>
    <w:rsid w:val="0003176E"/>
    <w:rsid w:val="00031A78"/>
    <w:rsid w:val="00031B3D"/>
    <w:rsid w:val="00031BF5"/>
    <w:rsid w:val="00031D1E"/>
    <w:rsid w:val="00031DC8"/>
    <w:rsid w:val="00031E6B"/>
    <w:rsid w:val="00031EF6"/>
    <w:rsid w:val="00032077"/>
    <w:rsid w:val="000320B2"/>
    <w:rsid w:val="000321A2"/>
    <w:rsid w:val="000329CA"/>
    <w:rsid w:val="00032F4C"/>
    <w:rsid w:val="000331DF"/>
    <w:rsid w:val="000333B8"/>
    <w:rsid w:val="000335DA"/>
    <w:rsid w:val="00033676"/>
    <w:rsid w:val="00033AD4"/>
    <w:rsid w:val="00033D9C"/>
    <w:rsid w:val="00033EA0"/>
    <w:rsid w:val="000343E9"/>
    <w:rsid w:val="00034446"/>
    <w:rsid w:val="00034BE1"/>
    <w:rsid w:val="00034D7E"/>
    <w:rsid w:val="00035035"/>
    <w:rsid w:val="00035292"/>
    <w:rsid w:val="00035307"/>
    <w:rsid w:val="00035339"/>
    <w:rsid w:val="000358E8"/>
    <w:rsid w:val="00035976"/>
    <w:rsid w:val="00035B7B"/>
    <w:rsid w:val="00035E10"/>
    <w:rsid w:val="00036468"/>
    <w:rsid w:val="000364FE"/>
    <w:rsid w:val="000369FD"/>
    <w:rsid w:val="00036FAF"/>
    <w:rsid w:val="00037153"/>
    <w:rsid w:val="000371B4"/>
    <w:rsid w:val="000372B6"/>
    <w:rsid w:val="00037423"/>
    <w:rsid w:val="0003745F"/>
    <w:rsid w:val="00037773"/>
    <w:rsid w:val="0003782C"/>
    <w:rsid w:val="00037B36"/>
    <w:rsid w:val="00037FF3"/>
    <w:rsid w:val="00040002"/>
    <w:rsid w:val="000406F3"/>
    <w:rsid w:val="00040777"/>
    <w:rsid w:val="00040F7B"/>
    <w:rsid w:val="000412EC"/>
    <w:rsid w:val="00041523"/>
    <w:rsid w:val="00041690"/>
    <w:rsid w:val="0004173C"/>
    <w:rsid w:val="00041A62"/>
    <w:rsid w:val="00041D38"/>
    <w:rsid w:val="000422B4"/>
    <w:rsid w:val="000424B4"/>
    <w:rsid w:val="0004278C"/>
    <w:rsid w:val="00042AA6"/>
    <w:rsid w:val="00042D0B"/>
    <w:rsid w:val="00042D1D"/>
    <w:rsid w:val="00042DC0"/>
    <w:rsid w:val="00042E27"/>
    <w:rsid w:val="00043079"/>
    <w:rsid w:val="0004343E"/>
    <w:rsid w:val="000435A4"/>
    <w:rsid w:val="00043C43"/>
    <w:rsid w:val="00043C7C"/>
    <w:rsid w:val="00043E2A"/>
    <w:rsid w:val="000441F0"/>
    <w:rsid w:val="00044532"/>
    <w:rsid w:val="000446D2"/>
    <w:rsid w:val="00044702"/>
    <w:rsid w:val="00044814"/>
    <w:rsid w:val="00044A1D"/>
    <w:rsid w:val="00044D89"/>
    <w:rsid w:val="00045074"/>
    <w:rsid w:val="000451AB"/>
    <w:rsid w:val="000451C0"/>
    <w:rsid w:val="0004531F"/>
    <w:rsid w:val="000453C9"/>
    <w:rsid w:val="00045568"/>
    <w:rsid w:val="00045614"/>
    <w:rsid w:val="000456C4"/>
    <w:rsid w:val="0004579F"/>
    <w:rsid w:val="00045921"/>
    <w:rsid w:val="00045E61"/>
    <w:rsid w:val="00045E83"/>
    <w:rsid w:val="00045FC6"/>
    <w:rsid w:val="00046580"/>
    <w:rsid w:val="000467D2"/>
    <w:rsid w:val="00046ABA"/>
    <w:rsid w:val="00046B37"/>
    <w:rsid w:val="00046E32"/>
    <w:rsid w:val="00046F37"/>
    <w:rsid w:val="0004734E"/>
    <w:rsid w:val="00047816"/>
    <w:rsid w:val="000479A9"/>
    <w:rsid w:val="0004B464"/>
    <w:rsid w:val="000500C2"/>
    <w:rsid w:val="00050E0D"/>
    <w:rsid w:val="00051687"/>
    <w:rsid w:val="00051756"/>
    <w:rsid w:val="00051A48"/>
    <w:rsid w:val="00051A89"/>
    <w:rsid w:val="00051B76"/>
    <w:rsid w:val="00051D14"/>
    <w:rsid w:val="00051DE9"/>
    <w:rsid w:val="00052139"/>
    <w:rsid w:val="0005218D"/>
    <w:rsid w:val="00052927"/>
    <w:rsid w:val="00052DD0"/>
    <w:rsid w:val="00052DD7"/>
    <w:rsid w:val="00052FFA"/>
    <w:rsid w:val="00053090"/>
    <w:rsid w:val="00053091"/>
    <w:rsid w:val="00053254"/>
    <w:rsid w:val="00053611"/>
    <w:rsid w:val="000538B1"/>
    <w:rsid w:val="0005433B"/>
    <w:rsid w:val="000545CD"/>
    <w:rsid w:val="000545DC"/>
    <w:rsid w:val="00054834"/>
    <w:rsid w:val="0005496F"/>
    <w:rsid w:val="00054A1B"/>
    <w:rsid w:val="000553C3"/>
    <w:rsid w:val="000556CC"/>
    <w:rsid w:val="00055E2C"/>
    <w:rsid w:val="00055FFA"/>
    <w:rsid w:val="0005678C"/>
    <w:rsid w:val="00056880"/>
    <w:rsid w:val="00056C30"/>
    <w:rsid w:val="00056C4A"/>
    <w:rsid w:val="00056F6D"/>
    <w:rsid w:val="00056FD2"/>
    <w:rsid w:val="00056FF0"/>
    <w:rsid w:val="00057385"/>
    <w:rsid w:val="00057452"/>
    <w:rsid w:val="00057857"/>
    <w:rsid w:val="00057912"/>
    <w:rsid w:val="00057DDC"/>
    <w:rsid w:val="00057FD2"/>
    <w:rsid w:val="00060258"/>
    <w:rsid w:val="0006036E"/>
    <w:rsid w:val="00060658"/>
    <w:rsid w:val="00060760"/>
    <w:rsid w:val="000607E3"/>
    <w:rsid w:val="00060912"/>
    <w:rsid w:val="00060C8C"/>
    <w:rsid w:val="00060EE2"/>
    <w:rsid w:val="0006131B"/>
    <w:rsid w:val="0006148F"/>
    <w:rsid w:val="0006150D"/>
    <w:rsid w:val="00061BA0"/>
    <w:rsid w:val="00061DC1"/>
    <w:rsid w:val="00061F53"/>
    <w:rsid w:val="00062D4B"/>
    <w:rsid w:val="00062F53"/>
    <w:rsid w:val="00062F87"/>
    <w:rsid w:val="00063174"/>
    <w:rsid w:val="00063470"/>
    <w:rsid w:val="0006370C"/>
    <w:rsid w:val="000639CF"/>
    <w:rsid w:val="00063CFE"/>
    <w:rsid w:val="00064167"/>
    <w:rsid w:val="00064538"/>
    <w:rsid w:val="00065287"/>
    <w:rsid w:val="000656A6"/>
    <w:rsid w:val="000658DF"/>
    <w:rsid w:val="00065AC1"/>
    <w:rsid w:val="00065FF0"/>
    <w:rsid w:val="00066038"/>
    <w:rsid w:val="0006616A"/>
    <w:rsid w:val="000664D1"/>
    <w:rsid w:val="00066983"/>
    <w:rsid w:val="0006698E"/>
    <w:rsid w:val="000669BE"/>
    <w:rsid w:val="00066BE5"/>
    <w:rsid w:val="00066E60"/>
    <w:rsid w:val="00067383"/>
    <w:rsid w:val="000676B0"/>
    <w:rsid w:val="000677C1"/>
    <w:rsid w:val="00067838"/>
    <w:rsid w:val="00067A1C"/>
    <w:rsid w:val="00067B06"/>
    <w:rsid w:val="00067E33"/>
    <w:rsid w:val="00067E8A"/>
    <w:rsid w:val="0007027C"/>
    <w:rsid w:val="000705FF"/>
    <w:rsid w:val="00070958"/>
    <w:rsid w:val="000709C5"/>
    <w:rsid w:val="00070C66"/>
    <w:rsid w:val="00070D3B"/>
    <w:rsid w:val="000711AB"/>
    <w:rsid w:val="00071454"/>
    <w:rsid w:val="0007184F"/>
    <w:rsid w:val="00071B31"/>
    <w:rsid w:val="00071BA7"/>
    <w:rsid w:val="00071C04"/>
    <w:rsid w:val="00071C0B"/>
    <w:rsid w:val="00071EE6"/>
    <w:rsid w:val="000721B1"/>
    <w:rsid w:val="000724A1"/>
    <w:rsid w:val="000729E4"/>
    <w:rsid w:val="00072BED"/>
    <w:rsid w:val="00072E7B"/>
    <w:rsid w:val="00073526"/>
    <w:rsid w:val="00073B73"/>
    <w:rsid w:val="00073E26"/>
    <w:rsid w:val="00073E64"/>
    <w:rsid w:val="00073EC4"/>
    <w:rsid w:val="00073F66"/>
    <w:rsid w:val="00074302"/>
    <w:rsid w:val="0007444C"/>
    <w:rsid w:val="000744D6"/>
    <w:rsid w:val="00074760"/>
    <w:rsid w:val="00074FA2"/>
    <w:rsid w:val="0007517F"/>
    <w:rsid w:val="00075296"/>
    <w:rsid w:val="000756F9"/>
    <w:rsid w:val="00075753"/>
    <w:rsid w:val="00075988"/>
    <w:rsid w:val="00075C14"/>
    <w:rsid w:val="000760DB"/>
    <w:rsid w:val="00076220"/>
    <w:rsid w:val="00076442"/>
    <w:rsid w:val="00076494"/>
    <w:rsid w:val="000764DE"/>
    <w:rsid w:val="0007660E"/>
    <w:rsid w:val="00076C8E"/>
    <w:rsid w:val="00076D7F"/>
    <w:rsid w:val="00076E48"/>
    <w:rsid w:val="00077284"/>
    <w:rsid w:val="00077775"/>
    <w:rsid w:val="000777E4"/>
    <w:rsid w:val="00077974"/>
    <w:rsid w:val="00077A82"/>
    <w:rsid w:val="00077D4B"/>
    <w:rsid w:val="00077D96"/>
    <w:rsid w:val="00077F80"/>
    <w:rsid w:val="00077FEE"/>
    <w:rsid w:val="00080012"/>
    <w:rsid w:val="0008022D"/>
    <w:rsid w:val="00080321"/>
    <w:rsid w:val="000804CB"/>
    <w:rsid w:val="0008068C"/>
    <w:rsid w:val="00080828"/>
    <w:rsid w:val="00080B2C"/>
    <w:rsid w:val="00080D62"/>
    <w:rsid w:val="00080DA1"/>
    <w:rsid w:val="00080F85"/>
    <w:rsid w:val="00080FD9"/>
    <w:rsid w:val="00081534"/>
    <w:rsid w:val="00081579"/>
    <w:rsid w:val="00081AC1"/>
    <w:rsid w:val="00081EAF"/>
    <w:rsid w:val="00081F46"/>
    <w:rsid w:val="00081F48"/>
    <w:rsid w:val="0008293A"/>
    <w:rsid w:val="000832BF"/>
    <w:rsid w:val="00083420"/>
    <w:rsid w:val="000834EA"/>
    <w:rsid w:val="000837B0"/>
    <w:rsid w:val="0008398E"/>
    <w:rsid w:val="00083B08"/>
    <w:rsid w:val="00083BD5"/>
    <w:rsid w:val="00083BEC"/>
    <w:rsid w:val="00083C7F"/>
    <w:rsid w:val="00083D3D"/>
    <w:rsid w:val="0008410F"/>
    <w:rsid w:val="00084234"/>
    <w:rsid w:val="0008436D"/>
    <w:rsid w:val="0008440F"/>
    <w:rsid w:val="00084AE6"/>
    <w:rsid w:val="00084C8A"/>
    <w:rsid w:val="00084DAC"/>
    <w:rsid w:val="00084F83"/>
    <w:rsid w:val="000852C7"/>
    <w:rsid w:val="00085645"/>
    <w:rsid w:val="00085D89"/>
    <w:rsid w:val="00086213"/>
    <w:rsid w:val="00086555"/>
    <w:rsid w:val="00086596"/>
    <w:rsid w:val="000865B1"/>
    <w:rsid w:val="00086D30"/>
    <w:rsid w:val="0008700F"/>
    <w:rsid w:val="000870A7"/>
    <w:rsid w:val="0008726F"/>
    <w:rsid w:val="000873C2"/>
    <w:rsid w:val="0008749A"/>
    <w:rsid w:val="000874DE"/>
    <w:rsid w:val="00087539"/>
    <w:rsid w:val="00087541"/>
    <w:rsid w:val="0008791C"/>
    <w:rsid w:val="00087D90"/>
    <w:rsid w:val="00087E23"/>
    <w:rsid w:val="00090040"/>
    <w:rsid w:val="000901DA"/>
    <w:rsid w:val="00090678"/>
    <w:rsid w:val="000908A0"/>
    <w:rsid w:val="00090DD1"/>
    <w:rsid w:val="00091009"/>
    <w:rsid w:val="0009134A"/>
    <w:rsid w:val="00091429"/>
    <w:rsid w:val="00091644"/>
    <w:rsid w:val="00091BAC"/>
    <w:rsid w:val="00091C32"/>
    <w:rsid w:val="00091DF2"/>
    <w:rsid w:val="00091FB9"/>
    <w:rsid w:val="00092499"/>
    <w:rsid w:val="00092536"/>
    <w:rsid w:val="000929EB"/>
    <w:rsid w:val="0009310E"/>
    <w:rsid w:val="0009349B"/>
    <w:rsid w:val="000935A9"/>
    <w:rsid w:val="000937A5"/>
    <w:rsid w:val="00093800"/>
    <w:rsid w:val="00093A33"/>
    <w:rsid w:val="00093AB9"/>
    <w:rsid w:val="00093DCE"/>
    <w:rsid w:val="00093F02"/>
    <w:rsid w:val="00094284"/>
    <w:rsid w:val="000942D1"/>
    <w:rsid w:val="000944B3"/>
    <w:rsid w:val="0009454F"/>
    <w:rsid w:val="000945FA"/>
    <w:rsid w:val="000949B7"/>
    <w:rsid w:val="00094A11"/>
    <w:rsid w:val="00094B3F"/>
    <w:rsid w:val="00094FF3"/>
    <w:rsid w:val="0009541D"/>
    <w:rsid w:val="00095491"/>
    <w:rsid w:val="00095545"/>
    <w:rsid w:val="00095600"/>
    <w:rsid w:val="00095608"/>
    <w:rsid w:val="0009566B"/>
    <w:rsid w:val="000956C1"/>
    <w:rsid w:val="0009570D"/>
    <w:rsid w:val="00095761"/>
    <w:rsid w:val="000957C0"/>
    <w:rsid w:val="0009588D"/>
    <w:rsid w:val="00095955"/>
    <w:rsid w:val="00095A59"/>
    <w:rsid w:val="00095AF3"/>
    <w:rsid w:val="00095C93"/>
    <w:rsid w:val="00097054"/>
    <w:rsid w:val="00097086"/>
    <w:rsid w:val="00097099"/>
    <w:rsid w:val="00097201"/>
    <w:rsid w:val="00097899"/>
    <w:rsid w:val="000978D2"/>
    <w:rsid w:val="00097EF4"/>
    <w:rsid w:val="000A0118"/>
    <w:rsid w:val="000A0139"/>
    <w:rsid w:val="000A0140"/>
    <w:rsid w:val="000A035C"/>
    <w:rsid w:val="000A075A"/>
    <w:rsid w:val="000A08C9"/>
    <w:rsid w:val="000A0AD0"/>
    <w:rsid w:val="000A0B46"/>
    <w:rsid w:val="000A0D07"/>
    <w:rsid w:val="000A0F78"/>
    <w:rsid w:val="000A1230"/>
    <w:rsid w:val="000A1845"/>
    <w:rsid w:val="000A1BA5"/>
    <w:rsid w:val="000A1BFB"/>
    <w:rsid w:val="000A1D7F"/>
    <w:rsid w:val="000A1DA6"/>
    <w:rsid w:val="000A1E4A"/>
    <w:rsid w:val="000A21CB"/>
    <w:rsid w:val="000A21F9"/>
    <w:rsid w:val="000A22F7"/>
    <w:rsid w:val="000A2504"/>
    <w:rsid w:val="000A27BB"/>
    <w:rsid w:val="000A2F16"/>
    <w:rsid w:val="000A2F1B"/>
    <w:rsid w:val="000A2F30"/>
    <w:rsid w:val="000A3223"/>
    <w:rsid w:val="000A339A"/>
    <w:rsid w:val="000A34AE"/>
    <w:rsid w:val="000A35AD"/>
    <w:rsid w:val="000A3873"/>
    <w:rsid w:val="000A398C"/>
    <w:rsid w:val="000A3E6F"/>
    <w:rsid w:val="000A3F62"/>
    <w:rsid w:val="000A4024"/>
    <w:rsid w:val="000A40A7"/>
    <w:rsid w:val="000A4350"/>
    <w:rsid w:val="000A46E9"/>
    <w:rsid w:val="000A4768"/>
    <w:rsid w:val="000A4958"/>
    <w:rsid w:val="000A4DB5"/>
    <w:rsid w:val="000A4FDF"/>
    <w:rsid w:val="000A502B"/>
    <w:rsid w:val="000A52F7"/>
    <w:rsid w:val="000A53F3"/>
    <w:rsid w:val="000A5A31"/>
    <w:rsid w:val="000A5ABD"/>
    <w:rsid w:val="000A5C87"/>
    <w:rsid w:val="000A63F4"/>
    <w:rsid w:val="000A676E"/>
    <w:rsid w:val="000A6C5F"/>
    <w:rsid w:val="000A6DB5"/>
    <w:rsid w:val="000A6EBC"/>
    <w:rsid w:val="000A6F63"/>
    <w:rsid w:val="000A7062"/>
    <w:rsid w:val="000A70D5"/>
    <w:rsid w:val="000A7716"/>
    <w:rsid w:val="000A789E"/>
    <w:rsid w:val="000A7DD5"/>
    <w:rsid w:val="000A7FA3"/>
    <w:rsid w:val="000B00E5"/>
    <w:rsid w:val="000B013C"/>
    <w:rsid w:val="000B029E"/>
    <w:rsid w:val="000B0327"/>
    <w:rsid w:val="000B03DE"/>
    <w:rsid w:val="000B098E"/>
    <w:rsid w:val="000B0A74"/>
    <w:rsid w:val="000B0E7D"/>
    <w:rsid w:val="000B0E98"/>
    <w:rsid w:val="000B1047"/>
    <w:rsid w:val="000B13D9"/>
    <w:rsid w:val="000B1E63"/>
    <w:rsid w:val="000B1EF3"/>
    <w:rsid w:val="000B2008"/>
    <w:rsid w:val="000B20FE"/>
    <w:rsid w:val="000B21AB"/>
    <w:rsid w:val="000B24C8"/>
    <w:rsid w:val="000B26AD"/>
    <w:rsid w:val="000B2A27"/>
    <w:rsid w:val="000B3163"/>
    <w:rsid w:val="000B33B2"/>
    <w:rsid w:val="000B3594"/>
    <w:rsid w:val="000B3659"/>
    <w:rsid w:val="000B3DA2"/>
    <w:rsid w:val="000B3FD6"/>
    <w:rsid w:val="000B418A"/>
    <w:rsid w:val="000B4353"/>
    <w:rsid w:val="000B446B"/>
    <w:rsid w:val="000B463C"/>
    <w:rsid w:val="000B4799"/>
    <w:rsid w:val="000B48D7"/>
    <w:rsid w:val="000B4955"/>
    <w:rsid w:val="000B4E12"/>
    <w:rsid w:val="000B4ED9"/>
    <w:rsid w:val="000B576E"/>
    <w:rsid w:val="000B59BE"/>
    <w:rsid w:val="000B5ADE"/>
    <w:rsid w:val="000B5F07"/>
    <w:rsid w:val="000B5FD7"/>
    <w:rsid w:val="000B5FF3"/>
    <w:rsid w:val="000B62EA"/>
    <w:rsid w:val="000B65B8"/>
    <w:rsid w:val="000B6914"/>
    <w:rsid w:val="000B6D77"/>
    <w:rsid w:val="000B6EE1"/>
    <w:rsid w:val="000B71AE"/>
    <w:rsid w:val="000B7A1C"/>
    <w:rsid w:val="000B7D85"/>
    <w:rsid w:val="000C07FB"/>
    <w:rsid w:val="000C103F"/>
    <w:rsid w:val="000C1709"/>
    <w:rsid w:val="000C1753"/>
    <w:rsid w:val="000C1858"/>
    <w:rsid w:val="000C1F7E"/>
    <w:rsid w:val="000C20E8"/>
    <w:rsid w:val="000C226E"/>
    <w:rsid w:val="000C26DC"/>
    <w:rsid w:val="000C2721"/>
    <w:rsid w:val="000C2A8F"/>
    <w:rsid w:val="000C2BBB"/>
    <w:rsid w:val="000C2BF8"/>
    <w:rsid w:val="000C325F"/>
    <w:rsid w:val="000C32C1"/>
    <w:rsid w:val="000C34A4"/>
    <w:rsid w:val="000C3520"/>
    <w:rsid w:val="000C3635"/>
    <w:rsid w:val="000C38BF"/>
    <w:rsid w:val="000C3C2D"/>
    <w:rsid w:val="000C3CCD"/>
    <w:rsid w:val="000C3D80"/>
    <w:rsid w:val="000C3ED2"/>
    <w:rsid w:val="000C438F"/>
    <w:rsid w:val="000C440E"/>
    <w:rsid w:val="000C4527"/>
    <w:rsid w:val="000C481F"/>
    <w:rsid w:val="000C4B52"/>
    <w:rsid w:val="000C4B59"/>
    <w:rsid w:val="000C4BA5"/>
    <w:rsid w:val="000C534A"/>
    <w:rsid w:val="000C5609"/>
    <w:rsid w:val="000C5777"/>
    <w:rsid w:val="000C5BD5"/>
    <w:rsid w:val="000C66BC"/>
    <w:rsid w:val="000C6851"/>
    <w:rsid w:val="000C6A78"/>
    <w:rsid w:val="000C6BB6"/>
    <w:rsid w:val="000C6BEF"/>
    <w:rsid w:val="000C7057"/>
    <w:rsid w:val="000C72FC"/>
    <w:rsid w:val="000C74B3"/>
    <w:rsid w:val="000C7661"/>
    <w:rsid w:val="000C791A"/>
    <w:rsid w:val="000C7980"/>
    <w:rsid w:val="000C7F04"/>
    <w:rsid w:val="000D041C"/>
    <w:rsid w:val="000D04BA"/>
    <w:rsid w:val="000D07A0"/>
    <w:rsid w:val="000D07A8"/>
    <w:rsid w:val="000D09ED"/>
    <w:rsid w:val="000D0C7D"/>
    <w:rsid w:val="000D0D26"/>
    <w:rsid w:val="000D0D66"/>
    <w:rsid w:val="000D0E73"/>
    <w:rsid w:val="000D11E6"/>
    <w:rsid w:val="000D179A"/>
    <w:rsid w:val="000D1B33"/>
    <w:rsid w:val="000D1BBC"/>
    <w:rsid w:val="000D1CA5"/>
    <w:rsid w:val="000D1F9E"/>
    <w:rsid w:val="000D207C"/>
    <w:rsid w:val="000D2113"/>
    <w:rsid w:val="000D237C"/>
    <w:rsid w:val="000D2455"/>
    <w:rsid w:val="000D2987"/>
    <w:rsid w:val="000D2E44"/>
    <w:rsid w:val="000D2F81"/>
    <w:rsid w:val="000D301B"/>
    <w:rsid w:val="000D3134"/>
    <w:rsid w:val="000D358B"/>
    <w:rsid w:val="000D361D"/>
    <w:rsid w:val="000D36AE"/>
    <w:rsid w:val="000D42F2"/>
    <w:rsid w:val="000D45B8"/>
    <w:rsid w:val="000D48C2"/>
    <w:rsid w:val="000D4A06"/>
    <w:rsid w:val="000D4A35"/>
    <w:rsid w:val="000D52B7"/>
    <w:rsid w:val="000D545B"/>
    <w:rsid w:val="000D57B5"/>
    <w:rsid w:val="000D5D42"/>
    <w:rsid w:val="000D6123"/>
    <w:rsid w:val="000D65A9"/>
    <w:rsid w:val="000D6DCC"/>
    <w:rsid w:val="000D6DEE"/>
    <w:rsid w:val="000D6E6C"/>
    <w:rsid w:val="000D6E96"/>
    <w:rsid w:val="000D700D"/>
    <w:rsid w:val="000D7B2C"/>
    <w:rsid w:val="000D7B31"/>
    <w:rsid w:val="000E0254"/>
    <w:rsid w:val="000E0429"/>
    <w:rsid w:val="000E06C5"/>
    <w:rsid w:val="000E0769"/>
    <w:rsid w:val="000E0918"/>
    <w:rsid w:val="000E0F8C"/>
    <w:rsid w:val="000E139A"/>
    <w:rsid w:val="000E18B4"/>
    <w:rsid w:val="000E193B"/>
    <w:rsid w:val="000E1FEF"/>
    <w:rsid w:val="000E2057"/>
    <w:rsid w:val="000E222B"/>
    <w:rsid w:val="000E243E"/>
    <w:rsid w:val="000E290B"/>
    <w:rsid w:val="000E290D"/>
    <w:rsid w:val="000E2AA9"/>
    <w:rsid w:val="000E2DA8"/>
    <w:rsid w:val="000E2EBB"/>
    <w:rsid w:val="000E2F17"/>
    <w:rsid w:val="000E2FC3"/>
    <w:rsid w:val="000E46C0"/>
    <w:rsid w:val="000E4ABE"/>
    <w:rsid w:val="000E4B0A"/>
    <w:rsid w:val="000E4ED1"/>
    <w:rsid w:val="000E51C9"/>
    <w:rsid w:val="000E53D6"/>
    <w:rsid w:val="000E546E"/>
    <w:rsid w:val="000E553D"/>
    <w:rsid w:val="000E5755"/>
    <w:rsid w:val="000E57B1"/>
    <w:rsid w:val="000E5A84"/>
    <w:rsid w:val="000E5F09"/>
    <w:rsid w:val="000E600B"/>
    <w:rsid w:val="000E6014"/>
    <w:rsid w:val="000E60F9"/>
    <w:rsid w:val="000E6214"/>
    <w:rsid w:val="000E63A0"/>
    <w:rsid w:val="000E65C3"/>
    <w:rsid w:val="000E6DFD"/>
    <w:rsid w:val="000E6E02"/>
    <w:rsid w:val="000E6F91"/>
    <w:rsid w:val="000E6F9F"/>
    <w:rsid w:val="000E7221"/>
    <w:rsid w:val="000E7244"/>
    <w:rsid w:val="000E7614"/>
    <w:rsid w:val="000F002E"/>
    <w:rsid w:val="000F0217"/>
    <w:rsid w:val="000F0492"/>
    <w:rsid w:val="000F049D"/>
    <w:rsid w:val="000F07D5"/>
    <w:rsid w:val="000F0BD0"/>
    <w:rsid w:val="000F0F8F"/>
    <w:rsid w:val="000F102F"/>
    <w:rsid w:val="000F12A1"/>
    <w:rsid w:val="000F136F"/>
    <w:rsid w:val="000F142B"/>
    <w:rsid w:val="000F14B6"/>
    <w:rsid w:val="000F158B"/>
    <w:rsid w:val="000F1BA6"/>
    <w:rsid w:val="000F1DFC"/>
    <w:rsid w:val="000F1FCF"/>
    <w:rsid w:val="000F2006"/>
    <w:rsid w:val="000F204F"/>
    <w:rsid w:val="000F2401"/>
    <w:rsid w:val="000F24D3"/>
    <w:rsid w:val="000F25B0"/>
    <w:rsid w:val="000F2999"/>
    <w:rsid w:val="000F3392"/>
    <w:rsid w:val="000F3991"/>
    <w:rsid w:val="000F39A3"/>
    <w:rsid w:val="000F452E"/>
    <w:rsid w:val="000F4558"/>
    <w:rsid w:val="000F4894"/>
    <w:rsid w:val="000F4B57"/>
    <w:rsid w:val="000F4BD7"/>
    <w:rsid w:val="000F4E79"/>
    <w:rsid w:val="000F5030"/>
    <w:rsid w:val="000F569E"/>
    <w:rsid w:val="000F5783"/>
    <w:rsid w:val="000F5849"/>
    <w:rsid w:val="000F5859"/>
    <w:rsid w:val="000F5AF2"/>
    <w:rsid w:val="000F5BBF"/>
    <w:rsid w:val="000F6278"/>
    <w:rsid w:val="000F646B"/>
    <w:rsid w:val="000F65C2"/>
    <w:rsid w:val="000F6CDB"/>
    <w:rsid w:val="000F6F91"/>
    <w:rsid w:val="000F7354"/>
    <w:rsid w:val="000F74A3"/>
    <w:rsid w:val="000F752D"/>
    <w:rsid w:val="000F78D8"/>
    <w:rsid w:val="000F7974"/>
    <w:rsid w:val="000F7DDA"/>
    <w:rsid w:val="000F7EF2"/>
    <w:rsid w:val="00100274"/>
    <w:rsid w:val="001003B5"/>
    <w:rsid w:val="001004EA"/>
    <w:rsid w:val="0010085C"/>
    <w:rsid w:val="00100DF0"/>
    <w:rsid w:val="00100E12"/>
    <w:rsid w:val="00101157"/>
    <w:rsid w:val="0010155F"/>
    <w:rsid w:val="0010157E"/>
    <w:rsid w:val="001015EC"/>
    <w:rsid w:val="00101660"/>
    <w:rsid w:val="00101A11"/>
    <w:rsid w:val="00101BE1"/>
    <w:rsid w:val="00101E9A"/>
    <w:rsid w:val="001020C6"/>
    <w:rsid w:val="00102336"/>
    <w:rsid w:val="0010244D"/>
    <w:rsid w:val="00102549"/>
    <w:rsid w:val="00102C36"/>
    <w:rsid w:val="0010314E"/>
    <w:rsid w:val="0010353F"/>
    <w:rsid w:val="00104223"/>
    <w:rsid w:val="0010482E"/>
    <w:rsid w:val="00104896"/>
    <w:rsid w:val="00104A18"/>
    <w:rsid w:val="00104A7F"/>
    <w:rsid w:val="00104CBE"/>
    <w:rsid w:val="00105127"/>
    <w:rsid w:val="00105389"/>
    <w:rsid w:val="00105419"/>
    <w:rsid w:val="00105500"/>
    <w:rsid w:val="001058DE"/>
    <w:rsid w:val="0010606F"/>
    <w:rsid w:val="0010621B"/>
    <w:rsid w:val="0010680F"/>
    <w:rsid w:val="00106CE9"/>
    <w:rsid w:val="00106D38"/>
    <w:rsid w:val="00107498"/>
    <w:rsid w:val="00107513"/>
    <w:rsid w:val="001075C1"/>
    <w:rsid w:val="00107674"/>
    <w:rsid w:val="00107CCA"/>
    <w:rsid w:val="00107E12"/>
    <w:rsid w:val="00110042"/>
    <w:rsid w:val="00110139"/>
    <w:rsid w:val="00110169"/>
    <w:rsid w:val="0011024B"/>
    <w:rsid w:val="0011039A"/>
    <w:rsid w:val="00110599"/>
    <w:rsid w:val="0011063C"/>
    <w:rsid w:val="001108EE"/>
    <w:rsid w:val="00110900"/>
    <w:rsid w:val="00110C55"/>
    <w:rsid w:val="00110CEB"/>
    <w:rsid w:val="00111017"/>
    <w:rsid w:val="00111646"/>
    <w:rsid w:val="00111A12"/>
    <w:rsid w:val="00111CF7"/>
    <w:rsid w:val="00111D52"/>
    <w:rsid w:val="00112051"/>
    <w:rsid w:val="00112241"/>
    <w:rsid w:val="0011264C"/>
    <w:rsid w:val="00112664"/>
    <w:rsid w:val="001129F3"/>
    <w:rsid w:val="00112AEA"/>
    <w:rsid w:val="00112B52"/>
    <w:rsid w:val="00112BB5"/>
    <w:rsid w:val="00112EAA"/>
    <w:rsid w:val="0011339F"/>
    <w:rsid w:val="0011342A"/>
    <w:rsid w:val="00113563"/>
    <w:rsid w:val="00113C7E"/>
    <w:rsid w:val="00113D69"/>
    <w:rsid w:val="001145F8"/>
    <w:rsid w:val="0011461B"/>
    <w:rsid w:val="0011490D"/>
    <w:rsid w:val="00114946"/>
    <w:rsid w:val="00114B82"/>
    <w:rsid w:val="00114C2E"/>
    <w:rsid w:val="001155F9"/>
    <w:rsid w:val="00115783"/>
    <w:rsid w:val="001157F9"/>
    <w:rsid w:val="0011598F"/>
    <w:rsid w:val="00115994"/>
    <w:rsid w:val="0011634C"/>
    <w:rsid w:val="00116997"/>
    <w:rsid w:val="00116CE2"/>
    <w:rsid w:val="00116D2E"/>
    <w:rsid w:val="00116DE7"/>
    <w:rsid w:val="00117461"/>
    <w:rsid w:val="001175F2"/>
    <w:rsid w:val="00117623"/>
    <w:rsid w:val="0011782E"/>
    <w:rsid w:val="00117D51"/>
    <w:rsid w:val="00117E5A"/>
    <w:rsid w:val="00117EF6"/>
    <w:rsid w:val="00117FF6"/>
    <w:rsid w:val="0012030F"/>
    <w:rsid w:val="00120353"/>
    <w:rsid w:val="001206BC"/>
    <w:rsid w:val="00120846"/>
    <w:rsid w:val="001209AB"/>
    <w:rsid w:val="00120CDE"/>
    <w:rsid w:val="00120E0D"/>
    <w:rsid w:val="00120F42"/>
    <w:rsid w:val="0012111B"/>
    <w:rsid w:val="001213E9"/>
    <w:rsid w:val="001214AB"/>
    <w:rsid w:val="00121628"/>
    <w:rsid w:val="001218E2"/>
    <w:rsid w:val="0012197B"/>
    <w:rsid w:val="001219E9"/>
    <w:rsid w:val="00121B40"/>
    <w:rsid w:val="00121FA0"/>
    <w:rsid w:val="0012236D"/>
    <w:rsid w:val="00122633"/>
    <w:rsid w:val="00122ADC"/>
    <w:rsid w:val="00122D33"/>
    <w:rsid w:val="00122ED8"/>
    <w:rsid w:val="00123873"/>
    <w:rsid w:val="0012390E"/>
    <w:rsid w:val="00123A30"/>
    <w:rsid w:val="00123B40"/>
    <w:rsid w:val="00123CC9"/>
    <w:rsid w:val="00123E59"/>
    <w:rsid w:val="00123EC8"/>
    <w:rsid w:val="001242CB"/>
    <w:rsid w:val="001246DD"/>
    <w:rsid w:val="001248EB"/>
    <w:rsid w:val="00124921"/>
    <w:rsid w:val="00124AA2"/>
    <w:rsid w:val="00124B0A"/>
    <w:rsid w:val="00124B7F"/>
    <w:rsid w:val="00124CE5"/>
    <w:rsid w:val="00124E0A"/>
    <w:rsid w:val="00125048"/>
    <w:rsid w:val="0012521E"/>
    <w:rsid w:val="0012528A"/>
    <w:rsid w:val="00125547"/>
    <w:rsid w:val="001258AE"/>
    <w:rsid w:val="00125A9C"/>
    <w:rsid w:val="00125E1A"/>
    <w:rsid w:val="001263AC"/>
    <w:rsid w:val="0012687B"/>
    <w:rsid w:val="00126908"/>
    <w:rsid w:val="00126C17"/>
    <w:rsid w:val="001270D9"/>
    <w:rsid w:val="001273D6"/>
    <w:rsid w:val="0012784E"/>
    <w:rsid w:val="001300FD"/>
    <w:rsid w:val="001304C1"/>
    <w:rsid w:val="0013050B"/>
    <w:rsid w:val="001305C2"/>
    <w:rsid w:val="0013071E"/>
    <w:rsid w:val="00130740"/>
    <w:rsid w:val="001307B3"/>
    <w:rsid w:val="00130825"/>
    <w:rsid w:val="001309B4"/>
    <w:rsid w:val="00130A76"/>
    <w:rsid w:val="00130C39"/>
    <w:rsid w:val="00131B82"/>
    <w:rsid w:val="00131DC2"/>
    <w:rsid w:val="00131E18"/>
    <w:rsid w:val="0013210E"/>
    <w:rsid w:val="00132119"/>
    <w:rsid w:val="00132186"/>
    <w:rsid w:val="00132466"/>
    <w:rsid w:val="00132505"/>
    <w:rsid w:val="00132ACE"/>
    <w:rsid w:val="00132D80"/>
    <w:rsid w:val="00132F05"/>
    <w:rsid w:val="00133292"/>
    <w:rsid w:val="001332C5"/>
    <w:rsid w:val="0013331E"/>
    <w:rsid w:val="00133382"/>
    <w:rsid w:val="0013358C"/>
    <w:rsid w:val="00133665"/>
    <w:rsid w:val="001338D3"/>
    <w:rsid w:val="00133F09"/>
    <w:rsid w:val="001344A6"/>
    <w:rsid w:val="00134518"/>
    <w:rsid w:val="0013461E"/>
    <w:rsid w:val="00134933"/>
    <w:rsid w:val="00134A7A"/>
    <w:rsid w:val="00134E3E"/>
    <w:rsid w:val="00134E5D"/>
    <w:rsid w:val="0013515C"/>
    <w:rsid w:val="001353A0"/>
    <w:rsid w:val="001354FE"/>
    <w:rsid w:val="00135716"/>
    <w:rsid w:val="0013580E"/>
    <w:rsid w:val="0013587A"/>
    <w:rsid w:val="00135C22"/>
    <w:rsid w:val="00136348"/>
    <w:rsid w:val="0013663E"/>
    <w:rsid w:val="0013678F"/>
    <w:rsid w:val="00136B29"/>
    <w:rsid w:val="00136D5F"/>
    <w:rsid w:val="00136D70"/>
    <w:rsid w:val="00137061"/>
    <w:rsid w:val="00137741"/>
    <w:rsid w:val="001378BC"/>
    <w:rsid w:val="00137E1B"/>
    <w:rsid w:val="00137E26"/>
    <w:rsid w:val="00137FE3"/>
    <w:rsid w:val="0014047F"/>
    <w:rsid w:val="001404FE"/>
    <w:rsid w:val="00140737"/>
    <w:rsid w:val="00140783"/>
    <w:rsid w:val="001408F2"/>
    <w:rsid w:val="00140901"/>
    <w:rsid w:val="001409F4"/>
    <w:rsid w:val="00140B63"/>
    <w:rsid w:val="00140E23"/>
    <w:rsid w:val="00140F4D"/>
    <w:rsid w:val="001410A0"/>
    <w:rsid w:val="00141164"/>
    <w:rsid w:val="001412A6"/>
    <w:rsid w:val="0014131E"/>
    <w:rsid w:val="001413E0"/>
    <w:rsid w:val="00141934"/>
    <w:rsid w:val="001419BD"/>
    <w:rsid w:val="00141E46"/>
    <w:rsid w:val="00142392"/>
    <w:rsid w:val="0014336C"/>
    <w:rsid w:val="001433D5"/>
    <w:rsid w:val="001433FB"/>
    <w:rsid w:val="00143897"/>
    <w:rsid w:val="00143A71"/>
    <w:rsid w:val="00143CE8"/>
    <w:rsid w:val="00143D9C"/>
    <w:rsid w:val="00143F70"/>
    <w:rsid w:val="001441DF"/>
    <w:rsid w:val="00144479"/>
    <w:rsid w:val="00144864"/>
    <w:rsid w:val="00144903"/>
    <w:rsid w:val="00145074"/>
    <w:rsid w:val="001451BB"/>
    <w:rsid w:val="001452FF"/>
    <w:rsid w:val="00145302"/>
    <w:rsid w:val="001454F5"/>
    <w:rsid w:val="00145A55"/>
    <w:rsid w:val="00145E17"/>
    <w:rsid w:val="00145E9A"/>
    <w:rsid w:val="00145EFA"/>
    <w:rsid w:val="00145F05"/>
    <w:rsid w:val="001464D6"/>
    <w:rsid w:val="00146527"/>
    <w:rsid w:val="0014658C"/>
    <w:rsid w:val="00146C55"/>
    <w:rsid w:val="00146E70"/>
    <w:rsid w:val="001472BF"/>
    <w:rsid w:val="00147504"/>
    <w:rsid w:val="001476A6"/>
    <w:rsid w:val="001476B8"/>
    <w:rsid w:val="00147726"/>
    <w:rsid w:val="001479BF"/>
    <w:rsid w:val="001501BD"/>
    <w:rsid w:val="001502AC"/>
    <w:rsid w:val="0015055D"/>
    <w:rsid w:val="001507D3"/>
    <w:rsid w:val="00150936"/>
    <w:rsid w:val="00150A71"/>
    <w:rsid w:val="00150CE0"/>
    <w:rsid w:val="00150E5B"/>
    <w:rsid w:val="00150F04"/>
    <w:rsid w:val="00151322"/>
    <w:rsid w:val="001513E2"/>
    <w:rsid w:val="00151EDB"/>
    <w:rsid w:val="00152053"/>
    <w:rsid w:val="001521B1"/>
    <w:rsid w:val="00152260"/>
    <w:rsid w:val="00152744"/>
    <w:rsid w:val="00153B7A"/>
    <w:rsid w:val="00153CC3"/>
    <w:rsid w:val="001541B9"/>
    <w:rsid w:val="001542C9"/>
    <w:rsid w:val="001543C2"/>
    <w:rsid w:val="00154909"/>
    <w:rsid w:val="00154965"/>
    <w:rsid w:val="00154AA1"/>
    <w:rsid w:val="001557AD"/>
    <w:rsid w:val="00155B1D"/>
    <w:rsid w:val="00155B8D"/>
    <w:rsid w:val="00155D51"/>
    <w:rsid w:val="00156362"/>
    <w:rsid w:val="0015648C"/>
    <w:rsid w:val="001566C9"/>
    <w:rsid w:val="00156789"/>
    <w:rsid w:val="0015688F"/>
    <w:rsid w:val="001569F1"/>
    <w:rsid w:val="00156EF5"/>
    <w:rsid w:val="00156F88"/>
    <w:rsid w:val="00157207"/>
    <w:rsid w:val="00157227"/>
    <w:rsid w:val="001575D8"/>
    <w:rsid w:val="001579FF"/>
    <w:rsid w:val="00157F43"/>
    <w:rsid w:val="0016003E"/>
    <w:rsid w:val="00160466"/>
    <w:rsid w:val="001605BC"/>
    <w:rsid w:val="0016060E"/>
    <w:rsid w:val="001608F4"/>
    <w:rsid w:val="00160D91"/>
    <w:rsid w:val="001610DF"/>
    <w:rsid w:val="001611BD"/>
    <w:rsid w:val="001614B5"/>
    <w:rsid w:val="001614CF"/>
    <w:rsid w:val="00161766"/>
    <w:rsid w:val="00161769"/>
    <w:rsid w:val="00161C5F"/>
    <w:rsid w:val="001622E6"/>
    <w:rsid w:val="001624BC"/>
    <w:rsid w:val="001625A6"/>
    <w:rsid w:val="0016260D"/>
    <w:rsid w:val="00162C27"/>
    <w:rsid w:val="00162DD6"/>
    <w:rsid w:val="001630FC"/>
    <w:rsid w:val="00163289"/>
    <w:rsid w:val="00163329"/>
    <w:rsid w:val="001634AF"/>
    <w:rsid w:val="001639FC"/>
    <w:rsid w:val="00163ADA"/>
    <w:rsid w:val="00164098"/>
    <w:rsid w:val="00164368"/>
    <w:rsid w:val="0016460A"/>
    <w:rsid w:val="0016460D"/>
    <w:rsid w:val="0016465A"/>
    <w:rsid w:val="0016487A"/>
    <w:rsid w:val="00164BF3"/>
    <w:rsid w:val="00164C0F"/>
    <w:rsid w:val="00164F70"/>
    <w:rsid w:val="001656C2"/>
    <w:rsid w:val="00165B19"/>
    <w:rsid w:val="00165B67"/>
    <w:rsid w:val="00165C72"/>
    <w:rsid w:val="00165C74"/>
    <w:rsid w:val="00165D42"/>
    <w:rsid w:val="00165E02"/>
    <w:rsid w:val="00165FA2"/>
    <w:rsid w:val="001662FC"/>
    <w:rsid w:val="001667D9"/>
    <w:rsid w:val="0016686E"/>
    <w:rsid w:val="00166900"/>
    <w:rsid w:val="00166E16"/>
    <w:rsid w:val="001670AD"/>
    <w:rsid w:val="00167174"/>
    <w:rsid w:val="001677A8"/>
    <w:rsid w:val="00167C76"/>
    <w:rsid w:val="00167E65"/>
    <w:rsid w:val="00170263"/>
    <w:rsid w:val="001707F6"/>
    <w:rsid w:val="00170845"/>
    <w:rsid w:val="00171B74"/>
    <w:rsid w:val="00171EA5"/>
    <w:rsid w:val="00171EC1"/>
    <w:rsid w:val="0017238B"/>
    <w:rsid w:val="00172413"/>
    <w:rsid w:val="0017245B"/>
    <w:rsid w:val="0017308C"/>
    <w:rsid w:val="001732DE"/>
    <w:rsid w:val="00173E74"/>
    <w:rsid w:val="00173F31"/>
    <w:rsid w:val="00173FF2"/>
    <w:rsid w:val="00174006"/>
    <w:rsid w:val="0017413A"/>
    <w:rsid w:val="00174595"/>
    <w:rsid w:val="00174725"/>
    <w:rsid w:val="00174A46"/>
    <w:rsid w:val="00174D2C"/>
    <w:rsid w:val="001750C1"/>
    <w:rsid w:val="001757F4"/>
    <w:rsid w:val="00175EEC"/>
    <w:rsid w:val="00175F2D"/>
    <w:rsid w:val="0017602F"/>
    <w:rsid w:val="001760DD"/>
    <w:rsid w:val="00176112"/>
    <w:rsid w:val="001761BE"/>
    <w:rsid w:val="0017658A"/>
    <w:rsid w:val="00176893"/>
    <w:rsid w:val="00176AFA"/>
    <w:rsid w:val="001770DC"/>
    <w:rsid w:val="00177A67"/>
    <w:rsid w:val="00177AC6"/>
    <w:rsid w:val="00177ACE"/>
    <w:rsid w:val="00177CC8"/>
    <w:rsid w:val="00177DDD"/>
    <w:rsid w:val="00180345"/>
    <w:rsid w:val="001804D2"/>
    <w:rsid w:val="00180AA9"/>
    <w:rsid w:val="00180C50"/>
    <w:rsid w:val="00181931"/>
    <w:rsid w:val="001821B1"/>
    <w:rsid w:val="001822F6"/>
    <w:rsid w:val="001824D4"/>
    <w:rsid w:val="00182504"/>
    <w:rsid w:val="001825DC"/>
    <w:rsid w:val="0018266A"/>
    <w:rsid w:val="00182FCD"/>
    <w:rsid w:val="00183045"/>
    <w:rsid w:val="00183668"/>
    <w:rsid w:val="0018383B"/>
    <w:rsid w:val="0018389F"/>
    <w:rsid w:val="001838DD"/>
    <w:rsid w:val="0018397B"/>
    <w:rsid w:val="00183EA6"/>
    <w:rsid w:val="00183EF2"/>
    <w:rsid w:val="00184002"/>
    <w:rsid w:val="0018430E"/>
    <w:rsid w:val="00184455"/>
    <w:rsid w:val="0018470C"/>
    <w:rsid w:val="00184C4C"/>
    <w:rsid w:val="00184FB1"/>
    <w:rsid w:val="00185220"/>
    <w:rsid w:val="00185334"/>
    <w:rsid w:val="00185568"/>
    <w:rsid w:val="001856EA"/>
    <w:rsid w:val="00185D47"/>
    <w:rsid w:val="00185D83"/>
    <w:rsid w:val="00185D9F"/>
    <w:rsid w:val="0018633C"/>
    <w:rsid w:val="00186678"/>
    <w:rsid w:val="0018670D"/>
    <w:rsid w:val="0018691A"/>
    <w:rsid w:val="001869CE"/>
    <w:rsid w:val="00186BA4"/>
    <w:rsid w:val="00186D7B"/>
    <w:rsid w:val="00187298"/>
    <w:rsid w:val="001877D5"/>
    <w:rsid w:val="00187850"/>
    <w:rsid w:val="00187BFC"/>
    <w:rsid w:val="00187DD6"/>
    <w:rsid w:val="00190038"/>
    <w:rsid w:val="001900BE"/>
    <w:rsid w:val="0019019C"/>
    <w:rsid w:val="00190254"/>
    <w:rsid w:val="0019049A"/>
    <w:rsid w:val="0019084C"/>
    <w:rsid w:val="00190CAD"/>
    <w:rsid w:val="00190D2A"/>
    <w:rsid w:val="001911A3"/>
    <w:rsid w:val="00191206"/>
    <w:rsid w:val="001912AB"/>
    <w:rsid w:val="00191385"/>
    <w:rsid w:val="001913D0"/>
    <w:rsid w:val="001917B2"/>
    <w:rsid w:val="00191F13"/>
    <w:rsid w:val="0019294B"/>
    <w:rsid w:val="00192B48"/>
    <w:rsid w:val="00192F90"/>
    <w:rsid w:val="001930EA"/>
    <w:rsid w:val="00193175"/>
    <w:rsid w:val="00193638"/>
    <w:rsid w:val="00193698"/>
    <w:rsid w:val="00193C35"/>
    <w:rsid w:val="00193E60"/>
    <w:rsid w:val="0019461A"/>
    <w:rsid w:val="001949F2"/>
    <w:rsid w:val="00194B8A"/>
    <w:rsid w:val="00194DF5"/>
    <w:rsid w:val="00195269"/>
    <w:rsid w:val="00195297"/>
    <w:rsid w:val="0019560C"/>
    <w:rsid w:val="001959D4"/>
    <w:rsid w:val="00195A9E"/>
    <w:rsid w:val="00196008"/>
    <w:rsid w:val="001961F7"/>
    <w:rsid w:val="00196254"/>
    <w:rsid w:val="00196282"/>
    <w:rsid w:val="00196416"/>
    <w:rsid w:val="00196493"/>
    <w:rsid w:val="001966DA"/>
    <w:rsid w:val="001966E1"/>
    <w:rsid w:val="00196708"/>
    <w:rsid w:val="00196A67"/>
    <w:rsid w:val="0019709D"/>
    <w:rsid w:val="00197444"/>
    <w:rsid w:val="0019756E"/>
    <w:rsid w:val="001A04D5"/>
    <w:rsid w:val="001A0B5D"/>
    <w:rsid w:val="001A0F3F"/>
    <w:rsid w:val="001A11DE"/>
    <w:rsid w:val="001A14E4"/>
    <w:rsid w:val="001A1664"/>
    <w:rsid w:val="001A1704"/>
    <w:rsid w:val="001A1B9F"/>
    <w:rsid w:val="001A1CAB"/>
    <w:rsid w:val="001A1FBB"/>
    <w:rsid w:val="001A2587"/>
    <w:rsid w:val="001A2A23"/>
    <w:rsid w:val="001A2A29"/>
    <w:rsid w:val="001A2D4B"/>
    <w:rsid w:val="001A36D7"/>
    <w:rsid w:val="001A46A0"/>
    <w:rsid w:val="001A488C"/>
    <w:rsid w:val="001A48F8"/>
    <w:rsid w:val="001A4DF0"/>
    <w:rsid w:val="001A4F30"/>
    <w:rsid w:val="001A4F7C"/>
    <w:rsid w:val="001A4FD8"/>
    <w:rsid w:val="001A5337"/>
    <w:rsid w:val="001A58B6"/>
    <w:rsid w:val="001A60E2"/>
    <w:rsid w:val="001A6112"/>
    <w:rsid w:val="001A612E"/>
    <w:rsid w:val="001A6213"/>
    <w:rsid w:val="001A6291"/>
    <w:rsid w:val="001A6536"/>
    <w:rsid w:val="001A6731"/>
    <w:rsid w:val="001A6A1C"/>
    <w:rsid w:val="001A6B36"/>
    <w:rsid w:val="001A6D55"/>
    <w:rsid w:val="001A6ECA"/>
    <w:rsid w:val="001A708B"/>
    <w:rsid w:val="001A71C5"/>
    <w:rsid w:val="001A71E3"/>
    <w:rsid w:val="001A74B7"/>
    <w:rsid w:val="001A7705"/>
    <w:rsid w:val="001A7C68"/>
    <w:rsid w:val="001A7FBE"/>
    <w:rsid w:val="001B00EC"/>
    <w:rsid w:val="001B0156"/>
    <w:rsid w:val="001B0630"/>
    <w:rsid w:val="001B095D"/>
    <w:rsid w:val="001B099C"/>
    <w:rsid w:val="001B0CAE"/>
    <w:rsid w:val="001B0E01"/>
    <w:rsid w:val="001B2074"/>
    <w:rsid w:val="001B2242"/>
    <w:rsid w:val="001B268D"/>
    <w:rsid w:val="001B27F4"/>
    <w:rsid w:val="001B2C3B"/>
    <w:rsid w:val="001B2EC9"/>
    <w:rsid w:val="001B2FB4"/>
    <w:rsid w:val="001B354C"/>
    <w:rsid w:val="001B356A"/>
    <w:rsid w:val="001B357A"/>
    <w:rsid w:val="001B3608"/>
    <w:rsid w:val="001B360A"/>
    <w:rsid w:val="001B3790"/>
    <w:rsid w:val="001B385E"/>
    <w:rsid w:val="001B3A71"/>
    <w:rsid w:val="001B3BF0"/>
    <w:rsid w:val="001B3EC2"/>
    <w:rsid w:val="001B3FBB"/>
    <w:rsid w:val="001B44BE"/>
    <w:rsid w:val="001B4797"/>
    <w:rsid w:val="001B485A"/>
    <w:rsid w:val="001B485E"/>
    <w:rsid w:val="001B4CF0"/>
    <w:rsid w:val="001B4E64"/>
    <w:rsid w:val="001B50AB"/>
    <w:rsid w:val="001B51A5"/>
    <w:rsid w:val="001B52A5"/>
    <w:rsid w:val="001B58F2"/>
    <w:rsid w:val="001B6051"/>
    <w:rsid w:val="001B6261"/>
    <w:rsid w:val="001B66E2"/>
    <w:rsid w:val="001B675B"/>
    <w:rsid w:val="001B69B6"/>
    <w:rsid w:val="001B6CE3"/>
    <w:rsid w:val="001B6EC9"/>
    <w:rsid w:val="001B6FC5"/>
    <w:rsid w:val="001B71A9"/>
    <w:rsid w:val="001B722D"/>
    <w:rsid w:val="001B7C78"/>
    <w:rsid w:val="001B7C8F"/>
    <w:rsid w:val="001C00B0"/>
    <w:rsid w:val="001C00FA"/>
    <w:rsid w:val="001C01F7"/>
    <w:rsid w:val="001C02A5"/>
    <w:rsid w:val="001C050E"/>
    <w:rsid w:val="001C0D69"/>
    <w:rsid w:val="001C1045"/>
    <w:rsid w:val="001C1223"/>
    <w:rsid w:val="001C2CBC"/>
    <w:rsid w:val="001C2D1B"/>
    <w:rsid w:val="001C2D5E"/>
    <w:rsid w:val="001C2E9D"/>
    <w:rsid w:val="001C38C3"/>
    <w:rsid w:val="001C3A53"/>
    <w:rsid w:val="001C3AA6"/>
    <w:rsid w:val="001C3C0B"/>
    <w:rsid w:val="001C3E88"/>
    <w:rsid w:val="001C3FAF"/>
    <w:rsid w:val="001C3FFB"/>
    <w:rsid w:val="001C4C58"/>
    <w:rsid w:val="001C4CCA"/>
    <w:rsid w:val="001C4FC8"/>
    <w:rsid w:val="001C5125"/>
    <w:rsid w:val="001C53C0"/>
    <w:rsid w:val="001C591E"/>
    <w:rsid w:val="001C5C36"/>
    <w:rsid w:val="001C5D41"/>
    <w:rsid w:val="001C5D9A"/>
    <w:rsid w:val="001C620F"/>
    <w:rsid w:val="001C63F9"/>
    <w:rsid w:val="001C6961"/>
    <w:rsid w:val="001C6DBD"/>
    <w:rsid w:val="001C6E45"/>
    <w:rsid w:val="001C6EF6"/>
    <w:rsid w:val="001C6F28"/>
    <w:rsid w:val="001C77FB"/>
    <w:rsid w:val="001C78A8"/>
    <w:rsid w:val="001C78E2"/>
    <w:rsid w:val="001C7B76"/>
    <w:rsid w:val="001C7BEE"/>
    <w:rsid w:val="001C7F98"/>
    <w:rsid w:val="001D0414"/>
    <w:rsid w:val="001D06B6"/>
    <w:rsid w:val="001D08FC"/>
    <w:rsid w:val="001D08FD"/>
    <w:rsid w:val="001D0AD2"/>
    <w:rsid w:val="001D0AF6"/>
    <w:rsid w:val="001D0B21"/>
    <w:rsid w:val="001D0E64"/>
    <w:rsid w:val="001D117F"/>
    <w:rsid w:val="001D12D7"/>
    <w:rsid w:val="001D14C0"/>
    <w:rsid w:val="001D15B2"/>
    <w:rsid w:val="001D188B"/>
    <w:rsid w:val="001D1A79"/>
    <w:rsid w:val="001D1DFC"/>
    <w:rsid w:val="001D23D9"/>
    <w:rsid w:val="001D244D"/>
    <w:rsid w:val="001D2693"/>
    <w:rsid w:val="001D2A9F"/>
    <w:rsid w:val="001D2AAA"/>
    <w:rsid w:val="001D2D5F"/>
    <w:rsid w:val="001D2EB9"/>
    <w:rsid w:val="001D32AD"/>
    <w:rsid w:val="001D339C"/>
    <w:rsid w:val="001D37A3"/>
    <w:rsid w:val="001D4129"/>
    <w:rsid w:val="001D42F4"/>
    <w:rsid w:val="001D4508"/>
    <w:rsid w:val="001D45DB"/>
    <w:rsid w:val="001D463A"/>
    <w:rsid w:val="001D4647"/>
    <w:rsid w:val="001D4717"/>
    <w:rsid w:val="001D588F"/>
    <w:rsid w:val="001D5BBC"/>
    <w:rsid w:val="001D5CA1"/>
    <w:rsid w:val="001D6398"/>
    <w:rsid w:val="001D63DE"/>
    <w:rsid w:val="001D67B4"/>
    <w:rsid w:val="001D6840"/>
    <w:rsid w:val="001D69A5"/>
    <w:rsid w:val="001D71FE"/>
    <w:rsid w:val="001D7435"/>
    <w:rsid w:val="001D7598"/>
    <w:rsid w:val="001D7781"/>
    <w:rsid w:val="001D77DB"/>
    <w:rsid w:val="001D7902"/>
    <w:rsid w:val="001D7988"/>
    <w:rsid w:val="001D7C77"/>
    <w:rsid w:val="001E00CB"/>
    <w:rsid w:val="001E0471"/>
    <w:rsid w:val="001E0F9F"/>
    <w:rsid w:val="001E1131"/>
    <w:rsid w:val="001E13AD"/>
    <w:rsid w:val="001E144C"/>
    <w:rsid w:val="001E16AC"/>
    <w:rsid w:val="001E1967"/>
    <w:rsid w:val="001E215C"/>
    <w:rsid w:val="001E2370"/>
    <w:rsid w:val="001E24D0"/>
    <w:rsid w:val="001E26B1"/>
    <w:rsid w:val="001E26E0"/>
    <w:rsid w:val="001E274E"/>
    <w:rsid w:val="001E299E"/>
    <w:rsid w:val="001E2A8D"/>
    <w:rsid w:val="001E2E99"/>
    <w:rsid w:val="001E305B"/>
    <w:rsid w:val="001E399C"/>
    <w:rsid w:val="001E3A48"/>
    <w:rsid w:val="001E3D68"/>
    <w:rsid w:val="001E3D7C"/>
    <w:rsid w:val="001E404F"/>
    <w:rsid w:val="001E46CD"/>
    <w:rsid w:val="001E475A"/>
    <w:rsid w:val="001E495F"/>
    <w:rsid w:val="001E4F4E"/>
    <w:rsid w:val="001E4F56"/>
    <w:rsid w:val="001E5068"/>
    <w:rsid w:val="001E51BF"/>
    <w:rsid w:val="001E52D3"/>
    <w:rsid w:val="001E5456"/>
    <w:rsid w:val="001E54F6"/>
    <w:rsid w:val="001E5577"/>
    <w:rsid w:val="001E5691"/>
    <w:rsid w:val="001E56DD"/>
    <w:rsid w:val="001E5873"/>
    <w:rsid w:val="001E587B"/>
    <w:rsid w:val="001E5A3E"/>
    <w:rsid w:val="001E5E22"/>
    <w:rsid w:val="001E5E51"/>
    <w:rsid w:val="001E5EE1"/>
    <w:rsid w:val="001E603C"/>
    <w:rsid w:val="001E6802"/>
    <w:rsid w:val="001E6812"/>
    <w:rsid w:val="001E7B25"/>
    <w:rsid w:val="001E7E94"/>
    <w:rsid w:val="001F0154"/>
    <w:rsid w:val="001F0235"/>
    <w:rsid w:val="001F0257"/>
    <w:rsid w:val="001F0355"/>
    <w:rsid w:val="001F0548"/>
    <w:rsid w:val="001F055F"/>
    <w:rsid w:val="001F094F"/>
    <w:rsid w:val="001F1510"/>
    <w:rsid w:val="001F184B"/>
    <w:rsid w:val="001F18E8"/>
    <w:rsid w:val="001F1A5E"/>
    <w:rsid w:val="001F1E6E"/>
    <w:rsid w:val="001F1FCB"/>
    <w:rsid w:val="001F23E4"/>
    <w:rsid w:val="001F23E6"/>
    <w:rsid w:val="001F2427"/>
    <w:rsid w:val="001F298F"/>
    <w:rsid w:val="001F29EE"/>
    <w:rsid w:val="001F2F3F"/>
    <w:rsid w:val="001F3016"/>
    <w:rsid w:val="001F305C"/>
    <w:rsid w:val="001F30F9"/>
    <w:rsid w:val="001F341E"/>
    <w:rsid w:val="001F3A03"/>
    <w:rsid w:val="001F3AAD"/>
    <w:rsid w:val="001F406F"/>
    <w:rsid w:val="001F40CE"/>
    <w:rsid w:val="001F44E1"/>
    <w:rsid w:val="001F4758"/>
    <w:rsid w:val="001F4998"/>
    <w:rsid w:val="001F4C32"/>
    <w:rsid w:val="001F509E"/>
    <w:rsid w:val="001F5130"/>
    <w:rsid w:val="001F52D1"/>
    <w:rsid w:val="001F5386"/>
    <w:rsid w:val="001F57E2"/>
    <w:rsid w:val="001F5865"/>
    <w:rsid w:val="001F5AAE"/>
    <w:rsid w:val="001F5D08"/>
    <w:rsid w:val="001F6F15"/>
    <w:rsid w:val="001F70CA"/>
    <w:rsid w:val="001F7396"/>
    <w:rsid w:val="001F73C8"/>
    <w:rsid w:val="001F7717"/>
    <w:rsid w:val="001F77DE"/>
    <w:rsid w:val="001F7A32"/>
    <w:rsid w:val="001F7B92"/>
    <w:rsid w:val="001F7C22"/>
    <w:rsid w:val="001F7DD9"/>
    <w:rsid w:val="001F7F3C"/>
    <w:rsid w:val="002007E4"/>
    <w:rsid w:val="0020090F"/>
    <w:rsid w:val="002009D7"/>
    <w:rsid w:val="002009E8"/>
    <w:rsid w:val="00200A1B"/>
    <w:rsid w:val="00200BA8"/>
    <w:rsid w:val="00200BED"/>
    <w:rsid w:val="00200F9C"/>
    <w:rsid w:val="0020134B"/>
    <w:rsid w:val="002013E1"/>
    <w:rsid w:val="002019D3"/>
    <w:rsid w:val="00202088"/>
    <w:rsid w:val="00202709"/>
    <w:rsid w:val="00203017"/>
    <w:rsid w:val="0020311C"/>
    <w:rsid w:val="002031B2"/>
    <w:rsid w:val="002032EA"/>
    <w:rsid w:val="00203633"/>
    <w:rsid w:val="00204475"/>
    <w:rsid w:val="002044F0"/>
    <w:rsid w:val="0020456D"/>
    <w:rsid w:val="002048C5"/>
    <w:rsid w:val="00204D76"/>
    <w:rsid w:val="00204D7B"/>
    <w:rsid w:val="002057B3"/>
    <w:rsid w:val="00205B23"/>
    <w:rsid w:val="00205F06"/>
    <w:rsid w:val="00206045"/>
    <w:rsid w:val="0020686B"/>
    <w:rsid w:val="00206E1D"/>
    <w:rsid w:val="0020725F"/>
    <w:rsid w:val="002072DE"/>
    <w:rsid w:val="00207391"/>
    <w:rsid w:val="002076B8"/>
    <w:rsid w:val="002078F5"/>
    <w:rsid w:val="00207981"/>
    <w:rsid w:val="00207C1B"/>
    <w:rsid w:val="00207F43"/>
    <w:rsid w:val="00207FA0"/>
    <w:rsid w:val="00210262"/>
    <w:rsid w:val="00210E07"/>
    <w:rsid w:val="00210FF5"/>
    <w:rsid w:val="00211423"/>
    <w:rsid w:val="002114E0"/>
    <w:rsid w:val="00211766"/>
    <w:rsid w:val="002117B3"/>
    <w:rsid w:val="0021183C"/>
    <w:rsid w:val="0021186D"/>
    <w:rsid w:val="00211881"/>
    <w:rsid w:val="002119C6"/>
    <w:rsid w:val="00211A7C"/>
    <w:rsid w:val="00212010"/>
    <w:rsid w:val="00212235"/>
    <w:rsid w:val="00212542"/>
    <w:rsid w:val="0021268D"/>
    <w:rsid w:val="00212F9E"/>
    <w:rsid w:val="0021306C"/>
    <w:rsid w:val="0021328C"/>
    <w:rsid w:val="002132ED"/>
    <w:rsid w:val="002139D6"/>
    <w:rsid w:val="00213B9F"/>
    <w:rsid w:val="002140A4"/>
    <w:rsid w:val="002145A3"/>
    <w:rsid w:val="00214EC9"/>
    <w:rsid w:val="00215284"/>
    <w:rsid w:val="00215288"/>
    <w:rsid w:val="002155F2"/>
    <w:rsid w:val="00215B32"/>
    <w:rsid w:val="00215C9C"/>
    <w:rsid w:val="00215F69"/>
    <w:rsid w:val="00216345"/>
    <w:rsid w:val="0021638C"/>
    <w:rsid w:val="00216494"/>
    <w:rsid w:val="002164F7"/>
    <w:rsid w:val="00216584"/>
    <w:rsid w:val="00216FF5"/>
    <w:rsid w:val="002171A4"/>
    <w:rsid w:val="002172BE"/>
    <w:rsid w:val="0021733E"/>
    <w:rsid w:val="00217F5C"/>
    <w:rsid w:val="0021AFE2"/>
    <w:rsid w:val="00220021"/>
    <w:rsid w:val="0022058A"/>
    <w:rsid w:val="0022062D"/>
    <w:rsid w:val="00220949"/>
    <w:rsid w:val="00220AEA"/>
    <w:rsid w:val="00220B53"/>
    <w:rsid w:val="00220FFC"/>
    <w:rsid w:val="002210B5"/>
    <w:rsid w:val="00221565"/>
    <w:rsid w:val="00221754"/>
    <w:rsid w:val="002218AC"/>
    <w:rsid w:val="002218D9"/>
    <w:rsid w:val="00221CFA"/>
    <w:rsid w:val="00221E9D"/>
    <w:rsid w:val="00221F24"/>
    <w:rsid w:val="00222167"/>
    <w:rsid w:val="00222433"/>
    <w:rsid w:val="00222564"/>
    <w:rsid w:val="0022270B"/>
    <w:rsid w:val="002227A4"/>
    <w:rsid w:val="00222C69"/>
    <w:rsid w:val="00223013"/>
    <w:rsid w:val="00223353"/>
    <w:rsid w:val="002234FE"/>
    <w:rsid w:val="0022372A"/>
    <w:rsid w:val="0022386F"/>
    <w:rsid w:val="00223931"/>
    <w:rsid w:val="00223AE2"/>
    <w:rsid w:val="00223AEE"/>
    <w:rsid w:val="00223D52"/>
    <w:rsid w:val="002241FE"/>
    <w:rsid w:val="00224307"/>
    <w:rsid w:val="002255AF"/>
    <w:rsid w:val="002255D3"/>
    <w:rsid w:val="00225695"/>
    <w:rsid w:val="002256C2"/>
    <w:rsid w:val="00225841"/>
    <w:rsid w:val="00225F8E"/>
    <w:rsid w:val="00226432"/>
    <w:rsid w:val="00226688"/>
    <w:rsid w:val="0022689C"/>
    <w:rsid w:val="00226B29"/>
    <w:rsid w:val="00226EB9"/>
    <w:rsid w:val="00226EC4"/>
    <w:rsid w:val="00226ED7"/>
    <w:rsid w:val="00226FFA"/>
    <w:rsid w:val="002270F8"/>
    <w:rsid w:val="002274EB"/>
    <w:rsid w:val="00227690"/>
    <w:rsid w:val="0022790A"/>
    <w:rsid w:val="0022790E"/>
    <w:rsid w:val="00227D0D"/>
    <w:rsid w:val="00227D24"/>
    <w:rsid w:val="00227FCB"/>
    <w:rsid w:val="0022B124"/>
    <w:rsid w:val="0023017A"/>
    <w:rsid w:val="00230907"/>
    <w:rsid w:val="00230A2F"/>
    <w:rsid w:val="0023113C"/>
    <w:rsid w:val="002312E0"/>
    <w:rsid w:val="00231356"/>
    <w:rsid w:val="00231673"/>
    <w:rsid w:val="002317B9"/>
    <w:rsid w:val="0023194B"/>
    <w:rsid w:val="0023194E"/>
    <w:rsid w:val="00231FC9"/>
    <w:rsid w:val="0023217D"/>
    <w:rsid w:val="002322D1"/>
    <w:rsid w:val="002322E0"/>
    <w:rsid w:val="00232884"/>
    <w:rsid w:val="00232CED"/>
    <w:rsid w:val="00232FAA"/>
    <w:rsid w:val="002332CF"/>
    <w:rsid w:val="002333F2"/>
    <w:rsid w:val="00233472"/>
    <w:rsid w:val="00233792"/>
    <w:rsid w:val="00233835"/>
    <w:rsid w:val="00234364"/>
    <w:rsid w:val="0023447F"/>
    <w:rsid w:val="002348EC"/>
    <w:rsid w:val="0023498B"/>
    <w:rsid w:val="00234A8F"/>
    <w:rsid w:val="00234C0E"/>
    <w:rsid w:val="00234CCC"/>
    <w:rsid w:val="00234D65"/>
    <w:rsid w:val="00234E15"/>
    <w:rsid w:val="00235583"/>
    <w:rsid w:val="002356F8"/>
    <w:rsid w:val="002358FB"/>
    <w:rsid w:val="00235C7C"/>
    <w:rsid w:val="00235DA6"/>
    <w:rsid w:val="00235E66"/>
    <w:rsid w:val="0023620E"/>
    <w:rsid w:val="00236358"/>
    <w:rsid w:val="00236616"/>
    <w:rsid w:val="00236D51"/>
    <w:rsid w:val="00236EDD"/>
    <w:rsid w:val="0023706C"/>
    <w:rsid w:val="002370E0"/>
    <w:rsid w:val="002375BF"/>
    <w:rsid w:val="00237A81"/>
    <w:rsid w:val="00237E31"/>
    <w:rsid w:val="00237F17"/>
    <w:rsid w:val="00240645"/>
    <w:rsid w:val="00240778"/>
    <w:rsid w:val="00240A79"/>
    <w:rsid w:val="00240AAF"/>
    <w:rsid w:val="00240D62"/>
    <w:rsid w:val="0024139F"/>
    <w:rsid w:val="002413F9"/>
    <w:rsid w:val="002414A3"/>
    <w:rsid w:val="00241578"/>
    <w:rsid w:val="0024165F"/>
    <w:rsid w:val="00241EEE"/>
    <w:rsid w:val="0024208C"/>
    <w:rsid w:val="00242230"/>
    <w:rsid w:val="00242394"/>
    <w:rsid w:val="0024244E"/>
    <w:rsid w:val="00242584"/>
    <w:rsid w:val="002427DF"/>
    <w:rsid w:val="00242AC2"/>
    <w:rsid w:val="00242E70"/>
    <w:rsid w:val="00242FF6"/>
    <w:rsid w:val="0024347D"/>
    <w:rsid w:val="00243495"/>
    <w:rsid w:val="00243668"/>
    <w:rsid w:val="0024386C"/>
    <w:rsid w:val="00243D4C"/>
    <w:rsid w:val="00244175"/>
    <w:rsid w:val="002445FA"/>
    <w:rsid w:val="00244604"/>
    <w:rsid w:val="0024460F"/>
    <w:rsid w:val="0024476E"/>
    <w:rsid w:val="00244A93"/>
    <w:rsid w:val="00244E2E"/>
    <w:rsid w:val="00244E73"/>
    <w:rsid w:val="00244ECC"/>
    <w:rsid w:val="0024515B"/>
    <w:rsid w:val="002451D7"/>
    <w:rsid w:val="002454CC"/>
    <w:rsid w:val="00245856"/>
    <w:rsid w:val="00245A86"/>
    <w:rsid w:val="002462BC"/>
    <w:rsid w:val="00246495"/>
    <w:rsid w:val="00246711"/>
    <w:rsid w:val="002468B5"/>
    <w:rsid w:val="00246AC0"/>
    <w:rsid w:val="002470BD"/>
    <w:rsid w:val="002471EF"/>
    <w:rsid w:val="00247227"/>
    <w:rsid w:val="0024755E"/>
    <w:rsid w:val="00247766"/>
    <w:rsid w:val="00247CB4"/>
    <w:rsid w:val="00247E5A"/>
    <w:rsid w:val="0025035E"/>
    <w:rsid w:val="0025109E"/>
    <w:rsid w:val="002514A5"/>
    <w:rsid w:val="00251A47"/>
    <w:rsid w:val="00251F1A"/>
    <w:rsid w:val="002526EF"/>
    <w:rsid w:val="00252804"/>
    <w:rsid w:val="0025288D"/>
    <w:rsid w:val="00252AD9"/>
    <w:rsid w:val="00252E60"/>
    <w:rsid w:val="00252F4D"/>
    <w:rsid w:val="00252FB6"/>
    <w:rsid w:val="002532A6"/>
    <w:rsid w:val="00253434"/>
    <w:rsid w:val="00253472"/>
    <w:rsid w:val="00253914"/>
    <w:rsid w:val="00253950"/>
    <w:rsid w:val="00253E0A"/>
    <w:rsid w:val="00253FCF"/>
    <w:rsid w:val="00254449"/>
    <w:rsid w:val="002544E8"/>
    <w:rsid w:val="0025473B"/>
    <w:rsid w:val="002548D2"/>
    <w:rsid w:val="00254B81"/>
    <w:rsid w:val="00254D1D"/>
    <w:rsid w:val="00254DFE"/>
    <w:rsid w:val="00254FCB"/>
    <w:rsid w:val="00255702"/>
    <w:rsid w:val="00255902"/>
    <w:rsid w:val="002559EB"/>
    <w:rsid w:val="00255AE0"/>
    <w:rsid w:val="0025675D"/>
    <w:rsid w:val="00256C4C"/>
    <w:rsid w:val="002576D4"/>
    <w:rsid w:val="00257971"/>
    <w:rsid w:val="00257CF9"/>
    <w:rsid w:val="002603A2"/>
    <w:rsid w:val="002604AB"/>
    <w:rsid w:val="002604E5"/>
    <w:rsid w:val="00260531"/>
    <w:rsid w:val="002607D1"/>
    <w:rsid w:val="00260840"/>
    <w:rsid w:val="00260857"/>
    <w:rsid w:val="00260B44"/>
    <w:rsid w:val="0026110C"/>
    <w:rsid w:val="0026119E"/>
    <w:rsid w:val="0026120D"/>
    <w:rsid w:val="0026142F"/>
    <w:rsid w:val="00261C62"/>
    <w:rsid w:val="00261E55"/>
    <w:rsid w:val="0026214D"/>
    <w:rsid w:val="0026221A"/>
    <w:rsid w:val="0026237B"/>
    <w:rsid w:val="002628B2"/>
    <w:rsid w:val="00262D57"/>
    <w:rsid w:val="00263094"/>
    <w:rsid w:val="00263257"/>
    <w:rsid w:val="0026376D"/>
    <w:rsid w:val="002638D8"/>
    <w:rsid w:val="00263ACD"/>
    <w:rsid w:val="00263E73"/>
    <w:rsid w:val="002647F0"/>
    <w:rsid w:val="0026481C"/>
    <w:rsid w:val="00264AAC"/>
    <w:rsid w:val="00264B53"/>
    <w:rsid w:val="00264CED"/>
    <w:rsid w:val="00264DB1"/>
    <w:rsid w:val="00264E4F"/>
    <w:rsid w:val="00264F3B"/>
    <w:rsid w:val="00265003"/>
    <w:rsid w:val="0026529E"/>
    <w:rsid w:val="00265382"/>
    <w:rsid w:val="00265C75"/>
    <w:rsid w:val="00266177"/>
    <w:rsid w:val="00266435"/>
    <w:rsid w:val="002665BD"/>
    <w:rsid w:val="00266912"/>
    <w:rsid w:val="00266D0F"/>
    <w:rsid w:val="0026703A"/>
    <w:rsid w:val="00267598"/>
    <w:rsid w:val="002678AC"/>
    <w:rsid w:val="002679E6"/>
    <w:rsid w:val="00267EEF"/>
    <w:rsid w:val="002704A1"/>
    <w:rsid w:val="00270710"/>
    <w:rsid w:val="002708A2"/>
    <w:rsid w:val="00270925"/>
    <w:rsid w:val="00270C05"/>
    <w:rsid w:val="00270D83"/>
    <w:rsid w:val="00270DBF"/>
    <w:rsid w:val="002714F7"/>
    <w:rsid w:val="00271699"/>
    <w:rsid w:val="00271719"/>
    <w:rsid w:val="00271787"/>
    <w:rsid w:val="002717E0"/>
    <w:rsid w:val="00271B52"/>
    <w:rsid w:val="00271E69"/>
    <w:rsid w:val="0027202D"/>
    <w:rsid w:val="00272661"/>
    <w:rsid w:val="00272CF2"/>
    <w:rsid w:val="00272FE7"/>
    <w:rsid w:val="0027369D"/>
    <w:rsid w:val="00273956"/>
    <w:rsid w:val="00273C6E"/>
    <w:rsid w:val="00273C77"/>
    <w:rsid w:val="00273DB0"/>
    <w:rsid w:val="00273F76"/>
    <w:rsid w:val="002742A4"/>
    <w:rsid w:val="002744AB"/>
    <w:rsid w:val="00274CEF"/>
    <w:rsid w:val="00274DA4"/>
    <w:rsid w:val="00274F47"/>
    <w:rsid w:val="0027507A"/>
    <w:rsid w:val="00275308"/>
    <w:rsid w:val="00275361"/>
    <w:rsid w:val="002753B6"/>
    <w:rsid w:val="0027546E"/>
    <w:rsid w:val="00275E8E"/>
    <w:rsid w:val="00275EA7"/>
    <w:rsid w:val="0027620D"/>
    <w:rsid w:val="0027659C"/>
    <w:rsid w:val="002768B7"/>
    <w:rsid w:val="00276A49"/>
    <w:rsid w:val="00276D8C"/>
    <w:rsid w:val="0027714D"/>
    <w:rsid w:val="0027729E"/>
    <w:rsid w:val="00277601"/>
    <w:rsid w:val="002776B0"/>
    <w:rsid w:val="00280438"/>
    <w:rsid w:val="002806EC"/>
    <w:rsid w:val="00280850"/>
    <w:rsid w:val="00280942"/>
    <w:rsid w:val="00280B67"/>
    <w:rsid w:val="00280D4C"/>
    <w:rsid w:val="002818A4"/>
    <w:rsid w:val="00281D50"/>
    <w:rsid w:val="00281D96"/>
    <w:rsid w:val="00281DDF"/>
    <w:rsid w:val="00281EC5"/>
    <w:rsid w:val="00281F0D"/>
    <w:rsid w:val="00281F4E"/>
    <w:rsid w:val="00282054"/>
    <w:rsid w:val="002825B4"/>
    <w:rsid w:val="00282612"/>
    <w:rsid w:val="00282627"/>
    <w:rsid w:val="002829CB"/>
    <w:rsid w:val="00282BA8"/>
    <w:rsid w:val="00282C4D"/>
    <w:rsid w:val="00283139"/>
    <w:rsid w:val="00283371"/>
    <w:rsid w:val="00283E92"/>
    <w:rsid w:val="00283F5A"/>
    <w:rsid w:val="002841C2"/>
    <w:rsid w:val="002843E3"/>
    <w:rsid w:val="00284799"/>
    <w:rsid w:val="00284DD6"/>
    <w:rsid w:val="00284E6B"/>
    <w:rsid w:val="00284F80"/>
    <w:rsid w:val="00285285"/>
    <w:rsid w:val="002854A6"/>
    <w:rsid w:val="0028568C"/>
    <w:rsid w:val="0028576D"/>
    <w:rsid w:val="00285A80"/>
    <w:rsid w:val="00285E8E"/>
    <w:rsid w:val="002863D9"/>
    <w:rsid w:val="00286485"/>
    <w:rsid w:val="00286566"/>
    <w:rsid w:val="0028660A"/>
    <w:rsid w:val="0028665F"/>
    <w:rsid w:val="002867E5"/>
    <w:rsid w:val="00286A11"/>
    <w:rsid w:val="00286EED"/>
    <w:rsid w:val="00287134"/>
    <w:rsid w:val="002877A5"/>
    <w:rsid w:val="00287811"/>
    <w:rsid w:val="0028781A"/>
    <w:rsid w:val="00287883"/>
    <w:rsid w:val="00287E06"/>
    <w:rsid w:val="00287F1B"/>
    <w:rsid w:val="00287FF1"/>
    <w:rsid w:val="00290188"/>
    <w:rsid w:val="00290387"/>
    <w:rsid w:val="00290442"/>
    <w:rsid w:val="00290746"/>
    <w:rsid w:val="00290768"/>
    <w:rsid w:val="00290872"/>
    <w:rsid w:val="00290C4C"/>
    <w:rsid w:val="00290D38"/>
    <w:rsid w:val="00290F18"/>
    <w:rsid w:val="00291147"/>
    <w:rsid w:val="002912EB"/>
    <w:rsid w:val="00291680"/>
    <w:rsid w:val="00291B9C"/>
    <w:rsid w:val="00291E74"/>
    <w:rsid w:val="002920A0"/>
    <w:rsid w:val="00292425"/>
    <w:rsid w:val="00292CA9"/>
    <w:rsid w:val="00292CC1"/>
    <w:rsid w:val="00293311"/>
    <w:rsid w:val="0029349E"/>
    <w:rsid w:val="00293545"/>
    <w:rsid w:val="0029366B"/>
    <w:rsid w:val="00293BF8"/>
    <w:rsid w:val="00293CDA"/>
    <w:rsid w:val="00293CE4"/>
    <w:rsid w:val="00293F4C"/>
    <w:rsid w:val="002940F1"/>
    <w:rsid w:val="002942D2"/>
    <w:rsid w:val="00294466"/>
    <w:rsid w:val="0029499A"/>
    <w:rsid w:val="00294B5C"/>
    <w:rsid w:val="00294DCD"/>
    <w:rsid w:val="0029529E"/>
    <w:rsid w:val="0029536E"/>
    <w:rsid w:val="002955CF"/>
    <w:rsid w:val="00295608"/>
    <w:rsid w:val="00295660"/>
    <w:rsid w:val="002957ED"/>
    <w:rsid w:val="00295972"/>
    <w:rsid w:val="00296119"/>
    <w:rsid w:val="0029613D"/>
    <w:rsid w:val="00296634"/>
    <w:rsid w:val="0029665F"/>
    <w:rsid w:val="002967BA"/>
    <w:rsid w:val="00296C62"/>
    <w:rsid w:val="00296F2B"/>
    <w:rsid w:val="002971A5"/>
    <w:rsid w:val="002974D3"/>
    <w:rsid w:val="002975FE"/>
    <w:rsid w:val="00297A06"/>
    <w:rsid w:val="00297C74"/>
    <w:rsid w:val="00297CC7"/>
    <w:rsid w:val="002A0093"/>
    <w:rsid w:val="002A0657"/>
    <w:rsid w:val="002A078B"/>
    <w:rsid w:val="002A093D"/>
    <w:rsid w:val="002A1083"/>
    <w:rsid w:val="002A15A2"/>
    <w:rsid w:val="002A1A33"/>
    <w:rsid w:val="002A1B31"/>
    <w:rsid w:val="002A1F68"/>
    <w:rsid w:val="002A1F81"/>
    <w:rsid w:val="002A22E4"/>
    <w:rsid w:val="002A284B"/>
    <w:rsid w:val="002A29BA"/>
    <w:rsid w:val="002A3018"/>
    <w:rsid w:val="002A317B"/>
    <w:rsid w:val="002A3200"/>
    <w:rsid w:val="002A3237"/>
    <w:rsid w:val="002A3916"/>
    <w:rsid w:val="002A39A9"/>
    <w:rsid w:val="002A3CE5"/>
    <w:rsid w:val="002A3D91"/>
    <w:rsid w:val="002A3ECC"/>
    <w:rsid w:val="002A3F5B"/>
    <w:rsid w:val="002A3F9D"/>
    <w:rsid w:val="002A468D"/>
    <w:rsid w:val="002A4BE3"/>
    <w:rsid w:val="002A4CB6"/>
    <w:rsid w:val="002A4DA6"/>
    <w:rsid w:val="002A4DBB"/>
    <w:rsid w:val="002A4E13"/>
    <w:rsid w:val="002A5194"/>
    <w:rsid w:val="002A525E"/>
    <w:rsid w:val="002A52B7"/>
    <w:rsid w:val="002A52D5"/>
    <w:rsid w:val="002A5467"/>
    <w:rsid w:val="002A5BE0"/>
    <w:rsid w:val="002A5D93"/>
    <w:rsid w:val="002A6312"/>
    <w:rsid w:val="002A637B"/>
    <w:rsid w:val="002A6477"/>
    <w:rsid w:val="002A64F3"/>
    <w:rsid w:val="002A691E"/>
    <w:rsid w:val="002A6939"/>
    <w:rsid w:val="002A69CD"/>
    <w:rsid w:val="002A6A3E"/>
    <w:rsid w:val="002A738E"/>
    <w:rsid w:val="002A79D6"/>
    <w:rsid w:val="002A7E83"/>
    <w:rsid w:val="002B03E8"/>
    <w:rsid w:val="002B043F"/>
    <w:rsid w:val="002B0778"/>
    <w:rsid w:val="002B07A7"/>
    <w:rsid w:val="002B0D9E"/>
    <w:rsid w:val="002B14E9"/>
    <w:rsid w:val="002B1830"/>
    <w:rsid w:val="002B1E63"/>
    <w:rsid w:val="002B1F9F"/>
    <w:rsid w:val="002B232B"/>
    <w:rsid w:val="002B2D33"/>
    <w:rsid w:val="002B34B6"/>
    <w:rsid w:val="002B355C"/>
    <w:rsid w:val="002B3D56"/>
    <w:rsid w:val="002B3FA6"/>
    <w:rsid w:val="002B43F9"/>
    <w:rsid w:val="002B46A8"/>
    <w:rsid w:val="002B4C52"/>
    <w:rsid w:val="002B4EC2"/>
    <w:rsid w:val="002B529E"/>
    <w:rsid w:val="002B54D9"/>
    <w:rsid w:val="002B5520"/>
    <w:rsid w:val="002B5596"/>
    <w:rsid w:val="002B55FD"/>
    <w:rsid w:val="002B5787"/>
    <w:rsid w:val="002B57E3"/>
    <w:rsid w:val="002B59B1"/>
    <w:rsid w:val="002B5DE0"/>
    <w:rsid w:val="002B601D"/>
    <w:rsid w:val="002B6BAE"/>
    <w:rsid w:val="002B6BD7"/>
    <w:rsid w:val="002B6E89"/>
    <w:rsid w:val="002B7423"/>
    <w:rsid w:val="002B7602"/>
    <w:rsid w:val="002B7764"/>
    <w:rsid w:val="002B7B28"/>
    <w:rsid w:val="002B7E5F"/>
    <w:rsid w:val="002B7E86"/>
    <w:rsid w:val="002B7F46"/>
    <w:rsid w:val="002B7F4D"/>
    <w:rsid w:val="002B7FD1"/>
    <w:rsid w:val="002C06ED"/>
    <w:rsid w:val="002C0C98"/>
    <w:rsid w:val="002C0EC3"/>
    <w:rsid w:val="002C0F73"/>
    <w:rsid w:val="002C12A3"/>
    <w:rsid w:val="002C1380"/>
    <w:rsid w:val="002C167F"/>
    <w:rsid w:val="002C19AD"/>
    <w:rsid w:val="002C1FEC"/>
    <w:rsid w:val="002C279A"/>
    <w:rsid w:val="002C359D"/>
    <w:rsid w:val="002C37B0"/>
    <w:rsid w:val="002C3946"/>
    <w:rsid w:val="002C3A22"/>
    <w:rsid w:val="002C3D87"/>
    <w:rsid w:val="002C3F36"/>
    <w:rsid w:val="002C3FEA"/>
    <w:rsid w:val="002C41D5"/>
    <w:rsid w:val="002C43D9"/>
    <w:rsid w:val="002C44EF"/>
    <w:rsid w:val="002C46CF"/>
    <w:rsid w:val="002C4719"/>
    <w:rsid w:val="002C5527"/>
    <w:rsid w:val="002C55EA"/>
    <w:rsid w:val="002C5B3D"/>
    <w:rsid w:val="002C5C4F"/>
    <w:rsid w:val="002C5D58"/>
    <w:rsid w:val="002C5E1E"/>
    <w:rsid w:val="002C6057"/>
    <w:rsid w:val="002C6439"/>
    <w:rsid w:val="002C709F"/>
    <w:rsid w:val="002C7237"/>
    <w:rsid w:val="002C739A"/>
    <w:rsid w:val="002C78D7"/>
    <w:rsid w:val="002C7A9D"/>
    <w:rsid w:val="002C7D66"/>
    <w:rsid w:val="002D00BC"/>
    <w:rsid w:val="002D036B"/>
    <w:rsid w:val="002D037A"/>
    <w:rsid w:val="002D057F"/>
    <w:rsid w:val="002D06F6"/>
    <w:rsid w:val="002D0AE0"/>
    <w:rsid w:val="002D0C89"/>
    <w:rsid w:val="002D0F38"/>
    <w:rsid w:val="002D154C"/>
    <w:rsid w:val="002D1927"/>
    <w:rsid w:val="002D1AB0"/>
    <w:rsid w:val="002D1E37"/>
    <w:rsid w:val="002D22AF"/>
    <w:rsid w:val="002D2AB7"/>
    <w:rsid w:val="002D335E"/>
    <w:rsid w:val="002D3C9E"/>
    <w:rsid w:val="002D3D0F"/>
    <w:rsid w:val="002D4042"/>
    <w:rsid w:val="002D4332"/>
    <w:rsid w:val="002D48DB"/>
    <w:rsid w:val="002D4D83"/>
    <w:rsid w:val="002D50B8"/>
    <w:rsid w:val="002D563F"/>
    <w:rsid w:val="002D57EB"/>
    <w:rsid w:val="002D59B4"/>
    <w:rsid w:val="002D68DD"/>
    <w:rsid w:val="002D6E46"/>
    <w:rsid w:val="002D727C"/>
    <w:rsid w:val="002D7375"/>
    <w:rsid w:val="002D75F6"/>
    <w:rsid w:val="002D7D74"/>
    <w:rsid w:val="002D7E87"/>
    <w:rsid w:val="002E0B44"/>
    <w:rsid w:val="002E0F74"/>
    <w:rsid w:val="002E0FAC"/>
    <w:rsid w:val="002E113D"/>
    <w:rsid w:val="002E19BF"/>
    <w:rsid w:val="002E1A75"/>
    <w:rsid w:val="002E1D85"/>
    <w:rsid w:val="002E1E6A"/>
    <w:rsid w:val="002E270F"/>
    <w:rsid w:val="002E28D9"/>
    <w:rsid w:val="002E2A8F"/>
    <w:rsid w:val="002E2B06"/>
    <w:rsid w:val="002E2F8F"/>
    <w:rsid w:val="002E32CB"/>
    <w:rsid w:val="002E3473"/>
    <w:rsid w:val="002E358F"/>
    <w:rsid w:val="002E35B3"/>
    <w:rsid w:val="002E3A9A"/>
    <w:rsid w:val="002E3DDD"/>
    <w:rsid w:val="002E4191"/>
    <w:rsid w:val="002E421C"/>
    <w:rsid w:val="002E44A0"/>
    <w:rsid w:val="002E452B"/>
    <w:rsid w:val="002E47D7"/>
    <w:rsid w:val="002E498E"/>
    <w:rsid w:val="002E4B2B"/>
    <w:rsid w:val="002E4B7A"/>
    <w:rsid w:val="002E5165"/>
    <w:rsid w:val="002E5322"/>
    <w:rsid w:val="002E5377"/>
    <w:rsid w:val="002E540C"/>
    <w:rsid w:val="002E5497"/>
    <w:rsid w:val="002E55E5"/>
    <w:rsid w:val="002E5656"/>
    <w:rsid w:val="002E56B2"/>
    <w:rsid w:val="002E6754"/>
    <w:rsid w:val="002E6C0E"/>
    <w:rsid w:val="002E6E1E"/>
    <w:rsid w:val="002E6EDA"/>
    <w:rsid w:val="002E6EE6"/>
    <w:rsid w:val="002E709D"/>
    <w:rsid w:val="002E7217"/>
    <w:rsid w:val="002E763F"/>
    <w:rsid w:val="002E78EE"/>
    <w:rsid w:val="002F0455"/>
    <w:rsid w:val="002F06FA"/>
    <w:rsid w:val="002F0798"/>
    <w:rsid w:val="002F0B37"/>
    <w:rsid w:val="002F0CEE"/>
    <w:rsid w:val="002F11B0"/>
    <w:rsid w:val="002F11C1"/>
    <w:rsid w:val="002F1432"/>
    <w:rsid w:val="002F1543"/>
    <w:rsid w:val="002F1CB4"/>
    <w:rsid w:val="002F264C"/>
    <w:rsid w:val="002F291C"/>
    <w:rsid w:val="002F298D"/>
    <w:rsid w:val="002F2BE7"/>
    <w:rsid w:val="002F2C6F"/>
    <w:rsid w:val="002F2CB9"/>
    <w:rsid w:val="002F2FAE"/>
    <w:rsid w:val="002F30D9"/>
    <w:rsid w:val="002F3187"/>
    <w:rsid w:val="002F3225"/>
    <w:rsid w:val="002F3329"/>
    <w:rsid w:val="002F33E3"/>
    <w:rsid w:val="002F3A13"/>
    <w:rsid w:val="002F3C37"/>
    <w:rsid w:val="002F3C38"/>
    <w:rsid w:val="002F3E38"/>
    <w:rsid w:val="002F4336"/>
    <w:rsid w:val="002F44EE"/>
    <w:rsid w:val="002F4520"/>
    <w:rsid w:val="002F4E7A"/>
    <w:rsid w:val="002F4EB7"/>
    <w:rsid w:val="002F5CC3"/>
    <w:rsid w:val="002F5DC9"/>
    <w:rsid w:val="002F6307"/>
    <w:rsid w:val="002F6406"/>
    <w:rsid w:val="002F6CE5"/>
    <w:rsid w:val="002F6F54"/>
    <w:rsid w:val="002F72D8"/>
    <w:rsid w:val="002F7445"/>
    <w:rsid w:val="002F74BC"/>
    <w:rsid w:val="002F7845"/>
    <w:rsid w:val="002F7A94"/>
    <w:rsid w:val="002F7AB3"/>
    <w:rsid w:val="002F7C8A"/>
    <w:rsid w:val="002F7E0A"/>
    <w:rsid w:val="002F7EBE"/>
    <w:rsid w:val="00300063"/>
    <w:rsid w:val="00300076"/>
    <w:rsid w:val="003001DF"/>
    <w:rsid w:val="003003A8"/>
    <w:rsid w:val="00300470"/>
    <w:rsid w:val="003009B0"/>
    <w:rsid w:val="00300CFB"/>
    <w:rsid w:val="003010B1"/>
    <w:rsid w:val="003014C6"/>
    <w:rsid w:val="00301600"/>
    <w:rsid w:val="003017C0"/>
    <w:rsid w:val="00301988"/>
    <w:rsid w:val="003019B0"/>
    <w:rsid w:val="00301FD3"/>
    <w:rsid w:val="00302787"/>
    <w:rsid w:val="00302CE6"/>
    <w:rsid w:val="00303109"/>
    <w:rsid w:val="0030317F"/>
    <w:rsid w:val="003037F3"/>
    <w:rsid w:val="0030389A"/>
    <w:rsid w:val="0030399B"/>
    <w:rsid w:val="00303C0C"/>
    <w:rsid w:val="00303FD5"/>
    <w:rsid w:val="00304527"/>
    <w:rsid w:val="0030458A"/>
    <w:rsid w:val="00304BCC"/>
    <w:rsid w:val="00304C2D"/>
    <w:rsid w:val="00304CEA"/>
    <w:rsid w:val="00304D03"/>
    <w:rsid w:val="00304E97"/>
    <w:rsid w:val="0030510C"/>
    <w:rsid w:val="0030546F"/>
    <w:rsid w:val="003054DB"/>
    <w:rsid w:val="00305537"/>
    <w:rsid w:val="0030596C"/>
    <w:rsid w:val="00305ACA"/>
    <w:rsid w:val="00305BEF"/>
    <w:rsid w:val="00305F00"/>
    <w:rsid w:val="00305F61"/>
    <w:rsid w:val="00305FD4"/>
    <w:rsid w:val="003060D9"/>
    <w:rsid w:val="0030613F"/>
    <w:rsid w:val="00306BD3"/>
    <w:rsid w:val="00306BEE"/>
    <w:rsid w:val="00306EB6"/>
    <w:rsid w:val="00306F1F"/>
    <w:rsid w:val="00307115"/>
    <w:rsid w:val="003071CD"/>
    <w:rsid w:val="003071F8"/>
    <w:rsid w:val="003073FE"/>
    <w:rsid w:val="00307754"/>
    <w:rsid w:val="0031001E"/>
    <w:rsid w:val="003101A6"/>
    <w:rsid w:val="00310224"/>
    <w:rsid w:val="00310489"/>
    <w:rsid w:val="00310B9A"/>
    <w:rsid w:val="00310C4C"/>
    <w:rsid w:val="00310D18"/>
    <w:rsid w:val="00310E8E"/>
    <w:rsid w:val="00311581"/>
    <w:rsid w:val="003115B9"/>
    <w:rsid w:val="003116BD"/>
    <w:rsid w:val="00311788"/>
    <w:rsid w:val="00311859"/>
    <w:rsid w:val="00311AA5"/>
    <w:rsid w:val="00311B71"/>
    <w:rsid w:val="00311E93"/>
    <w:rsid w:val="00311FD4"/>
    <w:rsid w:val="0031230B"/>
    <w:rsid w:val="0031233D"/>
    <w:rsid w:val="00312431"/>
    <w:rsid w:val="003125B6"/>
    <w:rsid w:val="0031276F"/>
    <w:rsid w:val="003129C8"/>
    <w:rsid w:val="00312DC1"/>
    <w:rsid w:val="00312E0B"/>
    <w:rsid w:val="00312E4E"/>
    <w:rsid w:val="0031310F"/>
    <w:rsid w:val="0031322F"/>
    <w:rsid w:val="00313292"/>
    <w:rsid w:val="003138B2"/>
    <w:rsid w:val="00313EA2"/>
    <w:rsid w:val="00313EBC"/>
    <w:rsid w:val="00314026"/>
    <w:rsid w:val="00314217"/>
    <w:rsid w:val="003142B5"/>
    <w:rsid w:val="003142E7"/>
    <w:rsid w:val="00314818"/>
    <w:rsid w:val="00314BFF"/>
    <w:rsid w:val="00314D30"/>
    <w:rsid w:val="00314F01"/>
    <w:rsid w:val="003151DB"/>
    <w:rsid w:val="00315315"/>
    <w:rsid w:val="003153F6"/>
    <w:rsid w:val="00315A8A"/>
    <w:rsid w:val="00315AA4"/>
    <w:rsid w:val="00315BF8"/>
    <w:rsid w:val="00315EBB"/>
    <w:rsid w:val="0031666C"/>
    <w:rsid w:val="00316799"/>
    <w:rsid w:val="00316A4B"/>
    <w:rsid w:val="00316DDA"/>
    <w:rsid w:val="00317103"/>
    <w:rsid w:val="00317248"/>
    <w:rsid w:val="00317323"/>
    <w:rsid w:val="003175CD"/>
    <w:rsid w:val="003176D0"/>
    <w:rsid w:val="00317AE4"/>
    <w:rsid w:val="00317D1D"/>
    <w:rsid w:val="00317F45"/>
    <w:rsid w:val="00320115"/>
    <w:rsid w:val="0032038C"/>
    <w:rsid w:val="00320810"/>
    <w:rsid w:val="00320A75"/>
    <w:rsid w:val="00320D1E"/>
    <w:rsid w:val="00320D7C"/>
    <w:rsid w:val="00320FB3"/>
    <w:rsid w:val="00320FE2"/>
    <w:rsid w:val="00321115"/>
    <w:rsid w:val="00321121"/>
    <w:rsid w:val="00321189"/>
    <w:rsid w:val="00321388"/>
    <w:rsid w:val="003214D0"/>
    <w:rsid w:val="00321531"/>
    <w:rsid w:val="0032154D"/>
    <w:rsid w:val="0032171A"/>
    <w:rsid w:val="00321960"/>
    <w:rsid w:val="00321CAE"/>
    <w:rsid w:val="00321D3C"/>
    <w:rsid w:val="00321FA2"/>
    <w:rsid w:val="003221D8"/>
    <w:rsid w:val="0032221A"/>
    <w:rsid w:val="0032241B"/>
    <w:rsid w:val="00322A6E"/>
    <w:rsid w:val="00322EDC"/>
    <w:rsid w:val="00322FF5"/>
    <w:rsid w:val="00323335"/>
    <w:rsid w:val="00323C11"/>
    <w:rsid w:val="00323C2B"/>
    <w:rsid w:val="00323F7A"/>
    <w:rsid w:val="00324018"/>
    <w:rsid w:val="00324233"/>
    <w:rsid w:val="00324608"/>
    <w:rsid w:val="00324759"/>
    <w:rsid w:val="00324BC9"/>
    <w:rsid w:val="00324FFF"/>
    <w:rsid w:val="00325222"/>
    <w:rsid w:val="0032536A"/>
    <w:rsid w:val="003253C8"/>
    <w:rsid w:val="00325471"/>
    <w:rsid w:val="003254EA"/>
    <w:rsid w:val="00325B39"/>
    <w:rsid w:val="00325C76"/>
    <w:rsid w:val="00325D3E"/>
    <w:rsid w:val="00326029"/>
    <w:rsid w:val="003260CB"/>
    <w:rsid w:val="003261E7"/>
    <w:rsid w:val="00326419"/>
    <w:rsid w:val="0032695D"/>
    <w:rsid w:val="00327139"/>
    <w:rsid w:val="00327D77"/>
    <w:rsid w:val="0033023A"/>
    <w:rsid w:val="0033025B"/>
    <w:rsid w:val="003306C8"/>
    <w:rsid w:val="00331226"/>
    <w:rsid w:val="003312EA"/>
    <w:rsid w:val="0033137B"/>
    <w:rsid w:val="003319F5"/>
    <w:rsid w:val="00331BD4"/>
    <w:rsid w:val="00331C6D"/>
    <w:rsid w:val="00331F3D"/>
    <w:rsid w:val="00332065"/>
    <w:rsid w:val="0033224E"/>
    <w:rsid w:val="00332330"/>
    <w:rsid w:val="00332C67"/>
    <w:rsid w:val="00332D72"/>
    <w:rsid w:val="00332F0E"/>
    <w:rsid w:val="003332D7"/>
    <w:rsid w:val="003337C5"/>
    <w:rsid w:val="00333A0D"/>
    <w:rsid w:val="00333C93"/>
    <w:rsid w:val="00333FCC"/>
    <w:rsid w:val="0033448C"/>
    <w:rsid w:val="003344F9"/>
    <w:rsid w:val="00334A8C"/>
    <w:rsid w:val="00334DC7"/>
    <w:rsid w:val="003355D9"/>
    <w:rsid w:val="0033564A"/>
    <w:rsid w:val="00335832"/>
    <w:rsid w:val="003358A7"/>
    <w:rsid w:val="003359A7"/>
    <w:rsid w:val="00335A06"/>
    <w:rsid w:val="00335A14"/>
    <w:rsid w:val="00335B53"/>
    <w:rsid w:val="00335DA5"/>
    <w:rsid w:val="003360FE"/>
    <w:rsid w:val="0033672C"/>
    <w:rsid w:val="0033673F"/>
    <w:rsid w:val="00336759"/>
    <w:rsid w:val="003367A0"/>
    <w:rsid w:val="00336923"/>
    <w:rsid w:val="003369BC"/>
    <w:rsid w:val="003369F4"/>
    <w:rsid w:val="00336ABB"/>
    <w:rsid w:val="00336F89"/>
    <w:rsid w:val="00337270"/>
    <w:rsid w:val="003373B0"/>
    <w:rsid w:val="00337510"/>
    <w:rsid w:val="0033765D"/>
    <w:rsid w:val="00337A60"/>
    <w:rsid w:val="003402D4"/>
    <w:rsid w:val="00340470"/>
    <w:rsid w:val="0034089A"/>
    <w:rsid w:val="00340B68"/>
    <w:rsid w:val="00340C16"/>
    <w:rsid w:val="00340E0A"/>
    <w:rsid w:val="0034112F"/>
    <w:rsid w:val="003411A8"/>
    <w:rsid w:val="00341567"/>
    <w:rsid w:val="003415F8"/>
    <w:rsid w:val="00341AAE"/>
    <w:rsid w:val="00341F6F"/>
    <w:rsid w:val="003420A6"/>
    <w:rsid w:val="003421AA"/>
    <w:rsid w:val="00342327"/>
    <w:rsid w:val="003427A6"/>
    <w:rsid w:val="00342896"/>
    <w:rsid w:val="00342A09"/>
    <w:rsid w:val="00342E68"/>
    <w:rsid w:val="00343186"/>
    <w:rsid w:val="00343259"/>
    <w:rsid w:val="003433B7"/>
    <w:rsid w:val="0034386D"/>
    <w:rsid w:val="00343E7A"/>
    <w:rsid w:val="003441F2"/>
    <w:rsid w:val="00344453"/>
    <w:rsid w:val="00344464"/>
    <w:rsid w:val="00344582"/>
    <w:rsid w:val="00344A26"/>
    <w:rsid w:val="00344CC1"/>
    <w:rsid w:val="0034547D"/>
    <w:rsid w:val="0034569E"/>
    <w:rsid w:val="00346C8F"/>
    <w:rsid w:val="0034731A"/>
    <w:rsid w:val="00347335"/>
    <w:rsid w:val="003473E8"/>
    <w:rsid w:val="003474CF"/>
    <w:rsid w:val="00347597"/>
    <w:rsid w:val="003478EC"/>
    <w:rsid w:val="00347B45"/>
    <w:rsid w:val="00347DE5"/>
    <w:rsid w:val="00347FBD"/>
    <w:rsid w:val="003500A2"/>
    <w:rsid w:val="00350287"/>
    <w:rsid w:val="003505B4"/>
    <w:rsid w:val="003505CB"/>
    <w:rsid w:val="0035099E"/>
    <w:rsid w:val="00351120"/>
    <w:rsid w:val="00351156"/>
    <w:rsid w:val="00351269"/>
    <w:rsid w:val="003520F6"/>
    <w:rsid w:val="00352541"/>
    <w:rsid w:val="0035289E"/>
    <w:rsid w:val="00352D19"/>
    <w:rsid w:val="00352F3C"/>
    <w:rsid w:val="00352FC1"/>
    <w:rsid w:val="003533DA"/>
    <w:rsid w:val="00353AA5"/>
    <w:rsid w:val="00353AF7"/>
    <w:rsid w:val="00353D1B"/>
    <w:rsid w:val="00353F3B"/>
    <w:rsid w:val="00354455"/>
    <w:rsid w:val="00354894"/>
    <w:rsid w:val="00354CC2"/>
    <w:rsid w:val="00354F4B"/>
    <w:rsid w:val="00355449"/>
    <w:rsid w:val="00355C77"/>
    <w:rsid w:val="00355C9B"/>
    <w:rsid w:val="00355CC8"/>
    <w:rsid w:val="0035604F"/>
    <w:rsid w:val="00356190"/>
    <w:rsid w:val="0035620D"/>
    <w:rsid w:val="0035638F"/>
    <w:rsid w:val="003564D0"/>
    <w:rsid w:val="003565E8"/>
    <w:rsid w:val="0035682A"/>
    <w:rsid w:val="00356B07"/>
    <w:rsid w:val="00356B9E"/>
    <w:rsid w:val="00356CF2"/>
    <w:rsid w:val="00356F79"/>
    <w:rsid w:val="00356F89"/>
    <w:rsid w:val="0035707C"/>
    <w:rsid w:val="00357103"/>
    <w:rsid w:val="00357111"/>
    <w:rsid w:val="0035711D"/>
    <w:rsid w:val="0035745F"/>
    <w:rsid w:val="003575AB"/>
    <w:rsid w:val="003575F9"/>
    <w:rsid w:val="0035772C"/>
    <w:rsid w:val="003578A3"/>
    <w:rsid w:val="00357A7C"/>
    <w:rsid w:val="00357AE0"/>
    <w:rsid w:val="00357B95"/>
    <w:rsid w:val="00360853"/>
    <w:rsid w:val="00360B7D"/>
    <w:rsid w:val="00360ED5"/>
    <w:rsid w:val="003616B5"/>
    <w:rsid w:val="0036174B"/>
    <w:rsid w:val="00361BE8"/>
    <w:rsid w:val="00361D5B"/>
    <w:rsid w:val="00361FA5"/>
    <w:rsid w:val="00361FFD"/>
    <w:rsid w:val="0036205A"/>
    <w:rsid w:val="003620D1"/>
    <w:rsid w:val="003621E4"/>
    <w:rsid w:val="00362450"/>
    <w:rsid w:val="003626D0"/>
    <w:rsid w:val="00362E15"/>
    <w:rsid w:val="00363031"/>
    <w:rsid w:val="003631D6"/>
    <w:rsid w:val="00363225"/>
    <w:rsid w:val="00363408"/>
    <w:rsid w:val="00363578"/>
    <w:rsid w:val="003635F9"/>
    <w:rsid w:val="00363632"/>
    <w:rsid w:val="0036375E"/>
    <w:rsid w:val="00363D88"/>
    <w:rsid w:val="00363E16"/>
    <w:rsid w:val="0036404B"/>
    <w:rsid w:val="003641B5"/>
    <w:rsid w:val="0036436A"/>
    <w:rsid w:val="00364671"/>
    <w:rsid w:val="00364786"/>
    <w:rsid w:val="00364880"/>
    <w:rsid w:val="00364884"/>
    <w:rsid w:val="00365071"/>
    <w:rsid w:val="00365E13"/>
    <w:rsid w:val="003664A6"/>
    <w:rsid w:val="00366783"/>
    <w:rsid w:val="00366D95"/>
    <w:rsid w:val="00366FEC"/>
    <w:rsid w:val="0036747F"/>
    <w:rsid w:val="00367666"/>
    <w:rsid w:val="003676C5"/>
    <w:rsid w:val="003676DA"/>
    <w:rsid w:val="00367824"/>
    <w:rsid w:val="00367851"/>
    <w:rsid w:val="0036795B"/>
    <w:rsid w:val="0036795E"/>
    <w:rsid w:val="00367B3F"/>
    <w:rsid w:val="00367B6B"/>
    <w:rsid w:val="00367D9D"/>
    <w:rsid w:val="003701B3"/>
    <w:rsid w:val="00370944"/>
    <w:rsid w:val="00371222"/>
    <w:rsid w:val="00371593"/>
    <w:rsid w:val="00371733"/>
    <w:rsid w:val="003717CB"/>
    <w:rsid w:val="003717DA"/>
    <w:rsid w:val="003717F1"/>
    <w:rsid w:val="00371824"/>
    <w:rsid w:val="00371873"/>
    <w:rsid w:val="00371B62"/>
    <w:rsid w:val="00371BCD"/>
    <w:rsid w:val="003720EC"/>
    <w:rsid w:val="0037257A"/>
    <w:rsid w:val="003727DE"/>
    <w:rsid w:val="003728C1"/>
    <w:rsid w:val="00372C3E"/>
    <w:rsid w:val="00372E58"/>
    <w:rsid w:val="0037316C"/>
    <w:rsid w:val="00373413"/>
    <w:rsid w:val="0037348D"/>
    <w:rsid w:val="00373780"/>
    <w:rsid w:val="00373935"/>
    <w:rsid w:val="0037399B"/>
    <w:rsid w:val="00373B8C"/>
    <w:rsid w:val="00373BDC"/>
    <w:rsid w:val="00373C78"/>
    <w:rsid w:val="00373D9E"/>
    <w:rsid w:val="00373FB4"/>
    <w:rsid w:val="00373FB5"/>
    <w:rsid w:val="003742CF"/>
    <w:rsid w:val="003744D7"/>
    <w:rsid w:val="003745B0"/>
    <w:rsid w:val="00374C85"/>
    <w:rsid w:val="00374D24"/>
    <w:rsid w:val="00375A24"/>
    <w:rsid w:val="0037624B"/>
    <w:rsid w:val="003762CD"/>
    <w:rsid w:val="003763E0"/>
    <w:rsid w:val="003765B6"/>
    <w:rsid w:val="0037673A"/>
    <w:rsid w:val="0037685F"/>
    <w:rsid w:val="00376AA2"/>
    <w:rsid w:val="003770E3"/>
    <w:rsid w:val="003774F4"/>
    <w:rsid w:val="00377C39"/>
    <w:rsid w:val="00377C4B"/>
    <w:rsid w:val="00377D99"/>
    <w:rsid w:val="00377E82"/>
    <w:rsid w:val="0038008F"/>
    <w:rsid w:val="0038028D"/>
    <w:rsid w:val="0038034D"/>
    <w:rsid w:val="00380477"/>
    <w:rsid w:val="00380692"/>
    <w:rsid w:val="003806BB"/>
    <w:rsid w:val="003808C8"/>
    <w:rsid w:val="003809CB"/>
    <w:rsid w:val="00380BD8"/>
    <w:rsid w:val="00380C0C"/>
    <w:rsid w:val="00380D26"/>
    <w:rsid w:val="0038141E"/>
    <w:rsid w:val="0038208C"/>
    <w:rsid w:val="00382333"/>
    <w:rsid w:val="0038240B"/>
    <w:rsid w:val="003824B9"/>
    <w:rsid w:val="0038261C"/>
    <w:rsid w:val="00382939"/>
    <w:rsid w:val="003829D2"/>
    <w:rsid w:val="00382A36"/>
    <w:rsid w:val="00382A6F"/>
    <w:rsid w:val="00382C49"/>
    <w:rsid w:val="003832D3"/>
    <w:rsid w:val="003834DD"/>
    <w:rsid w:val="00383955"/>
    <w:rsid w:val="003839CF"/>
    <w:rsid w:val="00383A07"/>
    <w:rsid w:val="003840CF"/>
    <w:rsid w:val="003840D0"/>
    <w:rsid w:val="003843A2"/>
    <w:rsid w:val="00384F7C"/>
    <w:rsid w:val="0038563B"/>
    <w:rsid w:val="0038571E"/>
    <w:rsid w:val="00385D37"/>
    <w:rsid w:val="00385F83"/>
    <w:rsid w:val="00385FB6"/>
    <w:rsid w:val="00385FF1"/>
    <w:rsid w:val="00386152"/>
    <w:rsid w:val="003861E0"/>
    <w:rsid w:val="00386253"/>
    <w:rsid w:val="00386ED1"/>
    <w:rsid w:val="00386F33"/>
    <w:rsid w:val="00387205"/>
    <w:rsid w:val="00387688"/>
    <w:rsid w:val="003876BF"/>
    <w:rsid w:val="00387898"/>
    <w:rsid w:val="00387AC6"/>
    <w:rsid w:val="00387C82"/>
    <w:rsid w:val="00387EB8"/>
    <w:rsid w:val="00390112"/>
    <w:rsid w:val="00390AAF"/>
    <w:rsid w:val="00390E7C"/>
    <w:rsid w:val="00390E94"/>
    <w:rsid w:val="00390F47"/>
    <w:rsid w:val="003910F7"/>
    <w:rsid w:val="003919CB"/>
    <w:rsid w:val="00392042"/>
    <w:rsid w:val="00392081"/>
    <w:rsid w:val="0039225B"/>
    <w:rsid w:val="00392D3E"/>
    <w:rsid w:val="00392E10"/>
    <w:rsid w:val="00393252"/>
    <w:rsid w:val="0039371B"/>
    <w:rsid w:val="00393836"/>
    <w:rsid w:val="00394129"/>
    <w:rsid w:val="0039495A"/>
    <w:rsid w:val="00394C1F"/>
    <w:rsid w:val="00394FF7"/>
    <w:rsid w:val="003952DB"/>
    <w:rsid w:val="00395599"/>
    <w:rsid w:val="003955D5"/>
    <w:rsid w:val="00395A63"/>
    <w:rsid w:val="00395B2D"/>
    <w:rsid w:val="00395B33"/>
    <w:rsid w:val="00395C26"/>
    <w:rsid w:val="0039606B"/>
    <w:rsid w:val="003962CA"/>
    <w:rsid w:val="003967B1"/>
    <w:rsid w:val="0039695B"/>
    <w:rsid w:val="003971AB"/>
    <w:rsid w:val="003971E3"/>
    <w:rsid w:val="0039726B"/>
    <w:rsid w:val="0039730E"/>
    <w:rsid w:val="00397532"/>
    <w:rsid w:val="003975E9"/>
    <w:rsid w:val="0039772A"/>
    <w:rsid w:val="00397AB4"/>
    <w:rsid w:val="00397D8A"/>
    <w:rsid w:val="00397DB9"/>
    <w:rsid w:val="00397E55"/>
    <w:rsid w:val="00397F8B"/>
    <w:rsid w:val="0039A463"/>
    <w:rsid w:val="003A0163"/>
    <w:rsid w:val="003A01EB"/>
    <w:rsid w:val="003A0495"/>
    <w:rsid w:val="003A073B"/>
    <w:rsid w:val="003A078C"/>
    <w:rsid w:val="003A086C"/>
    <w:rsid w:val="003A08F5"/>
    <w:rsid w:val="003A0C81"/>
    <w:rsid w:val="003A0CFC"/>
    <w:rsid w:val="003A1064"/>
    <w:rsid w:val="003A1254"/>
    <w:rsid w:val="003A1433"/>
    <w:rsid w:val="003A1644"/>
    <w:rsid w:val="003A1A49"/>
    <w:rsid w:val="003A1B65"/>
    <w:rsid w:val="003A1BB6"/>
    <w:rsid w:val="003A1EF2"/>
    <w:rsid w:val="003A203D"/>
    <w:rsid w:val="003A215F"/>
    <w:rsid w:val="003A23D8"/>
    <w:rsid w:val="003A2A2F"/>
    <w:rsid w:val="003A30CF"/>
    <w:rsid w:val="003A3184"/>
    <w:rsid w:val="003A34EE"/>
    <w:rsid w:val="003A3531"/>
    <w:rsid w:val="003A3680"/>
    <w:rsid w:val="003A3947"/>
    <w:rsid w:val="003A395A"/>
    <w:rsid w:val="003A3A14"/>
    <w:rsid w:val="003A3EE4"/>
    <w:rsid w:val="003A3F07"/>
    <w:rsid w:val="003A4076"/>
    <w:rsid w:val="003A44A0"/>
    <w:rsid w:val="003A44A1"/>
    <w:rsid w:val="003A45EF"/>
    <w:rsid w:val="003A47F2"/>
    <w:rsid w:val="003A4B21"/>
    <w:rsid w:val="003A4C78"/>
    <w:rsid w:val="003A538E"/>
    <w:rsid w:val="003A544C"/>
    <w:rsid w:val="003A5496"/>
    <w:rsid w:val="003A567E"/>
    <w:rsid w:val="003A59C7"/>
    <w:rsid w:val="003A622F"/>
    <w:rsid w:val="003A6332"/>
    <w:rsid w:val="003A64AD"/>
    <w:rsid w:val="003A694A"/>
    <w:rsid w:val="003A6A7A"/>
    <w:rsid w:val="003A6B19"/>
    <w:rsid w:val="003A6C3A"/>
    <w:rsid w:val="003A6CB3"/>
    <w:rsid w:val="003A6FD5"/>
    <w:rsid w:val="003A70F9"/>
    <w:rsid w:val="003A719F"/>
    <w:rsid w:val="003A7418"/>
    <w:rsid w:val="003A752F"/>
    <w:rsid w:val="003A7AE4"/>
    <w:rsid w:val="003A7BDC"/>
    <w:rsid w:val="003A7C62"/>
    <w:rsid w:val="003A7FFA"/>
    <w:rsid w:val="003B0068"/>
    <w:rsid w:val="003B04D0"/>
    <w:rsid w:val="003B0595"/>
    <w:rsid w:val="003B05AB"/>
    <w:rsid w:val="003B0916"/>
    <w:rsid w:val="003B09BA"/>
    <w:rsid w:val="003B0ACB"/>
    <w:rsid w:val="003B0BF2"/>
    <w:rsid w:val="003B0CC6"/>
    <w:rsid w:val="003B0CEF"/>
    <w:rsid w:val="003B0EB5"/>
    <w:rsid w:val="003B0FA3"/>
    <w:rsid w:val="003B1000"/>
    <w:rsid w:val="003B17AA"/>
    <w:rsid w:val="003B19A9"/>
    <w:rsid w:val="003B1BDF"/>
    <w:rsid w:val="003B1DB2"/>
    <w:rsid w:val="003B229D"/>
    <w:rsid w:val="003B22F3"/>
    <w:rsid w:val="003B24C4"/>
    <w:rsid w:val="003B251E"/>
    <w:rsid w:val="003B25F8"/>
    <w:rsid w:val="003B277C"/>
    <w:rsid w:val="003B2C01"/>
    <w:rsid w:val="003B31B7"/>
    <w:rsid w:val="003B3200"/>
    <w:rsid w:val="003B3431"/>
    <w:rsid w:val="003B347B"/>
    <w:rsid w:val="003B3655"/>
    <w:rsid w:val="003B3699"/>
    <w:rsid w:val="003B3A3A"/>
    <w:rsid w:val="003B3F2E"/>
    <w:rsid w:val="003B463F"/>
    <w:rsid w:val="003B477F"/>
    <w:rsid w:val="003B48D3"/>
    <w:rsid w:val="003B4AB4"/>
    <w:rsid w:val="003B4B47"/>
    <w:rsid w:val="003B4D87"/>
    <w:rsid w:val="003B4E88"/>
    <w:rsid w:val="003B534A"/>
    <w:rsid w:val="003B5373"/>
    <w:rsid w:val="003B53C6"/>
    <w:rsid w:val="003B5BA2"/>
    <w:rsid w:val="003B5CFE"/>
    <w:rsid w:val="003B61F8"/>
    <w:rsid w:val="003B620D"/>
    <w:rsid w:val="003B6380"/>
    <w:rsid w:val="003B63D2"/>
    <w:rsid w:val="003B642A"/>
    <w:rsid w:val="003B6AAD"/>
    <w:rsid w:val="003B6ACB"/>
    <w:rsid w:val="003B6D2B"/>
    <w:rsid w:val="003B7216"/>
    <w:rsid w:val="003B7282"/>
    <w:rsid w:val="003B74E0"/>
    <w:rsid w:val="003B77F9"/>
    <w:rsid w:val="003B7A19"/>
    <w:rsid w:val="003B7A6F"/>
    <w:rsid w:val="003B7D96"/>
    <w:rsid w:val="003C0114"/>
    <w:rsid w:val="003C07A1"/>
    <w:rsid w:val="003C0817"/>
    <w:rsid w:val="003C0867"/>
    <w:rsid w:val="003C13A5"/>
    <w:rsid w:val="003C13CE"/>
    <w:rsid w:val="003C16FA"/>
    <w:rsid w:val="003C17ED"/>
    <w:rsid w:val="003C1A12"/>
    <w:rsid w:val="003C1B8F"/>
    <w:rsid w:val="003C2361"/>
    <w:rsid w:val="003C2B58"/>
    <w:rsid w:val="003C2E9A"/>
    <w:rsid w:val="003C3360"/>
    <w:rsid w:val="003C38F7"/>
    <w:rsid w:val="003C38F8"/>
    <w:rsid w:val="003C4135"/>
    <w:rsid w:val="003C42A6"/>
    <w:rsid w:val="003C447B"/>
    <w:rsid w:val="003C45A4"/>
    <w:rsid w:val="003C475A"/>
    <w:rsid w:val="003C4896"/>
    <w:rsid w:val="003C4B6C"/>
    <w:rsid w:val="003C4C9A"/>
    <w:rsid w:val="003C4E90"/>
    <w:rsid w:val="003C4EC6"/>
    <w:rsid w:val="003C5093"/>
    <w:rsid w:val="003C58AE"/>
    <w:rsid w:val="003C59AB"/>
    <w:rsid w:val="003C5ACB"/>
    <w:rsid w:val="003C5C5D"/>
    <w:rsid w:val="003C5C85"/>
    <w:rsid w:val="003C5E6F"/>
    <w:rsid w:val="003C60F6"/>
    <w:rsid w:val="003C62AA"/>
    <w:rsid w:val="003C68FE"/>
    <w:rsid w:val="003C6DE0"/>
    <w:rsid w:val="003C6E3F"/>
    <w:rsid w:val="003C6FED"/>
    <w:rsid w:val="003C70BE"/>
    <w:rsid w:val="003C70D4"/>
    <w:rsid w:val="003C7566"/>
    <w:rsid w:val="003C7956"/>
    <w:rsid w:val="003C79B1"/>
    <w:rsid w:val="003C7A5F"/>
    <w:rsid w:val="003D0265"/>
    <w:rsid w:val="003D063A"/>
    <w:rsid w:val="003D06C7"/>
    <w:rsid w:val="003D0A20"/>
    <w:rsid w:val="003D0B35"/>
    <w:rsid w:val="003D0BAF"/>
    <w:rsid w:val="003D12FE"/>
    <w:rsid w:val="003D138B"/>
    <w:rsid w:val="003D19B8"/>
    <w:rsid w:val="003D19E4"/>
    <w:rsid w:val="003D1A4D"/>
    <w:rsid w:val="003D1A97"/>
    <w:rsid w:val="003D1F99"/>
    <w:rsid w:val="003D2205"/>
    <w:rsid w:val="003D23E6"/>
    <w:rsid w:val="003D254D"/>
    <w:rsid w:val="003D2AAC"/>
    <w:rsid w:val="003D2E71"/>
    <w:rsid w:val="003D32B0"/>
    <w:rsid w:val="003D35A3"/>
    <w:rsid w:val="003D36AE"/>
    <w:rsid w:val="003D36E7"/>
    <w:rsid w:val="003D499E"/>
    <w:rsid w:val="003D49AD"/>
    <w:rsid w:val="003D4AD9"/>
    <w:rsid w:val="003D4B9D"/>
    <w:rsid w:val="003D4F0B"/>
    <w:rsid w:val="003D4F39"/>
    <w:rsid w:val="003D5CC7"/>
    <w:rsid w:val="003D5F89"/>
    <w:rsid w:val="003D617C"/>
    <w:rsid w:val="003D617E"/>
    <w:rsid w:val="003D62C5"/>
    <w:rsid w:val="003D6462"/>
    <w:rsid w:val="003D6A54"/>
    <w:rsid w:val="003D6E49"/>
    <w:rsid w:val="003D701B"/>
    <w:rsid w:val="003D722B"/>
    <w:rsid w:val="003D74EF"/>
    <w:rsid w:val="003D78EB"/>
    <w:rsid w:val="003D7A68"/>
    <w:rsid w:val="003D7B00"/>
    <w:rsid w:val="003E0148"/>
    <w:rsid w:val="003E01A9"/>
    <w:rsid w:val="003E01D4"/>
    <w:rsid w:val="003E0234"/>
    <w:rsid w:val="003E02C7"/>
    <w:rsid w:val="003E04CA"/>
    <w:rsid w:val="003E07FF"/>
    <w:rsid w:val="003E0836"/>
    <w:rsid w:val="003E0857"/>
    <w:rsid w:val="003E08C1"/>
    <w:rsid w:val="003E0999"/>
    <w:rsid w:val="003E0DF4"/>
    <w:rsid w:val="003E0DF5"/>
    <w:rsid w:val="003E10DE"/>
    <w:rsid w:val="003E14CF"/>
    <w:rsid w:val="003E19B1"/>
    <w:rsid w:val="003E208B"/>
    <w:rsid w:val="003E27B5"/>
    <w:rsid w:val="003E2A53"/>
    <w:rsid w:val="003E2EE0"/>
    <w:rsid w:val="003E33DC"/>
    <w:rsid w:val="003E3750"/>
    <w:rsid w:val="003E376F"/>
    <w:rsid w:val="003E3CBE"/>
    <w:rsid w:val="003E4041"/>
    <w:rsid w:val="003E42BD"/>
    <w:rsid w:val="003E44B5"/>
    <w:rsid w:val="003E4A6A"/>
    <w:rsid w:val="003E4F30"/>
    <w:rsid w:val="003E4F9E"/>
    <w:rsid w:val="003E54A4"/>
    <w:rsid w:val="003E551F"/>
    <w:rsid w:val="003E552D"/>
    <w:rsid w:val="003E55A0"/>
    <w:rsid w:val="003E55C5"/>
    <w:rsid w:val="003E55DA"/>
    <w:rsid w:val="003E56C1"/>
    <w:rsid w:val="003E57E8"/>
    <w:rsid w:val="003E5946"/>
    <w:rsid w:val="003E5FF6"/>
    <w:rsid w:val="003E617D"/>
    <w:rsid w:val="003E6303"/>
    <w:rsid w:val="003E6435"/>
    <w:rsid w:val="003E66DF"/>
    <w:rsid w:val="003E6781"/>
    <w:rsid w:val="003E6CCD"/>
    <w:rsid w:val="003E6E7C"/>
    <w:rsid w:val="003E7683"/>
    <w:rsid w:val="003E79F1"/>
    <w:rsid w:val="003F0188"/>
    <w:rsid w:val="003F0432"/>
    <w:rsid w:val="003F045A"/>
    <w:rsid w:val="003F06D9"/>
    <w:rsid w:val="003F072D"/>
    <w:rsid w:val="003F07D1"/>
    <w:rsid w:val="003F0917"/>
    <w:rsid w:val="003F09BC"/>
    <w:rsid w:val="003F0FC7"/>
    <w:rsid w:val="003F117B"/>
    <w:rsid w:val="003F127E"/>
    <w:rsid w:val="003F1294"/>
    <w:rsid w:val="003F1380"/>
    <w:rsid w:val="003F138E"/>
    <w:rsid w:val="003F13EB"/>
    <w:rsid w:val="003F19A2"/>
    <w:rsid w:val="003F1D1B"/>
    <w:rsid w:val="003F20C5"/>
    <w:rsid w:val="003F25A6"/>
    <w:rsid w:val="003F2826"/>
    <w:rsid w:val="003F2BFD"/>
    <w:rsid w:val="003F2C73"/>
    <w:rsid w:val="003F2CB9"/>
    <w:rsid w:val="003F2F7B"/>
    <w:rsid w:val="003F3136"/>
    <w:rsid w:val="003F324A"/>
    <w:rsid w:val="003F3A98"/>
    <w:rsid w:val="003F3DB8"/>
    <w:rsid w:val="003F3DE6"/>
    <w:rsid w:val="003F3F56"/>
    <w:rsid w:val="003F414C"/>
    <w:rsid w:val="003F41D8"/>
    <w:rsid w:val="003F482E"/>
    <w:rsid w:val="003F4914"/>
    <w:rsid w:val="003F4939"/>
    <w:rsid w:val="003F4C83"/>
    <w:rsid w:val="003F4CAE"/>
    <w:rsid w:val="003F4CC4"/>
    <w:rsid w:val="003F4D58"/>
    <w:rsid w:val="003F4DD9"/>
    <w:rsid w:val="003F50FF"/>
    <w:rsid w:val="003F5394"/>
    <w:rsid w:val="003F5627"/>
    <w:rsid w:val="003F56AE"/>
    <w:rsid w:val="003F58E2"/>
    <w:rsid w:val="003F5F6B"/>
    <w:rsid w:val="003F64F4"/>
    <w:rsid w:val="003F6874"/>
    <w:rsid w:val="003F6883"/>
    <w:rsid w:val="003F6E84"/>
    <w:rsid w:val="003F6EFC"/>
    <w:rsid w:val="003F71F9"/>
    <w:rsid w:val="003F7325"/>
    <w:rsid w:val="003F74C3"/>
    <w:rsid w:val="003F75A8"/>
    <w:rsid w:val="003F77C1"/>
    <w:rsid w:val="003F7F16"/>
    <w:rsid w:val="00400494"/>
    <w:rsid w:val="0040049E"/>
    <w:rsid w:val="00400533"/>
    <w:rsid w:val="004006B4"/>
    <w:rsid w:val="0040079C"/>
    <w:rsid w:val="00400914"/>
    <w:rsid w:val="00400972"/>
    <w:rsid w:val="004009DF"/>
    <w:rsid w:val="00400AF0"/>
    <w:rsid w:val="00400B01"/>
    <w:rsid w:val="00400C5A"/>
    <w:rsid w:val="00400CF4"/>
    <w:rsid w:val="00400DE1"/>
    <w:rsid w:val="00401155"/>
    <w:rsid w:val="00401217"/>
    <w:rsid w:val="004013DE"/>
    <w:rsid w:val="0040159C"/>
    <w:rsid w:val="0040189D"/>
    <w:rsid w:val="0040198D"/>
    <w:rsid w:val="00401CF8"/>
    <w:rsid w:val="00401D8C"/>
    <w:rsid w:val="00401E66"/>
    <w:rsid w:val="0040205F"/>
    <w:rsid w:val="00402178"/>
    <w:rsid w:val="00402481"/>
    <w:rsid w:val="00402553"/>
    <w:rsid w:val="004025ED"/>
    <w:rsid w:val="004025F6"/>
    <w:rsid w:val="004029FA"/>
    <w:rsid w:val="00402A23"/>
    <w:rsid w:val="00402A4C"/>
    <w:rsid w:val="00402BDF"/>
    <w:rsid w:val="00403283"/>
    <w:rsid w:val="004033D2"/>
    <w:rsid w:val="004034DD"/>
    <w:rsid w:val="004036F1"/>
    <w:rsid w:val="00403E01"/>
    <w:rsid w:val="00403E71"/>
    <w:rsid w:val="00404069"/>
    <w:rsid w:val="00404347"/>
    <w:rsid w:val="00404362"/>
    <w:rsid w:val="00404489"/>
    <w:rsid w:val="00404B9B"/>
    <w:rsid w:val="00404C3E"/>
    <w:rsid w:val="00404D99"/>
    <w:rsid w:val="00405298"/>
    <w:rsid w:val="004055F1"/>
    <w:rsid w:val="004057C9"/>
    <w:rsid w:val="004058E9"/>
    <w:rsid w:val="00405A55"/>
    <w:rsid w:val="00405A91"/>
    <w:rsid w:val="00405C86"/>
    <w:rsid w:val="00406A18"/>
    <w:rsid w:val="00406BAD"/>
    <w:rsid w:val="0040725C"/>
    <w:rsid w:val="00407601"/>
    <w:rsid w:val="00407998"/>
    <w:rsid w:val="00407A55"/>
    <w:rsid w:val="00407A60"/>
    <w:rsid w:val="00407C9B"/>
    <w:rsid w:val="00407D2C"/>
    <w:rsid w:val="00407D2F"/>
    <w:rsid w:val="00410112"/>
    <w:rsid w:val="004105AE"/>
    <w:rsid w:val="00410807"/>
    <w:rsid w:val="00410865"/>
    <w:rsid w:val="00410CE8"/>
    <w:rsid w:val="00410D05"/>
    <w:rsid w:val="004116ED"/>
    <w:rsid w:val="0041170D"/>
    <w:rsid w:val="00411CA1"/>
    <w:rsid w:val="00412013"/>
    <w:rsid w:val="00412062"/>
    <w:rsid w:val="004120E9"/>
    <w:rsid w:val="00412267"/>
    <w:rsid w:val="00412309"/>
    <w:rsid w:val="00412318"/>
    <w:rsid w:val="00412358"/>
    <w:rsid w:val="004123F6"/>
    <w:rsid w:val="0041241D"/>
    <w:rsid w:val="004129E9"/>
    <w:rsid w:val="00412AC3"/>
    <w:rsid w:val="00412C0C"/>
    <w:rsid w:val="00412FC4"/>
    <w:rsid w:val="00412FD0"/>
    <w:rsid w:val="0041342D"/>
    <w:rsid w:val="00413C00"/>
    <w:rsid w:val="00413CCF"/>
    <w:rsid w:val="00414060"/>
    <w:rsid w:val="0041450C"/>
    <w:rsid w:val="00414626"/>
    <w:rsid w:val="00414A50"/>
    <w:rsid w:val="00414AB9"/>
    <w:rsid w:val="00414C84"/>
    <w:rsid w:val="00414E4B"/>
    <w:rsid w:val="00414FD7"/>
    <w:rsid w:val="004159FB"/>
    <w:rsid w:val="00415B01"/>
    <w:rsid w:val="00415C40"/>
    <w:rsid w:val="00415C74"/>
    <w:rsid w:val="00415DEA"/>
    <w:rsid w:val="00415E74"/>
    <w:rsid w:val="00415EC4"/>
    <w:rsid w:val="0041618F"/>
    <w:rsid w:val="00416205"/>
    <w:rsid w:val="0041659C"/>
    <w:rsid w:val="0041694C"/>
    <w:rsid w:val="004169B1"/>
    <w:rsid w:val="00416B6F"/>
    <w:rsid w:val="00416DFB"/>
    <w:rsid w:val="00416F83"/>
    <w:rsid w:val="004170BA"/>
    <w:rsid w:val="00417207"/>
    <w:rsid w:val="00417318"/>
    <w:rsid w:val="00417534"/>
    <w:rsid w:val="00417A65"/>
    <w:rsid w:val="00417D80"/>
    <w:rsid w:val="00420019"/>
    <w:rsid w:val="00420064"/>
    <w:rsid w:val="0042039A"/>
    <w:rsid w:val="0042078A"/>
    <w:rsid w:val="0042083D"/>
    <w:rsid w:val="00420941"/>
    <w:rsid w:val="00420C5B"/>
    <w:rsid w:val="00421248"/>
    <w:rsid w:val="004212E4"/>
    <w:rsid w:val="00421775"/>
    <w:rsid w:val="00421A4A"/>
    <w:rsid w:val="00421E08"/>
    <w:rsid w:val="00421F93"/>
    <w:rsid w:val="004221BD"/>
    <w:rsid w:val="004228E8"/>
    <w:rsid w:val="00422938"/>
    <w:rsid w:val="00422DA4"/>
    <w:rsid w:val="00422E76"/>
    <w:rsid w:val="004234AB"/>
    <w:rsid w:val="0042350F"/>
    <w:rsid w:val="004236E2"/>
    <w:rsid w:val="004237A6"/>
    <w:rsid w:val="00423BB7"/>
    <w:rsid w:val="00423C7E"/>
    <w:rsid w:val="00423E84"/>
    <w:rsid w:val="00424111"/>
    <w:rsid w:val="0042434D"/>
    <w:rsid w:val="004244F2"/>
    <w:rsid w:val="0042458C"/>
    <w:rsid w:val="0042461A"/>
    <w:rsid w:val="00424620"/>
    <w:rsid w:val="004246CA"/>
    <w:rsid w:val="004249D9"/>
    <w:rsid w:val="00424AC6"/>
    <w:rsid w:val="0042568E"/>
    <w:rsid w:val="0042584C"/>
    <w:rsid w:val="004265C4"/>
    <w:rsid w:val="004267E4"/>
    <w:rsid w:val="00426990"/>
    <w:rsid w:val="00426C16"/>
    <w:rsid w:val="00426D35"/>
    <w:rsid w:val="00427006"/>
    <w:rsid w:val="004270CC"/>
    <w:rsid w:val="0042736B"/>
    <w:rsid w:val="0042774D"/>
    <w:rsid w:val="00427796"/>
    <w:rsid w:val="00427C84"/>
    <w:rsid w:val="00427D0F"/>
    <w:rsid w:val="00427D58"/>
    <w:rsid w:val="0042940F"/>
    <w:rsid w:val="0043021C"/>
    <w:rsid w:val="004303BE"/>
    <w:rsid w:val="00430957"/>
    <w:rsid w:val="00430CDB"/>
    <w:rsid w:val="00431094"/>
    <w:rsid w:val="0043112A"/>
    <w:rsid w:val="004312CE"/>
    <w:rsid w:val="00431B87"/>
    <w:rsid w:val="00431BE0"/>
    <w:rsid w:val="00431FDE"/>
    <w:rsid w:val="00432026"/>
    <w:rsid w:val="0043261A"/>
    <w:rsid w:val="00432716"/>
    <w:rsid w:val="00432AA0"/>
    <w:rsid w:val="00432C0D"/>
    <w:rsid w:val="0043336F"/>
    <w:rsid w:val="0043360A"/>
    <w:rsid w:val="004337CD"/>
    <w:rsid w:val="00433855"/>
    <w:rsid w:val="00433978"/>
    <w:rsid w:val="00433999"/>
    <w:rsid w:val="00433AD0"/>
    <w:rsid w:val="00433F5A"/>
    <w:rsid w:val="00434330"/>
    <w:rsid w:val="0043452B"/>
    <w:rsid w:val="00434DEC"/>
    <w:rsid w:val="00434F2B"/>
    <w:rsid w:val="004350F4"/>
    <w:rsid w:val="00435111"/>
    <w:rsid w:val="004351B8"/>
    <w:rsid w:val="004353CF"/>
    <w:rsid w:val="0043554D"/>
    <w:rsid w:val="00435881"/>
    <w:rsid w:val="00435A10"/>
    <w:rsid w:val="00435A63"/>
    <w:rsid w:val="00435D6C"/>
    <w:rsid w:val="004365BD"/>
    <w:rsid w:val="004365E5"/>
    <w:rsid w:val="00436708"/>
    <w:rsid w:val="004367FA"/>
    <w:rsid w:val="00437007"/>
    <w:rsid w:val="00437911"/>
    <w:rsid w:val="00437C96"/>
    <w:rsid w:val="00437DBC"/>
    <w:rsid w:val="00437F4B"/>
    <w:rsid w:val="004401B6"/>
    <w:rsid w:val="004401BC"/>
    <w:rsid w:val="004405AB"/>
    <w:rsid w:val="00440607"/>
    <w:rsid w:val="00440767"/>
    <w:rsid w:val="0044080A"/>
    <w:rsid w:val="00440811"/>
    <w:rsid w:val="004408FA"/>
    <w:rsid w:val="004417C5"/>
    <w:rsid w:val="00441B96"/>
    <w:rsid w:val="00441C78"/>
    <w:rsid w:val="00441DEC"/>
    <w:rsid w:val="00442491"/>
    <w:rsid w:val="00442CD6"/>
    <w:rsid w:val="00442ECD"/>
    <w:rsid w:val="00443067"/>
    <w:rsid w:val="0044310B"/>
    <w:rsid w:val="0044335C"/>
    <w:rsid w:val="004434EE"/>
    <w:rsid w:val="004436CC"/>
    <w:rsid w:val="00443D3E"/>
    <w:rsid w:val="0044455C"/>
    <w:rsid w:val="004446B1"/>
    <w:rsid w:val="00444B7F"/>
    <w:rsid w:val="00444C0C"/>
    <w:rsid w:val="00444C31"/>
    <w:rsid w:val="00444D35"/>
    <w:rsid w:val="00444DFA"/>
    <w:rsid w:val="00444FC4"/>
    <w:rsid w:val="00445520"/>
    <w:rsid w:val="00445709"/>
    <w:rsid w:val="00445866"/>
    <w:rsid w:val="00445A76"/>
    <w:rsid w:val="00445D50"/>
    <w:rsid w:val="00445FC3"/>
    <w:rsid w:val="00445FCD"/>
    <w:rsid w:val="0044630B"/>
    <w:rsid w:val="00446544"/>
    <w:rsid w:val="00446750"/>
    <w:rsid w:val="00446966"/>
    <w:rsid w:val="00446B27"/>
    <w:rsid w:val="00446E2C"/>
    <w:rsid w:val="0044723D"/>
    <w:rsid w:val="004473A3"/>
    <w:rsid w:val="004473D6"/>
    <w:rsid w:val="004474B2"/>
    <w:rsid w:val="004474E2"/>
    <w:rsid w:val="004475C1"/>
    <w:rsid w:val="00447A0F"/>
    <w:rsid w:val="00447EFF"/>
    <w:rsid w:val="004500C5"/>
    <w:rsid w:val="00450109"/>
    <w:rsid w:val="00450331"/>
    <w:rsid w:val="00450581"/>
    <w:rsid w:val="00450B62"/>
    <w:rsid w:val="00450F65"/>
    <w:rsid w:val="00451139"/>
    <w:rsid w:val="00451152"/>
    <w:rsid w:val="004514B0"/>
    <w:rsid w:val="004515C0"/>
    <w:rsid w:val="004516E6"/>
    <w:rsid w:val="004518AC"/>
    <w:rsid w:val="00451A2A"/>
    <w:rsid w:val="00451A9F"/>
    <w:rsid w:val="00452268"/>
    <w:rsid w:val="00452411"/>
    <w:rsid w:val="00452A02"/>
    <w:rsid w:val="00452B16"/>
    <w:rsid w:val="0045306A"/>
    <w:rsid w:val="004530C0"/>
    <w:rsid w:val="00453347"/>
    <w:rsid w:val="004534FA"/>
    <w:rsid w:val="0045367F"/>
    <w:rsid w:val="0045369C"/>
    <w:rsid w:val="00453765"/>
    <w:rsid w:val="00453857"/>
    <w:rsid w:val="00453965"/>
    <w:rsid w:val="00453FBA"/>
    <w:rsid w:val="0045410C"/>
    <w:rsid w:val="00454317"/>
    <w:rsid w:val="00454603"/>
    <w:rsid w:val="00454978"/>
    <w:rsid w:val="00454A0C"/>
    <w:rsid w:val="00454FC8"/>
    <w:rsid w:val="004550D7"/>
    <w:rsid w:val="0045511E"/>
    <w:rsid w:val="00455213"/>
    <w:rsid w:val="00455342"/>
    <w:rsid w:val="00455641"/>
    <w:rsid w:val="004557BE"/>
    <w:rsid w:val="004565C5"/>
    <w:rsid w:val="004565E9"/>
    <w:rsid w:val="00456888"/>
    <w:rsid w:val="00456A2C"/>
    <w:rsid w:val="00457103"/>
    <w:rsid w:val="00457109"/>
    <w:rsid w:val="00457333"/>
    <w:rsid w:val="004574AB"/>
    <w:rsid w:val="004574D4"/>
    <w:rsid w:val="004577C8"/>
    <w:rsid w:val="00457A4D"/>
    <w:rsid w:val="00457BCF"/>
    <w:rsid w:val="00457FD1"/>
    <w:rsid w:val="004602A6"/>
    <w:rsid w:val="004603E4"/>
    <w:rsid w:val="004604D3"/>
    <w:rsid w:val="004608A9"/>
    <w:rsid w:val="00460C28"/>
    <w:rsid w:val="00460D13"/>
    <w:rsid w:val="00460ECA"/>
    <w:rsid w:val="004612C5"/>
    <w:rsid w:val="00461419"/>
    <w:rsid w:val="0046158B"/>
    <w:rsid w:val="00461733"/>
    <w:rsid w:val="00461837"/>
    <w:rsid w:val="004621E8"/>
    <w:rsid w:val="004621FE"/>
    <w:rsid w:val="0046239E"/>
    <w:rsid w:val="0046275C"/>
    <w:rsid w:val="004627DB"/>
    <w:rsid w:val="0046282F"/>
    <w:rsid w:val="00462FE6"/>
    <w:rsid w:val="004630DA"/>
    <w:rsid w:val="0046318F"/>
    <w:rsid w:val="004636BB"/>
    <w:rsid w:val="004637B6"/>
    <w:rsid w:val="004638B2"/>
    <w:rsid w:val="00463B3D"/>
    <w:rsid w:val="00463BC7"/>
    <w:rsid w:val="00463F01"/>
    <w:rsid w:val="004644E0"/>
    <w:rsid w:val="00464E47"/>
    <w:rsid w:val="00465247"/>
    <w:rsid w:val="00465455"/>
    <w:rsid w:val="0046578C"/>
    <w:rsid w:val="004659C8"/>
    <w:rsid w:val="00465B20"/>
    <w:rsid w:val="00465D7A"/>
    <w:rsid w:val="004662B7"/>
    <w:rsid w:val="004668E0"/>
    <w:rsid w:val="00466A2B"/>
    <w:rsid w:val="00466A5F"/>
    <w:rsid w:val="00466D33"/>
    <w:rsid w:val="004670FC"/>
    <w:rsid w:val="004671A5"/>
    <w:rsid w:val="0046728D"/>
    <w:rsid w:val="0046738A"/>
    <w:rsid w:val="00467485"/>
    <w:rsid w:val="004675D6"/>
    <w:rsid w:val="004676AA"/>
    <w:rsid w:val="004677C4"/>
    <w:rsid w:val="00467B47"/>
    <w:rsid w:val="00467B91"/>
    <w:rsid w:val="00467B93"/>
    <w:rsid w:val="00467F3C"/>
    <w:rsid w:val="004702AB"/>
    <w:rsid w:val="00470365"/>
    <w:rsid w:val="004703D8"/>
    <w:rsid w:val="00470822"/>
    <w:rsid w:val="00470A2F"/>
    <w:rsid w:val="00470AA0"/>
    <w:rsid w:val="00470E7B"/>
    <w:rsid w:val="00470EFA"/>
    <w:rsid w:val="004710F3"/>
    <w:rsid w:val="004719D8"/>
    <w:rsid w:val="00471CC5"/>
    <w:rsid w:val="00471FE1"/>
    <w:rsid w:val="0047257B"/>
    <w:rsid w:val="00472652"/>
    <w:rsid w:val="004729F8"/>
    <w:rsid w:val="00472E0E"/>
    <w:rsid w:val="00473132"/>
    <w:rsid w:val="00473489"/>
    <w:rsid w:val="00473B24"/>
    <w:rsid w:val="00473CF9"/>
    <w:rsid w:val="00473ED5"/>
    <w:rsid w:val="00474069"/>
    <w:rsid w:val="00474197"/>
    <w:rsid w:val="0047438D"/>
    <w:rsid w:val="00474B2C"/>
    <w:rsid w:val="00474B75"/>
    <w:rsid w:val="0047536E"/>
    <w:rsid w:val="004756A2"/>
    <w:rsid w:val="00475891"/>
    <w:rsid w:val="00475B65"/>
    <w:rsid w:val="00475D8A"/>
    <w:rsid w:val="00475E6E"/>
    <w:rsid w:val="00475FF0"/>
    <w:rsid w:val="00476360"/>
    <w:rsid w:val="004763B0"/>
    <w:rsid w:val="004766D2"/>
    <w:rsid w:val="00476D4F"/>
    <w:rsid w:val="0047761B"/>
    <w:rsid w:val="00477676"/>
    <w:rsid w:val="00477B66"/>
    <w:rsid w:val="004805A1"/>
    <w:rsid w:val="00480737"/>
    <w:rsid w:val="00480DF1"/>
    <w:rsid w:val="00481064"/>
    <w:rsid w:val="004813F5"/>
    <w:rsid w:val="00481A06"/>
    <w:rsid w:val="00482773"/>
    <w:rsid w:val="00482F03"/>
    <w:rsid w:val="004830B5"/>
    <w:rsid w:val="0048319C"/>
    <w:rsid w:val="00483350"/>
    <w:rsid w:val="00483406"/>
    <w:rsid w:val="00483704"/>
    <w:rsid w:val="00483815"/>
    <w:rsid w:val="00483965"/>
    <w:rsid w:val="00483B51"/>
    <w:rsid w:val="00484278"/>
    <w:rsid w:val="00484530"/>
    <w:rsid w:val="00484848"/>
    <w:rsid w:val="00484F02"/>
    <w:rsid w:val="00485196"/>
    <w:rsid w:val="00485479"/>
    <w:rsid w:val="0048560B"/>
    <w:rsid w:val="004856AB"/>
    <w:rsid w:val="004856E5"/>
    <w:rsid w:val="00485AFD"/>
    <w:rsid w:val="0048605A"/>
    <w:rsid w:val="00486104"/>
    <w:rsid w:val="00486157"/>
    <w:rsid w:val="004861DE"/>
    <w:rsid w:val="004861F2"/>
    <w:rsid w:val="004865C3"/>
    <w:rsid w:val="00486867"/>
    <w:rsid w:val="0048699D"/>
    <w:rsid w:val="00486A6B"/>
    <w:rsid w:val="00486A7C"/>
    <w:rsid w:val="00486CCF"/>
    <w:rsid w:val="0048709E"/>
    <w:rsid w:val="0048784A"/>
    <w:rsid w:val="00487995"/>
    <w:rsid w:val="00490015"/>
    <w:rsid w:val="0049009F"/>
    <w:rsid w:val="0049014E"/>
    <w:rsid w:val="0049036F"/>
    <w:rsid w:val="00490A15"/>
    <w:rsid w:val="00490A8E"/>
    <w:rsid w:val="00490F40"/>
    <w:rsid w:val="004916A9"/>
    <w:rsid w:val="004918C1"/>
    <w:rsid w:val="00491DD8"/>
    <w:rsid w:val="00492095"/>
    <w:rsid w:val="00493287"/>
    <w:rsid w:val="004932AF"/>
    <w:rsid w:val="00493436"/>
    <w:rsid w:val="0049352E"/>
    <w:rsid w:val="00493841"/>
    <w:rsid w:val="00493DA2"/>
    <w:rsid w:val="004940F7"/>
    <w:rsid w:val="0049438D"/>
    <w:rsid w:val="0049486B"/>
    <w:rsid w:val="0049489B"/>
    <w:rsid w:val="004949A7"/>
    <w:rsid w:val="004949F3"/>
    <w:rsid w:val="00494C2B"/>
    <w:rsid w:val="00494C8E"/>
    <w:rsid w:val="00494D0C"/>
    <w:rsid w:val="0049526D"/>
    <w:rsid w:val="00495299"/>
    <w:rsid w:val="004956D1"/>
    <w:rsid w:val="0049589B"/>
    <w:rsid w:val="00495C8B"/>
    <w:rsid w:val="00496115"/>
    <w:rsid w:val="0049624A"/>
    <w:rsid w:val="00496376"/>
    <w:rsid w:val="0049640B"/>
    <w:rsid w:val="0049665B"/>
    <w:rsid w:val="004966C5"/>
    <w:rsid w:val="0049674A"/>
    <w:rsid w:val="00496946"/>
    <w:rsid w:val="00497090"/>
    <w:rsid w:val="004974D7"/>
    <w:rsid w:val="004977A5"/>
    <w:rsid w:val="00497863"/>
    <w:rsid w:val="004978DD"/>
    <w:rsid w:val="00497BC3"/>
    <w:rsid w:val="00497BD9"/>
    <w:rsid w:val="004A017A"/>
    <w:rsid w:val="004A048D"/>
    <w:rsid w:val="004A087B"/>
    <w:rsid w:val="004A0A56"/>
    <w:rsid w:val="004A0AAE"/>
    <w:rsid w:val="004A1121"/>
    <w:rsid w:val="004A124B"/>
    <w:rsid w:val="004A12C9"/>
    <w:rsid w:val="004A1691"/>
    <w:rsid w:val="004A18C0"/>
    <w:rsid w:val="004A19D7"/>
    <w:rsid w:val="004A1DA0"/>
    <w:rsid w:val="004A2141"/>
    <w:rsid w:val="004A223F"/>
    <w:rsid w:val="004A2777"/>
    <w:rsid w:val="004A2877"/>
    <w:rsid w:val="004A2D06"/>
    <w:rsid w:val="004A2E49"/>
    <w:rsid w:val="004A31E2"/>
    <w:rsid w:val="004A322E"/>
    <w:rsid w:val="004A3AF8"/>
    <w:rsid w:val="004A3B5B"/>
    <w:rsid w:val="004A3B81"/>
    <w:rsid w:val="004A3BE5"/>
    <w:rsid w:val="004A3C87"/>
    <w:rsid w:val="004A3E00"/>
    <w:rsid w:val="004A3E5F"/>
    <w:rsid w:val="004A3F8E"/>
    <w:rsid w:val="004A3FA3"/>
    <w:rsid w:val="004A3FB6"/>
    <w:rsid w:val="004A42F0"/>
    <w:rsid w:val="004A4328"/>
    <w:rsid w:val="004A432E"/>
    <w:rsid w:val="004A435D"/>
    <w:rsid w:val="004A4541"/>
    <w:rsid w:val="004A4723"/>
    <w:rsid w:val="004A491F"/>
    <w:rsid w:val="004A4AB2"/>
    <w:rsid w:val="004A4C20"/>
    <w:rsid w:val="004A4EFD"/>
    <w:rsid w:val="004A5060"/>
    <w:rsid w:val="004A5432"/>
    <w:rsid w:val="004A5468"/>
    <w:rsid w:val="004A547E"/>
    <w:rsid w:val="004A5757"/>
    <w:rsid w:val="004A58D1"/>
    <w:rsid w:val="004A590D"/>
    <w:rsid w:val="004A5A2F"/>
    <w:rsid w:val="004A5A30"/>
    <w:rsid w:val="004A604E"/>
    <w:rsid w:val="004A60A7"/>
    <w:rsid w:val="004A6113"/>
    <w:rsid w:val="004A6170"/>
    <w:rsid w:val="004A633C"/>
    <w:rsid w:val="004A6461"/>
    <w:rsid w:val="004A6A01"/>
    <w:rsid w:val="004A6FE4"/>
    <w:rsid w:val="004A74AA"/>
    <w:rsid w:val="004A797A"/>
    <w:rsid w:val="004A79D7"/>
    <w:rsid w:val="004A7A94"/>
    <w:rsid w:val="004A7B28"/>
    <w:rsid w:val="004A7B7E"/>
    <w:rsid w:val="004A7BE9"/>
    <w:rsid w:val="004B032C"/>
    <w:rsid w:val="004B03DD"/>
    <w:rsid w:val="004B0538"/>
    <w:rsid w:val="004B05E2"/>
    <w:rsid w:val="004B090D"/>
    <w:rsid w:val="004B0AD8"/>
    <w:rsid w:val="004B0BBD"/>
    <w:rsid w:val="004B11EB"/>
    <w:rsid w:val="004B1380"/>
    <w:rsid w:val="004B1B55"/>
    <w:rsid w:val="004B259F"/>
    <w:rsid w:val="004B280D"/>
    <w:rsid w:val="004B295D"/>
    <w:rsid w:val="004B2AA5"/>
    <w:rsid w:val="004B31A1"/>
    <w:rsid w:val="004B31E1"/>
    <w:rsid w:val="004B3989"/>
    <w:rsid w:val="004B3E97"/>
    <w:rsid w:val="004B3EB3"/>
    <w:rsid w:val="004B40D3"/>
    <w:rsid w:val="004B4253"/>
    <w:rsid w:val="004B489E"/>
    <w:rsid w:val="004B48C6"/>
    <w:rsid w:val="004B4A31"/>
    <w:rsid w:val="004B4BE8"/>
    <w:rsid w:val="004B52D3"/>
    <w:rsid w:val="004B5559"/>
    <w:rsid w:val="004B5682"/>
    <w:rsid w:val="004B5A38"/>
    <w:rsid w:val="004B6181"/>
    <w:rsid w:val="004B62C4"/>
    <w:rsid w:val="004B644F"/>
    <w:rsid w:val="004B6646"/>
    <w:rsid w:val="004B66FE"/>
    <w:rsid w:val="004B6829"/>
    <w:rsid w:val="004B68E5"/>
    <w:rsid w:val="004B6ADE"/>
    <w:rsid w:val="004B6E2E"/>
    <w:rsid w:val="004B6F30"/>
    <w:rsid w:val="004B6F5D"/>
    <w:rsid w:val="004B730A"/>
    <w:rsid w:val="004B764D"/>
    <w:rsid w:val="004B78D3"/>
    <w:rsid w:val="004B78F3"/>
    <w:rsid w:val="004B7B2E"/>
    <w:rsid w:val="004C028A"/>
    <w:rsid w:val="004C0440"/>
    <w:rsid w:val="004C0731"/>
    <w:rsid w:val="004C07B0"/>
    <w:rsid w:val="004C0BAD"/>
    <w:rsid w:val="004C0F95"/>
    <w:rsid w:val="004C1487"/>
    <w:rsid w:val="004C1A76"/>
    <w:rsid w:val="004C1DB7"/>
    <w:rsid w:val="004C1EDB"/>
    <w:rsid w:val="004C2141"/>
    <w:rsid w:val="004C24D3"/>
    <w:rsid w:val="004C2B07"/>
    <w:rsid w:val="004C2F3D"/>
    <w:rsid w:val="004C3287"/>
    <w:rsid w:val="004C37E2"/>
    <w:rsid w:val="004C3886"/>
    <w:rsid w:val="004C39AA"/>
    <w:rsid w:val="004C3C3A"/>
    <w:rsid w:val="004C3CA6"/>
    <w:rsid w:val="004C3D73"/>
    <w:rsid w:val="004C3EF4"/>
    <w:rsid w:val="004C3F8F"/>
    <w:rsid w:val="004C4150"/>
    <w:rsid w:val="004C461A"/>
    <w:rsid w:val="004C46C7"/>
    <w:rsid w:val="004C47F2"/>
    <w:rsid w:val="004C49FA"/>
    <w:rsid w:val="004C57B6"/>
    <w:rsid w:val="004C582E"/>
    <w:rsid w:val="004C614D"/>
    <w:rsid w:val="004C6423"/>
    <w:rsid w:val="004C6426"/>
    <w:rsid w:val="004C6909"/>
    <w:rsid w:val="004C7168"/>
    <w:rsid w:val="004C7412"/>
    <w:rsid w:val="004C742A"/>
    <w:rsid w:val="004C75AB"/>
    <w:rsid w:val="004C7675"/>
    <w:rsid w:val="004D03E0"/>
    <w:rsid w:val="004D0652"/>
    <w:rsid w:val="004D0AEE"/>
    <w:rsid w:val="004D0F23"/>
    <w:rsid w:val="004D0F4F"/>
    <w:rsid w:val="004D0F9E"/>
    <w:rsid w:val="004D10B1"/>
    <w:rsid w:val="004D14FF"/>
    <w:rsid w:val="004D15C1"/>
    <w:rsid w:val="004D1686"/>
    <w:rsid w:val="004D1817"/>
    <w:rsid w:val="004D1A11"/>
    <w:rsid w:val="004D1BEE"/>
    <w:rsid w:val="004D1CBA"/>
    <w:rsid w:val="004D1F9E"/>
    <w:rsid w:val="004D1FC5"/>
    <w:rsid w:val="004D2128"/>
    <w:rsid w:val="004D285A"/>
    <w:rsid w:val="004D28FF"/>
    <w:rsid w:val="004D2AA3"/>
    <w:rsid w:val="004D3320"/>
    <w:rsid w:val="004D33C2"/>
    <w:rsid w:val="004D360C"/>
    <w:rsid w:val="004D3AB1"/>
    <w:rsid w:val="004D3D09"/>
    <w:rsid w:val="004D3F6E"/>
    <w:rsid w:val="004D42B8"/>
    <w:rsid w:val="004D42D2"/>
    <w:rsid w:val="004D46BC"/>
    <w:rsid w:val="004D4738"/>
    <w:rsid w:val="004D493A"/>
    <w:rsid w:val="004D4AE1"/>
    <w:rsid w:val="004D51DA"/>
    <w:rsid w:val="004D5258"/>
    <w:rsid w:val="004D54AF"/>
    <w:rsid w:val="004D5940"/>
    <w:rsid w:val="004D5948"/>
    <w:rsid w:val="004D59F8"/>
    <w:rsid w:val="004D5F10"/>
    <w:rsid w:val="004D5F8C"/>
    <w:rsid w:val="004D616B"/>
    <w:rsid w:val="004D61CC"/>
    <w:rsid w:val="004D6285"/>
    <w:rsid w:val="004D63A4"/>
    <w:rsid w:val="004D6B98"/>
    <w:rsid w:val="004D6C27"/>
    <w:rsid w:val="004D72DE"/>
    <w:rsid w:val="004D74B8"/>
    <w:rsid w:val="004D7556"/>
    <w:rsid w:val="004D7766"/>
    <w:rsid w:val="004D7770"/>
    <w:rsid w:val="004D78CC"/>
    <w:rsid w:val="004D7B03"/>
    <w:rsid w:val="004DA7C5"/>
    <w:rsid w:val="004E006D"/>
    <w:rsid w:val="004E05B8"/>
    <w:rsid w:val="004E0AB8"/>
    <w:rsid w:val="004E0D34"/>
    <w:rsid w:val="004E0F9F"/>
    <w:rsid w:val="004E0FB8"/>
    <w:rsid w:val="004E105D"/>
    <w:rsid w:val="004E13F0"/>
    <w:rsid w:val="004E1491"/>
    <w:rsid w:val="004E15E7"/>
    <w:rsid w:val="004E18E9"/>
    <w:rsid w:val="004E1B6E"/>
    <w:rsid w:val="004E1CCC"/>
    <w:rsid w:val="004E1FEF"/>
    <w:rsid w:val="004E2013"/>
    <w:rsid w:val="004E23DF"/>
    <w:rsid w:val="004E25D5"/>
    <w:rsid w:val="004E2618"/>
    <w:rsid w:val="004E3097"/>
    <w:rsid w:val="004E35D7"/>
    <w:rsid w:val="004E3BCD"/>
    <w:rsid w:val="004E4E88"/>
    <w:rsid w:val="004E5309"/>
    <w:rsid w:val="004E56F3"/>
    <w:rsid w:val="004E5745"/>
    <w:rsid w:val="004E5781"/>
    <w:rsid w:val="004E5A05"/>
    <w:rsid w:val="004E601E"/>
    <w:rsid w:val="004E6801"/>
    <w:rsid w:val="004E6B1F"/>
    <w:rsid w:val="004E6D4C"/>
    <w:rsid w:val="004E6F71"/>
    <w:rsid w:val="004E7132"/>
    <w:rsid w:val="004E75C5"/>
    <w:rsid w:val="004E7B00"/>
    <w:rsid w:val="004E7B31"/>
    <w:rsid w:val="004E7EDC"/>
    <w:rsid w:val="004F003A"/>
    <w:rsid w:val="004F022C"/>
    <w:rsid w:val="004F0287"/>
    <w:rsid w:val="004F09F1"/>
    <w:rsid w:val="004F0A8C"/>
    <w:rsid w:val="004F0AFC"/>
    <w:rsid w:val="004F0C93"/>
    <w:rsid w:val="004F11B3"/>
    <w:rsid w:val="004F134E"/>
    <w:rsid w:val="004F17D2"/>
    <w:rsid w:val="004F1935"/>
    <w:rsid w:val="004F1C5F"/>
    <w:rsid w:val="004F2277"/>
    <w:rsid w:val="004F2312"/>
    <w:rsid w:val="004F27A1"/>
    <w:rsid w:val="004F288C"/>
    <w:rsid w:val="004F2B00"/>
    <w:rsid w:val="004F2B11"/>
    <w:rsid w:val="004F2BE1"/>
    <w:rsid w:val="004F2D41"/>
    <w:rsid w:val="004F2DA2"/>
    <w:rsid w:val="004F2FA0"/>
    <w:rsid w:val="004F3040"/>
    <w:rsid w:val="004F3851"/>
    <w:rsid w:val="004F385A"/>
    <w:rsid w:val="004F397D"/>
    <w:rsid w:val="004F3CC1"/>
    <w:rsid w:val="004F3E72"/>
    <w:rsid w:val="004F405F"/>
    <w:rsid w:val="004F432A"/>
    <w:rsid w:val="004F4371"/>
    <w:rsid w:val="004F486F"/>
    <w:rsid w:val="004F4AE7"/>
    <w:rsid w:val="004F5214"/>
    <w:rsid w:val="004F546C"/>
    <w:rsid w:val="004F5852"/>
    <w:rsid w:val="004F5DF4"/>
    <w:rsid w:val="004F648C"/>
    <w:rsid w:val="004F6528"/>
    <w:rsid w:val="004F65B6"/>
    <w:rsid w:val="004F67D3"/>
    <w:rsid w:val="004F6C87"/>
    <w:rsid w:val="004F6ED6"/>
    <w:rsid w:val="004F702D"/>
    <w:rsid w:val="004F7061"/>
    <w:rsid w:val="004F75C8"/>
    <w:rsid w:val="004F7630"/>
    <w:rsid w:val="004F76AA"/>
    <w:rsid w:val="004F7F11"/>
    <w:rsid w:val="004F7F56"/>
    <w:rsid w:val="005005D6"/>
    <w:rsid w:val="00500AE6"/>
    <w:rsid w:val="00501038"/>
    <w:rsid w:val="00501145"/>
    <w:rsid w:val="005012E4"/>
    <w:rsid w:val="005012FF"/>
    <w:rsid w:val="005013C4"/>
    <w:rsid w:val="005013EA"/>
    <w:rsid w:val="00501B83"/>
    <w:rsid w:val="00501BC5"/>
    <w:rsid w:val="00501D45"/>
    <w:rsid w:val="00502C9A"/>
    <w:rsid w:val="00502DCB"/>
    <w:rsid w:val="00503052"/>
    <w:rsid w:val="00503400"/>
    <w:rsid w:val="00503593"/>
    <w:rsid w:val="005035CF"/>
    <w:rsid w:val="00503BA5"/>
    <w:rsid w:val="00503D99"/>
    <w:rsid w:val="00503F67"/>
    <w:rsid w:val="005040E0"/>
    <w:rsid w:val="0050418F"/>
    <w:rsid w:val="005043CA"/>
    <w:rsid w:val="005044CB"/>
    <w:rsid w:val="0050459F"/>
    <w:rsid w:val="0050498D"/>
    <w:rsid w:val="00504D7E"/>
    <w:rsid w:val="0050535F"/>
    <w:rsid w:val="00505633"/>
    <w:rsid w:val="005058D7"/>
    <w:rsid w:val="0050591D"/>
    <w:rsid w:val="005059CD"/>
    <w:rsid w:val="00505A4F"/>
    <w:rsid w:val="00505A64"/>
    <w:rsid w:val="00505AFB"/>
    <w:rsid w:val="00505D05"/>
    <w:rsid w:val="00505D8A"/>
    <w:rsid w:val="005061E1"/>
    <w:rsid w:val="00506379"/>
    <w:rsid w:val="005067D1"/>
    <w:rsid w:val="00506872"/>
    <w:rsid w:val="005069E5"/>
    <w:rsid w:val="00506A22"/>
    <w:rsid w:val="00506B12"/>
    <w:rsid w:val="00506B2C"/>
    <w:rsid w:val="00506CB6"/>
    <w:rsid w:val="00506DD1"/>
    <w:rsid w:val="00506EE1"/>
    <w:rsid w:val="00507051"/>
    <w:rsid w:val="005070D5"/>
    <w:rsid w:val="00507103"/>
    <w:rsid w:val="00507777"/>
    <w:rsid w:val="005078FC"/>
    <w:rsid w:val="00507919"/>
    <w:rsid w:val="00510071"/>
    <w:rsid w:val="00510192"/>
    <w:rsid w:val="00510512"/>
    <w:rsid w:val="00510846"/>
    <w:rsid w:val="00510893"/>
    <w:rsid w:val="00510DE0"/>
    <w:rsid w:val="00511316"/>
    <w:rsid w:val="0051136C"/>
    <w:rsid w:val="00511516"/>
    <w:rsid w:val="00511940"/>
    <w:rsid w:val="0051201E"/>
    <w:rsid w:val="005121C2"/>
    <w:rsid w:val="005129BE"/>
    <w:rsid w:val="00512CCF"/>
    <w:rsid w:val="00512DCB"/>
    <w:rsid w:val="00512E51"/>
    <w:rsid w:val="00513174"/>
    <w:rsid w:val="005131A2"/>
    <w:rsid w:val="00513378"/>
    <w:rsid w:val="005134C1"/>
    <w:rsid w:val="00513E21"/>
    <w:rsid w:val="00514004"/>
    <w:rsid w:val="005142C9"/>
    <w:rsid w:val="005143C0"/>
    <w:rsid w:val="005145A1"/>
    <w:rsid w:val="005145D0"/>
    <w:rsid w:val="00514782"/>
    <w:rsid w:val="0051485A"/>
    <w:rsid w:val="005148B6"/>
    <w:rsid w:val="00514959"/>
    <w:rsid w:val="00514C35"/>
    <w:rsid w:val="00514C6E"/>
    <w:rsid w:val="0051516D"/>
    <w:rsid w:val="0051535F"/>
    <w:rsid w:val="00515498"/>
    <w:rsid w:val="0051550D"/>
    <w:rsid w:val="005157FD"/>
    <w:rsid w:val="005159DB"/>
    <w:rsid w:val="00515B57"/>
    <w:rsid w:val="00515C2B"/>
    <w:rsid w:val="00516173"/>
    <w:rsid w:val="005161F7"/>
    <w:rsid w:val="00516391"/>
    <w:rsid w:val="0051639B"/>
    <w:rsid w:val="005167DA"/>
    <w:rsid w:val="00516AC3"/>
    <w:rsid w:val="00516DAC"/>
    <w:rsid w:val="00516E53"/>
    <w:rsid w:val="005174B8"/>
    <w:rsid w:val="0051750C"/>
    <w:rsid w:val="005200C6"/>
    <w:rsid w:val="0052014D"/>
    <w:rsid w:val="00520995"/>
    <w:rsid w:val="0052099B"/>
    <w:rsid w:val="005209BC"/>
    <w:rsid w:val="00521110"/>
    <w:rsid w:val="005215CB"/>
    <w:rsid w:val="00521630"/>
    <w:rsid w:val="0052176F"/>
    <w:rsid w:val="00521A0F"/>
    <w:rsid w:val="00521A6E"/>
    <w:rsid w:val="00521D3F"/>
    <w:rsid w:val="00522075"/>
    <w:rsid w:val="00522259"/>
    <w:rsid w:val="0052236D"/>
    <w:rsid w:val="00522471"/>
    <w:rsid w:val="00522FF4"/>
    <w:rsid w:val="005232A6"/>
    <w:rsid w:val="0052332F"/>
    <w:rsid w:val="005237D6"/>
    <w:rsid w:val="0052380D"/>
    <w:rsid w:val="00524CDD"/>
    <w:rsid w:val="00524E00"/>
    <w:rsid w:val="00524F37"/>
    <w:rsid w:val="00525061"/>
    <w:rsid w:val="0052520C"/>
    <w:rsid w:val="005252B5"/>
    <w:rsid w:val="00525791"/>
    <w:rsid w:val="005259DB"/>
    <w:rsid w:val="00525ACA"/>
    <w:rsid w:val="00525C43"/>
    <w:rsid w:val="00525C6C"/>
    <w:rsid w:val="00526257"/>
    <w:rsid w:val="0052691D"/>
    <w:rsid w:val="0052694E"/>
    <w:rsid w:val="00526AA1"/>
    <w:rsid w:val="00526EB2"/>
    <w:rsid w:val="00527002"/>
    <w:rsid w:val="0052710C"/>
    <w:rsid w:val="0052781F"/>
    <w:rsid w:val="00530384"/>
    <w:rsid w:val="0053076F"/>
    <w:rsid w:val="00530BC8"/>
    <w:rsid w:val="00530F78"/>
    <w:rsid w:val="005315C6"/>
    <w:rsid w:val="00531A76"/>
    <w:rsid w:val="00531B14"/>
    <w:rsid w:val="00531BEF"/>
    <w:rsid w:val="0053249E"/>
    <w:rsid w:val="0053287A"/>
    <w:rsid w:val="00532A58"/>
    <w:rsid w:val="00532CD7"/>
    <w:rsid w:val="005330A7"/>
    <w:rsid w:val="00533676"/>
    <w:rsid w:val="00533738"/>
    <w:rsid w:val="00533E1B"/>
    <w:rsid w:val="005343B5"/>
    <w:rsid w:val="00534453"/>
    <w:rsid w:val="00534555"/>
    <w:rsid w:val="0053470E"/>
    <w:rsid w:val="00534CBA"/>
    <w:rsid w:val="00534D9C"/>
    <w:rsid w:val="00535321"/>
    <w:rsid w:val="005357A6"/>
    <w:rsid w:val="00535935"/>
    <w:rsid w:val="00535ACF"/>
    <w:rsid w:val="00535C5F"/>
    <w:rsid w:val="00535D36"/>
    <w:rsid w:val="00536FAC"/>
    <w:rsid w:val="00537098"/>
    <w:rsid w:val="005370B3"/>
    <w:rsid w:val="00537352"/>
    <w:rsid w:val="0053738F"/>
    <w:rsid w:val="005376CD"/>
    <w:rsid w:val="0053794B"/>
    <w:rsid w:val="00537B44"/>
    <w:rsid w:val="00537C9B"/>
    <w:rsid w:val="00537D33"/>
    <w:rsid w:val="00537E35"/>
    <w:rsid w:val="00537FC2"/>
    <w:rsid w:val="0054070B"/>
    <w:rsid w:val="0054097D"/>
    <w:rsid w:val="00540D43"/>
    <w:rsid w:val="00540FE7"/>
    <w:rsid w:val="00541022"/>
    <w:rsid w:val="0054120A"/>
    <w:rsid w:val="0054128D"/>
    <w:rsid w:val="005412E5"/>
    <w:rsid w:val="005414CD"/>
    <w:rsid w:val="00541CAA"/>
    <w:rsid w:val="00541D95"/>
    <w:rsid w:val="00541DDC"/>
    <w:rsid w:val="00541ED4"/>
    <w:rsid w:val="00541EDC"/>
    <w:rsid w:val="00542070"/>
    <w:rsid w:val="005423E4"/>
    <w:rsid w:val="005425BD"/>
    <w:rsid w:val="00542763"/>
    <w:rsid w:val="005427C3"/>
    <w:rsid w:val="005428BE"/>
    <w:rsid w:val="005429A0"/>
    <w:rsid w:val="00542D50"/>
    <w:rsid w:val="00543333"/>
    <w:rsid w:val="005433AE"/>
    <w:rsid w:val="005435DE"/>
    <w:rsid w:val="00543720"/>
    <w:rsid w:val="00543EE3"/>
    <w:rsid w:val="005444FA"/>
    <w:rsid w:val="0054458F"/>
    <w:rsid w:val="005445DD"/>
    <w:rsid w:val="005446C9"/>
    <w:rsid w:val="00544969"/>
    <w:rsid w:val="00544E82"/>
    <w:rsid w:val="00544F15"/>
    <w:rsid w:val="00545394"/>
    <w:rsid w:val="00545462"/>
    <w:rsid w:val="005454CA"/>
    <w:rsid w:val="005454EE"/>
    <w:rsid w:val="00545688"/>
    <w:rsid w:val="005456CD"/>
    <w:rsid w:val="005457A7"/>
    <w:rsid w:val="00545A36"/>
    <w:rsid w:val="00546209"/>
    <w:rsid w:val="0054621E"/>
    <w:rsid w:val="005463D8"/>
    <w:rsid w:val="0054687B"/>
    <w:rsid w:val="00546E18"/>
    <w:rsid w:val="00547603"/>
    <w:rsid w:val="00547979"/>
    <w:rsid w:val="00547CB2"/>
    <w:rsid w:val="00550388"/>
    <w:rsid w:val="005503B2"/>
    <w:rsid w:val="00550464"/>
    <w:rsid w:val="00550968"/>
    <w:rsid w:val="00550A2C"/>
    <w:rsid w:val="00550AC3"/>
    <w:rsid w:val="00550E8A"/>
    <w:rsid w:val="00550F18"/>
    <w:rsid w:val="005512F4"/>
    <w:rsid w:val="00551BEC"/>
    <w:rsid w:val="005522F1"/>
    <w:rsid w:val="00552827"/>
    <w:rsid w:val="00552CAD"/>
    <w:rsid w:val="00552D51"/>
    <w:rsid w:val="00552DDC"/>
    <w:rsid w:val="005530AB"/>
    <w:rsid w:val="005531C5"/>
    <w:rsid w:val="0055336B"/>
    <w:rsid w:val="005533BB"/>
    <w:rsid w:val="00553543"/>
    <w:rsid w:val="00553675"/>
    <w:rsid w:val="00553743"/>
    <w:rsid w:val="00553861"/>
    <w:rsid w:val="00553B6E"/>
    <w:rsid w:val="00553BB2"/>
    <w:rsid w:val="00553E3A"/>
    <w:rsid w:val="005548A2"/>
    <w:rsid w:val="00554B97"/>
    <w:rsid w:val="00554BEA"/>
    <w:rsid w:val="00554CD9"/>
    <w:rsid w:val="00554E6E"/>
    <w:rsid w:val="005551FC"/>
    <w:rsid w:val="0055522B"/>
    <w:rsid w:val="00555468"/>
    <w:rsid w:val="0055596D"/>
    <w:rsid w:val="005562E1"/>
    <w:rsid w:val="005565FA"/>
    <w:rsid w:val="00556A88"/>
    <w:rsid w:val="00556FF3"/>
    <w:rsid w:val="0055710F"/>
    <w:rsid w:val="0055737D"/>
    <w:rsid w:val="0055789C"/>
    <w:rsid w:val="0056074F"/>
    <w:rsid w:val="005609CC"/>
    <w:rsid w:val="005613F2"/>
    <w:rsid w:val="005614BB"/>
    <w:rsid w:val="005619B0"/>
    <w:rsid w:val="00561AA0"/>
    <w:rsid w:val="00561DDE"/>
    <w:rsid w:val="00561E42"/>
    <w:rsid w:val="00561E9E"/>
    <w:rsid w:val="00561F87"/>
    <w:rsid w:val="0056200B"/>
    <w:rsid w:val="0056206B"/>
    <w:rsid w:val="005621ED"/>
    <w:rsid w:val="00562270"/>
    <w:rsid w:val="005622B1"/>
    <w:rsid w:val="00562484"/>
    <w:rsid w:val="00562708"/>
    <w:rsid w:val="00562A44"/>
    <w:rsid w:val="00562A8B"/>
    <w:rsid w:val="00562AE4"/>
    <w:rsid w:val="00563151"/>
    <w:rsid w:val="00563318"/>
    <w:rsid w:val="005633D8"/>
    <w:rsid w:val="0056342A"/>
    <w:rsid w:val="00563543"/>
    <w:rsid w:val="00563992"/>
    <w:rsid w:val="005639AA"/>
    <w:rsid w:val="00563A8F"/>
    <w:rsid w:val="00563B49"/>
    <w:rsid w:val="00563ED5"/>
    <w:rsid w:val="00564536"/>
    <w:rsid w:val="0056479C"/>
    <w:rsid w:val="00564815"/>
    <w:rsid w:val="00564C53"/>
    <w:rsid w:val="00564EDB"/>
    <w:rsid w:val="00564F30"/>
    <w:rsid w:val="00565084"/>
    <w:rsid w:val="005650FA"/>
    <w:rsid w:val="00565317"/>
    <w:rsid w:val="005654C9"/>
    <w:rsid w:val="0056562E"/>
    <w:rsid w:val="00565826"/>
    <w:rsid w:val="00565A82"/>
    <w:rsid w:val="00565C91"/>
    <w:rsid w:val="00565DE1"/>
    <w:rsid w:val="00565EBE"/>
    <w:rsid w:val="00565F59"/>
    <w:rsid w:val="00566375"/>
    <w:rsid w:val="005666E9"/>
    <w:rsid w:val="005666F3"/>
    <w:rsid w:val="005668C7"/>
    <w:rsid w:val="0056697A"/>
    <w:rsid w:val="00566B5D"/>
    <w:rsid w:val="00566B86"/>
    <w:rsid w:val="00566BA0"/>
    <w:rsid w:val="00566BD8"/>
    <w:rsid w:val="00567221"/>
    <w:rsid w:val="005672A5"/>
    <w:rsid w:val="005672BB"/>
    <w:rsid w:val="005678D1"/>
    <w:rsid w:val="00567DC4"/>
    <w:rsid w:val="00567DE2"/>
    <w:rsid w:val="00567EE3"/>
    <w:rsid w:val="00567F7E"/>
    <w:rsid w:val="00570164"/>
    <w:rsid w:val="00570405"/>
    <w:rsid w:val="00570976"/>
    <w:rsid w:val="005709E8"/>
    <w:rsid w:val="00570ADD"/>
    <w:rsid w:val="00570F41"/>
    <w:rsid w:val="00570F57"/>
    <w:rsid w:val="005710CD"/>
    <w:rsid w:val="00571349"/>
    <w:rsid w:val="00571534"/>
    <w:rsid w:val="00571820"/>
    <w:rsid w:val="005718EF"/>
    <w:rsid w:val="005722EE"/>
    <w:rsid w:val="00572963"/>
    <w:rsid w:val="00572BAF"/>
    <w:rsid w:val="00572D16"/>
    <w:rsid w:val="00572E13"/>
    <w:rsid w:val="0057311C"/>
    <w:rsid w:val="00573347"/>
    <w:rsid w:val="00573416"/>
    <w:rsid w:val="005734D6"/>
    <w:rsid w:val="00573593"/>
    <w:rsid w:val="005736DD"/>
    <w:rsid w:val="00573BAA"/>
    <w:rsid w:val="00573C95"/>
    <w:rsid w:val="00573CE8"/>
    <w:rsid w:val="00573DCA"/>
    <w:rsid w:val="005744ED"/>
    <w:rsid w:val="00574513"/>
    <w:rsid w:val="00574600"/>
    <w:rsid w:val="00574A2A"/>
    <w:rsid w:val="00574A31"/>
    <w:rsid w:val="00574FC5"/>
    <w:rsid w:val="0057512B"/>
    <w:rsid w:val="00575D00"/>
    <w:rsid w:val="0057652D"/>
    <w:rsid w:val="005766F8"/>
    <w:rsid w:val="00576BC9"/>
    <w:rsid w:val="005771C6"/>
    <w:rsid w:val="0057723B"/>
    <w:rsid w:val="0057747F"/>
    <w:rsid w:val="00577C72"/>
    <w:rsid w:val="00577C88"/>
    <w:rsid w:val="00577DD1"/>
    <w:rsid w:val="00577F06"/>
    <w:rsid w:val="005800CD"/>
    <w:rsid w:val="0058027B"/>
    <w:rsid w:val="00580281"/>
    <w:rsid w:val="005804AB"/>
    <w:rsid w:val="005804F5"/>
    <w:rsid w:val="00580516"/>
    <w:rsid w:val="00580751"/>
    <w:rsid w:val="00580BF5"/>
    <w:rsid w:val="00580EC9"/>
    <w:rsid w:val="00581495"/>
    <w:rsid w:val="00581511"/>
    <w:rsid w:val="00581E03"/>
    <w:rsid w:val="00582165"/>
    <w:rsid w:val="005821DD"/>
    <w:rsid w:val="00582218"/>
    <w:rsid w:val="005823FD"/>
    <w:rsid w:val="00582475"/>
    <w:rsid w:val="00582566"/>
    <w:rsid w:val="00582615"/>
    <w:rsid w:val="005826BE"/>
    <w:rsid w:val="00582804"/>
    <w:rsid w:val="00582AE6"/>
    <w:rsid w:val="00582DC6"/>
    <w:rsid w:val="00582DD9"/>
    <w:rsid w:val="00582F43"/>
    <w:rsid w:val="00582FF4"/>
    <w:rsid w:val="0058329C"/>
    <w:rsid w:val="00583D89"/>
    <w:rsid w:val="00583DCB"/>
    <w:rsid w:val="00583FC0"/>
    <w:rsid w:val="00584189"/>
    <w:rsid w:val="00584237"/>
    <w:rsid w:val="0058439F"/>
    <w:rsid w:val="005844D2"/>
    <w:rsid w:val="00584737"/>
    <w:rsid w:val="00584773"/>
    <w:rsid w:val="00584B36"/>
    <w:rsid w:val="00585130"/>
    <w:rsid w:val="005854CF"/>
    <w:rsid w:val="0058588D"/>
    <w:rsid w:val="005858B3"/>
    <w:rsid w:val="005859A0"/>
    <w:rsid w:val="005859BC"/>
    <w:rsid w:val="00586592"/>
    <w:rsid w:val="005865C1"/>
    <w:rsid w:val="00586786"/>
    <w:rsid w:val="00586F62"/>
    <w:rsid w:val="005870D3"/>
    <w:rsid w:val="005872C1"/>
    <w:rsid w:val="005876A0"/>
    <w:rsid w:val="00587704"/>
    <w:rsid w:val="00587E9C"/>
    <w:rsid w:val="005900AA"/>
    <w:rsid w:val="005900B4"/>
    <w:rsid w:val="005905DE"/>
    <w:rsid w:val="005906F1"/>
    <w:rsid w:val="0059071E"/>
    <w:rsid w:val="0059093E"/>
    <w:rsid w:val="00590ACB"/>
    <w:rsid w:val="00590B15"/>
    <w:rsid w:val="00590D77"/>
    <w:rsid w:val="005912D0"/>
    <w:rsid w:val="00591416"/>
    <w:rsid w:val="005914D9"/>
    <w:rsid w:val="005915C2"/>
    <w:rsid w:val="005917E3"/>
    <w:rsid w:val="00591887"/>
    <w:rsid w:val="00591893"/>
    <w:rsid w:val="00591AD6"/>
    <w:rsid w:val="00591B8A"/>
    <w:rsid w:val="00591E4A"/>
    <w:rsid w:val="005922D0"/>
    <w:rsid w:val="00592342"/>
    <w:rsid w:val="0059268A"/>
    <w:rsid w:val="00592790"/>
    <w:rsid w:val="005929E0"/>
    <w:rsid w:val="00592C6D"/>
    <w:rsid w:val="00592DED"/>
    <w:rsid w:val="00593132"/>
    <w:rsid w:val="005932B5"/>
    <w:rsid w:val="0059331B"/>
    <w:rsid w:val="00593B25"/>
    <w:rsid w:val="00593C8E"/>
    <w:rsid w:val="00593E95"/>
    <w:rsid w:val="005943C8"/>
    <w:rsid w:val="00594490"/>
    <w:rsid w:val="005945D8"/>
    <w:rsid w:val="00594606"/>
    <w:rsid w:val="00594B46"/>
    <w:rsid w:val="00594F8B"/>
    <w:rsid w:val="005952D9"/>
    <w:rsid w:val="005957A3"/>
    <w:rsid w:val="00595820"/>
    <w:rsid w:val="00595920"/>
    <w:rsid w:val="00595934"/>
    <w:rsid w:val="00595D7D"/>
    <w:rsid w:val="00595FF2"/>
    <w:rsid w:val="00596335"/>
    <w:rsid w:val="00596583"/>
    <w:rsid w:val="0059664D"/>
    <w:rsid w:val="0059697F"/>
    <w:rsid w:val="00596D6F"/>
    <w:rsid w:val="00597339"/>
    <w:rsid w:val="0059741F"/>
    <w:rsid w:val="0059779F"/>
    <w:rsid w:val="005977A0"/>
    <w:rsid w:val="00597807"/>
    <w:rsid w:val="005A0021"/>
    <w:rsid w:val="005A014D"/>
    <w:rsid w:val="005A0332"/>
    <w:rsid w:val="005A0385"/>
    <w:rsid w:val="005A03F9"/>
    <w:rsid w:val="005A04CC"/>
    <w:rsid w:val="005A0511"/>
    <w:rsid w:val="005A0599"/>
    <w:rsid w:val="005A076F"/>
    <w:rsid w:val="005A09A2"/>
    <w:rsid w:val="005A09FB"/>
    <w:rsid w:val="005A0DB5"/>
    <w:rsid w:val="005A0E42"/>
    <w:rsid w:val="005A1077"/>
    <w:rsid w:val="005A11A4"/>
    <w:rsid w:val="005A14EC"/>
    <w:rsid w:val="005A1958"/>
    <w:rsid w:val="005A1B0F"/>
    <w:rsid w:val="005A1CCB"/>
    <w:rsid w:val="005A1D3C"/>
    <w:rsid w:val="005A1DF5"/>
    <w:rsid w:val="005A1E95"/>
    <w:rsid w:val="005A207D"/>
    <w:rsid w:val="005A2370"/>
    <w:rsid w:val="005A2594"/>
    <w:rsid w:val="005A26B5"/>
    <w:rsid w:val="005A29C9"/>
    <w:rsid w:val="005A2DA1"/>
    <w:rsid w:val="005A2E25"/>
    <w:rsid w:val="005A308C"/>
    <w:rsid w:val="005A30AA"/>
    <w:rsid w:val="005A3630"/>
    <w:rsid w:val="005A3689"/>
    <w:rsid w:val="005A37D9"/>
    <w:rsid w:val="005A37E6"/>
    <w:rsid w:val="005A3801"/>
    <w:rsid w:val="005A40D0"/>
    <w:rsid w:val="005A4657"/>
    <w:rsid w:val="005A4756"/>
    <w:rsid w:val="005A4758"/>
    <w:rsid w:val="005A4A32"/>
    <w:rsid w:val="005A4B8C"/>
    <w:rsid w:val="005A4F16"/>
    <w:rsid w:val="005A5377"/>
    <w:rsid w:val="005A558B"/>
    <w:rsid w:val="005A5BEE"/>
    <w:rsid w:val="005A5C7F"/>
    <w:rsid w:val="005A5DD8"/>
    <w:rsid w:val="005A5F6E"/>
    <w:rsid w:val="005A63B0"/>
    <w:rsid w:val="005A63BE"/>
    <w:rsid w:val="005A6434"/>
    <w:rsid w:val="005A6837"/>
    <w:rsid w:val="005A68E0"/>
    <w:rsid w:val="005A6A10"/>
    <w:rsid w:val="005A6A61"/>
    <w:rsid w:val="005A742C"/>
    <w:rsid w:val="005A773A"/>
    <w:rsid w:val="005A773C"/>
    <w:rsid w:val="005A7A6E"/>
    <w:rsid w:val="005A7C05"/>
    <w:rsid w:val="005A7D27"/>
    <w:rsid w:val="005A7D39"/>
    <w:rsid w:val="005A7D7D"/>
    <w:rsid w:val="005B010E"/>
    <w:rsid w:val="005B0244"/>
    <w:rsid w:val="005B0825"/>
    <w:rsid w:val="005B09CB"/>
    <w:rsid w:val="005B0B78"/>
    <w:rsid w:val="005B0C7E"/>
    <w:rsid w:val="005B0CF5"/>
    <w:rsid w:val="005B0FC2"/>
    <w:rsid w:val="005B11A4"/>
    <w:rsid w:val="005B11CC"/>
    <w:rsid w:val="005B12AA"/>
    <w:rsid w:val="005B1633"/>
    <w:rsid w:val="005B1C94"/>
    <w:rsid w:val="005B1CAE"/>
    <w:rsid w:val="005B2224"/>
    <w:rsid w:val="005B274F"/>
    <w:rsid w:val="005B278A"/>
    <w:rsid w:val="005B2A51"/>
    <w:rsid w:val="005B2DA7"/>
    <w:rsid w:val="005B312C"/>
    <w:rsid w:val="005B31A5"/>
    <w:rsid w:val="005B3201"/>
    <w:rsid w:val="005B39E8"/>
    <w:rsid w:val="005B39FC"/>
    <w:rsid w:val="005B3F1C"/>
    <w:rsid w:val="005B3F57"/>
    <w:rsid w:val="005B461D"/>
    <w:rsid w:val="005B4907"/>
    <w:rsid w:val="005B49C5"/>
    <w:rsid w:val="005B4B86"/>
    <w:rsid w:val="005B4DCB"/>
    <w:rsid w:val="005B4E2D"/>
    <w:rsid w:val="005B4EF0"/>
    <w:rsid w:val="005B528A"/>
    <w:rsid w:val="005B54F4"/>
    <w:rsid w:val="005B561F"/>
    <w:rsid w:val="005B5B03"/>
    <w:rsid w:val="005B5B4C"/>
    <w:rsid w:val="005B6249"/>
    <w:rsid w:val="005B663A"/>
    <w:rsid w:val="005B67CC"/>
    <w:rsid w:val="005B6885"/>
    <w:rsid w:val="005B6A1C"/>
    <w:rsid w:val="005B7449"/>
    <w:rsid w:val="005B753A"/>
    <w:rsid w:val="005B7661"/>
    <w:rsid w:val="005B7A98"/>
    <w:rsid w:val="005C0095"/>
    <w:rsid w:val="005C0267"/>
    <w:rsid w:val="005C0333"/>
    <w:rsid w:val="005C041D"/>
    <w:rsid w:val="005C09F9"/>
    <w:rsid w:val="005C0CC6"/>
    <w:rsid w:val="005C0F38"/>
    <w:rsid w:val="005C1242"/>
    <w:rsid w:val="005C18C5"/>
    <w:rsid w:val="005C1B45"/>
    <w:rsid w:val="005C1C42"/>
    <w:rsid w:val="005C1D26"/>
    <w:rsid w:val="005C1DDA"/>
    <w:rsid w:val="005C1F0F"/>
    <w:rsid w:val="005C2031"/>
    <w:rsid w:val="005C21B7"/>
    <w:rsid w:val="005C278A"/>
    <w:rsid w:val="005C30B7"/>
    <w:rsid w:val="005C3311"/>
    <w:rsid w:val="005C36FF"/>
    <w:rsid w:val="005C37F9"/>
    <w:rsid w:val="005C387F"/>
    <w:rsid w:val="005C3A2D"/>
    <w:rsid w:val="005C3D4C"/>
    <w:rsid w:val="005C4442"/>
    <w:rsid w:val="005C4DF6"/>
    <w:rsid w:val="005C4F1C"/>
    <w:rsid w:val="005C4FB3"/>
    <w:rsid w:val="005C5152"/>
    <w:rsid w:val="005C5527"/>
    <w:rsid w:val="005C56AB"/>
    <w:rsid w:val="005C586A"/>
    <w:rsid w:val="005C59E3"/>
    <w:rsid w:val="005C5C3D"/>
    <w:rsid w:val="005C5CED"/>
    <w:rsid w:val="005C5DCB"/>
    <w:rsid w:val="005C5F3E"/>
    <w:rsid w:val="005C6067"/>
    <w:rsid w:val="005C65E5"/>
    <w:rsid w:val="005C6786"/>
    <w:rsid w:val="005C6A68"/>
    <w:rsid w:val="005C6AC8"/>
    <w:rsid w:val="005C6C89"/>
    <w:rsid w:val="005C6E02"/>
    <w:rsid w:val="005C6F0C"/>
    <w:rsid w:val="005C705C"/>
    <w:rsid w:val="005C7329"/>
    <w:rsid w:val="005C76F3"/>
    <w:rsid w:val="005C785A"/>
    <w:rsid w:val="005C79C2"/>
    <w:rsid w:val="005C79FE"/>
    <w:rsid w:val="005C7CD9"/>
    <w:rsid w:val="005C7EF6"/>
    <w:rsid w:val="005D0741"/>
    <w:rsid w:val="005D0D4E"/>
    <w:rsid w:val="005D0E61"/>
    <w:rsid w:val="005D1433"/>
    <w:rsid w:val="005D1452"/>
    <w:rsid w:val="005D1C7E"/>
    <w:rsid w:val="005D22C1"/>
    <w:rsid w:val="005D26BD"/>
    <w:rsid w:val="005D2733"/>
    <w:rsid w:val="005D289D"/>
    <w:rsid w:val="005D28C2"/>
    <w:rsid w:val="005D2960"/>
    <w:rsid w:val="005D2C71"/>
    <w:rsid w:val="005D2FEF"/>
    <w:rsid w:val="005D31DE"/>
    <w:rsid w:val="005D336A"/>
    <w:rsid w:val="005D39C5"/>
    <w:rsid w:val="005D4088"/>
    <w:rsid w:val="005D4388"/>
    <w:rsid w:val="005D457F"/>
    <w:rsid w:val="005D4ADF"/>
    <w:rsid w:val="005D4D3A"/>
    <w:rsid w:val="005D4EDD"/>
    <w:rsid w:val="005D5326"/>
    <w:rsid w:val="005D54B7"/>
    <w:rsid w:val="005D5BD1"/>
    <w:rsid w:val="005D60A7"/>
    <w:rsid w:val="005D61FE"/>
    <w:rsid w:val="005D6526"/>
    <w:rsid w:val="005D6DFD"/>
    <w:rsid w:val="005D6FB1"/>
    <w:rsid w:val="005D75C4"/>
    <w:rsid w:val="005D7659"/>
    <w:rsid w:val="005D7772"/>
    <w:rsid w:val="005D7D1E"/>
    <w:rsid w:val="005E0352"/>
    <w:rsid w:val="005E0662"/>
    <w:rsid w:val="005E08E3"/>
    <w:rsid w:val="005E093B"/>
    <w:rsid w:val="005E0A80"/>
    <w:rsid w:val="005E0B84"/>
    <w:rsid w:val="005E10E9"/>
    <w:rsid w:val="005E112D"/>
    <w:rsid w:val="005E11FB"/>
    <w:rsid w:val="005E15C3"/>
    <w:rsid w:val="005E1644"/>
    <w:rsid w:val="005E1A03"/>
    <w:rsid w:val="005E1C48"/>
    <w:rsid w:val="005E2057"/>
    <w:rsid w:val="005E2182"/>
    <w:rsid w:val="005E29AB"/>
    <w:rsid w:val="005E2E46"/>
    <w:rsid w:val="005E3573"/>
    <w:rsid w:val="005E398D"/>
    <w:rsid w:val="005E3A2B"/>
    <w:rsid w:val="005E3E47"/>
    <w:rsid w:val="005E4183"/>
    <w:rsid w:val="005E4228"/>
    <w:rsid w:val="005E4299"/>
    <w:rsid w:val="005E48F6"/>
    <w:rsid w:val="005E4F9F"/>
    <w:rsid w:val="005E50BA"/>
    <w:rsid w:val="005E5EF4"/>
    <w:rsid w:val="005E6329"/>
    <w:rsid w:val="005E641D"/>
    <w:rsid w:val="005E6697"/>
    <w:rsid w:val="005E6CA0"/>
    <w:rsid w:val="005E738D"/>
    <w:rsid w:val="005E7CC7"/>
    <w:rsid w:val="005E7CF4"/>
    <w:rsid w:val="005E7D89"/>
    <w:rsid w:val="005E7E7F"/>
    <w:rsid w:val="005E7F91"/>
    <w:rsid w:val="005F0373"/>
    <w:rsid w:val="005F0828"/>
    <w:rsid w:val="005F0AD1"/>
    <w:rsid w:val="005F0B99"/>
    <w:rsid w:val="005F0E9D"/>
    <w:rsid w:val="005F0FD1"/>
    <w:rsid w:val="005F100F"/>
    <w:rsid w:val="005F14FC"/>
    <w:rsid w:val="005F15AB"/>
    <w:rsid w:val="005F1C0B"/>
    <w:rsid w:val="005F2053"/>
    <w:rsid w:val="005F227C"/>
    <w:rsid w:val="005F2473"/>
    <w:rsid w:val="005F256C"/>
    <w:rsid w:val="005F2C84"/>
    <w:rsid w:val="005F3047"/>
    <w:rsid w:val="005F304D"/>
    <w:rsid w:val="005F30E7"/>
    <w:rsid w:val="005F3165"/>
    <w:rsid w:val="005F3A6F"/>
    <w:rsid w:val="005F3B43"/>
    <w:rsid w:val="005F3E1B"/>
    <w:rsid w:val="005F4001"/>
    <w:rsid w:val="005F41C8"/>
    <w:rsid w:val="005F455B"/>
    <w:rsid w:val="005F4617"/>
    <w:rsid w:val="005F4BD0"/>
    <w:rsid w:val="005F4E86"/>
    <w:rsid w:val="005F5F78"/>
    <w:rsid w:val="005F6155"/>
    <w:rsid w:val="005F67C3"/>
    <w:rsid w:val="005F685B"/>
    <w:rsid w:val="005F6970"/>
    <w:rsid w:val="005F6A7A"/>
    <w:rsid w:val="005F6ADB"/>
    <w:rsid w:val="005F6B64"/>
    <w:rsid w:val="005F71B1"/>
    <w:rsid w:val="005F720E"/>
    <w:rsid w:val="005F7473"/>
    <w:rsid w:val="005F77A9"/>
    <w:rsid w:val="005F7877"/>
    <w:rsid w:val="005F7BC3"/>
    <w:rsid w:val="005F7E42"/>
    <w:rsid w:val="005F7F0E"/>
    <w:rsid w:val="006000F9"/>
    <w:rsid w:val="00600164"/>
    <w:rsid w:val="00600681"/>
    <w:rsid w:val="00600A23"/>
    <w:rsid w:val="00600A57"/>
    <w:rsid w:val="00600BE6"/>
    <w:rsid w:val="0060114E"/>
    <w:rsid w:val="00601474"/>
    <w:rsid w:val="00601E80"/>
    <w:rsid w:val="00601F99"/>
    <w:rsid w:val="006021F1"/>
    <w:rsid w:val="0060261F"/>
    <w:rsid w:val="00602748"/>
    <w:rsid w:val="00602A06"/>
    <w:rsid w:val="006036A5"/>
    <w:rsid w:val="006036F7"/>
    <w:rsid w:val="0060375B"/>
    <w:rsid w:val="00603B33"/>
    <w:rsid w:val="00603F55"/>
    <w:rsid w:val="006040A3"/>
    <w:rsid w:val="00604515"/>
    <w:rsid w:val="0060483D"/>
    <w:rsid w:val="00604DB5"/>
    <w:rsid w:val="00605021"/>
    <w:rsid w:val="0060504B"/>
    <w:rsid w:val="00605249"/>
    <w:rsid w:val="00605293"/>
    <w:rsid w:val="00605602"/>
    <w:rsid w:val="00605A00"/>
    <w:rsid w:val="00605CA3"/>
    <w:rsid w:val="00605D31"/>
    <w:rsid w:val="00605D3B"/>
    <w:rsid w:val="00606150"/>
    <w:rsid w:val="0060652C"/>
    <w:rsid w:val="0060659C"/>
    <w:rsid w:val="0060670C"/>
    <w:rsid w:val="00606A31"/>
    <w:rsid w:val="00606AFC"/>
    <w:rsid w:val="00606C48"/>
    <w:rsid w:val="0060758D"/>
    <w:rsid w:val="00607626"/>
    <w:rsid w:val="0060765C"/>
    <w:rsid w:val="006076C5"/>
    <w:rsid w:val="00607B3B"/>
    <w:rsid w:val="00607B4A"/>
    <w:rsid w:val="00607C24"/>
    <w:rsid w:val="00607DF6"/>
    <w:rsid w:val="00607E22"/>
    <w:rsid w:val="006101C9"/>
    <w:rsid w:val="006107B1"/>
    <w:rsid w:val="00610B16"/>
    <w:rsid w:val="00610F49"/>
    <w:rsid w:val="0061119B"/>
    <w:rsid w:val="006112E2"/>
    <w:rsid w:val="00611378"/>
    <w:rsid w:val="006113A8"/>
    <w:rsid w:val="00611546"/>
    <w:rsid w:val="00611AB6"/>
    <w:rsid w:val="00611FAF"/>
    <w:rsid w:val="006121C6"/>
    <w:rsid w:val="00612741"/>
    <w:rsid w:val="006127E4"/>
    <w:rsid w:val="00612D0F"/>
    <w:rsid w:val="00613034"/>
    <w:rsid w:val="006130B9"/>
    <w:rsid w:val="00613355"/>
    <w:rsid w:val="00613542"/>
    <w:rsid w:val="0061364D"/>
    <w:rsid w:val="00613959"/>
    <w:rsid w:val="00613AB9"/>
    <w:rsid w:val="00613C1A"/>
    <w:rsid w:val="00613D8E"/>
    <w:rsid w:val="00613E13"/>
    <w:rsid w:val="00613F0A"/>
    <w:rsid w:val="00613F6F"/>
    <w:rsid w:val="00614152"/>
    <w:rsid w:val="00614719"/>
    <w:rsid w:val="00614CA8"/>
    <w:rsid w:val="00614E9B"/>
    <w:rsid w:val="0061558B"/>
    <w:rsid w:val="00615780"/>
    <w:rsid w:val="006159D7"/>
    <w:rsid w:val="00615C43"/>
    <w:rsid w:val="006161C9"/>
    <w:rsid w:val="006164F4"/>
    <w:rsid w:val="006168DF"/>
    <w:rsid w:val="00616A87"/>
    <w:rsid w:val="0061720F"/>
    <w:rsid w:val="0061736A"/>
    <w:rsid w:val="00617DD3"/>
    <w:rsid w:val="00617FCF"/>
    <w:rsid w:val="00620144"/>
    <w:rsid w:val="00620273"/>
    <w:rsid w:val="00620B25"/>
    <w:rsid w:val="00620CCE"/>
    <w:rsid w:val="00620D86"/>
    <w:rsid w:val="00621254"/>
    <w:rsid w:val="00621619"/>
    <w:rsid w:val="0062215F"/>
    <w:rsid w:val="00622900"/>
    <w:rsid w:val="0062296A"/>
    <w:rsid w:val="00622B68"/>
    <w:rsid w:val="00623177"/>
    <w:rsid w:val="0062342B"/>
    <w:rsid w:val="00623752"/>
    <w:rsid w:val="0062385C"/>
    <w:rsid w:val="00623C1A"/>
    <w:rsid w:val="00623C86"/>
    <w:rsid w:val="00623CCD"/>
    <w:rsid w:val="00623D94"/>
    <w:rsid w:val="006242C7"/>
    <w:rsid w:val="006243B2"/>
    <w:rsid w:val="00624525"/>
    <w:rsid w:val="006245DA"/>
    <w:rsid w:val="0062462F"/>
    <w:rsid w:val="00624B89"/>
    <w:rsid w:val="00624D4E"/>
    <w:rsid w:val="00624F18"/>
    <w:rsid w:val="0062510B"/>
    <w:rsid w:val="006253D2"/>
    <w:rsid w:val="0062556F"/>
    <w:rsid w:val="006256E5"/>
    <w:rsid w:val="00625717"/>
    <w:rsid w:val="006260EB"/>
    <w:rsid w:val="00626A3F"/>
    <w:rsid w:val="00626A4D"/>
    <w:rsid w:val="00626CB9"/>
    <w:rsid w:val="00626CE1"/>
    <w:rsid w:val="00626E86"/>
    <w:rsid w:val="00627108"/>
    <w:rsid w:val="00627AAF"/>
    <w:rsid w:val="00627C8D"/>
    <w:rsid w:val="00627D0F"/>
    <w:rsid w:val="00627F5D"/>
    <w:rsid w:val="0063007D"/>
    <w:rsid w:val="00630327"/>
    <w:rsid w:val="006303E7"/>
    <w:rsid w:val="0063080D"/>
    <w:rsid w:val="006308A6"/>
    <w:rsid w:val="00630922"/>
    <w:rsid w:val="00630AB7"/>
    <w:rsid w:val="006315D9"/>
    <w:rsid w:val="00631610"/>
    <w:rsid w:val="0063182E"/>
    <w:rsid w:val="0063275E"/>
    <w:rsid w:val="00632812"/>
    <w:rsid w:val="00632BBA"/>
    <w:rsid w:val="00632CAD"/>
    <w:rsid w:val="00633055"/>
    <w:rsid w:val="0063343F"/>
    <w:rsid w:val="00633602"/>
    <w:rsid w:val="006339E5"/>
    <w:rsid w:val="00633C79"/>
    <w:rsid w:val="00633D1A"/>
    <w:rsid w:val="00633E83"/>
    <w:rsid w:val="00634061"/>
    <w:rsid w:val="00634188"/>
    <w:rsid w:val="0063461A"/>
    <w:rsid w:val="00634649"/>
    <w:rsid w:val="0063492B"/>
    <w:rsid w:val="00634C21"/>
    <w:rsid w:val="0063594C"/>
    <w:rsid w:val="00635958"/>
    <w:rsid w:val="00636235"/>
    <w:rsid w:val="00636336"/>
    <w:rsid w:val="006363D1"/>
    <w:rsid w:val="00636571"/>
    <w:rsid w:val="00636629"/>
    <w:rsid w:val="00636CB4"/>
    <w:rsid w:val="00637912"/>
    <w:rsid w:val="00637AD0"/>
    <w:rsid w:val="006402E2"/>
    <w:rsid w:val="00640322"/>
    <w:rsid w:val="00640484"/>
    <w:rsid w:val="006405A9"/>
    <w:rsid w:val="006405AE"/>
    <w:rsid w:val="00640B6A"/>
    <w:rsid w:val="00640D90"/>
    <w:rsid w:val="00640DC3"/>
    <w:rsid w:val="00641079"/>
    <w:rsid w:val="006412DC"/>
    <w:rsid w:val="006415E2"/>
    <w:rsid w:val="006417DD"/>
    <w:rsid w:val="00641841"/>
    <w:rsid w:val="00641A28"/>
    <w:rsid w:val="00641FCB"/>
    <w:rsid w:val="00642187"/>
    <w:rsid w:val="006425D5"/>
    <w:rsid w:val="00642A0F"/>
    <w:rsid w:val="00642A6F"/>
    <w:rsid w:val="00642AA6"/>
    <w:rsid w:val="00642BFA"/>
    <w:rsid w:val="00642ED0"/>
    <w:rsid w:val="00642FB3"/>
    <w:rsid w:val="0064305B"/>
    <w:rsid w:val="00643118"/>
    <w:rsid w:val="006431F9"/>
    <w:rsid w:val="00643522"/>
    <w:rsid w:val="00643573"/>
    <w:rsid w:val="00643986"/>
    <w:rsid w:val="00644023"/>
    <w:rsid w:val="0064445B"/>
    <w:rsid w:val="00644588"/>
    <w:rsid w:val="0064481D"/>
    <w:rsid w:val="00644A93"/>
    <w:rsid w:val="00644ACA"/>
    <w:rsid w:val="00644CAE"/>
    <w:rsid w:val="006454F4"/>
    <w:rsid w:val="00645605"/>
    <w:rsid w:val="0064577C"/>
    <w:rsid w:val="0064599B"/>
    <w:rsid w:val="00645E2D"/>
    <w:rsid w:val="00645F84"/>
    <w:rsid w:val="0064603E"/>
    <w:rsid w:val="0064662F"/>
    <w:rsid w:val="00647726"/>
    <w:rsid w:val="00647B2A"/>
    <w:rsid w:val="00647B96"/>
    <w:rsid w:val="00647C69"/>
    <w:rsid w:val="00650428"/>
    <w:rsid w:val="00650545"/>
    <w:rsid w:val="006509DE"/>
    <w:rsid w:val="00650A79"/>
    <w:rsid w:val="006510F3"/>
    <w:rsid w:val="0065173A"/>
    <w:rsid w:val="00652FF7"/>
    <w:rsid w:val="00653035"/>
    <w:rsid w:val="00653423"/>
    <w:rsid w:val="00653702"/>
    <w:rsid w:val="006539CB"/>
    <w:rsid w:val="00653D37"/>
    <w:rsid w:val="00654223"/>
    <w:rsid w:val="006543B4"/>
    <w:rsid w:val="00654450"/>
    <w:rsid w:val="00654718"/>
    <w:rsid w:val="00654CE7"/>
    <w:rsid w:val="006552E8"/>
    <w:rsid w:val="0065552D"/>
    <w:rsid w:val="00655555"/>
    <w:rsid w:val="00655770"/>
    <w:rsid w:val="006558BF"/>
    <w:rsid w:val="006559E3"/>
    <w:rsid w:val="00656367"/>
    <w:rsid w:val="006564D1"/>
    <w:rsid w:val="0065679F"/>
    <w:rsid w:val="0065698A"/>
    <w:rsid w:val="00656C53"/>
    <w:rsid w:val="006571BA"/>
    <w:rsid w:val="006572BE"/>
    <w:rsid w:val="006577BF"/>
    <w:rsid w:val="006578E5"/>
    <w:rsid w:val="006579F5"/>
    <w:rsid w:val="00657B6C"/>
    <w:rsid w:val="00657EC4"/>
    <w:rsid w:val="006608D7"/>
    <w:rsid w:val="00660B15"/>
    <w:rsid w:val="00660B39"/>
    <w:rsid w:val="00660E96"/>
    <w:rsid w:val="00661176"/>
    <w:rsid w:val="006613C5"/>
    <w:rsid w:val="006613CA"/>
    <w:rsid w:val="006613F5"/>
    <w:rsid w:val="0066164E"/>
    <w:rsid w:val="006616C7"/>
    <w:rsid w:val="00661EA3"/>
    <w:rsid w:val="0066215D"/>
    <w:rsid w:val="006622FA"/>
    <w:rsid w:val="006629B4"/>
    <w:rsid w:val="00662E62"/>
    <w:rsid w:val="00662F8E"/>
    <w:rsid w:val="00662FBC"/>
    <w:rsid w:val="0066317F"/>
    <w:rsid w:val="006631E7"/>
    <w:rsid w:val="006634A4"/>
    <w:rsid w:val="0066358C"/>
    <w:rsid w:val="00663834"/>
    <w:rsid w:val="00663BF2"/>
    <w:rsid w:val="00664078"/>
    <w:rsid w:val="006647DB"/>
    <w:rsid w:val="00664C35"/>
    <w:rsid w:val="00664DEA"/>
    <w:rsid w:val="00664EFF"/>
    <w:rsid w:val="006651D2"/>
    <w:rsid w:val="00665747"/>
    <w:rsid w:val="00665782"/>
    <w:rsid w:val="006659CB"/>
    <w:rsid w:val="00665A3F"/>
    <w:rsid w:val="00665A8D"/>
    <w:rsid w:val="00665B74"/>
    <w:rsid w:val="00665C0E"/>
    <w:rsid w:val="00665FE4"/>
    <w:rsid w:val="00666158"/>
    <w:rsid w:val="00666758"/>
    <w:rsid w:val="006667FB"/>
    <w:rsid w:val="00666B28"/>
    <w:rsid w:val="00666DC2"/>
    <w:rsid w:val="00667113"/>
    <w:rsid w:val="0066719D"/>
    <w:rsid w:val="006671D7"/>
    <w:rsid w:val="00667259"/>
    <w:rsid w:val="0066734D"/>
    <w:rsid w:val="00667387"/>
    <w:rsid w:val="0066738F"/>
    <w:rsid w:val="00667C54"/>
    <w:rsid w:val="00667CBD"/>
    <w:rsid w:val="00670012"/>
    <w:rsid w:val="00670084"/>
    <w:rsid w:val="0067066F"/>
    <w:rsid w:val="00670CE9"/>
    <w:rsid w:val="00670F1F"/>
    <w:rsid w:val="0067121A"/>
    <w:rsid w:val="00671330"/>
    <w:rsid w:val="00671607"/>
    <w:rsid w:val="006716F4"/>
    <w:rsid w:val="006717E2"/>
    <w:rsid w:val="00671891"/>
    <w:rsid w:val="00671D1B"/>
    <w:rsid w:val="00671DB4"/>
    <w:rsid w:val="00671F5F"/>
    <w:rsid w:val="00672291"/>
    <w:rsid w:val="006722D1"/>
    <w:rsid w:val="00672484"/>
    <w:rsid w:val="006724AD"/>
    <w:rsid w:val="00672B32"/>
    <w:rsid w:val="00673266"/>
    <w:rsid w:val="006736BA"/>
    <w:rsid w:val="00673710"/>
    <w:rsid w:val="006737CB"/>
    <w:rsid w:val="00673A25"/>
    <w:rsid w:val="00673B14"/>
    <w:rsid w:val="00673B75"/>
    <w:rsid w:val="006741BE"/>
    <w:rsid w:val="00674379"/>
    <w:rsid w:val="00674498"/>
    <w:rsid w:val="006744C8"/>
    <w:rsid w:val="006744E2"/>
    <w:rsid w:val="00675B01"/>
    <w:rsid w:val="00675CF2"/>
    <w:rsid w:val="00675DA9"/>
    <w:rsid w:val="006760B5"/>
    <w:rsid w:val="00676294"/>
    <w:rsid w:val="0067657C"/>
    <w:rsid w:val="00676E2F"/>
    <w:rsid w:val="0067711C"/>
    <w:rsid w:val="006775B8"/>
    <w:rsid w:val="006776D0"/>
    <w:rsid w:val="00677B1C"/>
    <w:rsid w:val="00680081"/>
    <w:rsid w:val="00680175"/>
    <w:rsid w:val="0068039A"/>
    <w:rsid w:val="00680506"/>
    <w:rsid w:val="0068060B"/>
    <w:rsid w:val="006807FA"/>
    <w:rsid w:val="0068110F"/>
    <w:rsid w:val="0068115E"/>
    <w:rsid w:val="00681363"/>
    <w:rsid w:val="006813C9"/>
    <w:rsid w:val="006815FF"/>
    <w:rsid w:val="006817D9"/>
    <w:rsid w:val="00681849"/>
    <w:rsid w:val="006818C2"/>
    <w:rsid w:val="00681947"/>
    <w:rsid w:val="00681B7F"/>
    <w:rsid w:val="00681DE5"/>
    <w:rsid w:val="00682020"/>
    <w:rsid w:val="0068243D"/>
    <w:rsid w:val="00682866"/>
    <w:rsid w:val="00682A9B"/>
    <w:rsid w:val="00682BC2"/>
    <w:rsid w:val="006831C7"/>
    <w:rsid w:val="00683511"/>
    <w:rsid w:val="006837D8"/>
    <w:rsid w:val="006837E8"/>
    <w:rsid w:val="00683F2D"/>
    <w:rsid w:val="00684142"/>
    <w:rsid w:val="006846ED"/>
    <w:rsid w:val="00684973"/>
    <w:rsid w:val="00684DD8"/>
    <w:rsid w:val="00685080"/>
    <w:rsid w:val="0068568C"/>
    <w:rsid w:val="006856FC"/>
    <w:rsid w:val="00685A31"/>
    <w:rsid w:val="00685D8A"/>
    <w:rsid w:val="00686007"/>
    <w:rsid w:val="006860A9"/>
    <w:rsid w:val="006865D8"/>
    <w:rsid w:val="00686D5E"/>
    <w:rsid w:val="00686DEB"/>
    <w:rsid w:val="00686E81"/>
    <w:rsid w:val="006871B0"/>
    <w:rsid w:val="006872BB"/>
    <w:rsid w:val="006875BE"/>
    <w:rsid w:val="00687699"/>
    <w:rsid w:val="006876C2"/>
    <w:rsid w:val="0068795D"/>
    <w:rsid w:val="00687AA1"/>
    <w:rsid w:val="00687C4B"/>
    <w:rsid w:val="00687E0F"/>
    <w:rsid w:val="00687F51"/>
    <w:rsid w:val="00690044"/>
    <w:rsid w:val="006908E6"/>
    <w:rsid w:val="00690C17"/>
    <w:rsid w:val="00690CC9"/>
    <w:rsid w:val="00690ECA"/>
    <w:rsid w:val="00690F69"/>
    <w:rsid w:val="00691246"/>
    <w:rsid w:val="00691316"/>
    <w:rsid w:val="00691800"/>
    <w:rsid w:val="0069184E"/>
    <w:rsid w:val="00691862"/>
    <w:rsid w:val="00691B0D"/>
    <w:rsid w:val="00691C34"/>
    <w:rsid w:val="00691CC3"/>
    <w:rsid w:val="00691F74"/>
    <w:rsid w:val="00692072"/>
    <w:rsid w:val="006920A8"/>
    <w:rsid w:val="00692247"/>
    <w:rsid w:val="00692445"/>
    <w:rsid w:val="0069244D"/>
    <w:rsid w:val="0069247A"/>
    <w:rsid w:val="00692567"/>
    <w:rsid w:val="006927CE"/>
    <w:rsid w:val="00692C31"/>
    <w:rsid w:val="0069301A"/>
    <w:rsid w:val="006930BC"/>
    <w:rsid w:val="00693548"/>
    <w:rsid w:val="00693574"/>
    <w:rsid w:val="00693618"/>
    <w:rsid w:val="0069361C"/>
    <w:rsid w:val="0069371A"/>
    <w:rsid w:val="00693A1A"/>
    <w:rsid w:val="00693CAF"/>
    <w:rsid w:val="00693D29"/>
    <w:rsid w:val="00693D4E"/>
    <w:rsid w:val="00693DDF"/>
    <w:rsid w:val="00693EB9"/>
    <w:rsid w:val="00693F5A"/>
    <w:rsid w:val="006942A1"/>
    <w:rsid w:val="00694349"/>
    <w:rsid w:val="0069434E"/>
    <w:rsid w:val="006943E7"/>
    <w:rsid w:val="00694578"/>
    <w:rsid w:val="006945FB"/>
    <w:rsid w:val="00694DD0"/>
    <w:rsid w:val="00695471"/>
    <w:rsid w:val="00695474"/>
    <w:rsid w:val="0069569B"/>
    <w:rsid w:val="00695AD7"/>
    <w:rsid w:val="00695B68"/>
    <w:rsid w:val="00695E50"/>
    <w:rsid w:val="006963CA"/>
    <w:rsid w:val="00696EAE"/>
    <w:rsid w:val="00697390"/>
    <w:rsid w:val="00697C07"/>
    <w:rsid w:val="00697C5A"/>
    <w:rsid w:val="00697D86"/>
    <w:rsid w:val="00697E24"/>
    <w:rsid w:val="00697E4F"/>
    <w:rsid w:val="00697E6C"/>
    <w:rsid w:val="006A02C7"/>
    <w:rsid w:val="006A0BA3"/>
    <w:rsid w:val="006A0DC2"/>
    <w:rsid w:val="006A10D5"/>
    <w:rsid w:val="006A13BB"/>
    <w:rsid w:val="006A1571"/>
    <w:rsid w:val="006A16E4"/>
    <w:rsid w:val="006A176C"/>
    <w:rsid w:val="006A17C0"/>
    <w:rsid w:val="006A1A63"/>
    <w:rsid w:val="006A1E77"/>
    <w:rsid w:val="006A2384"/>
    <w:rsid w:val="006A25E8"/>
    <w:rsid w:val="006A2629"/>
    <w:rsid w:val="006A2654"/>
    <w:rsid w:val="006A26B8"/>
    <w:rsid w:val="006A2968"/>
    <w:rsid w:val="006A2991"/>
    <w:rsid w:val="006A2DC4"/>
    <w:rsid w:val="006A3277"/>
    <w:rsid w:val="006A346D"/>
    <w:rsid w:val="006A3485"/>
    <w:rsid w:val="006A360C"/>
    <w:rsid w:val="006A371A"/>
    <w:rsid w:val="006A38A8"/>
    <w:rsid w:val="006A391E"/>
    <w:rsid w:val="006A3A5C"/>
    <w:rsid w:val="006A3AC3"/>
    <w:rsid w:val="006A3AFC"/>
    <w:rsid w:val="006A41A5"/>
    <w:rsid w:val="006A441E"/>
    <w:rsid w:val="006A49FF"/>
    <w:rsid w:val="006A4B9B"/>
    <w:rsid w:val="006A56DB"/>
    <w:rsid w:val="006A5A3B"/>
    <w:rsid w:val="006A5B24"/>
    <w:rsid w:val="006A5BDB"/>
    <w:rsid w:val="006A5F39"/>
    <w:rsid w:val="006A60D5"/>
    <w:rsid w:val="006A60FF"/>
    <w:rsid w:val="006A61BD"/>
    <w:rsid w:val="006A6AFA"/>
    <w:rsid w:val="006A701B"/>
    <w:rsid w:val="006A7327"/>
    <w:rsid w:val="006A7919"/>
    <w:rsid w:val="006A79CA"/>
    <w:rsid w:val="006A7F26"/>
    <w:rsid w:val="006B06E0"/>
    <w:rsid w:val="006B0BB6"/>
    <w:rsid w:val="006B0C97"/>
    <w:rsid w:val="006B0D97"/>
    <w:rsid w:val="006B124A"/>
    <w:rsid w:val="006B1305"/>
    <w:rsid w:val="006B1A3F"/>
    <w:rsid w:val="006B1A94"/>
    <w:rsid w:val="006B1ADD"/>
    <w:rsid w:val="006B1BF4"/>
    <w:rsid w:val="006B1D09"/>
    <w:rsid w:val="006B1D6D"/>
    <w:rsid w:val="006B2246"/>
    <w:rsid w:val="006B22D6"/>
    <w:rsid w:val="006B23C5"/>
    <w:rsid w:val="006B265C"/>
    <w:rsid w:val="006B2BDC"/>
    <w:rsid w:val="006B2C7C"/>
    <w:rsid w:val="006B30C2"/>
    <w:rsid w:val="006B3248"/>
    <w:rsid w:val="006B325A"/>
    <w:rsid w:val="006B325E"/>
    <w:rsid w:val="006B33FC"/>
    <w:rsid w:val="006B3698"/>
    <w:rsid w:val="006B3769"/>
    <w:rsid w:val="006B37E1"/>
    <w:rsid w:val="006B3D2E"/>
    <w:rsid w:val="006B42AD"/>
    <w:rsid w:val="006B4855"/>
    <w:rsid w:val="006B48C6"/>
    <w:rsid w:val="006B4A56"/>
    <w:rsid w:val="006B4C24"/>
    <w:rsid w:val="006B4DAA"/>
    <w:rsid w:val="006B4E2A"/>
    <w:rsid w:val="006B4EE9"/>
    <w:rsid w:val="006B4FD1"/>
    <w:rsid w:val="006B5042"/>
    <w:rsid w:val="006B56AF"/>
    <w:rsid w:val="006B5757"/>
    <w:rsid w:val="006B579B"/>
    <w:rsid w:val="006B57E9"/>
    <w:rsid w:val="006B6000"/>
    <w:rsid w:val="006B69A0"/>
    <w:rsid w:val="006B69F5"/>
    <w:rsid w:val="006B733F"/>
    <w:rsid w:val="006B736C"/>
    <w:rsid w:val="006B771A"/>
    <w:rsid w:val="006B7BDB"/>
    <w:rsid w:val="006B7E20"/>
    <w:rsid w:val="006C006A"/>
    <w:rsid w:val="006C0594"/>
    <w:rsid w:val="006C0727"/>
    <w:rsid w:val="006C0D18"/>
    <w:rsid w:val="006C0E29"/>
    <w:rsid w:val="006C101B"/>
    <w:rsid w:val="006C11DB"/>
    <w:rsid w:val="006C13A4"/>
    <w:rsid w:val="006C1552"/>
    <w:rsid w:val="006C15C5"/>
    <w:rsid w:val="006C1C5F"/>
    <w:rsid w:val="006C20C0"/>
    <w:rsid w:val="006C2213"/>
    <w:rsid w:val="006C25C0"/>
    <w:rsid w:val="006C2ACF"/>
    <w:rsid w:val="006C371E"/>
    <w:rsid w:val="006C37F6"/>
    <w:rsid w:val="006C3813"/>
    <w:rsid w:val="006C3ABA"/>
    <w:rsid w:val="006C3BE0"/>
    <w:rsid w:val="006C3F1D"/>
    <w:rsid w:val="006C4082"/>
    <w:rsid w:val="006C47AE"/>
    <w:rsid w:val="006C4947"/>
    <w:rsid w:val="006C4F65"/>
    <w:rsid w:val="006C524F"/>
    <w:rsid w:val="006C584B"/>
    <w:rsid w:val="006C59CD"/>
    <w:rsid w:val="006C5EB6"/>
    <w:rsid w:val="006C5F04"/>
    <w:rsid w:val="006C64DD"/>
    <w:rsid w:val="006C696C"/>
    <w:rsid w:val="006C6C51"/>
    <w:rsid w:val="006C7255"/>
    <w:rsid w:val="006C72FC"/>
    <w:rsid w:val="006C7C10"/>
    <w:rsid w:val="006C7C54"/>
    <w:rsid w:val="006C7C6D"/>
    <w:rsid w:val="006C7E23"/>
    <w:rsid w:val="006C7F5F"/>
    <w:rsid w:val="006D08F0"/>
    <w:rsid w:val="006D0B3F"/>
    <w:rsid w:val="006D0B86"/>
    <w:rsid w:val="006D0DE3"/>
    <w:rsid w:val="006D0FA4"/>
    <w:rsid w:val="006D1508"/>
    <w:rsid w:val="006D159E"/>
    <w:rsid w:val="006D16C1"/>
    <w:rsid w:val="006D1773"/>
    <w:rsid w:val="006D1CCE"/>
    <w:rsid w:val="006D2501"/>
    <w:rsid w:val="006D28B4"/>
    <w:rsid w:val="006D28BE"/>
    <w:rsid w:val="006D29B6"/>
    <w:rsid w:val="006D2C98"/>
    <w:rsid w:val="006D3335"/>
    <w:rsid w:val="006D346F"/>
    <w:rsid w:val="006D3A56"/>
    <w:rsid w:val="006D3B5F"/>
    <w:rsid w:val="006D3E07"/>
    <w:rsid w:val="006D4015"/>
    <w:rsid w:val="006D43FE"/>
    <w:rsid w:val="006D449E"/>
    <w:rsid w:val="006D44D9"/>
    <w:rsid w:val="006D4722"/>
    <w:rsid w:val="006D484E"/>
    <w:rsid w:val="006D4AF7"/>
    <w:rsid w:val="006D4B41"/>
    <w:rsid w:val="006D51B2"/>
    <w:rsid w:val="006D5367"/>
    <w:rsid w:val="006D5414"/>
    <w:rsid w:val="006D5908"/>
    <w:rsid w:val="006D596A"/>
    <w:rsid w:val="006D5ACF"/>
    <w:rsid w:val="006D5B08"/>
    <w:rsid w:val="006D5B15"/>
    <w:rsid w:val="006D5D53"/>
    <w:rsid w:val="006D5DB5"/>
    <w:rsid w:val="006D5E78"/>
    <w:rsid w:val="006D6391"/>
    <w:rsid w:val="006D6E20"/>
    <w:rsid w:val="006D6EAF"/>
    <w:rsid w:val="006D77E5"/>
    <w:rsid w:val="006D78A7"/>
    <w:rsid w:val="006D7C17"/>
    <w:rsid w:val="006D7F81"/>
    <w:rsid w:val="006E042D"/>
    <w:rsid w:val="006E07CA"/>
    <w:rsid w:val="006E080D"/>
    <w:rsid w:val="006E1274"/>
    <w:rsid w:val="006E127E"/>
    <w:rsid w:val="006E1850"/>
    <w:rsid w:val="006E1898"/>
    <w:rsid w:val="006E2331"/>
    <w:rsid w:val="006E24EB"/>
    <w:rsid w:val="006E27FE"/>
    <w:rsid w:val="006E2AC6"/>
    <w:rsid w:val="006E2C92"/>
    <w:rsid w:val="006E2D3A"/>
    <w:rsid w:val="006E3D63"/>
    <w:rsid w:val="006E46EE"/>
    <w:rsid w:val="006E4722"/>
    <w:rsid w:val="006E4772"/>
    <w:rsid w:val="006E47A1"/>
    <w:rsid w:val="006E4821"/>
    <w:rsid w:val="006E484C"/>
    <w:rsid w:val="006E48CA"/>
    <w:rsid w:val="006E4F95"/>
    <w:rsid w:val="006E5041"/>
    <w:rsid w:val="006E50F5"/>
    <w:rsid w:val="006E5406"/>
    <w:rsid w:val="006E5520"/>
    <w:rsid w:val="006E5590"/>
    <w:rsid w:val="006E5715"/>
    <w:rsid w:val="006E5757"/>
    <w:rsid w:val="006E5C77"/>
    <w:rsid w:val="006E615F"/>
    <w:rsid w:val="006E6229"/>
    <w:rsid w:val="006E6399"/>
    <w:rsid w:val="006E688B"/>
    <w:rsid w:val="006E6A3F"/>
    <w:rsid w:val="006E6CBD"/>
    <w:rsid w:val="006E6DDD"/>
    <w:rsid w:val="006E7645"/>
    <w:rsid w:val="006E7676"/>
    <w:rsid w:val="006E76F3"/>
    <w:rsid w:val="006E773C"/>
    <w:rsid w:val="006E7E2E"/>
    <w:rsid w:val="006E7ED8"/>
    <w:rsid w:val="006F0058"/>
    <w:rsid w:val="006F0442"/>
    <w:rsid w:val="006F0AA3"/>
    <w:rsid w:val="006F0B1E"/>
    <w:rsid w:val="006F0D46"/>
    <w:rsid w:val="006F0DF5"/>
    <w:rsid w:val="006F0EDF"/>
    <w:rsid w:val="006F0FB6"/>
    <w:rsid w:val="006F1092"/>
    <w:rsid w:val="006F1847"/>
    <w:rsid w:val="006F18D5"/>
    <w:rsid w:val="006F1E0C"/>
    <w:rsid w:val="006F2001"/>
    <w:rsid w:val="006F202E"/>
    <w:rsid w:val="006F225A"/>
    <w:rsid w:val="006F2941"/>
    <w:rsid w:val="006F2BE1"/>
    <w:rsid w:val="006F2C86"/>
    <w:rsid w:val="006F2FE9"/>
    <w:rsid w:val="006F33C2"/>
    <w:rsid w:val="006F35CE"/>
    <w:rsid w:val="006F3807"/>
    <w:rsid w:val="006F3AAD"/>
    <w:rsid w:val="006F3CBC"/>
    <w:rsid w:val="006F3D67"/>
    <w:rsid w:val="006F3EEB"/>
    <w:rsid w:val="006F3FD1"/>
    <w:rsid w:val="006F4143"/>
    <w:rsid w:val="006F443E"/>
    <w:rsid w:val="006F47D4"/>
    <w:rsid w:val="006F47E1"/>
    <w:rsid w:val="006F4824"/>
    <w:rsid w:val="006F4CD2"/>
    <w:rsid w:val="006F4D4A"/>
    <w:rsid w:val="006F50B9"/>
    <w:rsid w:val="006F5109"/>
    <w:rsid w:val="006F516C"/>
    <w:rsid w:val="006F5378"/>
    <w:rsid w:val="006F57A8"/>
    <w:rsid w:val="006F5BFF"/>
    <w:rsid w:val="006F6139"/>
    <w:rsid w:val="006F66AE"/>
    <w:rsid w:val="006F6964"/>
    <w:rsid w:val="006F69B1"/>
    <w:rsid w:val="006F70AA"/>
    <w:rsid w:val="006F7428"/>
    <w:rsid w:val="006F742F"/>
    <w:rsid w:val="006F7866"/>
    <w:rsid w:val="006F790A"/>
    <w:rsid w:val="006F7A2E"/>
    <w:rsid w:val="006F7ECB"/>
    <w:rsid w:val="006F7EDF"/>
    <w:rsid w:val="00700568"/>
    <w:rsid w:val="0070080B"/>
    <w:rsid w:val="007009D4"/>
    <w:rsid w:val="00700AB8"/>
    <w:rsid w:val="00700EEF"/>
    <w:rsid w:val="00700EFA"/>
    <w:rsid w:val="00701427"/>
    <w:rsid w:val="00701442"/>
    <w:rsid w:val="00701B12"/>
    <w:rsid w:val="00701CBA"/>
    <w:rsid w:val="00701D87"/>
    <w:rsid w:val="007028D4"/>
    <w:rsid w:val="007029DE"/>
    <w:rsid w:val="00702B59"/>
    <w:rsid w:val="00702CD5"/>
    <w:rsid w:val="00702DF0"/>
    <w:rsid w:val="00702EE2"/>
    <w:rsid w:val="00702F7D"/>
    <w:rsid w:val="0070309B"/>
    <w:rsid w:val="0070338C"/>
    <w:rsid w:val="00703473"/>
    <w:rsid w:val="00703713"/>
    <w:rsid w:val="007039F3"/>
    <w:rsid w:val="00703AE4"/>
    <w:rsid w:val="00703D48"/>
    <w:rsid w:val="007042C6"/>
    <w:rsid w:val="0070493C"/>
    <w:rsid w:val="00704A9E"/>
    <w:rsid w:val="00704C91"/>
    <w:rsid w:val="007051D0"/>
    <w:rsid w:val="007059C2"/>
    <w:rsid w:val="00705C31"/>
    <w:rsid w:val="00705EC7"/>
    <w:rsid w:val="00705F5C"/>
    <w:rsid w:val="00705FB2"/>
    <w:rsid w:val="00706084"/>
    <w:rsid w:val="007061A1"/>
    <w:rsid w:val="007064F9"/>
    <w:rsid w:val="0070672F"/>
    <w:rsid w:val="00706A53"/>
    <w:rsid w:val="00706A9A"/>
    <w:rsid w:val="00706A9B"/>
    <w:rsid w:val="00706DC3"/>
    <w:rsid w:val="00706F57"/>
    <w:rsid w:val="007075C3"/>
    <w:rsid w:val="00707947"/>
    <w:rsid w:val="00707AC7"/>
    <w:rsid w:val="00707AEF"/>
    <w:rsid w:val="0071003D"/>
    <w:rsid w:val="0071005A"/>
    <w:rsid w:val="00710271"/>
    <w:rsid w:val="007102B5"/>
    <w:rsid w:val="00710493"/>
    <w:rsid w:val="00710561"/>
    <w:rsid w:val="00710A27"/>
    <w:rsid w:val="00710C7D"/>
    <w:rsid w:val="00711010"/>
    <w:rsid w:val="0071134B"/>
    <w:rsid w:val="00711477"/>
    <w:rsid w:val="00711560"/>
    <w:rsid w:val="00711795"/>
    <w:rsid w:val="00711BBD"/>
    <w:rsid w:val="00711D08"/>
    <w:rsid w:val="00711EF3"/>
    <w:rsid w:val="007121ED"/>
    <w:rsid w:val="00712514"/>
    <w:rsid w:val="0071287B"/>
    <w:rsid w:val="00712A6A"/>
    <w:rsid w:val="0071300A"/>
    <w:rsid w:val="00713365"/>
    <w:rsid w:val="00713686"/>
    <w:rsid w:val="00713777"/>
    <w:rsid w:val="00713BEF"/>
    <w:rsid w:val="007147F8"/>
    <w:rsid w:val="00714CBC"/>
    <w:rsid w:val="00714F74"/>
    <w:rsid w:val="007150A2"/>
    <w:rsid w:val="007150BF"/>
    <w:rsid w:val="00715592"/>
    <w:rsid w:val="007156BA"/>
    <w:rsid w:val="00715A91"/>
    <w:rsid w:val="0071606A"/>
    <w:rsid w:val="0071625B"/>
    <w:rsid w:val="007162F4"/>
    <w:rsid w:val="00716AC8"/>
    <w:rsid w:val="00716E5A"/>
    <w:rsid w:val="0071723E"/>
    <w:rsid w:val="0071735C"/>
    <w:rsid w:val="00717827"/>
    <w:rsid w:val="00717FD2"/>
    <w:rsid w:val="00717FDC"/>
    <w:rsid w:val="00720444"/>
    <w:rsid w:val="00720793"/>
    <w:rsid w:val="00720BC1"/>
    <w:rsid w:val="00721454"/>
    <w:rsid w:val="007215E7"/>
    <w:rsid w:val="00721642"/>
    <w:rsid w:val="00721891"/>
    <w:rsid w:val="00723018"/>
    <w:rsid w:val="007230A7"/>
    <w:rsid w:val="00723156"/>
    <w:rsid w:val="0072340D"/>
    <w:rsid w:val="007239D0"/>
    <w:rsid w:val="00723DF3"/>
    <w:rsid w:val="00723EE5"/>
    <w:rsid w:val="00723F1C"/>
    <w:rsid w:val="00724454"/>
    <w:rsid w:val="00724EE4"/>
    <w:rsid w:val="00724F23"/>
    <w:rsid w:val="0072532D"/>
    <w:rsid w:val="00725363"/>
    <w:rsid w:val="007254EF"/>
    <w:rsid w:val="00725674"/>
    <w:rsid w:val="00725804"/>
    <w:rsid w:val="00725EB6"/>
    <w:rsid w:val="00725F06"/>
    <w:rsid w:val="007261F9"/>
    <w:rsid w:val="0072667D"/>
    <w:rsid w:val="00726D54"/>
    <w:rsid w:val="00726E80"/>
    <w:rsid w:val="00726ED0"/>
    <w:rsid w:val="007271E0"/>
    <w:rsid w:val="00727787"/>
    <w:rsid w:val="007278C2"/>
    <w:rsid w:val="007279CF"/>
    <w:rsid w:val="007279D9"/>
    <w:rsid w:val="007279FD"/>
    <w:rsid w:val="00727A00"/>
    <w:rsid w:val="00727B42"/>
    <w:rsid w:val="00727B82"/>
    <w:rsid w:val="00727CC0"/>
    <w:rsid w:val="0073036B"/>
    <w:rsid w:val="00730C33"/>
    <w:rsid w:val="00730CE0"/>
    <w:rsid w:val="00730DE5"/>
    <w:rsid w:val="007317E2"/>
    <w:rsid w:val="00731881"/>
    <w:rsid w:val="0073199C"/>
    <w:rsid w:val="00731A74"/>
    <w:rsid w:val="00731CC4"/>
    <w:rsid w:val="00731D79"/>
    <w:rsid w:val="007320A4"/>
    <w:rsid w:val="0073228A"/>
    <w:rsid w:val="007323CE"/>
    <w:rsid w:val="007324CB"/>
    <w:rsid w:val="0073251C"/>
    <w:rsid w:val="0073268C"/>
    <w:rsid w:val="00732A6D"/>
    <w:rsid w:val="00732AD0"/>
    <w:rsid w:val="00732B44"/>
    <w:rsid w:val="00733148"/>
    <w:rsid w:val="007335C2"/>
    <w:rsid w:val="0073370C"/>
    <w:rsid w:val="0073379B"/>
    <w:rsid w:val="007338FF"/>
    <w:rsid w:val="00733981"/>
    <w:rsid w:val="00733ABA"/>
    <w:rsid w:val="00733F4D"/>
    <w:rsid w:val="00734001"/>
    <w:rsid w:val="0073442D"/>
    <w:rsid w:val="00734684"/>
    <w:rsid w:val="00734ABA"/>
    <w:rsid w:val="00734F64"/>
    <w:rsid w:val="007350A2"/>
    <w:rsid w:val="007350CB"/>
    <w:rsid w:val="00735EF8"/>
    <w:rsid w:val="007361EA"/>
    <w:rsid w:val="00736504"/>
    <w:rsid w:val="0073663B"/>
    <w:rsid w:val="00736B21"/>
    <w:rsid w:val="00737880"/>
    <w:rsid w:val="00737CE4"/>
    <w:rsid w:val="00737CFE"/>
    <w:rsid w:val="00737D26"/>
    <w:rsid w:val="0074064A"/>
    <w:rsid w:val="00740B51"/>
    <w:rsid w:val="0074135A"/>
    <w:rsid w:val="00741540"/>
    <w:rsid w:val="00741544"/>
    <w:rsid w:val="007416D8"/>
    <w:rsid w:val="0074171D"/>
    <w:rsid w:val="00741F10"/>
    <w:rsid w:val="007420F4"/>
    <w:rsid w:val="0074216C"/>
    <w:rsid w:val="00742C1B"/>
    <w:rsid w:val="00743035"/>
    <w:rsid w:val="007430C8"/>
    <w:rsid w:val="00743178"/>
    <w:rsid w:val="007431E8"/>
    <w:rsid w:val="0074352C"/>
    <w:rsid w:val="00743AC0"/>
    <w:rsid w:val="00743AF6"/>
    <w:rsid w:val="0074432D"/>
    <w:rsid w:val="00744849"/>
    <w:rsid w:val="0074493D"/>
    <w:rsid w:val="0074499F"/>
    <w:rsid w:val="0074532E"/>
    <w:rsid w:val="00745497"/>
    <w:rsid w:val="00745598"/>
    <w:rsid w:val="00745937"/>
    <w:rsid w:val="00745A4F"/>
    <w:rsid w:val="00745B65"/>
    <w:rsid w:val="00745BF8"/>
    <w:rsid w:val="00745E3B"/>
    <w:rsid w:val="00745F23"/>
    <w:rsid w:val="00746354"/>
    <w:rsid w:val="00746518"/>
    <w:rsid w:val="007465C5"/>
    <w:rsid w:val="00746688"/>
    <w:rsid w:val="00746B50"/>
    <w:rsid w:val="00746DEB"/>
    <w:rsid w:val="0074707C"/>
    <w:rsid w:val="007470BE"/>
    <w:rsid w:val="00747177"/>
    <w:rsid w:val="00747206"/>
    <w:rsid w:val="007473B8"/>
    <w:rsid w:val="0074749A"/>
    <w:rsid w:val="00747504"/>
    <w:rsid w:val="007475D7"/>
    <w:rsid w:val="007479E5"/>
    <w:rsid w:val="00747EA9"/>
    <w:rsid w:val="00747FCC"/>
    <w:rsid w:val="00750145"/>
    <w:rsid w:val="00750472"/>
    <w:rsid w:val="00750489"/>
    <w:rsid w:val="00750A33"/>
    <w:rsid w:val="00750E19"/>
    <w:rsid w:val="0075103F"/>
    <w:rsid w:val="0075115A"/>
    <w:rsid w:val="007516AC"/>
    <w:rsid w:val="00751749"/>
    <w:rsid w:val="00751762"/>
    <w:rsid w:val="00751B9C"/>
    <w:rsid w:val="00751E18"/>
    <w:rsid w:val="0075203B"/>
    <w:rsid w:val="00752313"/>
    <w:rsid w:val="00752328"/>
    <w:rsid w:val="00752344"/>
    <w:rsid w:val="007527AD"/>
    <w:rsid w:val="00752831"/>
    <w:rsid w:val="0075289F"/>
    <w:rsid w:val="00752B18"/>
    <w:rsid w:val="00752E51"/>
    <w:rsid w:val="00753051"/>
    <w:rsid w:val="007532CC"/>
    <w:rsid w:val="0075338D"/>
    <w:rsid w:val="00753C7E"/>
    <w:rsid w:val="00753CE5"/>
    <w:rsid w:val="00753D54"/>
    <w:rsid w:val="00753EB4"/>
    <w:rsid w:val="007540BC"/>
    <w:rsid w:val="007541B8"/>
    <w:rsid w:val="00754228"/>
    <w:rsid w:val="00754320"/>
    <w:rsid w:val="007543B2"/>
    <w:rsid w:val="00754400"/>
    <w:rsid w:val="00754480"/>
    <w:rsid w:val="00754550"/>
    <w:rsid w:val="007546CC"/>
    <w:rsid w:val="00754C5C"/>
    <w:rsid w:val="00754D18"/>
    <w:rsid w:val="0075529D"/>
    <w:rsid w:val="007558E3"/>
    <w:rsid w:val="0075596E"/>
    <w:rsid w:val="00755B0B"/>
    <w:rsid w:val="00755B10"/>
    <w:rsid w:val="00755B1A"/>
    <w:rsid w:val="0075605C"/>
    <w:rsid w:val="007561DE"/>
    <w:rsid w:val="0075672B"/>
    <w:rsid w:val="00756DA1"/>
    <w:rsid w:val="0075705C"/>
    <w:rsid w:val="007570CA"/>
    <w:rsid w:val="0075725C"/>
    <w:rsid w:val="007573D2"/>
    <w:rsid w:val="0075748D"/>
    <w:rsid w:val="00757577"/>
    <w:rsid w:val="007577ED"/>
    <w:rsid w:val="00757AE5"/>
    <w:rsid w:val="00757E75"/>
    <w:rsid w:val="00757EE2"/>
    <w:rsid w:val="00760080"/>
    <w:rsid w:val="007601F8"/>
    <w:rsid w:val="007605CE"/>
    <w:rsid w:val="00760856"/>
    <w:rsid w:val="00760BFA"/>
    <w:rsid w:val="00760CFD"/>
    <w:rsid w:val="00760E81"/>
    <w:rsid w:val="00760E93"/>
    <w:rsid w:val="00760F57"/>
    <w:rsid w:val="00761020"/>
    <w:rsid w:val="007610E3"/>
    <w:rsid w:val="007612F0"/>
    <w:rsid w:val="00761618"/>
    <w:rsid w:val="007616CA"/>
    <w:rsid w:val="007617B6"/>
    <w:rsid w:val="007618F5"/>
    <w:rsid w:val="00761E54"/>
    <w:rsid w:val="00761EC3"/>
    <w:rsid w:val="0076209D"/>
    <w:rsid w:val="007627CE"/>
    <w:rsid w:val="00762804"/>
    <w:rsid w:val="007628FF"/>
    <w:rsid w:val="00762921"/>
    <w:rsid w:val="00762DAB"/>
    <w:rsid w:val="00762E88"/>
    <w:rsid w:val="00763193"/>
    <w:rsid w:val="007633F7"/>
    <w:rsid w:val="0076343D"/>
    <w:rsid w:val="0076356F"/>
    <w:rsid w:val="007636D7"/>
    <w:rsid w:val="00763A86"/>
    <w:rsid w:val="00763B6D"/>
    <w:rsid w:val="00763D50"/>
    <w:rsid w:val="00763E19"/>
    <w:rsid w:val="00763E73"/>
    <w:rsid w:val="00763F8B"/>
    <w:rsid w:val="0076404D"/>
    <w:rsid w:val="007640FF"/>
    <w:rsid w:val="007641C0"/>
    <w:rsid w:val="00764270"/>
    <w:rsid w:val="0076489E"/>
    <w:rsid w:val="007648F3"/>
    <w:rsid w:val="00764A8E"/>
    <w:rsid w:val="00764E27"/>
    <w:rsid w:val="00764EA6"/>
    <w:rsid w:val="00764F31"/>
    <w:rsid w:val="00765B18"/>
    <w:rsid w:val="00765CA6"/>
    <w:rsid w:val="00765FBE"/>
    <w:rsid w:val="0076636F"/>
    <w:rsid w:val="007668D7"/>
    <w:rsid w:val="00766A35"/>
    <w:rsid w:val="00766B8C"/>
    <w:rsid w:val="007673D8"/>
    <w:rsid w:val="0076745D"/>
    <w:rsid w:val="0076788A"/>
    <w:rsid w:val="007678A4"/>
    <w:rsid w:val="00767A7F"/>
    <w:rsid w:val="007700CC"/>
    <w:rsid w:val="0077070F"/>
    <w:rsid w:val="00770879"/>
    <w:rsid w:val="00770973"/>
    <w:rsid w:val="007709B3"/>
    <w:rsid w:val="00770A2A"/>
    <w:rsid w:val="00770B58"/>
    <w:rsid w:val="00770C6A"/>
    <w:rsid w:val="007712E3"/>
    <w:rsid w:val="007716DB"/>
    <w:rsid w:val="007716EE"/>
    <w:rsid w:val="007717B7"/>
    <w:rsid w:val="00771832"/>
    <w:rsid w:val="007718B8"/>
    <w:rsid w:val="00771A92"/>
    <w:rsid w:val="00771E33"/>
    <w:rsid w:val="0077207F"/>
    <w:rsid w:val="007721DD"/>
    <w:rsid w:val="0077229F"/>
    <w:rsid w:val="007723B4"/>
    <w:rsid w:val="00772531"/>
    <w:rsid w:val="00772678"/>
    <w:rsid w:val="00772B63"/>
    <w:rsid w:val="00773040"/>
    <w:rsid w:val="00773178"/>
    <w:rsid w:val="0077373E"/>
    <w:rsid w:val="007737E7"/>
    <w:rsid w:val="00773B9F"/>
    <w:rsid w:val="00773BFE"/>
    <w:rsid w:val="00773C60"/>
    <w:rsid w:val="00773F74"/>
    <w:rsid w:val="00773FD0"/>
    <w:rsid w:val="00774115"/>
    <w:rsid w:val="00774625"/>
    <w:rsid w:val="007746E9"/>
    <w:rsid w:val="00774897"/>
    <w:rsid w:val="007750A6"/>
    <w:rsid w:val="007751D7"/>
    <w:rsid w:val="007754B5"/>
    <w:rsid w:val="00775698"/>
    <w:rsid w:val="007756FA"/>
    <w:rsid w:val="00775852"/>
    <w:rsid w:val="00775A2E"/>
    <w:rsid w:val="00775AE2"/>
    <w:rsid w:val="00775B23"/>
    <w:rsid w:val="00775C79"/>
    <w:rsid w:val="00775D75"/>
    <w:rsid w:val="00775E03"/>
    <w:rsid w:val="00775E0C"/>
    <w:rsid w:val="00775ECF"/>
    <w:rsid w:val="007760B8"/>
    <w:rsid w:val="00776400"/>
    <w:rsid w:val="0077656B"/>
    <w:rsid w:val="007765D0"/>
    <w:rsid w:val="00776631"/>
    <w:rsid w:val="00776837"/>
    <w:rsid w:val="00776841"/>
    <w:rsid w:val="007768B4"/>
    <w:rsid w:val="00776946"/>
    <w:rsid w:val="00776E2D"/>
    <w:rsid w:val="00776E52"/>
    <w:rsid w:val="00777230"/>
    <w:rsid w:val="007773E6"/>
    <w:rsid w:val="00777729"/>
    <w:rsid w:val="00777A16"/>
    <w:rsid w:val="00777AE5"/>
    <w:rsid w:val="00780046"/>
    <w:rsid w:val="0078093B"/>
    <w:rsid w:val="00780947"/>
    <w:rsid w:val="00780978"/>
    <w:rsid w:val="00780A60"/>
    <w:rsid w:val="00781150"/>
    <w:rsid w:val="00781158"/>
    <w:rsid w:val="007811C2"/>
    <w:rsid w:val="0078137B"/>
    <w:rsid w:val="00781435"/>
    <w:rsid w:val="00781726"/>
    <w:rsid w:val="00781C74"/>
    <w:rsid w:val="00781FD6"/>
    <w:rsid w:val="00782245"/>
    <w:rsid w:val="00782258"/>
    <w:rsid w:val="00782410"/>
    <w:rsid w:val="007828CF"/>
    <w:rsid w:val="00783234"/>
    <w:rsid w:val="0078334A"/>
    <w:rsid w:val="007834EC"/>
    <w:rsid w:val="0078394C"/>
    <w:rsid w:val="00783C31"/>
    <w:rsid w:val="00784124"/>
    <w:rsid w:val="00784139"/>
    <w:rsid w:val="007848C3"/>
    <w:rsid w:val="00784948"/>
    <w:rsid w:val="00784CFB"/>
    <w:rsid w:val="00784D2A"/>
    <w:rsid w:val="00784D63"/>
    <w:rsid w:val="007853C6"/>
    <w:rsid w:val="0078589A"/>
    <w:rsid w:val="00785B35"/>
    <w:rsid w:val="00785CA1"/>
    <w:rsid w:val="00785E97"/>
    <w:rsid w:val="00786154"/>
    <w:rsid w:val="00786330"/>
    <w:rsid w:val="0078653C"/>
    <w:rsid w:val="007865D7"/>
    <w:rsid w:val="00786DD5"/>
    <w:rsid w:val="007872B3"/>
    <w:rsid w:val="007873E5"/>
    <w:rsid w:val="007873E9"/>
    <w:rsid w:val="007875D3"/>
    <w:rsid w:val="00787D87"/>
    <w:rsid w:val="0079050D"/>
    <w:rsid w:val="007906F1"/>
    <w:rsid w:val="007907D8"/>
    <w:rsid w:val="007909BE"/>
    <w:rsid w:val="0079114B"/>
    <w:rsid w:val="0079158E"/>
    <w:rsid w:val="00791800"/>
    <w:rsid w:val="00791A82"/>
    <w:rsid w:val="00791CC9"/>
    <w:rsid w:val="0079276A"/>
    <w:rsid w:val="00792869"/>
    <w:rsid w:val="00793081"/>
    <w:rsid w:val="0079312B"/>
    <w:rsid w:val="00793247"/>
    <w:rsid w:val="0079334A"/>
    <w:rsid w:val="00793392"/>
    <w:rsid w:val="0079343C"/>
    <w:rsid w:val="00793696"/>
    <w:rsid w:val="007940CB"/>
    <w:rsid w:val="0079421C"/>
    <w:rsid w:val="007942F5"/>
    <w:rsid w:val="007944DA"/>
    <w:rsid w:val="0079454A"/>
    <w:rsid w:val="00794851"/>
    <w:rsid w:val="0079516E"/>
    <w:rsid w:val="0079532D"/>
    <w:rsid w:val="007955D8"/>
    <w:rsid w:val="0079593C"/>
    <w:rsid w:val="00795D04"/>
    <w:rsid w:val="0079639A"/>
    <w:rsid w:val="0079662C"/>
    <w:rsid w:val="00796745"/>
    <w:rsid w:val="0079688E"/>
    <w:rsid w:val="0079689E"/>
    <w:rsid w:val="00796BEC"/>
    <w:rsid w:val="00796C9A"/>
    <w:rsid w:val="00796FD5"/>
    <w:rsid w:val="00797081"/>
    <w:rsid w:val="0079727F"/>
    <w:rsid w:val="00797316"/>
    <w:rsid w:val="00797432"/>
    <w:rsid w:val="007976D9"/>
    <w:rsid w:val="00797D64"/>
    <w:rsid w:val="00797FAA"/>
    <w:rsid w:val="007A051D"/>
    <w:rsid w:val="007A054F"/>
    <w:rsid w:val="007A0827"/>
    <w:rsid w:val="007A182E"/>
    <w:rsid w:val="007A18F1"/>
    <w:rsid w:val="007A1963"/>
    <w:rsid w:val="007A1992"/>
    <w:rsid w:val="007A1B05"/>
    <w:rsid w:val="007A1BCD"/>
    <w:rsid w:val="007A1FE7"/>
    <w:rsid w:val="007A226F"/>
    <w:rsid w:val="007A227A"/>
    <w:rsid w:val="007A2602"/>
    <w:rsid w:val="007A293E"/>
    <w:rsid w:val="007A29D3"/>
    <w:rsid w:val="007A2B20"/>
    <w:rsid w:val="007A2F86"/>
    <w:rsid w:val="007A3381"/>
    <w:rsid w:val="007A33C0"/>
    <w:rsid w:val="007A3460"/>
    <w:rsid w:val="007A3584"/>
    <w:rsid w:val="007A36FD"/>
    <w:rsid w:val="007A3B81"/>
    <w:rsid w:val="007A3FEF"/>
    <w:rsid w:val="007A456E"/>
    <w:rsid w:val="007A4939"/>
    <w:rsid w:val="007A4A91"/>
    <w:rsid w:val="007A4B23"/>
    <w:rsid w:val="007A4BFC"/>
    <w:rsid w:val="007A4EDC"/>
    <w:rsid w:val="007A513E"/>
    <w:rsid w:val="007A55B0"/>
    <w:rsid w:val="007A5ADE"/>
    <w:rsid w:val="007A5C4F"/>
    <w:rsid w:val="007A5C73"/>
    <w:rsid w:val="007A5FD9"/>
    <w:rsid w:val="007A63A5"/>
    <w:rsid w:val="007A64D1"/>
    <w:rsid w:val="007A661E"/>
    <w:rsid w:val="007A66C7"/>
    <w:rsid w:val="007A68AF"/>
    <w:rsid w:val="007A6D0E"/>
    <w:rsid w:val="007A6D2D"/>
    <w:rsid w:val="007A6F1A"/>
    <w:rsid w:val="007A7142"/>
    <w:rsid w:val="007A715C"/>
    <w:rsid w:val="007A73B7"/>
    <w:rsid w:val="007A73F8"/>
    <w:rsid w:val="007A784E"/>
    <w:rsid w:val="007A7B9B"/>
    <w:rsid w:val="007A7FC6"/>
    <w:rsid w:val="007B01ED"/>
    <w:rsid w:val="007B0616"/>
    <w:rsid w:val="007B095E"/>
    <w:rsid w:val="007B0C29"/>
    <w:rsid w:val="007B0EAC"/>
    <w:rsid w:val="007B11D8"/>
    <w:rsid w:val="007B13C5"/>
    <w:rsid w:val="007B1497"/>
    <w:rsid w:val="007B14D3"/>
    <w:rsid w:val="007B16B9"/>
    <w:rsid w:val="007B176C"/>
    <w:rsid w:val="007B182E"/>
    <w:rsid w:val="007B189A"/>
    <w:rsid w:val="007B1BEE"/>
    <w:rsid w:val="007B1E34"/>
    <w:rsid w:val="007B22CA"/>
    <w:rsid w:val="007B26AE"/>
    <w:rsid w:val="007B282D"/>
    <w:rsid w:val="007B2E3E"/>
    <w:rsid w:val="007B3440"/>
    <w:rsid w:val="007B35B1"/>
    <w:rsid w:val="007B3B22"/>
    <w:rsid w:val="007B3CE5"/>
    <w:rsid w:val="007B3E71"/>
    <w:rsid w:val="007B3FCB"/>
    <w:rsid w:val="007B43EC"/>
    <w:rsid w:val="007B4783"/>
    <w:rsid w:val="007B491C"/>
    <w:rsid w:val="007B4987"/>
    <w:rsid w:val="007B4A5B"/>
    <w:rsid w:val="007B4A9E"/>
    <w:rsid w:val="007B4DA2"/>
    <w:rsid w:val="007B52C7"/>
    <w:rsid w:val="007B5900"/>
    <w:rsid w:val="007B593D"/>
    <w:rsid w:val="007B5B1E"/>
    <w:rsid w:val="007B5C01"/>
    <w:rsid w:val="007B5D84"/>
    <w:rsid w:val="007B5E36"/>
    <w:rsid w:val="007B5FE8"/>
    <w:rsid w:val="007B6574"/>
    <w:rsid w:val="007B6848"/>
    <w:rsid w:val="007B6B16"/>
    <w:rsid w:val="007B6CB2"/>
    <w:rsid w:val="007B6FBD"/>
    <w:rsid w:val="007B6FC3"/>
    <w:rsid w:val="007B747A"/>
    <w:rsid w:val="007B7841"/>
    <w:rsid w:val="007B7859"/>
    <w:rsid w:val="007B7A95"/>
    <w:rsid w:val="007B7BF4"/>
    <w:rsid w:val="007B7E6B"/>
    <w:rsid w:val="007B7FE8"/>
    <w:rsid w:val="007C00B8"/>
    <w:rsid w:val="007C0498"/>
    <w:rsid w:val="007C05A5"/>
    <w:rsid w:val="007C0764"/>
    <w:rsid w:val="007C0AD3"/>
    <w:rsid w:val="007C0AE0"/>
    <w:rsid w:val="007C0BAB"/>
    <w:rsid w:val="007C107D"/>
    <w:rsid w:val="007C1202"/>
    <w:rsid w:val="007C13FD"/>
    <w:rsid w:val="007C1413"/>
    <w:rsid w:val="007C19D7"/>
    <w:rsid w:val="007C21D1"/>
    <w:rsid w:val="007C23CC"/>
    <w:rsid w:val="007C24B7"/>
    <w:rsid w:val="007C2521"/>
    <w:rsid w:val="007C2577"/>
    <w:rsid w:val="007C2766"/>
    <w:rsid w:val="007C2D05"/>
    <w:rsid w:val="007C2DC9"/>
    <w:rsid w:val="007C2F13"/>
    <w:rsid w:val="007C3326"/>
    <w:rsid w:val="007C34AB"/>
    <w:rsid w:val="007C34D9"/>
    <w:rsid w:val="007C368D"/>
    <w:rsid w:val="007C39B9"/>
    <w:rsid w:val="007C3A9D"/>
    <w:rsid w:val="007C3B52"/>
    <w:rsid w:val="007C3C70"/>
    <w:rsid w:val="007C3DA4"/>
    <w:rsid w:val="007C3E1D"/>
    <w:rsid w:val="007C3FFF"/>
    <w:rsid w:val="007C4510"/>
    <w:rsid w:val="007C46B6"/>
    <w:rsid w:val="007C482D"/>
    <w:rsid w:val="007C4AC6"/>
    <w:rsid w:val="007C4C57"/>
    <w:rsid w:val="007C565B"/>
    <w:rsid w:val="007C568D"/>
    <w:rsid w:val="007C5A69"/>
    <w:rsid w:val="007C5FA3"/>
    <w:rsid w:val="007C62C7"/>
    <w:rsid w:val="007C63AD"/>
    <w:rsid w:val="007C6459"/>
    <w:rsid w:val="007C6601"/>
    <w:rsid w:val="007C69B1"/>
    <w:rsid w:val="007C6BEC"/>
    <w:rsid w:val="007C70AE"/>
    <w:rsid w:val="007C73E0"/>
    <w:rsid w:val="007C741B"/>
    <w:rsid w:val="007C78B2"/>
    <w:rsid w:val="007C7B45"/>
    <w:rsid w:val="007C7F37"/>
    <w:rsid w:val="007C7FB1"/>
    <w:rsid w:val="007D026C"/>
    <w:rsid w:val="007D04B2"/>
    <w:rsid w:val="007D0886"/>
    <w:rsid w:val="007D09FF"/>
    <w:rsid w:val="007D0D96"/>
    <w:rsid w:val="007D0FB4"/>
    <w:rsid w:val="007D10F6"/>
    <w:rsid w:val="007D1138"/>
    <w:rsid w:val="007D155E"/>
    <w:rsid w:val="007D15F0"/>
    <w:rsid w:val="007D178A"/>
    <w:rsid w:val="007D17E5"/>
    <w:rsid w:val="007D1E1C"/>
    <w:rsid w:val="007D1FF3"/>
    <w:rsid w:val="007D26BF"/>
    <w:rsid w:val="007D2752"/>
    <w:rsid w:val="007D287A"/>
    <w:rsid w:val="007D3256"/>
    <w:rsid w:val="007D3268"/>
    <w:rsid w:val="007D32A7"/>
    <w:rsid w:val="007D38B3"/>
    <w:rsid w:val="007D3AFD"/>
    <w:rsid w:val="007D4387"/>
    <w:rsid w:val="007D43AA"/>
    <w:rsid w:val="007D453E"/>
    <w:rsid w:val="007D46B7"/>
    <w:rsid w:val="007D4776"/>
    <w:rsid w:val="007D512B"/>
    <w:rsid w:val="007D51EE"/>
    <w:rsid w:val="007D5514"/>
    <w:rsid w:val="007D5542"/>
    <w:rsid w:val="007D579D"/>
    <w:rsid w:val="007D59F5"/>
    <w:rsid w:val="007D5B8F"/>
    <w:rsid w:val="007D5B93"/>
    <w:rsid w:val="007D5F41"/>
    <w:rsid w:val="007D5FAA"/>
    <w:rsid w:val="007D60A3"/>
    <w:rsid w:val="007D6515"/>
    <w:rsid w:val="007D65FF"/>
    <w:rsid w:val="007D6633"/>
    <w:rsid w:val="007D6701"/>
    <w:rsid w:val="007D6745"/>
    <w:rsid w:val="007D6C04"/>
    <w:rsid w:val="007D6E64"/>
    <w:rsid w:val="007D7216"/>
    <w:rsid w:val="007D7766"/>
    <w:rsid w:val="007D78A2"/>
    <w:rsid w:val="007D7AC9"/>
    <w:rsid w:val="007D7C6E"/>
    <w:rsid w:val="007D7EA5"/>
    <w:rsid w:val="007E0105"/>
    <w:rsid w:val="007E0197"/>
    <w:rsid w:val="007E040D"/>
    <w:rsid w:val="007E062B"/>
    <w:rsid w:val="007E07BC"/>
    <w:rsid w:val="007E07CD"/>
    <w:rsid w:val="007E0BA7"/>
    <w:rsid w:val="007E1542"/>
    <w:rsid w:val="007E1765"/>
    <w:rsid w:val="007E1ABA"/>
    <w:rsid w:val="007E2150"/>
    <w:rsid w:val="007E22AD"/>
    <w:rsid w:val="007E2A29"/>
    <w:rsid w:val="007E2D73"/>
    <w:rsid w:val="007E2D76"/>
    <w:rsid w:val="007E316B"/>
    <w:rsid w:val="007E35E0"/>
    <w:rsid w:val="007E38F6"/>
    <w:rsid w:val="007E3984"/>
    <w:rsid w:val="007E3C81"/>
    <w:rsid w:val="007E3DA3"/>
    <w:rsid w:val="007E437E"/>
    <w:rsid w:val="007E446B"/>
    <w:rsid w:val="007E4FAE"/>
    <w:rsid w:val="007E51E9"/>
    <w:rsid w:val="007E52E9"/>
    <w:rsid w:val="007E5C7B"/>
    <w:rsid w:val="007E5DE7"/>
    <w:rsid w:val="007E5F7E"/>
    <w:rsid w:val="007E642D"/>
    <w:rsid w:val="007E6AD4"/>
    <w:rsid w:val="007E6D12"/>
    <w:rsid w:val="007E6E00"/>
    <w:rsid w:val="007E7504"/>
    <w:rsid w:val="007E7E1F"/>
    <w:rsid w:val="007F004A"/>
    <w:rsid w:val="007F0163"/>
    <w:rsid w:val="007F01F9"/>
    <w:rsid w:val="007F0249"/>
    <w:rsid w:val="007F02DC"/>
    <w:rsid w:val="007F0A5D"/>
    <w:rsid w:val="007F0B69"/>
    <w:rsid w:val="007F1A62"/>
    <w:rsid w:val="007F1AF2"/>
    <w:rsid w:val="007F1DA7"/>
    <w:rsid w:val="007F2045"/>
    <w:rsid w:val="007F24DF"/>
    <w:rsid w:val="007F2707"/>
    <w:rsid w:val="007F29DC"/>
    <w:rsid w:val="007F2A53"/>
    <w:rsid w:val="007F2BE9"/>
    <w:rsid w:val="007F30AA"/>
    <w:rsid w:val="007F352D"/>
    <w:rsid w:val="007F35E9"/>
    <w:rsid w:val="007F364D"/>
    <w:rsid w:val="007F3A76"/>
    <w:rsid w:val="007F3F22"/>
    <w:rsid w:val="007F40F7"/>
    <w:rsid w:val="007F414E"/>
    <w:rsid w:val="007F436C"/>
    <w:rsid w:val="007F4736"/>
    <w:rsid w:val="007F4965"/>
    <w:rsid w:val="007F4D5F"/>
    <w:rsid w:val="007F4E02"/>
    <w:rsid w:val="007F4FBD"/>
    <w:rsid w:val="007F53D7"/>
    <w:rsid w:val="007F54DB"/>
    <w:rsid w:val="007F5804"/>
    <w:rsid w:val="007F5ABB"/>
    <w:rsid w:val="007F5F15"/>
    <w:rsid w:val="007F6002"/>
    <w:rsid w:val="007F613E"/>
    <w:rsid w:val="007F6413"/>
    <w:rsid w:val="007F66DA"/>
    <w:rsid w:val="007F6984"/>
    <w:rsid w:val="007F6A0D"/>
    <w:rsid w:val="007F6AFC"/>
    <w:rsid w:val="007F6D1F"/>
    <w:rsid w:val="007F6E19"/>
    <w:rsid w:val="007F7385"/>
    <w:rsid w:val="007F7B6E"/>
    <w:rsid w:val="007F7E4A"/>
    <w:rsid w:val="007F7F3F"/>
    <w:rsid w:val="007F7FB1"/>
    <w:rsid w:val="00800556"/>
    <w:rsid w:val="0080057D"/>
    <w:rsid w:val="008006C9"/>
    <w:rsid w:val="00800834"/>
    <w:rsid w:val="00800B4D"/>
    <w:rsid w:val="00801164"/>
    <w:rsid w:val="0080120E"/>
    <w:rsid w:val="0080162E"/>
    <w:rsid w:val="0080180A"/>
    <w:rsid w:val="008018A4"/>
    <w:rsid w:val="00801A67"/>
    <w:rsid w:val="00801ED6"/>
    <w:rsid w:val="0080277A"/>
    <w:rsid w:val="008027F2"/>
    <w:rsid w:val="008028BB"/>
    <w:rsid w:val="00802C51"/>
    <w:rsid w:val="00802EC6"/>
    <w:rsid w:val="00803000"/>
    <w:rsid w:val="00803078"/>
    <w:rsid w:val="00803445"/>
    <w:rsid w:val="008036FC"/>
    <w:rsid w:val="0080372C"/>
    <w:rsid w:val="00803910"/>
    <w:rsid w:val="00803A8A"/>
    <w:rsid w:val="00804054"/>
    <w:rsid w:val="00804370"/>
    <w:rsid w:val="00804598"/>
    <w:rsid w:val="00804E43"/>
    <w:rsid w:val="00804F65"/>
    <w:rsid w:val="00805642"/>
    <w:rsid w:val="0080569E"/>
    <w:rsid w:val="008057B3"/>
    <w:rsid w:val="008059D2"/>
    <w:rsid w:val="008060EB"/>
    <w:rsid w:val="0080610F"/>
    <w:rsid w:val="00806210"/>
    <w:rsid w:val="008066E0"/>
    <w:rsid w:val="0080676E"/>
    <w:rsid w:val="00806A63"/>
    <w:rsid w:val="00806A91"/>
    <w:rsid w:val="00806C02"/>
    <w:rsid w:val="00806C12"/>
    <w:rsid w:val="00806C6D"/>
    <w:rsid w:val="00806FC5"/>
    <w:rsid w:val="00807143"/>
    <w:rsid w:val="008072A9"/>
    <w:rsid w:val="00807413"/>
    <w:rsid w:val="00807473"/>
    <w:rsid w:val="008076A8"/>
    <w:rsid w:val="0080780C"/>
    <w:rsid w:val="0080780D"/>
    <w:rsid w:val="00807BE5"/>
    <w:rsid w:val="00807CBC"/>
    <w:rsid w:val="00807D14"/>
    <w:rsid w:val="00807E6D"/>
    <w:rsid w:val="00807EA2"/>
    <w:rsid w:val="00810025"/>
    <w:rsid w:val="00810199"/>
    <w:rsid w:val="00810202"/>
    <w:rsid w:val="008104A8"/>
    <w:rsid w:val="0081091F"/>
    <w:rsid w:val="00810998"/>
    <w:rsid w:val="00810A7A"/>
    <w:rsid w:val="00810AFE"/>
    <w:rsid w:val="00810B1B"/>
    <w:rsid w:val="00810DA9"/>
    <w:rsid w:val="00810E79"/>
    <w:rsid w:val="0081128F"/>
    <w:rsid w:val="008117C9"/>
    <w:rsid w:val="0081222A"/>
    <w:rsid w:val="00812BDF"/>
    <w:rsid w:val="00812C65"/>
    <w:rsid w:val="00812D14"/>
    <w:rsid w:val="0081322E"/>
    <w:rsid w:val="00813667"/>
    <w:rsid w:val="008136A6"/>
    <w:rsid w:val="00813AF9"/>
    <w:rsid w:val="00813E1F"/>
    <w:rsid w:val="00814287"/>
    <w:rsid w:val="00814491"/>
    <w:rsid w:val="008145DF"/>
    <w:rsid w:val="008149FD"/>
    <w:rsid w:val="00814BC2"/>
    <w:rsid w:val="00815006"/>
    <w:rsid w:val="0081526E"/>
    <w:rsid w:val="00815397"/>
    <w:rsid w:val="008154D6"/>
    <w:rsid w:val="00815651"/>
    <w:rsid w:val="00815C1A"/>
    <w:rsid w:val="00815CA5"/>
    <w:rsid w:val="00815EBF"/>
    <w:rsid w:val="008161F8"/>
    <w:rsid w:val="008162CD"/>
    <w:rsid w:val="0081641E"/>
    <w:rsid w:val="00816BCB"/>
    <w:rsid w:val="00816E23"/>
    <w:rsid w:val="00817352"/>
    <w:rsid w:val="00817460"/>
    <w:rsid w:val="0081749E"/>
    <w:rsid w:val="008176A4"/>
    <w:rsid w:val="00817A94"/>
    <w:rsid w:val="00817DD6"/>
    <w:rsid w:val="00817F6D"/>
    <w:rsid w:val="0082007E"/>
    <w:rsid w:val="0082017D"/>
    <w:rsid w:val="00820654"/>
    <w:rsid w:val="008206B2"/>
    <w:rsid w:val="00820712"/>
    <w:rsid w:val="00820804"/>
    <w:rsid w:val="008208EE"/>
    <w:rsid w:val="00820B3A"/>
    <w:rsid w:val="00820DC1"/>
    <w:rsid w:val="008211EE"/>
    <w:rsid w:val="0082138B"/>
    <w:rsid w:val="008214F9"/>
    <w:rsid w:val="00821850"/>
    <w:rsid w:val="00821894"/>
    <w:rsid w:val="0082190B"/>
    <w:rsid w:val="00821973"/>
    <w:rsid w:val="00821A80"/>
    <w:rsid w:val="00821CC1"/>
    <w:rsid w:val="00821D34"/>
    <w:rsid w:val="00821F3B"/>
    <w:rsid w:val="00822421"/>
    <w:rsid w:val="00822772"/>
    <w:rsid w:val="00822819"/>
    <w:rsid w:val="00822F5C"/>
    <w:rsid w:val="008233BE"/>
    <w:rsid w:val="00823B9B"/>
    <w:rsid w:val="00823ED2"/>
    <w:rsid w:val="00824433"/>
    <w:rsid w:val="00824593"/>
    <w:rsid w:val="00824635"/>
    <w:rsid w:val="00824A17"/>
    <w:rsid w:val="00824A42"/>
    <w:rsid w:val="00824B31"/>
    <w:rsid w:val="00824B68"/>
    <w:rsid w:val="00824E16"/>
    <w:rsid w:val="00825175"/>
    <w:rsid w:val="00825860"/>
    <w:rsid w:val="00825AA7"/>
    <w:rsid w:val="00826116"/>
    <w:rsid w:val="008266D9"/>
    <w:rsid w:val="00826704"/>
    <w:rsid w:val="00826AAC"/>
    <w:rsid w:val="00826BEC"/>
    <w:rsid w:val="00826CA0"/>
    <w:rsid w:val="00826CDB"/>
    <w:rsid w:val="00826D04"/>
    <w:rsid w:val="00827331"/>
    <w:rsid w:val="00827564"/>
    <w:rsid w:val="008277CD"/>
    <w:rsid w:val="00827AC8"/>
    <w:rsid w:val="00827AD4"/>
    <w:rsid w:val="00827B9B"/>
    <w:rsid w:val="00830124"/>
    <w:rsid w:val="008303BE"/>
    <w:rsid w:val="00830481"/>
    <w:rsid w:val="00830510"/>
    <w:rsid w:val="008305A9"/>
    <w:rsid w:val="008313E6"/>
    <w:rsid w:val="0083145A"/>
    <w:rsid w:val="00831499"/>
    <w:rsid w:val="008319C6"/>
    <w:rsid w:val="00831BBB"/>
    <w:rsid w:val="00831D0E"/>
    <w:rsid w:val="00831F0C"/>
    <w:rsid w:val="00832003"/>
    <w:rsid w:val="00832115"/>
    <w:rsid w:val="00832594"/>
    <w:rsid w:val="0083287F"/>
    <w:rsid w:val="00832E25"/>
    <w:rsid w:val="00833323"/>
    <w:rsid w:val="008336F5"/>
    <w:rsid w:val="008339AF"/>
    <w:rsid w:val="00833C08"/>
    <w:rsid w:val="00833D48"/>
    <w:rsid w:val="00833EA1"/>
    <w:rsid w:val="00833F8B"/>
    <w:rsid w:val="008347E3"/>
    <w:rsid w:val="00834B00"/>
    <w:rsid w:val="00834F9C"/>
    <w:rsid w:val="00835237"/>
    <w:rsid w:val="008352FD"/>
    <w:rsid w:val="0083572B"/>
    <w:rsid w:val="0083594B"/>
    <w:rsid w:val="00835B15"/>
    <w:rsid w:val="00835CD1"/>
    <w:rsid w:val="00835D31"/>
    <w:rsid w:val="00835F44"/>
    <w:rsid w:val="0083624B"/>
    <w:rsid w:val="008367BD"/>
    <w:rsid w:val="0083685E"/>
    <w:rsid w:val="0083690A"/>
    <w:rsid w:val="00836AED"/>
    <w:rsid w:val="008373EA"/>
    <w:rsid w:val="008373F2"/>
    <w:rsid w:val="00837B9A"/>
    <w:rsid w:val="00837CFB"/>
    <w:rsid w:val="00837D12"/>
    <w:rsid w:val="00837E55"/>
    <w:rsid w:val="00837FF7"/>
    <w:rsid w:val="008401F1"/>
    <w:rsid w:val="00840385"/>
    <w:rsid w:val="008404EB"/>
    <w:rsid w:val="00840AA9"/>
    <w:rsid w:val="00840B4F"/>
    <w:rsid w:val="00840F58"/>
    <w:rsid w:val="0084122D"/>
    <w:rsid w:val="00841327"/>
    <w:rsid w:val="008414E7"/>
    <w:rsid w:val="00841EC6"/>
    <w:rsid w:val="00841F12"/>
    <w:rsid w:val="00841F5D"/>
    <w:rsid w:val="0084258D"/>
    <w:rsid w:val="00842CEB"/>
    <w:rsid w:val="00842E9B"/>
    <w:rsid w:val="00842F1E"/>
    <w:rsid w:val="008433DF"/>
    <w:rsid w:val="008435D0"/>
    <w:rsid w:val="008435D5"/>
    <w:rsid w:val="00843742"/>
    <w:rsid w:val="00843A50"/>
    <w:rsid w:val="00843BCB"/>
    <w:rsid w:val="00843CE6"/>
    <w:rsid w:val="00843D50"/>
    <w:rsid w:val="00843EBA"/>
    <w:rsid w:val="00843EC0"/>
    <w:rsid w:val="00843F6A"/>
    <w:rsid w:val="0084401F"/>
    <w:rsid w:val="008444F1"/>
    <w:rsid w:val="0084480C"/>
    <w:rsid w:val="00844B3B"/>
    <w:rsid w:val="00844C23"/>
    <w:rsid w:val="00844CD1"/>
    <w:rsid w:val="008455A7"/>
    <w:rsid w:val="00845751"/>
    <w:rsid w:val="008457EC"/>
    <w:rsid w:val="00845891"/>
    <w:rsid w:val="008459C7"/>
    <w:rsid w:val="00845C07"/>
    <w:rsid w:val="00845E44"/>
    <w:rsid w:val="00845FBE"/>
    <w:rsid w:val="00845FC4"/>
    <w:rsid w:val="00846464"/>
    <w:rsid w:val="008469C9"/>
    <w:rsid w:val="00846AE4"/>
    <w:rsid w:val="00846B41"/>
    <w:rsid w:val="00846CB2"/>
    <w:rsid w:val="00846ED7"/>
    <w:rsid w:val="00846EF1"/>
    <w:rsid w:val="008476EC"/>
    <w:rsid w:val="008476F3"/>
    <w:rsid w:val="0084776E"/>
    <w:rsid w:val="008477FE"/>
    <w:rsid w:val="008478C5"/>
    <w:rsid w:val="008478C8"/>
    <w:rsid w:val="008478D6"/>
    <w:rsid w:val="008479DC"/>
    <w:rsid w:val="00847B5A"/>
    <w:rsid w:val="00847E3B"/>
    <w:rsid w:val="00847E72"/>
    <w:rsid w:val="00850534"/>
    <w:rsid w:val="00850614"/>
    <w:rsid w:val="0085076E"/>
    <w:rsid w:val="008508EA"/>
    <w:rsid w:val="0085095D"/>
    <w:rsid w:val="00851036"/>
    <w:rsid w:val="008511FD"/>
    <w:rsid w:val="0085123C"/>
    <w:rsid w:val="00851558"/>
    <w:rsid w:val="00851971"/>
    <w:rsid w:val="00851B79"/>
    <w:rsid w:val="00851B7F"/>
    <w:rsid w:val="00851F5D"/>
    <w:rsid w:val="00851F69"/>
    <w:rsid w:val="0085208C"/>
    <w:rsid w:val="00852450"/>
    <w:rsid w:val="008526A9"/>
    <w:rsid w:val="00852940"/>
    <w:rsid w:val="00852D19"/>
    <w:rsid w:val="00852FBA"/>
    <w:rsid w:val="0085303A"/>
    <w:rsid w:val="0085314F"/>
    <w:rsid w:val="008543FF"/>
    <w:rsid w:val="00854489"/>
    <w:rsid w:val="0085477E"/>
    <w:rsid w:val="00854C1A"/>
    <w:rsid w:val="00854C9D"/>
    <w:rsid w:val="00854FF6"/>
    <w:rsid w:val="008552FA"/>
    <w:rsid w:val="00855333"/>
    <w:rsid w:val="008556F0"/>
    <w:rsid w:val="00855759"/>
    <w:rsid w:val="008557AA"/>
    <w:rsid w:val="00855AC9"/>
    <w:rsid w:val="00855D9B"/>
    <w:rsid w:val="00856011"/>
    <w:rsid w:val="0085615D"/>
    <w:rsid w:val="008561A6"/>
    <w:rsid w:val="00856355"/>
    <w:rsid w:val="0085640F"/>
    <w:rsid w:val="008564FC"/>
    <w:rsid w:val="00856571"/>
    <w:rsid w:val="00856739"/>
    <w:rsid w:val="00856AE1"/>
    <w:rsid w:val="00856B8F"/>
    <w:rsid w:val="00856BD4"/>
    <w:rsid w:val="00856C0E"/>
    <w:rsid w:val="00856CD6"/>
    <w:rsid w:val="008571DD"/>
    <w:rsid w:val="00857243"/>
    <w:rsid w:val="0085752F"/>
    <w:rsid w:val="00857A21"/>
    <w:rsid w:val="00857AE8"/>
    <w:rsid w:val="00857BEE"/>
    <w:rsid w:val="00857E53"/>
    <w:rsid w:val="00860714"/>
    <w:rsid w:val="00860915"/>
    <w:rsid w:val="00860CB5"/>
    <w:rsid w:val="00860D3D"/>
    <w:rsid w:val="008610A9"/>
    <w:rsid w:val="008610F8"/>
    <w:rsid w:val="00861CCB"/>
    <w:rsid w:val="00861CCC"/>
    <w:rsid w:val="00861DF0"/>
    <w:rsid w:val="00861EB1"/>
    <w:rsid w:val="00861F4A"/>
    <w:rsid w:val="00862234"/>
    <w:rsid w:val="008624C9"/>
    <w:rsid w:val="00862733"/>
    <w:rsid w:val="0086282C"/>
    <w:rsid w:val="00862CF0"/>
    <w:rsid w:val="00862DC6"/>
    <w:rsid w:val="00862EAA"/>
    <w:rsid w:val="00862EB1"/>
    <w:rsid w:val="00862FB0"/>
    <w:rsid w:val="00863078"/>
    <w:rsid w:val="0086310B"/>
    <w:rsid w:val="008631E6"/>
    <w:rsid w:val="00863631"/>
    <w:rsid w:val="00863BFE"/>
    <w:rsid w:val="00864152"/>
    <w:rsid w:val="0086476B"/>
    <w:rsid w:val="00864B6A"/>
    <w:rsid w:val="00864F74"/>
    <w:rsid w:val="00864FC1"/>
    <w:rsid w:val="00865478"/>
    <w:rsid w:val="00865577"/>
    <w:rsid w:val="0086568C"/>
    <w:rsid w:val="00865996"/>
    <w:rsid w:val="00865C79"/>
    <w:rsid w:val="00865DB4"/>
    <w:rsid w:val="00865E51"/>
    <w:rsid w:val="00865F08"/>
    <w:rsid w:val="008660A3"/>
    <w:rsid w:val="008661F3"/>
    <w:rsid w:val="00866EF0"/>
    <w:rsid w:val="00866F66"/>
    <w:rsid w:val="008673E5"/>
    <w:rsid w:val="00867702"/>
    <w:rsid w:val="00867945"/>
    <w:rsid w:val="0086799E"/>
    <w:rsid w:val="00867C14"/>
    <w:rsid w:val="0087020D"/>
    <w:rsid w:val="008705CF"/>
    <w:rsid w:val="0087065D"/>
    <w:rsid w:val="0087089E"/>
    <w:rsid w:val="00870B16"/>
    <w:rsid w:val="00870C22"/>
    <w:rsid w:val="00870E6C"/>
    <w:rsid w:val="00871153"/>
    <w:rsid w:val="00871198"/>
    <w:rsid w:val="008711C7"/>
    <w:rsid w:val="008713EE"/>
    <w:rsid w:val="008714DE"/>
    <w:rsid w:val="008715A7"/>
    <w:rsid w:val="0087160D"/>
    <w:rsid w:val="00871721"/>
    <w:rsid w:val="0087183B"/>
    <w:rsid w:val="00871C23"/>
    <w:rsid w:val="008720DB"/>
    <w:rsid w:val="00872160"/>
    <w:rsid w:val="008722E8"/>
    <w:rsid w:val="008723E7"/>
    <w:rsid w:val="00872C4C"/>
    <w:rsid w:val="00872DAD"/>
    <w:rsid w:val="00872DD8"/>
    <w:rsid w:val="00872F28"/>
    <w:rsid w:val="00873525"/>
    <w:rsid w:val="00873D98"/>
    <w:rsid w:val="00873F3F"/>
    <w:rsid w:val="0087457C"/>
    <w:rsid w:val="0087469C"/>
    <w:rsid w:val="00874ABD"/>
    <w:rsid w:val="00874DA4"/>
    <w:rsid w:val="00874E27"/>
    <w:rsid w:val="00874E90"/>
    <w:rsid w:val="00874F1D"/>
    <w:rsid w:val="00874F91"/>
    <w:rsid w:val="00875026"/>
    <w:rsid w:val="00875106"/>
    <w:rsid w:val="00875350"/>
    <w:rsid w:val="0087543B"/>
    <w:rsid w:val="008755A2"/>
    <w:rsid w:val="008758D3"/>
    <w:rsid w:val="008758D6"/>
    <w:rsid w:val="00875C42"/>
    <w:rsid w:val="00875C4E"/>
    <w:rsid w:val="00875D3F"/>
    <w:rsid w:val="008766E6"/>
    <w:rsid w:val="00876724"/>
    <w:rsid w:val="00876A87"/>
    <w:rsid w:val="00876ADF"/>
    <w:rsid w:val="00876AFF"/>
    <w:rsid w:val="00876BCE"/>
    <w:rsid w:val="00876D7F"/>
    <w:rsid w:val="00876EDC"/>
    <w:rsid w:val="008772E4"/>
    <w:rsid w:val="00877402"/>
    <w:rsid w:val="008775EB"/>
    <w:rsid w:val="008775EE"/>
    <w:rsid w:val="008776C1"/>
    <w:rsid w:val="00877AFA"/>
    <w:rsid w:val="00877D37"/>
    <w:rsid w:val="0088013D"/>
    <w:rsid w:val="008801F1"/>
    <w:rsid w:val="00880418"/>
    <w:rsid w:val="00880B18"/>
    <w:rsid w:val="00880CFD"/>
    <w:rsid w:val="008815AE"/>
    <w:rsid w:val="008817FB"/>
    <w:rsid w:val="00881BE0"/>
    <w:rsid w:val="008820DD"/>
    <w:rsid w:val="008821AA"/>
    <w:rsid w:val="008821B9"/>
    <w:rsid w:val="00882453"/>
    <w:rsid w:val="00882666"/>
    <w:rsid w:val="008827A6"/>
    <w:rsid w:val="00882855"/>
    <w:rsid w:val="00882A68"/>
    <w:rsid w:val="00882CAB"/>
    <w:rsid w:val="00882F39"/>
    <w:rsid w:val="0088369F"/>
    <w:rsid w:val="00883E39"/>
    <w:rsid w:val="00883FBD"/>
    <w:rsid w:val="00884348"/>
    <w:rsid w:val="0088441A"/>
    <w:rsid w:val="00884584"/>
    <w:rsid w:val="008849F5"/>
    <w:rsid w:val="00884C6C"/>
    <w:rsid w:val="00885269"/>
    <w:rsid w:val="00885554"/>
    <w:rsid w:val="00885610"/>
    <w:rsid w:val="00885767"/>
    <w:rsid w:val="008858B8"/>
    <w:rsid w:val="00885B36"/>
    <w:rsid w:val="008862DF"/>
    <w:rsid w:val="0088657E"/>
    <w:rsid w:val="0088688D"/>
    <w:rsid w:val="008868B9"/>
    <w:rsid w:val="008868F5"/>
    <w:rsid w:val="00886D24"/>
    <w:rsid w:val="0088702F"/>
    <w:rsid w:val="00887185"/>
    <w:rsid w:val="008873C8"/>
    <w:rsid w:val="008876F2"/>
    <w:rsid w:val="0088797E"/>
    <w:rsid w:val="008879A0"/>
    <w:rsid w:val="00887B23"/>
    <w:rsid w:val="008906EE"/>
    <w:rsid w:val="00890A88"/>
    <w:rsid w:val="00890DE3"/>
    <w:rsid w:val="00890E69"/>
    <w:rsid w:val="0089127C"/>
    <w:rsid w:val="0089167E"/>
    <w:rsid w:val="008916A1"/>
    <w:rsid w:val="00891D57"/>
    <w:rsid w:val="00891EDE"/>
    <w:rsid w:val="008923BC"/>
    <w:rsid w:val="00892430"/>
    <w:rsid w:val="008924EE"/>
    <w:rsid w:val="00892B37"/>
    <w:rsid w:val="0089308F"/>
    <w:rsid w:val="008932A3"/>
    <w:rsid w:val="00893706"/>
    <w:rsid w:val="00893713"/>
    <w:rsid w:val="00893741"/>
    <w:rsid w:val="0089390D"/>
    <w:rsid w:val="00893A38"/>
    <w:rsid w:val="00893AC1"/>
    <w:rsid w:val="00893C3F"/>
    <w:rsid w:val="00893D59"/>
    <w:rsid w:val="008941D5"/>
    <w:rsid w:val="008941E6"/>
    <w:rsid w:val="0089472E"/>
    <w:rsid w:val="00895160"/>
    <w:rsid w:val="008954B8"/>
    <w:rsid w:val="0089577C"/>
    <w:rsid w:val="00895AAA"/>
    <w:rsid w:val="00895CAA"/>
    <w:rsid w:val="00895D29"/>
    <w:rsid w:val="008966FB"/>
    <w:rsid w:val="00896B2A"/>
    <w:rsid w:val="008971F2"/>
    <w:rsid w:val="00897246"/>
    <w:rsid w:val="0089736A"/>
    <w:rsid w:val="0089736C"/>
    <w:rsid w:val="00897397"/>
    <w:rsid w:val="00897522"/>
    <w:rsid w:val="008978F2"/>
    <w:rsid w:val="008979AE"/>
    <w:rsid w:val="00897B66"/>
    <w:rsid w:val="00897E82"/>
    <w:rsid w:val="00897F51"/>
    <w:rsid w:val="008A0676"/>
    <w:rsid w:val="008A0FC1"/>
    <w:rsid w:val="008A1249"/>
    <w:rsid w:val="008A140B"/>
    <w:rsid w:val="008A142E"/>
    <w:rsid w:val="008A1E75"/>
    <w:rsid w:val="008A2C02"/>
    <w:rsid w:val="008A2DE1"/>
    <w:rsid w:val="008A2E29"/>
    <w:rsid w:val="008A3272"/>
    <w:rsid w:val="008A3482"/>
    <w:rsid w:val="008A42C0"/>
    <w:rsid w:val="008A432F"/>
    <w:rsid w:val="008A490B"/>
    <w:rsid w:val="008A4C8C"/>
    <w:rsid w:val="008A4DE2"/>
    <w:rsid w:val="008A5238"/>
    <w:rsid w:val="008A538A"/>
    <w:rsid w:val="008A53C4"/>
    <w:rsid w:val="008A604A"/>
    <w:rsid w:val="008A632B"/>
    <w:rsid w:val="008A6528"/>
    <w:rsid w:val="008A6680"/>
    <w:rsid w:val="008A66AF"/>
    <w:rsid w:val="008A68B6"/>
    <w:rsid w:val="008A69C0"/>
    <w:rsid w:val="008A69CB"/>
    <w:rsid w:val="008A6E07"/>
    <w:rsid w:val="008A726D"/>
    <w:rsid w:val="008A7296"/>
    <w:rsid w:val="008A73E4"/>
    <w:rsid w:val="008A73F4"/>
    <w:rsid w:val="008A74ED"/>
    <w:rsid w:val="008A7624"/>
    <w:rsid w:val="008A766B"/>
    <w:rsid w:val="008A77F6"/>
    <w:rsid w:val="008A78ED"/>
    <w:rsid w:val="008A7ED8"/>
    <w:rsid w:val="008A7EF9"/>
    <w:rsid w:val="008B0897"/>
    <w:rsid w:val="008B0A0F"/>
    <w:rsid w:val="008B0A28"/>
    <w:rsid w:val="008B0C0D"/>
    <w:rsid w:val="008B0C38"/>
    <w:rsid w:val="008B0C51"/>
    <w:rsid w:val="008B1100"/>
    <w:rsid w:val="008B13E6"/>
    <w:rsid w:val="008B1B06"/>
    <w:rsid w:val="008B1EBE"/>
    <w:rsid w:val="008B21F3"/>
    <w:rsid w:val="008B227F"/>
    <w:rsid w:val="008B2309"/>
    <w:rsid w:val="008B244E"/>
    <w:rsid w:val="008B2476"/>
    <w:rsid w:val="008B27C6"/>
    <w:rsid w:val="008B28D7"/>
    <w:rsid w:val="008B2BC7"/>
    <w:rsid w:val="008B2C32"/>
    <w:rsid w:val="008B2D19"/>
    <w:rsid w:val="008B2D77"/>
    <w:rsid w:val="008B2E2E"/>
    <w:rsid w:val="008B2F94"/>
    <w:rsid w:val="008B2FCB"/>
    <w:rsid w:val="008B31B7"/>
    <w:rsid w:val="008B339C"/>
    <w:rsid w:val="008B3441"/>
    <w:rsid w:val="008B3500"/>
    <w:rsid w:val="008B3912"/>
    <w:rsid w:val="008B3AAF"/>
    <w:rsid w:val="008B3DB3"/>
    <w:rsid w:val="008B3FC0"/>
    <w:rsid w:val="008B43B3"/>
    <w:rsid w:val="008B445A"/>
    <w:rsid w:val="008B4978"/>
    <w:rsid w:val="008B4D7D"/>
    <w:rsid w:val="008B5AA3"/>
    <w:rsid w:val="008B5AED"/>
    <w:rsid w:val="008B5CB5"/>
    <w:rsid w:val="008B5FCB"/>
    <w:rsid w:val="008B62CA"/>
    <w:rsid w:val="008B6896"/>
    <w:rsid w:val="008B6C86"/>
    <w:rsid w:val="008B70C5"/>
    <w:rsid w:val="008B725D"/>
    <w:rsid w:val="008B7418"/>
    <w:rsid w:val="008B76D9"/>
    <w:rsid w:val="008B7AEF"/>
    <w:rsid w:val="008B7FED"/>
    <w:rsid w:val="008C0294"/>
    <w:rsid w:val="008C0BBC"/>
    <w:rsid w:val="008C0C73"/>
    <w:rsid w:val="008C0D0A"/>
    <w:rsid w:val="008C0F11"/>
    <w:rsid w:val="008C1204"/>
    <w:rsid w:val="008C15E8"/>
    <w:rsid w:val="008C1665"/>
    <w:rsid w:val="008C1785"/>
    <w:rsid w:val="008C1B9D"/>
    <w:rsid w:val="008C1C1F"/>
    <w:rsid w:val="008C1DF8"/>
    <w:rsid w:val="008C1ED4"/>
    <w:rsid w:val="008C216D"/>
    <w:rsid w:val="008C2179"/>
    <w:rsid w:val="008C250D"/>
    <w:rsid w:val="008C255F"/>
    <w:rsid w:val="008C2C93"/>
    <w:rsid w:val="008C2F00"/>
    <w:rsid w:val="008C2F7B"/>
    <w:rsid w:val="008C2FAC"/>
    <w:rsid w:val="008C34EB"/>
    <w:rsid w:val="008C3B7B"/>
    <w:rsid w:val="008C3E07"/>
    <w:rsid w:val="008C4A01"/>
    <w:rsid w:val="008C4CA0"/>
    <w:rsid w:val="008C4DA3"/>
    <w:rsid w:val="008C4E54"/>
    <w:rsid w:val="008C534A"/>
    <w:rsid w:val="008C5428"/>
    <w:rsid w:val="008C54DE"/>
    <w:rsid w:val="008C57C6"/>
    <w:rsid w:val="008C5BF6"/>
    <w:rsid w:val="008C5D28"/>
    <w:rsid w:val="008C6D6C"/>
    <w:rsid w:val="008C6E15"/>
    <w:rsid w:val="008C6EFD"/>
    <w:rsid w:val="008C707B"/>
    <w:rsid w:val="008C7191"/>
    <w:rsid w:val="008C71CA"/>
    <w:rsid w:val="008C7204"/>
    <w:rsid w:val="008C75AF"/>
    <w:rsid w:val="008C78C1"/>
    <w:rsid w:val="008C792E"/>
    <w:rsid w:val="008C79A8"/>
    <w:rsid w:val="008C79B7"/>
    <w:rsid w:val="008C7B2D"/>
    <w:rsid w:val="008C7D7D"/>
    <w:rsid w:val="008CA796"/>
    <w:rsid w:val="008D04AC"/>
    <w:rsid w:val="008D0835"/>
    <w:rsid w:val="008D0D95"/>
    <w:rsid w:val="008D0F96"/>
    <w:rsid w:val="008D1203"/>
    <w:rsid w:val="008D1272"/>
    <w:rsid w:val="008D12CD"/>
    <w:rsid w:val="008D164C"/>
    <w:rsid w:val="008D174E"/>
    <w:rsid w:val="008D1B6C"/>
    <w:rsid w:val="008D1C8A"/>
    <w:rsid w:val="008D1CF9"/>
    <w:rsid w:val="008D20F4"/>
    <w:rsid w:val="008D2464"/>
    <w:rsid w:val="008D2705"/>
    <w:rsid w:val="008D2798"/>
    <w:rsid w:val="008D29E0"/>
    <w:rsid w:val="008D2A34"/>
    <w:rsid w:val="008D2CD7"/>
    <w:rsid w:val="008D2CE7"/>
    <w:rsid w:val="008D2D48"/>
    <w:rsid w:val="008D3207"/>
    <w:rsid w:val="008D3599"/>
    <w:rsid w:val="008D3BED"/>
    <w:rsid w:val="008D4631"/>
    <w:rsid w:val="008D4B97"/>
    <w:rsid w:val="008D4BEE"/>
    <w:rsid w:val="008D4F4B"/>
    <w:rsid w:val="008D5176"/>
    <w:rsid w:val="008D5A15"/>
    <w:rsid w:val="008D5D8C"/>
    <w:rsid w:val="008D5DFD"/>
    <w:rsid w:val="008D6085"/>
    <w:rsid w:val="008D6097"/>
    <w:rsid w:val="008D63F0"/>
    <w:rsid w:val="008D6F71"/>
    <w:rsid w:val="008D707C"/>
    <w:rsid w:val="008D7217"/>
    <w:rsid w:val="008D7518"/>
    <w:rsid w:val="008D7B68"/>
    <w:rsid w:val="008E02D7"/>
    <w:rsid w:val="008E0383"/>
    <w:rsid w:val="008E0807"/>
    <w:rsid w:val="008E0BA7"/>
    <w:rsid w:val="008E0FAD"/>
    <w:rsid w:val="008E1087"/>
    <w:rsid w:val="008E131E"/>
    <w:rsid w:val="008E145A"/>
    <w:rsid w:val="008E16D2"/>
    <w:rsid w:val="008E1995"/>
    <w:rsid w:val="008E1BEC"/>
    <w:rsid w:val="008E26EE"/>
    <w:rsid w:val="008E27C4"/>
    <w:rsid w:val="008E2861"/>
    <w:rsid w:val="008E3050"/>
    <w:rsid w:val="008E3165"/>
    <w:rsid w:val="008E3377"/>
    <w:rsid w:val="008E3A4A"/>
    <w:rsid w:val="008E3A7F"/>
    <w:rsid w:val="008E3B89"/>
    <w:rsid w:val="008E416C"/>
    <w:rsid w:val="008E4207"/>
    <w:rsid w:val="008E4509"/>
    <w:rsid w:val="008E4512"/>
    <w:rsid w:val="008E4657"/>
    <w:rsid w:val="008E4947"/>
    <w:rsid w:val="008E50D0"/>
    <w:rsid w:val="008E525C"/>
    <w:rsid w:val="008E5415"/>
    <w:rsid w:val="008E5614"/>
    <w:rsid w:val="008E5697"/>
    <w:rsid w:val="008E57DB"/>
    <w:rsid w:val="008E5905"/>
    <w:rsid w:val="008E5914"/>
    <w:rsid w:val="008E5B04"/>
    <w:rsid w:val="008E5BC9"/>
    <w:rsid w:val="008E63DC"/>
    <w:rsid w:val="008E68DC"/>
    <w:rsid w:val="008E6B99"/>
    <w:rsid w:val="008E6CD5"/>
    <w:rsid w:val="008E6D68"/>
    <w:rsid w:val="008E6E9D"/>
    <w:rsid w:val="008E6EF4"/>
    <w:rsid w:val="008E6FEE"/>
    <w:rsid w:val="008E7438"/>
    <w:rsid w:val="008E7508"/>
    <w:rsid w:val="008E777A"/>
    <w:rsid w:val="008E78F2"/>
    <w:rsid w:val="008E790C"/>
    <w:rsid w:val="008E791F"/>
    <w:rsid w:val="008E79EA"/>
    <w:rsid w:val="008E7A81"/>
    <w:rsid w:val="008E7E52"/>
    <w:rsid w:val="008E7EFC"/>
    <w:rsid w:val="008F0095"/>
    <w:rsid w:val="008F02BF"/>
    <w:rsid w:val="008F09BE"/>
    <w:rsid w:val="008F0B54"/>
    <w:rsid w:val="008F0EA9"/>
    <w:rsid w:val="008F0F97"/>
    <w:rsid w:val="008F10F0"/>
    <w:rsid w:val="008F11AB"/>
    <w:rsid w:val="008F1279"/>
    <w:rsid w:val="008F1415"/>
    <w:rsid w:val="008F16BE"/>
    <w:rsid w:val="008F1E3B"/>
    <w:rsid w:val="008F1F64"/>
    <w:rsid w:val="008F28CB"/>
    <w:rsid w:val="008F2E50"/>
    <w:rsid w:val="008F3095"/>
    <w:rsid w:val="008F31A5"/>
    <w:rsid w:val="008F3A63"/>
    <w:rsid w:val="008F3BD1"/>
    <w:rsid w:val="008F3C37"/>
    <w:rsid w:val="008F4130"/>
    <w:rsid w:val="008F45A1"/>
    <w:rsid w:val="008F4777"/>
    <w:rsid w:val="008F48CC"/>
    <w:rsid w:val="008F48F3"/>
    <w:rsid w:val="008F4B99"/>
    <w:rsid w:val="008F4C21"/>
    <w:rsid w:val="008F5015"/>
    <w:rsid w:val="008F5089"/>
    <w:rsid w:val="008F5515"/>
    <w:rsid w:val="008F584E"/>
    <w:rsid w:val="008F59DA"/>
    <w:rsid w:val="008F5B72"/>
    <w:rsid w:val="008F60E3"/>
    <w:rsid w:val="008F676E"/>
    <w:rsid w:val="008F6A49"/>
    <w:rsid w:val="008F6A83"/>
    <w:rsid w:val="008F6CA1"/>
    <w:rsid w:val="008F6EC2"/>
    <w:rsid w:val="008F732F"/>
    <w:rsid w:val="008F7427"/>
    <w:rsid w:val="008F7623"/>
    <w:rsid w:val="008F7801"/>
    <w:rsid w:val="008F787A"/>
    <w:rsid w:val="008F7CCD"/>
    <w:rsid w:val="0090013A"/>
    <w:rsid w:val="00900238"/>
    <w:rsid w:val="009002FC"/>
    <w:rsid w:val="00900BFD"/>
    <w:rsid w:val="00900C1C"/>
    <w:rsid w:val="0090118B"/>
    <w:rsid w:val="0090134D"/>
    <w:rsid w:val="009017DB"/>
    <w:rsid w:val="0090184E"/>
    <w:rsid w:val="00901A6B"/>
    <w:rsid w:val="00901B6E"/>
    <w:rsid w:val="00902002"/>
    <w:rsid w:val="00902085"/>
    <w:rsid w:val="009023AE"/>
    <w:rsid w:val="0090281D"/>
    <w:rsid w:val="00902A55"/>
    <w:rsid w:val="009030F3"/>
    <w:rsid w:val="0090331F"/>
    <w:rsid w:val="00903E71"/>
    <w:rsid w:val="009043E4"/>
    <w:rsid w:val="00904D94"/>
    <w:rsid w:val="009051CA"/>
    <w:rsid w:val="00905211"/>
    <w:rsid w:val="00905304"/>
    <w:rsid w:val="009053D4"/>
    <w:rsid w:val="00905438"/>
    <w:rsid w:val="00905472"/>
    <w:rsid w:val="00905693"/>
    <w:rsid w:val="009058B5"/>
    <w:rsid w:val="00905B7C"/>
    <w:rsid w:val="00905D49"/>
    <w:rsid w:val="009060E4"/>
    <w:rsid w:val="00906306"/>
    <w:rsid w:val="009063AC"/>
    <w:rsid w:val="009064DA"/>
    <w:rsid w:val="009066C5"/>
    <w:rsid w:val="00906A7E"/>
    <w:rsid w:val="00906EF7"/>
    <w:rsid w:val="00906F9C"/>
    <w:rsid w:val="009072A6"/>
    <w:rsid w:val="009076E8"/>
    <w:rsid w:val="00907A7F"/>
    <w:rsid w:val="00910097"/>
    <w:rsid w:val="009102AC"/>
    <w:rsid w:val="0091035B"/>
    <w:rsid w:val="0091044E"/>
    <w:rsid w:val="009107FC"/>
    <w:rsid w:val="009110C2"/>
    <w:rsid w:val="009110C9"/>
    <w:rsid w:val="00911111"/>
    <w:rsid w:val="0091133F"/>
    <w:rsid w:val="0091165C"/>
    <w:rsid w:val="00911F92"/>
    <w:rsid w:val="00912303"/>
    <w:rsid w:val="009123FC"/>
    <w:rsid w:val="00912665"/>
    <w:rsid w:val="0091283E"/>
    <w:rsid w:val="0091285A"/>
    <w:rsid w:val="00912B5A"/>
    <w:rsid w:val="00912D88"/>
    <w:rsid w:val="00913847"/>
    <w:rsid w:val="009139BE"/>
    <w:rsid w:val="00913C1C"/>
    <w:rsid w:val="00913C6F"/>
    <w:rsid w:val="00913DE6"/>
    <w:rsid w:val="0091453B"/>
    <w:rsid w:val="00914734"/>
    <w:rsid w:val="00914A5F"/>
    <w:rsid w:val="00914BC3"/>
    <w:rsid w:val="00914DFD"/>
    <w:rsid w:val="00914F30"/>
    <w:rsid w:val="0091522F"/>
    <w:rsid w:val="009152CB"/>
    <w:rsid w:val="009153A1"/>
    <w:rsid w:val="009153D5"/>
    <w:rsid w:val="009157F9"/>
    <w:rsid w:val="0091591E"/>
    <w:rsid w:val="00915C98"/>
    <w:rsid w:val="00915CFB"/>
    <w:rsid w:val="0091627C"/>
    <w:rsid w:val="00916318"/>
    <w:rsid w:val="0091655E"/>
    <w:rsid w:val="00916C8D"/>
    <w:rsid w:val="00916D89"/>
    <w:rsid w:val="00920410"/>
    <w:rsid w:val="009206B2"/>
    <w:rsid w:val="00920DAA"/>
    <w:rsid w:val="00920F4E"/>
    <w:rsid w:val="00921364"/>
    <w:rsid w:val="00922A63"/>
    <w:rsid w:val="00922B76"/>
    <w:rsid w:val="00922D9B"/>
    <w:rsid w:val="0092353C"/>
    <w:rsid w:val="009238C2"/>
    <w:rsid w:val="00923905"/>
    <w:rsid w:val="0092391A"/>
    <w:rsid w:val="00924123"/>
    <w:rsid w:val="009241E4"/>
    <w:rsid w:val="0092435A"/>
    <w:rsid w:val="0092498A"/>
    <w:rsid w:val="00924A03"/>
    <w:rsid w:val="00924AE4"/>
    <w:rsid w:val="00924E78"/>
    <w:rsid w:val="00924E82"/>
    <w:rsid w:val="00924F85"/>
    <w:rsid w:val="00925759"/>
    <w:rsid w:val="00926055"/>
    <w:rsid w:val="00926AF0"/>
    <w:rsid w:val="00926FD2"/>
    <w:rsid w:val="00927087"/>
    <w:rsid w:val="009276B5"/>
    <w:rsid w:val="009276FA"/>
    <w:rsid w:val="00927B8C"/>
    <w:rsid w:val="00930018"/>
    <w:rsid w:val="0093002C"/>
    <w:rsid w:val="009301E7"/>
    <w:rsid w:val="0093039F"/>
    <w:rsid w:val="009303A7"/>
    <w:rsid w:val="00930557"/>
    <w:rsid w:val="00930715"/>
    <w:rsid w:val="00930B11"/>
    <w:rsid w:val="00930B23"/>
    <w:rsid w:val="00930BC4"/>
    <w:rsid w:val="00930BE5"/>
    <w:rsid w:val="00930DA6"/>
    <w:rsid w:val="00930EDD"/>
    <w:rsid w:val="00931031"/>
    <w:rsid w:val="009317E5"/>
    <w:rsid w:val="00931809"/>
    <w:rsid w:val="00931A2D"/>
    <w:rsid w:val="00931BE0"/>
    <w:rsid w:val="00931CC3"/>
    <w:rsid w:val="00931E14"/>
    <w:rsid w:val="00932139"/>
    <w:rsid w:val="0093218F"/>
    <w:rsid w:val="009321E6"/>
    <w:rsid w:val="009329CB"/>
    <w:rsid w:val="00932F2E"/>
    <w:rsid w:val="00933352"/>
    <w:rsid w:val="009333C9"/>
    <w:rsid w:val="00933721"/>
    <w:rsid w:val="00933BD0"/>
    <w:rsid w:val="00933C6A"/>
    <w:rsid w:val="009340BE"/>
    <w:rsid w:val="0093420A"/>
    <w:rsid w:val="00934549"/>
    <w:rsid w:val="00934891"/>
    <w:rsid w:val="00934CD0"/>
    <w:rsid w:val="00934DC7"/>
    <w:rsid w:val="0093540F"/>
    <w:rsid w:val="00935464"/>
    <w:rsid w:val="0093568E"/>
    <w:rsid w:val="00935786"/>
    <w:rsid w:val="009357F7"/>
    <w:rsid w:val="00935F2B"/>
    <w:rsid w:val="00935FDC"/>
    <w:rsid w:val="00936101"/>
    <w:rsid w:val="00936868"/>
    <w:rsid w:val="00936B37"/>
    <w:rsid w:val="00936BD6"/>
    <w:rsid w:val="00936BF7"/>
    <w:rsid w:val="00936D99"/>
    <w:rsid w:val="0093735D"/>
    <w:rsid w:val="00937605"/>
    <w:rsid w:val="00937BD3"/>
    <w:rsid w:val="009400C9"/>
    <w:rsid w:val="00940508"/>
    <w:rsid w:val="00940A9F"/>
    <w:rsid w:val="00940CF0"/>
    <w:rsid w:val="00940E1D"/>
    <w:rsid w:val="0094111E"/>
    <w:rsid w:val="0094172E"/>
    <w:rsid w:val="00941897"/>
    <w:rsid w:val="00941919"/>
    <w:rsid w:val="00941B1C"/>
    <w:rsid w:val="00941BB2"/>
    <w:rsid w:val="00941BB9"/>
    <w:rsid w:val="00941C16"/>
    <w:rsid w:val="00941E51"/>
    <w:rsid w:val="0094219D"/>
    <w:rsid w:val="00942247"/>
    <w:rsid w:val="00942555"/>
    <w:rsid w:val="00942CED"/>
    <w:rsid w:val="009432EA"/>
    <w:rsid w:val="009439A3"/>
    <w:rsid w:val="00943BC8"/>
    <w:rsid w:val="00943F62"/>
    <w:rsid w:val="00944124"/>
    <w:rsid w:val="00944197"/>
    <w:rsid w:val="00944B14"/>
    <w:rsid w:val="00944B1D"/>
    <w:rsid w:val="00944C06"/>
    <w:rsid w:val="00944D64"/>
    <w:rsid w:val="00944D82"/>
    <w:rsid w:val="009450CC"/>
    <w:rsid w:val="00945375"/>
    <w:rsid w:val="00945385"/>
    <w:rsid w:val="009456F3"/>
    <w:rsid w:val="00945907"/>
    <w:rsid w:val="00945C4B"/>
    <w:rsid w:val="00945C66"/>
    <w:rsid w:val="00945CE9"/>
    <w:rsid w:val="00945EBF"/>
    <w:rsid w:val="009466F3"/>
    <w:rsid w:val="009468E1"/>
    <w:rsid w:val="0094699B"/>
    <w:rsid w:val="00946F66"/>
    <w:rsid w:val="009473F5"/>
    <w:rsid w:val="0094740E"/>
    <w:rsid w:val="0094748C"/>
    <w:rsid w:val="009475E4"/>
    <w:rsid w:val="0094769F"/>
    <w:rsid w:val="00947B18"/>
    <w:rsid w:val="00947C0F"/>
    <w:rsid w:val="00947FB0"/>
    <w:rsid w:val="0095007B"/>
    <w:rsid w:val="009500A4"/>
    <w:rsid w:val="00950120"/>
    <w:rsid w:val="0095051F"/>
    <w:rsid w:val="00950959"/>
    <w:rsid w:val="009509EE"/>
    <w:rsid w:val="00950D7D"/>
    <w:rsid w:val="00950F82"/>
    <w:rsid w:val="009510B5"/>
    <w:rsid w:val="009510F8"/>
    <w:rsid w:val="00951A7D"/>
    <w:rsid w:val="00951AB0"/>
    <w:rsid w:val="00951BE4"/>
    <w:rsid w:val="009522AD"/>
    <w:rsid w:val="0095259A"/>
    <w:rsid w:val="009525C2"/>
    <w:rsid w:val="00952622"/>
    <w:rsid w:val="00952B9D"/>
    <w:rsid w:val="00952CCD"/>
    <w:rsid w:val="00952F78"/>
    <w:rsid w:val="0095308F"/>
    <w:rsid w:val="00953297"/>
    <w:rsid w:val="009532CF"/>
    <w:rsid w:val="00953490"/>
    <w:rsid w:val="00953AA5"/>
    <w:rsid w:val="00954166"/>
    <w:rsid w:val="0095457B"/>
    <w:rsid w:val="00954676"/>
    <w:rsid w:val="009546B9"/>
    <w:rsid w:val="00954820"/>
    <w:rsid w:val="00954B2C"/>
    <w:rsid w:val="00954C91"/>
    <w:rsid w:val="009553E8"/>
    <w:rsid w:val="00955F20"/>
    <w:rsid w:val="00956063"/>
    <w:rsid w:val="0095634E"/>
    <w:rsid w:val="0095697D"/>
    <w:rsid w:val="00956A6E"/>
    <w:rsid w:val="009571A5"/>
    <w:rsid w:val="00957368"/>
    <w:rsid w:val="00957712"/>
    <w:rsid w:val="00957A51"/>
    <w:rsid w:val="00957A53"/>
    <w:rsid w:val="00957C5C"/>
    <w:rsid w:val="00957F68"/>
    <w:rsid w:val="009604FF"/>
    <w:rsid w:val="00960E5D"/>
    <w:rsid w:val="00960EA2"/>
    <w:rsid w:val="00961100"/>
    <w:rsid w:val="0096145B"/>
    <w:rsid w:val="00961892"/>
    <w:rsid w:val="009618B5"/>
    <w:rsid w:val="009619BD"/>
    <w:rsid w:val="009620B0"/>
    <w:rsid w:val="00962100"/>
    <w:rsid w:val="0096258D"/>
    <w:rsid w:val="00962642"/>
    <w:rsid w:val="00962683"/>
    <w:rsid w:val="009629EF"/>
    <w:rsid w:val="00962B6A"/>
    <w:rsid w:val="00962DED"/>
    <w:rsid w:val="00962EE9"/>
    <w:rsid w:val="00963121"/>
    <w:rsid w:val="00963185"/>
    <w:rsid w:val="00963562"/>
    <w:rsid w:val="00963917"/>
    <w:rsid w:val="00963A22"/>
    <w:rsid w:val="00963AA5"/>
    <w:rsid w:val="00963C2A"/>
    <w:rsid w:val="00963FB5"/>
    <w:rsid w:val="009640A5"/>
    <w:rsid w:val="0096410C"/>
    <w:rsid w:val="009641D8"/>
    <w:rsid w:val="0096434B"/>
    <w:rsid w:val="0096467F"/>
    <w:rsid w:val="009647EF"/>
    <w:rsid w:val="00964CC0"/>
    <w:rsid w:val="00964DB3"/>
    <w:rsid w:val="009650CD"/>
    <w:rsid w:val="0096574F"/>
    <w:rsid w:val="00965E05"/>
    <w:rsid w:val="00966293"/>
    <w:rsid w:val="0096643A"/>
    <w:rsid w:val="00966591"/>
    <w:rsid w:val="009665AA"/>
    <w:rsid w:val="0096689A"/>
    <w:rsid w:val="00966B7E"/>
    <w:rsid w:val="00967215"/>
    <w:rsid w:val="00967272"/>
    <w:rsid w:val="00967498"/>
    <w:rsid w:val="00967755"/>
    <w:rsid w:val="00967F06"/>
    <w:rsid w:val="00970477"/>
    <w:rsid w:val="009705CC"/>
    <w:rsid w:val="00970871"/>
    <w:rsid w:val="00970A0F"/>
    <w:rsid w:val="00970DEE"/>
    <w:rsid w:val="00970E23"/>
    <w:rsid w:val="00971184"/>
    <w:rsid w:val="009711C7"/>
    <w:rsid w:val="0097142B"/>
    <w:rsid w:val="00971454"/>
    <w:rsid w:val="0097163F"/>
    <w:rsid w:val="0097182C"/>
    <w:rsid w:val="009719CD"/>
    <w:rsid w:val="00971B4D"/>
    <w:rsid w:val="00971DFC"/>
    <w:rsid w:val="009724E1"/>
    <w:rsid w:val="009726FD"/>
    <w:rsid w:val="0097270E"/>
    <w:rsid w:val="009727E8"/>
    <w:rsid w:val="00972AC4"/>
    <w:rsid w:val="00972C35"/>
    <w:rsid w:val="00972DAB"/>
    <w:rsid w:val="00972DB7"/>
    <w:rsid w:val="00972DBE"/>
    <w:rsid w:val="00972F07"/>
    <w:rsid w:val="00972F47"/>
    <w:rsid w:val="00973027"/>
    <w:rsid w:val="0097323D"/>
    <w:rsid w:val="00973274"/>
    <w:rsid w:val="009732EF"/>
    <w:rsid w:val="00973494"/>
    <w:rsid w:val="0097350E"/>
    <w:rsid w:val="00973681"/>
    <w:rsid w:val="00973A34"/>
    <w:rsid w:val="00973EB6"/>
    <w:rsid w:val="00973ED1"/>
    <w:rsid w:val="00973F77"/>
    <w:rsid w:val="0097412D"/>
    <w:rsid w:val="00974555"/>
    <w:rsid w:val="009748FA"/>
    <w:rsid w:val="009755F4"/>
    <w:rsid w:val="0097574F"/>
    <w:rsid w:val="00975B8C"/>
    <w:rsid w:val="00975C29"/>
    <w:rsid w:val="00975FFA"/>
    <w:rsid w:val="00976030"/>
    <w:rsid w:val="009762CF"/>
    <w:rsid w:val="00976329"/>
    <w:rsid w:val="00976671"/>
    <w:rsid w:val="00976693"/>
    <w:rsid w:val="00976740"/>
    <w:rsid w:val="009767BE"/>
    <w:rsid w:val="009769B6"/>
    <w:rsid w:val="00976A1F"/>
    <w:rsid w:val="00976A52"/>
    <w:rsid w:val="00976DA3"/>
    <w:rsid w:val="00976F4A"/>
    <w:rsid w:val="00977420"/>
    <w:rsid w:val="009774F6"/>
    <w:rsid w:val="00977852"/>
    <w:rsid w:val="009779A9"/>
    <w:rsid w:val="00977A2A"/>
    <w:rsid w:val="00977A2B"/>
    <w:rsid w:val="00977B21"/>
    <w:rsid w:val="00977B78"/>
    <w:rsid w:val="00977D65"/>
    <w:rsid w:val="00977E26"/>
    <w:rsid w:val="009801B2"/>
    <w:rsid w:val="0098075A"/>
    <w:rsid w:val="00980BFB"/>
    <w:rsid w:val="00980F3C"/>
    <w:rsid w:val="00981039"/>
    <w:rsid w:val="009818AD"/>
    <w:rsid w:val="009818C3"/>
    <w:rsid w:val="0098197B"/>
    <w:rsid w:val="00981B6A"/>
    <w:rsid w:val="00981C11"/>
    <w:rsid w:val="00981E60"/>
    <w:rsid w:val="00981E74"/>
    <w:rsid w:val="009823C1"/>
    <w:rsid w:val="0098243B"/>
    <w:rsid w:val="00982AAD"/>
    <w:rsid w:val="00982DBB"/>
    <w:rsid w:val="00982ECB"/>
    <w:rsid w:val="0098307D"/>
    <w:rsid w:val="00983160"/>
    <w:rsid w:val="009831F0"/>
    <w:rsid w:val="0098332D"/>
    <w:rsid w:val="009834BA"/>
    <w:rsid w:val="009839EF"/>
    <w:rsid w:val="00983AF0"/>
    <w:rsid w:val="00983E36"/>
    <w:rsid w:val="00984DDB"/>
    <w:rsid w:val="00984F1A"/>
    <w:rsid w:val="0098534A"/>
    <w:rsid w:val="0098556F"/>
    <w:rsid w:val="00985AD9"/>
    <w:rsid w:val="0098610E"/>
    <w:rsid w:val="009864AC"/>
    <w:rsid w:val="0098655D"/>
    <w:rsid w:val="00986C50"/>
    <w:rsid w:val="00987036"/>
    <w:rsid w:val="0098712D"/>
    <w:rsid w:val="009872BD"/>
    <w:rsid w:val="009872D6"/>
    <w:rsid w:val="009874B1"/>
    <w:rsid w:val="0098780F"/>
    <w:rsid w:val="00987A20"/>
    <w:rsid w:val="00987B44"/>
    <w:rsid w:val="009900DF"/>
    <w:rsid w:val="009901FA"/>
    <w:rsid w:val="00990B8E"/>
    <w:rsid w:val="00990C3A"/>
    <w:rsid w:val="00991266"/>
    <w:rsid w:val="00991541"/>
    <w:rsid w:val="0099154B"/>
    <w:rsid w:val="00991596"/>
    <w:rsid w:val="0099168B"/>
    <w:rsid w:val="0099187B"/>
    <w:rsid w:val="00991B3E"/>
    <w:rsid w:val="00991C32"/>
    <w:rsid w:val="00991D6F"/>
    <w:rsid w:val="00992094"/>
    <w:rsid w:val="00992392"/>
    <w:rsid w:val="009923B6"/>
    <w:rsid w:val="0099241D"/>
    <w:rsid w:val="00992761"/>
    <w:rsid w:val="00992C62"/>
    <w:rsid w:val="00992EA3"/>
    <w:rsid w:val="00993674"/>
    <w:rsid w:val="00994611"/>
    <w:rsid w:val="00994C9C"/>
    <w:rsid w:val="00994CCA"/>
    <w:rsid w:val="00994F5B"/>
    <w:rsid w:val="00994FB3"/>
    <w:rsid w:val="00994FF4"/>
    <w:rsid w:val="0099501A"/>
    <w:rsid w:val="009952F1"/>
    <w:rsid w:val="0099532C"/>
    <w:rsid w:val="00995AEB"/>
    <w:rsid w:val="00995CA0"/>
    <w:rsid w:val="0099605D"/>
    <w:rsid w:val="00996420"/>
    <w:rsid w:val="0099642F"/>
    <w:rsid w:val="00996A5E"/>
    <w:rsid w:val="00996AFB"/>
    <w:rsid w:val="00996CF7"/>
    <w:rsid w:val="0099710F"/>
    <w:rsid w:val="00997176"/>
    <w:rsid w:val="00997511"/>
    <w:rsid w:val="0099761E"/>
    <w:rsid w:val="0099768A"/>
    <w:rsid w:val="00997B7D"/>
    <w:rsid w:val="00997BED"/>
    <w:rsid w:val="00997D26"/>
    <w:rsid w:val="009A00C6"/>
    <w:rsid w:val="009A0170"/>
    <w:rsid w:val="009A025D"/>
    <w:rsid w:val="009A0274"/>
    <w:rsid w:val="009A0396"/>
    <w:rsid w:val="009A04C7"/>
    <w:rsid w:val="009A04CF"/>
    <w:rsid w:val="009A0665"/>
    <w:rsid w:val="009A0EA3"/>
    <w:rsid w:val="009A1408"/>
    <w:rsid w:val="009A1474"/>
    <w:rsid w:val="009A163A"/>
    <w:rsid w:val="009A1CEC"/>
    <w:rsid w:val="009A1DA4"/>
    <w:rsid w:val="009A1F1B"/>
    <w:rsid w:val="009A1FE2"/>
    <w:rsid w:val="009A24B5"/>
    <w:rsid w:val="009A2788"/>
    <w:rsid w:val="009A27CC"/>
    <w:rsid w:val="009A2C4A"/>
    <w:rsid w:val="009A3080"/>
    <w:rsid w:val="009A36BC"/>
    <w:rsid w:val="009A386E"/>
    <w:rsid w:val="009A3B3F"/>
    <w:rsid w:val="009A3FD0"/>
    <w:rsid w:val="009A4252"/>
    <w:rsid w:val="009A44B0"/>
    <w:rsid w:val="009A452B"/>
    <w:rsid w:val="009A4AF9"/>
    <w:rsid w:val="009A4BFD"/>
    <w:rsid w:val="009A4CC3"/>
    <w:rsid w:val="009A52EA"/>
    <w:rsid w:val="009A56DC"/>
    <w:rsid w:val="009A5787"/>
    <w:rsid w:val="009A5D29"/>
    <w:rsid w:val="009A6406"/>
    <w:rsid w:val="009A7740"/>
    <w:rsid w:val="009A79E4"/>
    <w:rsid w:val="009B0214"/>
    <w:rsid w:val="009B0288"/>
    <w:rsid w:val="009B0432"/>
    <w:rsid w:val="009B0626"/>
    <w:rsid w:val="009B06A8"/>
    <w:rsid w:val="009B0D26"/>
    <w:rsid w:val="009B0D95"/>
    <w:rsid w:val="009B0F62"/>
    <w:rsid w:val="009B0F86"/>
    <w:rsid w:val="009B1EE8"/>
    <w:rsid w:val="009B1F28"/>
    <w:rsid w:val="009B1FA2"/>
    <w:rsid w:val="009B25C3"/>
    <w:rsid w:val="009B25E0"/>
    <w:rsid w:val="009B2B64"/>
    <w:rsid w:val="009B2CD1"/>
    <w:rsid w:val="009B2EE0"/>
    <w:rsid w:val="009B366B"/>
    <w:rsid w:val="009B3979"/>
    <w:rsid w:val="009B3E05"/>
    <w:rsid w:val="009B3EAE"/>
    <w:rsid w:val="009B3F26"/>
    <w:rsid w:val="009B4044"/>
    <w:rsid w:val="009B4065"/>
    <w:rsid w:val="009B4A82"/>
    <w:rsid w:val="009B4BB1"/>
    <w:rsid w:val="009B4C1A"/>
    <w:rsid w:val="009B4E4F"/>
    <w:rsid w:val="009B4EBC"/>
    <w:rsid w:val="009B50C2"/>
    <w:rsid w:val="009B5203"/>
    <w:rsid w:val="009B53A7"/>
    <w:rsid w:val="009B5630"/>
    <w:rsid w:val="009B57BB"/>
    <w:rsid w:val="009B5B2E"/>
    <w:rsid w:val="009B6450"/>
    <w:rsid w:val="009B65E3"/>
    <w:rsid w:val="009B679F"/>
    <w:rsid w:val="009B698F"/>
    <w:rsid w:val="009B6B90"/>
    <w:rsid w:val="009B70E5"/>
    <w:rsid w:val="009B72BF"/>
    <w:rsid w:val="009B7430"/>
    <w:rsid w:val="009B74DA"/>
    <w:rsid w:val="009B7C0B"/>
    <w:rsid w:val="009B7C96"/>
    <w:rsid w:val="009B7CD3"/>
    <w:rsid w:val="009B7CF8"/>
    <w:rsid w:val="009C03C4"/>
    <w:rsid w:val="009C03D0"/>
    <w:rsid w:val="009C0558"/>
    <w:rsid w:val="009C058C"/>
    <w:rsid w:val="009C0596"/>
    <w:rsid w:val="009C05E8"/>
    <w:rsid w:val="009C098B"/>
    <w:rsid w:val="009C0B01"/>
    <w:rsid w:val="009C0BDF"/>
    <w:rsid w:val="009C0C7E"/>
    <w:rsid w:val="009C0F57"/>
    <w:rsid w:val="009C12ED"/>
    <w:rsid w:val="009C15D9"/>
    <w:rsid w:val="009C186B"/>
    <w:rsid w:val="009C1BED"/>
    <w:rsid w:val="009C1CDD"/>
    <w:rsid w:val="009C1D0A"/>
    <w:rsid w:val="009C23B5"/>
    <w:rsid w:val="009C24A5"/>
    <w:rsid w:val="009C2846"/>
    <w:rsid w:val="009C2BED"/>
    <w:rsid w:val="009C2F39"/>
    <w:rsid w:val="009C30AF"/>
    <w:rsid w:val="009C32AB"/>
    <w:rsid w:val="009C3371"/>
    <w:rsid w:val="009C3940"/>
    <w:rsid w:val="009C3AF7"/>
    <w:rsid w:val="009C3BD6"/>
    <w:rsid w:val="009C3C5F"/>
    <w:rsid w:val="009C41C7"/>
    <w:rsid w:val="009C4286"/>
    <w:rsid w:val="009C43C1"/>
    <w:rsid w:val="009C445C"/>
    <w:rsid w:val="009C469A"/>
    <w:rsid w:val="009C4788"/>
    <w:rsid w:val="009C47C1"/>
    <w:rsid w:val="009C4885"/>
    <w:rsid w:val="009C5223"/>
    <w:rsid w:val="009C55B7"/>
    <w:rsid w:val="009C57B9"/>
    <w:rsid w:val="009C5BF5"/>
    <w:rsid w:val="009C606D"/>
    <w:rsid w:val="009C61B6"/>
    <w:rsid w:val="009C632D"/>
    <w:rsid w:val="009C676D"/>
    <w:rsid w:val="009C67A2"/>
    <w:rsid w:val="009C6C22"/>
    <w:rsid w:val="009C6CD5"/>
    <w:rsid w:val="009C7095"/>
    <w:rsid w:val="009C72FF"/>
    <w:rsid w:val="009C77F4"/>
    <w:rsid w:val="009D06BF"/>
    <w:rsid w:val="009D0784"/>
    <w:rsid w:val="009D0B15"/>
    <w:rsid w:val="009D0B28"/>
    <w:rsid w:val="009D0E79"/>
    <w:rsid w:val="009D0EBD"/>
    <w:rsid w:val="009D139D"/>
    <w:rsid w:val="009D13C9"/>
    <w:rsid w:val="009D188E"/>
    <w:rsid w:val="009D18CE"/>
    <w:rsid w:val="009D1975"/>
    <w:rsid w:val="009D1AA6"/>
    <w:rsid w:val="009D1E08"/>
    <w:rsid w:val="009D211C"/>
    <w:rsid w:val="009D2205"/>
    <w:rsid w:val="009D23CB"/>
    <w:rsid w:val="009D2430"/>
    <w:rsid w:val="009D25C6"/>
    <w:rsid w:val="009D2622"/>
    <w:rsid w:val="009D273A"/>
    <w:rsid w:val="009D286E"/>
    <w:rsid w:val="009D28AB"/>
    <w:rsid w:val="009D2965"/>
    <w:rsid w:val="009D2F4C"/>
    <w:rsid w:val="009D30E2"/>
    <w:rsid w:val="009D346F"/>
    <w:rsid w:val="009D3505"/>
    <w:rsid w:val="009D354E"/>
    <w:rsid w:val="009D38DB"/>
    <w:rsid w:val="009D3DC0"/>
    <w:rsid w:val="009D3FB2"/>
    <w:rsid w:val="009D4004"/>
    <w:rsid w:val="009D400B"/>
    <w:rsid w:val="009D4376"/>
    <w:rsid w:val="009D4551"/>
    <w:rsid w:val="009D4BE3"/>
    <w:rsid w:val="009D4C0A"/>
    <w:rsid w:val="009D4EC2"/>
    <w:rsid w:val="009D5155"/>
    <w:rsid w:val="009D52BB"/>
    <w:rsid w:val="009D52F4"/>
    <w:rsid w:val="009D54BB"/>
    <w:rsid w:val="009D5724"/>
    <w:rsid w:val="009D5A0A"/>
    <w:rsid w:val="009D5ADA"/>
    <w:rsid w:val="009D6319"/>
    <w:rsid w:val="009D639A"/>
    <w:rsid w:val="009D6709"/>
    <w:rsid w:val="009D67F7"/>
    <w:rsid w:val="009D6901"/>
    <w:rsid w:val="009D6A5C"/>
    <w:rsid w:val="009D6A78"/>
    <w:rsid w:val="009D6AFF"/>
    <w:rsid w:val="009D6CFE"/>
    <w:rsid w:val="009D6FD1"/>
    <w:rsid w:val="009D7234"/>
    <w:rsid w:val="009D7D8B"/>
    <w:rsid w:val="009D7E46"/>
    <w:rsid w:val="009D7EFD"/>
    <w:rsid w:val="009E0010"/>
    <w:rsid w:val="009E01E8"/>
    <w:rsid w:val="009E0347"/>
    <w:rsid w:val="009E05D6"/>
    <w:rsid w:val="009E0E42"/>
    <w:rsid w:val="009E1352"/>
    <w:rsid w:val="009E143F"/>
    <w:rsid w:val="009E163A"/>
    <w:rsid w:val="009E17A3"/>
    <w:rsid w:val="009E1BA1"/>
    <w:rsid w:val="009E2073"/>
    <w:rsid w:val="009E2154"/>
    <w:rsid w:val="009E2157"/>
    <w:rsid w:val="009E2AAA"/>
    <w:rsid w:val="009E2D14"/>
    <w:rsid w:val="009E316F"/>
    <w:rsid w:val="009E381B"/>
    <w:rsid w:val="009E39A8"/>
    <w:rsid w:val="009E3B62"/>
    <w:rsid w:val="009E3BC7"/>
    <w:rsid w:val="009E3C95"/>
    <w:rsid w:val="009E3E24"/>
    <w:rsid w:val="009E3FDF"/>
    <w:rsid w:val="009E4016"/>
    <w:rsid w:val="009E4104"/>
    <w:rsid w:val="009E4443"/>
    <w:rsid w:val="009E44FE"/>
    <w:rsid w:val="009E464A"/>
    <w:rsid w:val="009E4A83"/>
    <w:rsid w:val="009E4CF2"/>
    <w:rsid w:val="009E4E9B"/>
    <w:rsid w:val="009E4FB1"/>
    <w:rsid w:val="009E514D"/>
    <w:rsid w:val="009E555D"/>
    <w:rsid w:val="009E5F3E"/>
    <w:rsid w:val="009E6367"/>
    <w:rsid w:val="009E6620"/>
    <w:rsid w:val="009E679C"/>
    <w:rsid w:val="009E6856"/>
    <w:rsid w:val="009E6B49"/>
    <w:rsid w:val="009E6BF2"/>
    <w:rsid w:val="009E6F92"/>
    <w:rsid w:val="009E707D"/>
    <w:rsid w:val="009E7388"/>
    <w:rsid w:val="009E73C3"/>
    <w:rsid w:val="009E7410"/>
    <w:rsid w:val="009E7A79"/>
    <w:rsid w:val="009E7AF1"/>
    <w:rsid w:val="009E7CF9"/>
    <w:rsid w:val="009F011C"/>
    <w:rsid w:val="009F0204"/>
    <w:rsid w:val="009F0305"/>
    <w:rsid w:val="009F043C"/>
    <w:rsid w:val="009F067C"/>
    <w:rsid w:val="009F076C"/>
    <w:rsid w:val="009F09CE"/>
    <w:rsid w:val="009F0B56"/>
    <w:rsid w:val="009F0B72"/>
    <w:rsid w:val="009F122C"/>
    <w:rsid w:val="009F13B4"/>
    <w:rsid w:val="009F1702"/>
    <w:rsid w:val="009F1867"/>
    <w:rsid w:val="009F1939"/>
    <w:rsid w:val="009F1BB8"/>
    <w:rsid w:val="009F21F9"/>
    <w:rsid w:val="009F27F1"/>
    <w:rsid w:val="009F285E"/>
    <w:rsid w:val="009F2899"/>
    <w:rsid w:val="009F29C8"/>
    <w:rsid w:val="009F2A04"/>
    <w:rsid w:val="009F2B09"/>
    <w:rsid w:val="009F2FA6"/>
    <w:rsid w:val="009F3553"/>
    <w:rsid w:val="009F4225"/>
    <w:rsid w:val="009F42FA"/>
    <w:rsid w:val="009F4359"/>
    <w:rsid w:val="009F43B6"/>
    <w:rsid w:val="009F4624"/>
    <w:rsid w:val="009F48B2"/>
    <w:rsid w:val="009F49D1"/>
    <w:rsid w:val="009F4B26"/>
    <w:rsid w:val="009F4D32"/>
    <w:rsid w:val="009F53BB"/>
    <w:rsid w:val="009F5426"/>
    <w:rsid w:val="009F56B9"/>
    <w:rsid w:val="009F58E0"/>
    <w:rsid w:val="009F5A3D"/>
    <w:rsid w:val="009F5BC2"/>
    <w:rsid w:val="009F5F31"/>
    <w:rsid w:val="009F60B7"/>
    <w:rsid w:val="009F65D2"/>
    <w:rsid w:val="009F6819"/>
    <w:rsid w:val="009F7171"/>
    <w:rsid w:val="009F7194"/>
    <w:rsid w:val="009F7204"/>
    <w:rsid w:val="009F739E"/>
    <w:rsid w:val="009F7A30"/>
    <w:rsid w:val="009F7ADE"/>
    <w:rsid w:val="009F7BA1"/>
    <w:rsid w:val="009F7CE0"/>
    <w:rsid w:val="009F7FC1"/>
    <w:rsid w:val="00A00009"/>
    <w:rsid w:val="00A00513"/>
    <w:rsid w:val="00A0089E"/>
    <w:rsid w:val="00A008A7"/>
    <w:rsid w:val="00A009AD"/>
    <w:rsid w:val="00A00A47"/>
    <w:rsid w:val="00A00B4F"/>
    <w:rsid w:val="00A00D3E"/>
    <w:rsid w:val="00A01041"/>
    <w:rsid w:val="00A01300"/>
    <w:rsid w:val="00A019A6"/>
    <w:rsid w:val="00A01A42"/>
    <w:rsid w:val="00A01A7F"/>
    <w:rsid w:val="00A01C6C"/>
    <w:rsid w:val="00A02129"/>
    <w:rsid w:val="00A021F0"/>
    <w:rsid w:val="00A0252C"/>
    <w:rsid w:val="00A025EE"/>
    <w:rsid w:val="00A02746"/>
    <w:rsid w:val="00A02A0B"/>
    <w:rsid w:val="00A02B3A"/>
    <w:rsid w:val="00A02E8E"/>
    <w:rsid w:val="00A031F6"/>
    <w:rsid w:val="00A03211"/>
    <w:rsid w:val="00A034CF"/>
    <w:rsid w:val="00A03608"/>
    <w:rsid w:val="00A03906"/>
    <w:rsid w:val="00A03942"/>
    <w:rsid w:val="00A03A52"/>
    <w:rsid w:val="00A03AD2"/>
    <w:rsid w:val="00A03C7D"/>
    <w:rsid w:val="00A04022"/>
    <w:rsid w:val="00A04077"/>
    <w:rsid w:val="00A04299"/>
    <w:rsid w:val="00A04338"/>
    <w:rsid w:val="00A04397"/>
    <w:rsid w:val="00A0440A"/>
    <w:rsid w:val="00A045DC"/>
    <w:rsid w:val="00A04744"/>
    <w:rsid w:val="00A0512E"/>
    <w:rsid w:val="00A0517F"/>
    <w:rsid w:val="00A0519B"/>
    <w:rsid w:val="00A05DB0"/>
    <w:rsid w:val="00A05E59"/>
    <w:rsid w:val="00A05FB6"/>
    <w:rsid w:val="00A06087"/>
    <w:rsid w:val="00A061D6"/>
    <w:rsid w:val="00A06290"/>
    <w:rsid w:val="00A0632B"/>
    <w:rsid w:val="00A066AD"/>
    <w:rsid w:val="00A066EA"/>
    <w:rsid w:val="00A0671B"/>
    <w:rsid w:val="00A067DB"/>
    <w:rsid w:val="00A068C4"/>
    <w:rsid w:val="00A06935"/>
    <w:rsid w:val="00A06A45"/>
    <w:rsid w:val="00A06A59"/>
    <w:rsid w:val="00A0715D"/>
    <w:rsid w:val="00A071C3"/>
    <w:rsid w:val="00A07557"/>
    <w:rsid w:val="00A07AB1"/>
    <w:rsid w:val="00A07D5C"/>
    <w:rsid w:val="00A07EE2"/>
    <w:rsid w:val="00A10307"/>
    <w:rsid w:val="00A103B6"/>
    <w:rsid w:val="00A1047F"/>
    <w:rsid w:val="00A10512"/>
    <w:rsid w:val="00A105D6"/>
    <w:rsid w:val="00A1081D"/>
    <w:rsid w:val="00A11C28"/>
    <w:rsid w:val="00A11CC3"/>
    <w:rsid w:val="00A11DB4"/>
    <w:rsid w:val="00A11F52"/>
    <w:rsid w:val="00A1208D"/>
    <w:rsid w:val="00A1230B"/>
    <w:rsid w:val="00A12491"/>
    <w:rsid w:val="00A1255E"/>
    <w:rsid w:val="00A12708"/>
    <w:rsid w:val="00A1298A"/>
    <w:rsid w:val="00A12BB7"/>
    <w:rsid w:val="00A12F42"/>
    <w:rsid w:val="00A12FA4"/>
    <w:rsid w:val="00A13870"/>
    <w:rsid w:val="00A138A5"/>
    <w:rsid w:val="00A14159"/>
    <w:rsid w:val="00A14B14"/>
    <w:rsid w:val="00A14D4C"/>
    <w:rsid w:val="00A14E9B"/>
    <w:rsid w:val="00A15232"/>
    <w:rsid w:val="00A15401"/>
    <w:rsid w:val="00A15534"/>
    <w:rsid w:val="00A1556B"/>
    <w:rsid w:val="00A15576"/>
    <w:rsid w:val="00A157D7"/>
    <w:rsid w:val="00A158B6"/>
    <w:rsid w:val="00A158FC"/>
    <w:rsid w:val="00A15C80"/>
    <w:rsid w:val="00A15D7F"/>
    <w:rsid w:val="00A15DED"/>
    <w:rsid w:val="00A15E43"/>
    <w:rsid w:val="00A1618D"/>
    <w:rsid w:val="00A16262"/>
    <w:rsid w:val="00A16509"/>
    <w:rsid w:val="00A1664B"/>
    <w:rsid w:val="00A168AF"/>
    <w:rsid w:val="00A17159"/>
    <w:rsid w:val="00A171F0"/>
    <w:rsid w:val="00A17508"/>
    <w:rsid w:val="00A17ADB"/>
    <w:rsid w:val="00A17B84"/>
    <w:rsid w:val="00A17E55"/>
    <w:rsid w:val="00A20478"/>
    <w:rsid w:val="00A20F7F"/>
    <w:rsid w:val="00A213DB"/>
    <w:rsid w:val="00A213FC"/>
    <w:rsid w:val="00A21436"/>
    <w:rsid w:val="00A216C4"/>
    <w:rsid w:val="00A21B95"/>
    <w:rsid w:val="00A2242D"/>
    <w:rsid w:val="00A226FC"/>
    <w:rsid w:val="00A23060"/>
    <w:rsid w:val="00A230F5"/>
    <w:rsid w:val="00A232EE"/>
    <w:rsid w:val="00A23479"/>
    <w:rsid w:val="00A23C04"/>
    <w:rsid w:val="00A23F54"/>
    <w:rsid w:val="00A24860"/>
    <w:rsid w:val="00A24909"/>
    <w:rsid w:val="00A24A66"/>
    <w:rsid w:val="00A24BBA"/>
    <w:rsid w:val="00A24DD0"/>
    <w:rsid w:val="00A25075"/>
    <w:rsid w:val="00A2509C"/>
    <w:rsid w:val="00A2554A"/>
    <w:rsid w:val="00A25BFD"/>
    <w:rsid w:val="00A25C14"/>
    <w:rsid w:val="00A2629E"/>
    <w:rsid w:val="00A26353"/>
    <w:rsid w:val="00A27183"/>
    <w:rsid w:val="00A27324"/>
    <w:rsid w:val="00A27565"/>
    <w:rsid w:val="00A27997"/>
    <w:rsid w:val="00A27A0C"/>
    <w:rsid w:val="00A27DAB"/>
    <w:rsid w:val="00A30163"/>
    <w:rsid w:val="00A303FD"/>
    <w:rsid w:val="00A3057A"/>
    <w:rsid w:val="00A30814"/>
    <w:rsid w:val="00A30A2B"/>
    <w:rsid w:val="00A30A61"/>
    <w:rsid w:val="00A30CD8"/>
    <w:rsid w:val="00A31291"/>
    <w:rsid w:val="00A3155C"/>
    <w:rsid w:val="00A31634"/>
    <w:rsid w:val="00A318EB"/>
    <w:rsid w:val="00A31ED4"/>
    <w:rsid w:val="00A320A5"/>
    <w:rsid w:val="00A322B0"/>
    <w:rsid w:val="00A3231B"/>
    <w:rsid w:val="00A3231D"/>
    <w:rsid w:val="00A32320"/>
    <w:rsid w:val="00A3247D"/>
    <w:rsid w:val="00A329CE"/>
    <w:rsid w:val="00A32EB3"/>
    <w:rsid w:val="00A3300A"/>
    <w:rsid w:val="00A33394"/>
    <w:rsid w:val="00A33414"/>
    <w:rsid w:val="00A33633"/>
    <w:rsid w:val="00A339FF"/>
    <w:rsid w:val="00A33A8E"/>
    <w:rsid w:val="00A33AAA"/>
    <w:rsid w:val="00A341E8"/>
    <w:rsid w:val="00A343BF"/>
    <w:rsid w:val="00A343E7"/>
    <w:rsid w:val="00A34482"/>
    <w:rsid w:val="00A34528"/>
    <w:rsid w:val="00A34BB5"/>
    <w:rsid w:val="00A34C59"/>
    <w:rsid w:val="00A34D92"/>
    <w:rsid w:val="00A35313"/>
    <w:rsid w:val="00A35964"/>
    <w:rsid w:val="00A35A66"/>
    <w:rsid w:val="00A35BB4"/>
    <w:rsid w:val="00A35BF7"/>
    <w:rsid w:val="00A3632E"/>
    <w:rsid w:val="00A36A2C"/>
    <w:rsid w:val="00A36AD4"/>
    <w:rsid w:val="00A36B0D"/>
    <w:rsid w:val="00A37167"/>
    <w:rsid w:val="00A37562"/>
    <w:rsid w:val="00A3759C"/>
    <w:rsid w:val="00A37A73"/>
    <w:rsid w:val="00A37ADF"/>
    <w:rsid w:val="00A37B1D"/>
    <w:rsid w:val="00A37EC9"/>
    <w:rsid w:val="00A406E7"/>
    <w:rsid w:val="00A406F7"/>
    <w:rsid w:val="00A408D6"/>
    <w:rsid w:val="00A4095D"/>
    <w:rsid w:val="00A40ABF"/>
    <w:rsid w:val="00A40ECA"/>
    <w:rsid w:val="00A40FEC"/>
    <w:rsid w:val="00A4105A"/>
    <w:rsid w:val="00A411C5"/>
    <w:rsid w:val="00A41308"/>
    <w:rsid w:val="00A41376"/>
    <w:rsid w:val="00A41453"/>
    <w:rsid w:val="00A414CB"/>
    <w:rsid w:val="00A4163C"/>
    <w:rsid w:val="00A41986"/>
    <w:rsid w:val="00A419AF"/>
    <w:rsid w:val="00A41DCA"/>
    <w:rsid w:val="00A41F54"/>
    <w:rsid w:val="00A4241C"/>
    <w:rsid w:val="00A424AF"/>
    <w:rsid w:val="00A426BC"/>
    <w:rsid w:val="00A4279B"/>
    <w:rsid w:val="00A42D92"/>
    <w:rsid w:val="00A42DFF"/>
    <w:rsid w:val="00A42EF3"/>
    <w:rsid w:val="00A43114"/>
    <w:rsid w:val="00A4352C"/>
    <w:rsid w:val="00A438A4"/>
    <w:rsid w:val="00A43934"/>
    <w:rsid w:val="00A43938"/>
    <w:rsid w:val="00A44229"/>
    <w:rsid w:val="00A444BA"/>
    <w:rsid w:val="00A44630"/>
    <w:rsid w:val="00A4473B"/>
    <w:rsid w:val="00A44BA3"/>
    <w:rsid w:val="00A44FD5"/>
    <w:rsid w:val="00A44FFC"/>
    <w:rsid w:val="00A4505C"/>
    <w:rsid w:val="00A4560E"/>
    <w:rsid w:val="00A4571A"/>
    <w:rsid w:val="00A45747"/>
    <w:rsid w:val="00A45A0E"/>
    <w:rsid w:val="00A45A75"/>
    <w:rsid w:val="00A45AB0"/>
    <w:rsid w:val="00A45C2B"/>
    <w:rsid w:val="00A45D56"/>
    <w:rsid w:val="00A45FB0"/>
    <w:rsid w:val="00A46241"/>
    <w:rsid w:val="00A4641C"/>
    <w:rsid w:val="00A4645B"/>
    <w:rsid w:val="00A46577"/>
    <w:rsid w:val="00A46C19"/>
    <w:rsid w:val="00A46F1A"/>
    <w:rsid w:val="00A46F81"/>
    <w:rsid w:val="00A4702A"/>
    <w:rsid w:val="00A474C6"/>
    <w:rsid w:val="00A47745"/>
    <w:rsid w:val="00A478D0"/>
    <w:rsid w:val="00A47CF7"/>
    <w:rsid w:val="00A47F1E"/>
    <w:rsid w:val="00A5005A"/>
    <w:rsid w:val="00A5009F"/>
    <w:rsid w:val="00A50198"/>
    <w:rsid w:val="00A509DD"/>
    <w:rsid w:val="00A50A33"/>
    <w:rsid w:val="00A51335"/>
    <w:rsid w:val="00A51362"/>
    <w:rsid w:val="00A51786"/>
    <w:rsid w:val="00A517CB"/>
    <w:rsid w:val="00A51BF2"/>
    <w:rsid w:val="00A524DB"/>
    <w:rsid w:val="00A528E0"/>
    <w:rsid w:val="00A52AAF"/>
    <w:rsid w:val="00A52B79"/>
    <w:rsid w:val="00A52C76"/>
    <w:rsid w:val="00A52C7F"/>
    <w:rsid w:val="00A53CED"/>
    <w:rsid w:val="00A53E33"/>
    <w:rsid w:val="00A540F0"/>
    <w:rsid w:val="00A5424A"/>
    <w:rsid w:val="00A54470"/>
    <w:rsid w:val="00A544F3"/>
    <w:rsid w:val="00A54572"/>
    <w:rsid w:val="00A546CD"/>
    <w:rsid w:val="00A549DD"/>
    <w:rsid w:val="00A54B66"/>
    <w:rsid w:val="00A54DD5"/>
    <w:rsid w:val="00A5523F"/>
    <w:rsid w:val="00A555B8"/>
    <w:rsid w:val="00A556B7"/>
    <w:rsid w:val="00A5599F"/>
    <w:rsid w:val="00A56366"/>
    <w:rsid w:val="00A56396"/>
    <w:rsid w:val="00A5650F"/>
    <w:rsid w:val="00A57076"/>
    <w:rsid w:val="00A57241"/>
    <w:rsid w:val="00A57476"/>
    <w:rsid w:val="00A57713"/>
    <w:rsid w:val="00A5778B"/>
    <w:rsid w:val="00A57989"/>
    <w:rsid w:val="00A5798D"/>
    <w:rsid w:val="00A57999"/>
    <w:rsid w:val="00A57A09"/>
    <w:rsid w:val="00A57CE7"/>
    <w:rsid w:val="00A57ECD"/>
    <w:rsid w:val="00A57F2F"/>
    <w:rsid w:val="00A60270"/>
    <w:rsid w:val="00A603E8"/>
    <w:rsid w:val="00A6071F"/>
    <w:rsid w:val="00A60DEE"/>
    <w:rsid w:val="00A615A3"/>
    <w:rsid w:val="00A616DD"/>
    <w:rsid w:val="00A61DBB"/>
    <w:rsid w:val="00A61F89"/>
    <w:rsid w:val="00A624B4"/>
    <w:rsid w:val="00A6293A"/>
    <w:rsid w:val="00A62AEB"/>
    <w:rsid w:val="00A62AEC"/>
    <w:rsid w:val="00A62F24"/>
    <w:rsid w:val="00A631FC"/>
    <w:rsid w:val="00A63293"/>
    <w:rsid w:val="00A634DF"/>
    <w:rsid w:val="00A63B10"/>
    <w:rsid w:val="00A63B28"/>
    <w:rsid w:val="00A63CF4"/>
    <w:rsid w:val="00A642FD"/>
    <w:rsid w:val="00A6475E"/>
    <w:rsid w:val="00A649D4"/>
    <w:rsid w:val="00A64A5B"/>
    <w:rsid w:val="00A64A8A"/>
    <w:rsid w:val="00A64BA0"/>
    <w:rsid w:val="00A652B8"/>
    <w:rsid w:val="00A6535B"/>
    <w:rsid w:val="00A6558D"/>
    <w:rsid w:val="00A65630"/>
    <w:rsid w:val="00A65ADE"/>
    <w:rsid w:val="00A65CB3"/>
    <w:rsid w:val="00A65D00"/>
    <w:rsid w:val="00A65D19"/>
    <w:rsid w:val="00A6616F"/>
    <w:rsid w:val="00A667CB"/>
    <w:rsid w:val="00A668C4"/>
    <w:rsid w:val="00A668E3"/>
    <w:rsid w:val="00A66F77"/>
    <w:rsid w:val="00A671FD"/>
    <w:rsid w:val="00A67790"/>
    <w:rsid w:val="00A67AE9"/>
    <w:rsid w:val="00A67B62"/>
    <w:rsid w:val="00A67C39"/>
    <w:rsid w:val="00A704BB"/>
    <w:rsid w:val="00A7055E"/>
    <w:rsid w:val="00A70C62"/>
    <w:rsid w:val="00A70C7B"/>
    <w:rsid w:val="00A7103F"/>
    <w:rsid w:val="00A712FB"/>
    <w:rsid w:val="00A716DE"/>
    <w:rsid w:val="00A71744"/>
    <w:rsid w:val="00A717B3"/>
    <w:rsid w:val="00A717B9"/>
    <w:rsid w:val="00A71AB3"/>
    <w:rsid w:val="00A71B74"/>
    <w:rsid w:val="00A71BCF"/>
    <w:rsid w:val="00A71CDA"/>
    <w:rsid w:val="00A71D4A"/>
    <w:rsid w:val="00A71FE5"/>
    <w:rsid w:val="00A725DE"/>
    <w:rsid w:val="00A726CA"/>
    <w:rsid w:val="00A72D28"/>
    <w:rsid w:val="00A72D32"/>
    <w:rsid w:val="00A7366A"/>
    <w:rsid w:val="00A73B6F"/>
    <w:rsid w:val="00A73C04"/>
    <w:rsid w:val="00A73C31"/>
    <w:rsid w:val="00A73CA6"/>
    <w:rsid w:val="00A73DCC"/>
    <w:rsid w:val="00A74282"/>
    <w:rsid w:val="00A746C3"/>
    <w:rsid w:val="00A74735"/>
    <w:rsid w:val="00A74882"/>
    <w:rsid w:val="00A74928"/>
    <w:rsid w:val="00A74BBD"/>
    <w:rsid w:val="00A74CA0"/>
    <w:rsid w:val="00A74EAF"/>
    <w:rsid w:val="00A74FCC"/>
    <w:rsid w:val="00A75001"/>
    <w:rsid w:val="00A75201"/>
    <w:rsid w:val="00A75A08"/>
    <w:rsid w:val="00A75C14"/>
    <w:rsid w:val="00A75C1C"/>
    <w:rsid w:val="00A75EEA"/>
    <w:rsid w:val="00A75F23"/>
    <w:rsid w:val="00A75F6A"/>
    <w:rsid w:val="00A76030"/>
    <w:rsid w:val="00A765A5"/>
    <w:rsid w:val="00A766E0"/>
    <w:rsid w:val="00A76707"/>
    <w:rsid w:val="00A76955"/>
    <w:rsid w:val="00A76C95"/>
    <w:rsid w:val="00A76E77"/>
    <w:rsid w:val="00A77746"/>
    <w:rsid w:val="00A7784A"/>
    <w:rsid w:val="00A778AD"/>
    <w:rsid w:val="00A778DB"/>
    <w:rsid w:val="00A801D1"/>
    <w:rsid w:val="00A804A9"/>
    <w:rsid w:val="00A8056B"/>
    <w:rsid w:val="00A80837"/>
    <w:rsid w:val="00A80978"/>
    <w:rsid w:val="00A809B1"/>
    <w:rsid w:val="00A80B6D"/>
    <w:rsid w:val="00A80EA5"/>
    <w:rsid w:val="00A80EC9"/>
    <w:rsid w:val="00A810E7"/>
    <w:rsid w:val="00A811D5"/>
    <w:rsid w:val="00A8168B"/>
    <w:rsid w:val="00A8184D"/>
    <w:rsid w:val="00A81D2B"/>
    <w:rsid w:val="00A81D65"/>
    <w:rsid w:val="00A82B87"/>
    <w:rsid w:val="00A82C47"/>
    <w:rsid w:val="00A82DF5"/>
    <w:rsid w:val="00A83011"/>
    <w:rsid w:val="00A830ED"/>
    <w:rsid w:val="00A8321C"/>
    <w:rsid w:val="00A833F5"/>
    <w:rsid w:val="00A835A5"/>
    <w:rsid w:val="00A83AF8"/>
    <w:rsid w:val="00A83C0A"/>
    <w:rsid w:val="00A83EF7"/>
    <w:rsid w:val="00A84255"/>
    <w:rsid w:val="00A849B0"/>
    <w:rsid w:val="00A84BFA"/>
    <w:rsid w:val="00A84D0C"/>
    <w:rsid w:val="00A84F21"/>
    <w:rsid w:val="00A85CCE"/>
    <w:rsid w:val="00A85D32"/>
    <w:rsid w:val="00A85E36"/>
    <w:rsid w:val="00A85FCD"/>
    <w:rsid w:val="00A86410"/>
    <w:rsid w:val="00A86434"/>
    <w:rsid w:val="00A867F6"/>
    <w:rsid w:val="00A86A76"/>
    <w:rsid w:val="00A86C0E"/>
    <w:rsid w:val="00A86E26"/>
    <w:rsid w:val="00A87151"/>
    <w:rsid w:val="00A871F7"/>
    <w:rsid w:val="00A87241"/>
    <w:rsid w:val="00A87867"/>
    <w:rsid w:val="00A878F7"/>
    <w:rsid w:val="00A879F3"/>
    <w:rsid w:val="00A87B1B"/>
    <w:rsid w:val="00A87B54"/>
    <w:rsid w:val="00A87DC3"/>
    <w:rsid w:val="00A87F8E"/>
    <w:rsid w:val="00A9011E"/>
    <w:rsid w:val="00A9016F"/>
    <w:rsid w:val="00A90362"/>
    <w:rsid w:val="00A9096D"/>
    <w:rsid w:val="00A90A5D"/>
    <w:rsid w:val="00A90F81"/>
    <w:rsid w:val="00A915C5"/>
    <w:rsid w:val="00A9170A"/>
    <w:rsid w:val="00A918F5"/>
    <w:rsid w:val="00A91985"/>
    <w:rsid w:val="00A91F85"/>
    <w:rsid w:val="00A92071"/>
    <w:rsid w:val="00A9219A"/>
    <w:rsid w:val="00A92673"/>
    <w:rsid w:val="00A929BF"/>
    <w:rsid w:val="00A92BB0"/>
    <w:rsid w:val="00A92C32"/>
    <w:rsid w:val="00A935B7"/>
    <w:rsid w:val="00A935C2"/>
    <w:rsid w:val="00A9379D"/>
    <w:rsid w:val="00A9384F"/>
    <w:rsid w:val="00A93925"/>
    <w:rsid w:val="00A93D8B"/>
    <w:rsid w:val="00A93EC1"/>
    <w:rsid w:val="00A94021"/>
    <w:rsid w:val="00A942B6"/>
    <w:rsid w:val="00A94578"/>
    <w:rsid w:val="00A946EE"/>
    <w:rsid w:val="00A9499A"/>
    <w:rsid w:val="00A94B18"/>
    <w:rsid w:val="00A94B79"/>
    <w:rsid w:val="00A94D70"/>
    <w:rsid w:val="00A95085"/>
    <w:rsid w:val="00A95229"/>
    <w:rsid w:val="00A955E6"/>
    <w:rsid w:val="00A958B1"/>
    <w:rsid w:val="00A95962"/>
    <w:rsid w:val="00A95A6F"/>
    <w:rsid w:val="00A95B4D"/>
    <w:rsid w:val="00A95DEA"/>
    <w:rsid w:val="00A96234"/>
    <w:rsid w:val="00A964AE"/>
    <w:rsid w:val="00A96645"/>
    <w:rsid w:val="00A96654"/>
    <w:rsid w:val="00A96A27"/>
    <w:rsid w:val="00A96F09"/>
    <w:rsid w:val="00A9742F"/>
    <w:rsid w:val="00A9767D"/>
    <w:rsid w:val="00A977A7"/>
    <w:rsid w:val="00A977E7"/>
    <w:rsid w:val="00A978E9"/>
    <w:rsid w:val="00A97B7B"/>
    <w:rsid w:val="00AA025D"/>
    <w:rsid w:val="00AA0418"/>
    <w:rsid w:val="00AA0546"/>
    <w:rsid w:val="00AA0768"/>
    <w:rsid w:val="00AA0788"/>
    <w:rsid w:val="00AA0A51"/>
    <w:rsid w:val="00AA0B5A"/>
    <w:rsid w:val="00AA0DC2"/>
    <w:rsid w:val="00AA1698"/>
    <w:rsid w:val="00AA16E9"/>
    <w:rsid w:val="00AA1B7C"/>
    <w:rsid w:val="00AA1C5A"/>
    <w:rsid w:val="00AA1CF5"/>
    <w:rsid w:val="00AA1FE0"/>
    <w:rsid w:val="00AA2254"/>
    <w:rsid w:val="00AA250B"/>
    <w:rsid w:val="00AA27FF"/>
    <w:rsid w:val="00AA2BCA"/>
    <w:rsid w:val="00AA2E54"/>
    <w:rsid w:val="00AA33C5"/>
    <w:rsid w:val="00AA3431"/>
    <w:rsid w:val="00AA37BB"/>
    <w:rsid w:val="00AA385A"/>
    <w:rsid w:val="00AA39C3"/>
    <w:rsid w:val="00AA3BAD"/>
    <w:rsid w:val="00AA3F23"/>
    <w:rsid w:val="00AA40DE"/>
    <w:rsid w:val="00AA4374"/>
    <w:rsid w:val="00AA4EC4"/>
    <w:rsid w:val="00AA52A7"/>
    <w:rsid w:val="00AA52B3"/>
    <w:rsid w:val="00AA546B"/>
    <w:rsid w:val="00AA5619"/>
    <w:rsid w:val="00AA598F"/>
    <w:rsid w:val="00AA5B22"/>
    <w:rsid w:val="00AA5B47"/>
    <w:rsid w:val="00AA5B77"/>
    <w:rsid w:val="00AA5C4F"/>
    <w:rsid w:val="00AA62CC"/>
    <w:rsid w:val="00AA66ED"/>
    <w:rsid w:val="00AA6844"/>
    <w:rsid w:val="00AA684C"/>
    <w:rsid w:val="00AA6FC4"/>
    <w:rsid w:val="00AA705A"/>
    <w:rsid w:val="00AA70E5"/>
    <w:rsid w:val="00AA7238"/>
    <w:rsid w:val="00AA792C"/>
    <w:rsid w:val="00AA7C52"/>
    <w:rsid w:val="00AA7D80"/>
    <w:rsid w:val="00AB0160"/>
    <w:rsid w:val="00AB03DD"/>
    <w:rsid w:val="00AB07A9"/>
    <w:rsid w:val="00AB0A46"/>
    <w:rsid w:val="00AB0DB7"/>
    <w:rsid w:val="00AB1206"/>
    <w:rsid w:val="00AB1941"/>
    <w:rsid w:val="00AB1EE0"/>
    <w:rsid w:val="00AB1FAE"/>
    <w:rsid w:val="00AB20A4"/>
    <w:rsid w:val="00AB211C"/>
    <w:rsid w:val="00AB22E0"/>
    <w:rsid w:val="00AB238A"/>
    <w:rsid w:val="00AB2B8F"/>
    <w:rsid w:val="00AB2D89"/>
    <w:rsid w:val="00AB2DA5"/>
    <w:rsid w:val="00AB2E8B"/>
    <w:rsid w:val="00AB2ED4"/>
    <w:rsid w:val="00AB3141"/>
    <w:rsid w:val="00AB3680"/>
    <w:rsid w:val="00AB393F"/>
    <w:rsid w:val="00AB3FED"/>
    <w:rsid w:val="00AB448C"/>
    <w:rsid w:val="00AB45D3"/>
    <w:rsid w:val="00AB49F4"/>
    <w:rsid w:val="00AB506C"/>
    <w:rsid w:val="00AB5404"/>
    <w:rsid w:val="00AB5491"/>
    <w:rsid w:val="00AB5647"/>
    <w:rsid w:val="00AB5A66"/>
    <w:rsid w:val="00AB5AEF"/>
    <w:rsid w:val="00AB5C54"/>
    <w:rsid w:val="00AB5D13"/>
    <w:rsid w:val="00AB5E94"/>
    <w:rsid w:val="00AB5FCD"/>
    <w:rsid w:val="00AB6136"/>
    <w:rsid w:val="00AB6883"/>
    <w:rsid w:val="00AB6A91"/>
    <w:rsid w:val="00AB6C41"/>
    <w:rsid w:val="00AB6DC0"/>
    <w:rsid w:val="00AB715A"/>
    <w:rsid w:val="00AB71AE"/>
    <w:rsid w:val="00AB7250"/>
    <w:rsid w:val="00AB72C8"/>
    <w:rsid w:val="00AB73A1"/>
    <w:rsid w:val="00AB7426"/>
    <w:rsid w:val="00AB75D8"/>
    <w:rsid w:val="00AB7F79"/>
    <w:rsid w:val="00AC0208"/>
    <w:rsid w:val="00AC0276"/>
    <w:rsid w:val="00AC078A"/>
    <w:rsid w:val="00AC07C3"/>
    <w:rsid w:val="00AC0DDE"/>
    <w:rsid w:val="00AC0E98"/>
    <w:rsid w:val="00AC0F31"/>
    <w:rsid w:val="00AC17C3"/>
    <w:rsid w:val="00AC19E1"/>
    <w:rsid w:val="00AC1DBA"/>
    <w:rsid w:val="00AC1DEE"/>
    <w:rsid w:val="00AC2035"/>
    <w:rsid w:val="00AC20C3"/>
    <w:rsid w:val="00AC2117"/>
    <w:rsid w:val="00AC22B7"/>
    <w:rsid w:val="00AC24DD"/>
    <w:rsid w:val="00AC2705"/>
    <w:rsid w:val="00AC275F"/>
    <w:rsid w:val="00AC292B"/>
    <w:rsid w:val="00AC2A58"/>
    <w:rsid w:val="00AC30B1"/>
    <w:rsid w:val="00AC3161"/>
    <w:rsid w:val="00AC32E0"/>
    <w:rsid w:val="00AC3423"/>
    <w:rsid w:val="00AC34EE"/>
    <w:rsid w:val="00AC34FC"/>
    <w:rsid w:val="00AC3D16"/>
    <w:rsid w:val="00AC3D2A"/>
    <w:rsid w:val="00AC3F09"/>
    <w:rsid w:val="00AC4382"/>
    <w:rsid w:val="00AC4971"/>
    <w:rsid w:val="00AC4E2C"/>
    <w:rsid w:val="00AC538C"/>
    <w:rsid w:val="00AC558E"/>
    <w:rsid w:val="00AC5828"/>
    <w:rsid w:val="00AC59CD"/>
    <w:rsid w:val="00AC5B19"/>
    <w:rsid w:val="00AC5DE9"/>
    <w:rsid w:val="00AC5DFD"/>
    <w:rsid w:val="00AC5F3A"/>
    <w:rsid w:val="00AC5FC7"/>
    <w:rsid w:val="00AC615C"/>
    <w:rsid w:val="00AC61B5"/>
    <w:rsid w:val="00AC62AD"/>
    <w:rsid w:val="00AC6609"/>
    <w:rsid w:val="00AC6F21"/>
    <w:rsid w:val="00AC713B"/>
    <w:rsid w:val="00AC78C7"/>
    <w:rsid w:val="00AC7A28"/>
    <w:rsid w:val="00AC7BC9"/>
    <w:rsid w:val="00AD061A"/>
    <w:rsid w:val="00AD0638"/>
    <w:rsid w:val="00AD07AF"/>
    <w:rsid w:val="00AD0CA0"/>
    <w:rsid w:val="00AD0CB4"/>
    <w:rsid w:val="00AD0CDD"/>
    <w:rsid w:val="00AD102A"/>
    <w:rsid w:val="00AD14BA"/>
    <w:rsid w:val="00AD17FB"/>
    <w:rsid w:val="00AD1B04"/>
    <w:rsid w:val="00AD1B82"/>
    <w:rsid w:val="00AD1E23"/>
    <w:rsid w:val="00AD1F77"/>
    <w:rsid w:val="00AD22F4"/>
    <w:rsid w:val="00AD2344"/>
    <w:rsid w:val="00AD2363"/>
    <w:rsid w:val="00AD2765"/>
    <w:rsid w:val="00AD27F0"/>
    <w:rsid w:val="00AD2AA0"/>
    <w:rsid w:val="00AD2B1D"/>
    <w:rsid w:val="00AD2B6B"/>
    <w:rsid w:val="00AD2DFB"/>
    <w:rsid w:val="00AD2F01"/>
    <w:rsid w:val="00AD31F0"/>
    <w:rsid w:val="00AD36A1"/>
    <w:rsid w:val="00AD3B32"/>
    <w:rsid w:val="00AD3C2B"/>
    <w:rsid w:val="00AD3EE1"/>
    <w:rsid w:val="00AD4043"/>
    <w:rsid w:val="00AD4693"/>
    <w:rsid w:val="00AD4A7D"/>
    <w:rsid w:val="00AD4D78"/>
    <w:rsid w:val="00AD549A"/>
    <w:rsid w:val="00AD563D"/>
    <w:rsid w:val="00AD58AB"/>
    <w:rsid w:val="00AD5B6C"/>
    <w:rsid w:val="00AD612C"/>
    <w:rsid w:val="00AD65F5"/>
    <w:rsid w:val="00AD6983"/>
    <w:rsid w:val="00AD69B6"/>
    <w:rsid w:val="00AD69D4"/>
    <w:rsid w:val="00AD6D86"/>
    <w:rsid w:val="00AD705A"/>
    <w:rsid w:val="00AD7239"/>
    <w:rsid w:val="00AD74DA"/>
    <w:rsid w:val="00AD767F"/>
    <w:rsid w:val="00AD7C23"/>
    <w:rsid w:val="00AD7EC5"/>
    <w:rsid w:val="00AD7EE0"/>
    <w:rsid w:val="00AD7F96"/>
    <w:rsid w:val="00AE0098"/>
    <w:rsid w:val="00AE0114"/>
    <w:rsid w:val="00AE031A"/>
    <w:rsid w:val="00AE07B5"/>
    <w:rsid w:val="00AE07ED"/>
    <w:rsid w:val="00AE10CD"/>
    <w:rsid w:val="00AE178F"/>
    <w:rsid w:val="00AE19B6"/>
    <w:rsid w:val="00AE1F34"/>
    <w:rsid w:val="00AE2016"/>
    <w:rsid w:val="00AE20F2"/>
    <w:rsid w:val="00AE213F"/>
    <w:rsid w:val="00AE2170"/>
    <w:rsid w:val="00AE221D"/>
    <w:rsid w:val="00AE31C5"/>
    <w:rsid w:val="00AE3548"/>
    <w:rsid w:val="00AE35B0"/>
    <w:rsid w:val="00AE3928"/>
    <w:rsid w:val="00AE3A0F"/>
    <w:rsid w:val="00AE3A32"/>
    <w:rsid w:val="00AE4382"/>
    <w:rsid w:val="00AE4530"/>
    <w:rsid w:val="00AE4593"/>
    <w:rsid w:val="00AE45FE"/>
    <w:rsid w:val="00AE4B1A"/>
    <w:rsid w:val="00AE4B6A"/>
    <w:rsid w:val="00AE4C8A"/>
    <w:rsid w:val="00AE4E14"/>
    <w:rsid w:val="00AE511F"/>
    <w:rsid w:val="00AE5153"/>
    <w:rsid w:val="00AE52E5"/>
    <w:rsid w:val="00AE55C2"/>
    <w:rsid w:val="00AE57D8"/>
    <w:rsid w:val="00AE629D"/>
    <w:rsid w:val="00AE63D6"/>
    <w:rsid w:val="00AE65C9"/>
    <w:rsid w:val="00AE6807"/>
    <w:rsid w:val="00AE6C63"/>
    <w:rsid w:val="00AE6C7C"/>
    <w:rsid w:val="00AE7136"/>
    <w:rsid w:val="00AE7169"/>
    <w:rsid w:val="00AE71EC"/>
    <w:rsid w:val="00AE7215"/>
    <w:rsid w:val="00AE76DB"/>
    <w:rsid w:val="00AE791D"/>
    <w:rsid w:val="00AE7B4C"/>
    <w:rsid w:val="00AE7CB8"/>
    <w:rsid w:val="00AE7D76"/>
    <w:rsid w:val="00AE7E9A"/>
    <w:rsid w:val="00AF02E6"/>
    <w:rsid w:val="00AF0502"/>
    <w:rsid w:val="00AF0A3B"/>
    <w:rsid w:val="00AF0D9C"/>
    <w:rsid w:val="00AF0DFA"/>
    <w:rsid w:val="00AF1050"/>
    <w:rsid w:val="00AF1730"/>
    <w:rsid w:val="00AF1C83"/>
    <w:rsid w:val="00AF1D8F"/>
    <w:rsid w:val="00AF1E4C"/>
    <w:rsid w:val="00AF1F6A"/>
    <w:rsid w:val="00AF225F"/>
    <w:rsid w:val="00AF2558"/>
    <w:rsid w:val="00AF2716"/>
    <w:rsid w:val="00AF2978"/>
    <w:rsid w:val="00AF2B4E"/>
    <w:rsid w:val="00AF2CB7"/>
    <w:rsid w:val="00AF3133"/>
    <w:rsid w:val="00AF323D"/>
    <w:rsid w:val="00AF3540"/>
    <w:rsid w:val="00AF3625"/>
    <w:rsid w:val="00AF39F0"/>
    <w:rsid w:val="00AF402A"/>
    <w:rsid w:val="00AF40FE"/>
    <w:rsid w:val="00AF4136"/>
    <w:rsid w:val="00AF4352"/>
    <w:rsid w:val="00AF4615"/>
    <w:rsid w:val="00AF4A84"/>
    <w:rsid w:val="00AF4C2D"/>
    <w:rsid w:val="00AF4C63"/>
    <w:rsid w:val="00AF4C95"/>
    <w:rsid w:val="00AF4C97"/>
    <w:rsid w:val="00AF52DE"/>
    <w:rsid w:val="00AF537F"/>
    <w:rsid w:val="00AF542B"/>
    <w:rsid w:val="00AF55F9"/>
    <w:rsid w:val="00AF5630"/>
    <w:rsid w:val="00AF56A2"/>
    <w:rsid w:val="00AF5830"/>
    <w:rsid w:val="00AF592C"/>
    <w:rsid w:val="00AF5AD4"/>
    <w:rsid w:val="00AF5BB0"/>
    <w:rsid w:val="00AF626C"/>
    <w:rsid w:val="00AF62A0"/>
    <w:rsid w:val="00AF6374"/>
    <w:rsid w:val="00AF64DD"/>
    <w:rsid w:val="00AF6516"/>
    <w:rsid w:val="00AF659A"/>
    <w:rsid w:val="00AF66FA"/>
    <w:rsid w:val="00AF67D1"/>
    <w:rsid w:val="00AF68D7"/>
    <w:rsid w:val="00AF6B5A"/>
    <w:rsid w:val="00AF6B6E"/>
    <w:rsid w:val="00AF6C12"/>
    <w:rsid w:val="00AF6C94"/>
    <w:rsid w:val="00AF6F12"/>
    <w:rsid w:val="00AF6FC6"/>
    <w:rsid w:val="00AF6FDD"/>
    <w:rsid w:val="00AF773E"/>
    <w:rsid w:val="00AF7B89"/>
    <w:rsid w:val="00AF7C8B"/>
    <w:rsid w:val="00AF7D1B"/>
    <w:rsid w:val="00AF7D41"/>
    <w:rsid w:val="00AF7F52"/>
    <w:rsid w:val="00AF7FA2"/>
    <w:rsid w:val="00B001C8"/>
    <w:rsid w:val="00B002AE"/>
    <w:rsid w:val="00B002E2"/>
    <w:rsid w:val="00B006DA"/>
    <w:rsid w:val="00B009F1"/>
    <w:rsid w:val="00B010C3"/>
    <w:rsid w:val="00B0115D"/>
    <w:rsid w:val="00B01417"/>
    <w:rsid w:val="00B01451"/>
    <w:rsid w:val="00B019B2"/>
    <w:rsid w:val="00B01A8F"/>
    <w:rsid w:val="00B01C8B"/>
    <w:rsid w:val="00B01D5F"/>
    <w:rsid w:val="00B020D5"/>
    <w:rsid w:val="00B022FA"/>
    <w:rsid w:val="00B023A2"/>
    <w:rsid w:val="00B0252C"/>
    <w:rsid w:val="00B025ED"/>
    <w:rsid w:val="00B02EDF"/>
    <w:rsid w:val="00B02EFE"/>
    <w:rsid w:val="00B02F5F"/>
    <w:rsid w:val="00B02FAE"/>
    <w:rsid w:val="00B031B8"/>
    <w:rsid w:val="00B0344C"/>
    <w:rsid w:val="00B03459"/>
    <w:rsid w:val="00B03B17"/>
    <w:rsid w:val="00B03C9F"/>
    <w:rsid w:val="00B03D3D"/>
    <w:rsid w:val="00B03FD0"/>
    <w:rsid w:val="00B04275"/>
    <w:rsid w:val="00B042DD"/>
    <w:rsid w:val="00B044C7"/>
    <w:rsid w:val="00B04AA0"/>
    <w:rsid w:val="00B04C6F"/>
    <w:rsid w:val="00B04C92"/>
    <w:rsid w:val="00B04F80"/>
    <w:rsid w:val="00B050AC"/>
    <w:rsid w:val="00B050FB"/>
    <w:rsid w:val="00B051F9"/>
    <w:rsid w:val="00B05494"/>
    <w:rsid w:val="00B056A7"/>
    <w:rsid w:val="00B05D45"/>
    <w:rsid w:val="00B0603B"/>
    <w:rsid w:val="00B060B5"/>
    <w:rsid w:val="00B0627A"/>
    <w:rsid w:val="00B066B3"/>
    <w:rsid w:val="00B06B0C"/>
    <w:rsid w:val="00B06C2E"/>
    <w:rsid w:val="00B06CC8"/>
    <w:rsid w:val="00B07024"/>
    <w:rsid w:val="00B071FB"/>
    <w:rsid w:val="00B074DA"/>
    <w:rsid w:val="00B075FB"/>
    <w:rsid w:val="00B078AB"/>
    <w:rsid w:val="00B07CE3"/>
    <w:rsid w:val="00B07FE2"/>
    <w:rsid w:val="00B10350"/>
    <w:rsid w:val="00B1050E"/>
    <w:rsid w:val="00B10632"/>
    <w:rsid w:val="00B1095A"/>
    <w:rsid w:val="00B109A6"/>
    <w:rsid w:val="00B10B1A"/>
    <w:rsid w:val="00B10E03"/>
    <w:rsid w:val="00B113F0"/>
    <w:rsid w:val="00B1163B"/>
    <w:rsid w:val="00B11EEC"/>
    <w:rsid w:val="00B12243"/>
    <w:rsid w:val="00B122F2"/>
    <w:rsid w:val="00B12353"/>
    <w:rsid w:val="00B1235F"/>
    <w:rsid w:val="00B1256E"/>
    <w:rsid w:val="00B1285D"/>
    <w:rsid w:val="00B12D8C"/>
    <w:rsid w:val="00B1303B"/>
    <w:rsid w:val="00B131A3"/>
    <w:rsid w:val="00B13398"/>
    <w:rsid w:val="00B1399F"/>
    <w:rsid w:val="00B139DD"/>
    <w:rsid w:val="00B13D36"/>
    <w:rsid w:val="00B14020"/>
    <w:rsid w:val="00B14021"/>
    <w:rsid w:val="00B144F8"/>
    <w:rsid w:val="00B148AD"/>
    <w:rsid w:val="00B14AF5"/>
    <w:rsid w:val="00B14E08"/>
    <w:rsid w:val="00B157F2"/>
    <w:rsid w:val="00B15DBE"/>
    <w:rsid w:val="00B15FBD"/>
    <w:rsid w:val="00B16187"/>
    <w:rsid w:val="00B1651A"/>
    <w:rsid w:val="00B167D4"/>
    <w:rsid w:val="00B1688F"/>
    <w:rsid w:val="00B16980"/>
    <w:rsid w:val="00B16AB8"/>
    <w:rsid w:val="00B176B7"/>
    <w:rsid w:val="00B1780E"/>
    <w:rsid w:val="00B179AC"/>
    <w:rsid w:val="00B20131"/>
    <w:rsid w:val="00B20712"/>
    <w:rsid w:val="00B2088D"/>
    <w:rsid w:val="00B20909"/>
    <w:rsid w:val="00B20966"/>
    <w:rsid w:val="00B209CC"/>
    <w:rsid w:val="00B21039"/>
    <w:rsid w:val="00B211F5"/>
    <w:rsid w:val="00B213B7"/>
    <w:rsid w:val="00B21484"/>
    <w:rsid w:val="00B218FB"/>
    <w:rsid w:val="00B21AAF"/>
    <w:rsid w:val="00B21AB1"/>
    <w:rsid w:val="00B21E12"/>
    <w:rsid w:val="00B2207C"/>
    <w:rsid w:val="00B22763"/>
    <w:rsid w:val="00B2288A"/>
    <w:rsid w:val="00B229DA"/>
    <w:rsid w:val="00B233F6"/>
    <w:rsid w:val="00B236BB"/>
    <w:rsid w:val="00B237E5"/>
    <w:rsid w:val="00B238B3"/>
    <w:rsid w:val="00B23A7A"/>
    <w:rsid w:val="00B23C23"/>
    <w:rsid w:val="00B23FB3"/>
    <w:rsid w:val="00B240C9"/>
    <w:rsid w:val="00B24151"/>
    <w:rsid w:val="00B24333"/>
    <w:rsid w:val="00B24626"/>
    <w:rsid w:val="00B24D51"/>
    <w:rsid w:val="00B24DDB"/>
    <w:rsid w:val="00B24DFB"/>
    <w:rsid w:val="00B25836"/>
    <w:rsid w:val="00B2598A"/>
    <w:rsid w:val="00B25A94"/>
    <w:rsid w:val="00B25E17"/>
    <w:rsid w:val="00B25EE5"/>
    <w:rsid w:val="00B260C0"/>
    <w:rsid w:val="00B260D3"/>
    <w:rsid w:val="00B263B1"/>
    <w:rsid w:val="00B263CB"/>
    <w:rsid w:val="00B26532"/>
    <w:rsid w:val="00B2670B"/>
    <w:rsid w:val="00B26789"/>
    <w:rsid w:val="00B26DB4"/>
    <w:rsid w:val="00B26EC6"/>
    <w:rsid w:val="00B270AE"/>
    <w:rsid w:val="00B272C5"/>
    <w:rsid w:val="00B2761B"/>
    <w:rsid w:val="00B27C5E"/>
    <w:rsid w:val="00B30BA3"/>
    <w:rsid w:val="00B30E17"/>
    <w:rsid w:val="00B314AB"/>
    <w:rsid w:val="00B3166A"/>
    <w:rsid w:val="00B31ADC"/>
    <w:rsid w:val="00B31C09"/>
    <w:rsid w:val="00B31EA3"/>
    <w:rsid w:val="00B31EE0"/>
    <w:rsid w:val="00B32353"/>
    <w:rsid w:val="00B329E1"/>
    <w:rsid w:val="00B32A59"/>
    <w:rsid w:val="00B32DEA"/>
    <w:rsid w:val="00B32FD3"/>
    <w:rsid w:val="00B33134"/>
    <w:rsid w:val="00B333A3"/>
    <w:rsid w:val="00B33A5A"/>
    <w:rsid w:val="00B33AC7"/>
    <w:rsid w:val="00B33B4F"/>
    <w:rsid w:val="00B33B61"/>
    <w:rsid w:val="00B33F5D"/>
    <w:rsid w:val="00B34068"/>
    <w:rsid w:val="00B34167"/>
    <w:rsid w:val="00B3431D"/>
    <w:rsid w:val="00B3472F"/>
    <w:rsid w:val="00B3476B"/>
    <w:rsid w:val="00B34878"/>
    <w:rsid w:val="00B34ADE"/>
    <w:rsid w:val="00B34B96"/>
    <w:rsid w:val="00B34BBD"/>
    <w:rsid w:val="00B34BDA"/>
    <w:rsid w:val="00B34C8F"/>
    <w:rsid w:val="00B35141"/>
    <w:rsid w:val="00B351D7"/>
    <w:rsid w:val="00B35304"/>
    <w:rsid w:val="00B35423"/>
    <w:rsid w:val="00B355E5"/>
    <w:rsid w:val="00B35742"/>
    <w:rsid w:val="00B35777"/>
    <w:rsid w:val="00B3594A"/>
    <w:rsid w:val="00B35AA8"/>
    <w:rsid w:val="00B35AD8"/>
    <w:rsid w:val="00B35B29"/>
    <w:rsid w:val="00B360BA"/>
    <w:rsid w:val="00B36280"/>
    <w:rsid w:val="00B363AF"/>
    <w:rsid w:val="00B36729"/>
    <w:rsid w:val="00B36CD0"/>
    <w:rsid w:val="00B36EDF"/>
    <w:rsid w:val="00B36FA6"/>
    <w:rsid w:val="00B37CAB"/>
    <w:rsid w:val="00B37E24"/>
    <w:rsid w:val="00B37E58"/>
    <w:rsid w:val="00B37EC9"/>
    <w:rsid w:val="00B4022A"/>
    <w:rsid w:val="00B405A8"/>
    <w:rsid w:val="00B40C07"/>
    <w:rsid w:val="00B40C7D"/>
    <w:rsid w:val="00B41171"/>
    <w:rsid w:val="00B41639"/>
    <w:rsid w:val="00B41CAB"/>
    <w:rsid w:val="00B41D92"/>
    <w:rsid w:val="00B41E6D"/>
    <w:rsid w:val="00B4267A"/>
    <w:rsid w:val="00B429BB"/>
    <w:rsid w:val="00B42AA1"/>
    <w:rsid w:val="00B42B96"/>
    <w:rsid w:val="00B42FE2"/>
    <w:rsid w:val="00B42FFD"/>
    <w:rsid w:val="00B43252"/>
    <w:rsid w:val="00B432AB"/>
    <w:rsid w:val="00B43467"/>
    <w:rsid w:val="00B436FA"/>
    <w:rsid w:val="00B43F2B"/>
    <w:rsid w:val="00B440D0"/>
    <w:rsid w:val="00B446C8"/>
    <w:rsid w:val="00B4479E"/>
    <w:rsid w:val="00B448BD"/>
    <w:rsid w:val="00B45349"/>
    <w:rsid w:val="00B45681"/>
    <w:rsid w:val="00B45AF8"/>
    <w:rsid w:val="00B45E09"/>
    <w:rsid w:val="00B46593"/>
    <w:rsid w:val="00B46705"/>
    <w:rsid w:val="00B46800"/>
    <w:rsid w:val="00B46A53"/>
    <w:rsid w:val="00B46C65"/>
    <w:rsid w:val="00B471A4"/>
    <w:rsid w:val="00B4757F"/>
    <w:rsid w:val="00B47780"/>
    <w:rsid w:val="00B47B5A"/>
    <w:rsid w:val="00B47E2E"/>
    <w:rsid w:val="00B47E64"/>
    <w:rsid w:val="00B50020"/>
    <w:rsid w:val="00B500ED"/>
    <w:rsid w:val="00B505B4"/>
    <w:rsid w:val="00B507C4"/>
    <w:rsid w:val="00B50A21"/>
    <w:rsid w:val="00B50AA3"/>
    <w:rsid w:val="00B50E79"/>
    <w:rsid w:val="00B5104E"/>
    <w:rsid w:val="00B5136F"/>
    <w:rsid w:val="00B513F2"/>
    <w:rsid w:val="00B515DB"/>
    <w:rsid w:val="00B515E4"/>
    <w:rsid w:val="00B516BA"/>
    <w:rsid w:val="00B51905"/>
    <w:rsid w:val="00B51E99"/>
    <w:rsid w:val="00B51FCC"/>
    <w:rsid w:val="00B52310"/>
    <w:rsid w:val="00B525F9"/>
    <w:rsid w:val="00B5264E"/>
    <w:rsid w:val="00B52941"/>
    <w:rsid w:val="00B52AAF"/>
    <w:rsid w:val="00B52B58"/>
    <w:rsid w:val="00B52C50"/>
    <w:rsid w:val="00B53271"/>
    <w:rsid w:val="00B53834"/>
    <w:rsid w:val="00B53892"/>
    <w:rsid w:val="00B53D06"/>
    <w:rsid w:val="00B53E23"/>
    <w:rsid w:val="00B53F0B"/>
    <w:rsid w:val="00B54163"/>
    <w:rsid w:val="00B541B9"/>
    <w:rsid w:val="00B5462A"/>
    <w:rsid w:val="00B54839"/>
    <w:rsid w:val="00B54882"/>
    <w:rsid w:val="00B54C2A"/>
    <w:rsid w:val="00B54D55"/>
    <w:rsid w:val="00B54E95"/>
    <w:rsid w:val="00B54F7F"/>
    <w:rsid w:val="00B55497"/>
    <w:rsid w:val="00B55C1C"/>
    <w:rsid w:val="00B55C31"/>
    <w:rsid w:val="00B55DA9"/>
    <w:rsid w:val="00B55DF3"/>
    <w:rsid w:val="00B560C0"/>
    <w:rsid w:val="00B56279"/>
    <w:rsid w:val="00B562C1"/>
    <w:rsid w:val="00B562D2"/>
    <w:rsid w:val="00B564FE"/>
    <w:rsid w:val="00B569A6"/>
    <w:rsid w:val="00B56AEB"/>
    <w:rsid w:val="00B56BC2"/>
    <w:rsid w:val="00B57392"/>
    <w:rsid w:val="00B57539"/>
    <w:rsid w:val="00B576A4"/>
    <w:rsid w:val="00B5771C"/>
    <w:rsid w:val="00B5792E"/>
    <w:rsid w:val="00B57A23"/>
    <w:rsid w:val="00B57E28"/>
    <w:rsid w:val="00B6006C"/>
    <w:rsid w:val="00B60301"/>
    <w:rsid w:val="00B60426"/>
    <w:rsid w:val="00B605DF"/>
    <w:rsid w:val="00B607C2"/>
    <w:rsid w:val="00B60CF4"/>
    <w:rsid w:val="00B61612"/>
    <w:rsid w:val="00B6192A"/>
    <w:rsid w:val="00B61F89"/>
    <w:rsid w:val="00B6223B"/>
    <w:rsid w:val="00B627E4"/>
    <w:rsid w:val="00B62C07"/>
    <w:rsid w:val="00B62C64"/>
    <w:rsid w:val="00B62CD9"/>
    <w:rsid w:val="00B62DD0"/>
    <w:rsid w:val="00B62DE5"/>
    <w:rsid w:val="00B63A9B"/>
    <w:rsid w:val="00B6405C"/>
    <w:rsid w:val="00B640BE"/>
    <w:rsid w:val="00B644C1"/>
    <w:rsid w:val="00B64671"/>
    <w:rsid w:val="00B6475E"/>
    <w:rsid w:val="00B64B7A"/>
    <w:rsid w:val="00B6507E"/>
    <w:rsid w:val="00B650BF"/>
    <w:rsid w:val="00B6517D"/>
    <w:rsid w:val="00B65532"/>
    <w:rsid w:val="00B65692"/>
    <w:rsid w:val="00B65A7A"/>
    <w:rsid w:val="00B65AEE"/>
    <w:rsid w:val="00B65EFE"/>
    <w:rsid w:val="00B66225"/>
    <w:rsid w:val="00B665F9"/>
    <w:rsid w:val="00B667F0"/>
    <w:rsid w:val="00B66FDD"/>
    <w:rsid w:val="00B678B6"/>
    <w:rsid w:val="00B67E7F"/>
    <w:rsid w:val="00B67F3C"/>
    <w:rsid w:val="00B7063A"/>
    <w:rsid w:val="00B706DB"/>
    <w:rsid w:val="00B71B80"/>
    <w:rsid w:val="00B71CA9"/>
    <w:rsid w:val="00B72146"/>
    <w:rsid w:val="00B722E9"/>
    <w:rsid w:val="00B727BC"/>
    <w:rsid w:val="00B72CE8"/>
    <w:rsid w:val="00B72D27"/>
    <w:rsid w:val="00B72E32"/>
    <w:rsid w:val="00B73006"/>
    <w:rsid w:val="00B730C2"/>
    <w:rsid w:val="00B73F7C"/>
    <w:rsid w:val="00B747FB"/>
    <w:rsid w:val="00B756A6"/>
    <w:rsid w:val="00B7595C"/>
    <w:rsid w:val="00B75994"/>
    <w:rsid w:val="00B75D01"/>
    <w:rsid w:val="00B76473"/>
    <w:rsid w:val="00B766AF"/>
    <w:rsid w:val="00B767F3"/>
    <w:rsid w:val="00B76AD7"/>
    <w:rsid w:val="00B7724A"/>
    <w:rsid w:val="00B7728F"/>
    <w:rsid w:val="00B775B1"/>
    <w:rsid w:val="00B779EE"/>
    <w:rsid w:val="00B77B1E"/>
    <w:rsid w:val="00B77B94"/>
    <w:rsid w:val="00B77DFE"/>
    <w:rsid w:val="00B77E84"/>
    <w:rsid w:val="00B8005B"/>
    <w:rsid w:val="00B801F9"/>
    <w:rsid w:val="00B80260"/>
    <w:rsid w:val="00B80327"/>
    <w:rsid w:val="00B804BE"/>
    <w:rsid w:val="00B80AB3"/>
    <w:rsid w:val="00B80F24"/>
    <w:rsid w:val="00B8112F"/>
    <w:rsid w:val="00B811EF"/>
    <w:rsid w:val="00B815D4"/>
    <w:rsid w:val="00B8161F"/>
    <w:rsid w:val="00B8183F"/>
    <w:rsid w:val="00B8189A"/>
    <w:rsid w:val="00B81935"/>
    <w:rsid w:val="00B8200C"/>
    <w:rsid w:val="00B820C1"/>
    <w:rsid w:val="00B82430"/>
    <w:rsid w:val="00B828F8"/>
    <w:rsid w:val="00B82EFE"/>
    <w:rsid w:val="00B82FAD"/>
    <w:rsid w:val="00B847CC"/>
    <w:rsid w:val="00B84C21"/>
    <w:rsid w:val="00B84FD5"/>
    <w:rsid w:val="00B851F2"/>
    <w:rsid w:val="00B85335"/>
    <w:rsid w:val="00B8592F"/>
    <w:rsid w:val="00B85BB5"/>
    <w:rsid w:val="00B85DF9"/>
    <w:rsid w:val="00B85E11"/>
    <w:rsid w:val="00B86779"/>
    <w:rsid w:val="00B868D9"/>
    <w:rsid w:val="00B86B7E"/>
    <w:rsid w:val="00B87886"/>
    <w:rsid w:val="00B878B9"/>
    <w:rsid w:val="00B879B8"/>
    <w:rsid w:val="00B87BAD"/>
    <w:rsid w:val="00B9020A"/>
    <w:rsid w:val="00B9063B"/>
    <w:rsid w:val="00B90C5F"/>
    <w:rsid w:val="00B90F61"/>
    <w:rsid w:val="00B910D5"/>
    <w:rsid w:val="00B913B7"/>
    <w:rsid w:val="00B91750"/>
    <w:rsid w:val="00B91821"/>
    <w:rsid w:val="00B91856"/>
    <w:rsid w:val="00B91B0C"/>
    <w:rsid w:val="00B91C97"/>
    <w:rsid w:val="00B92120"/>
    <w:rsid w:val="00B9254E"/>
    <w:rsid w:val="00B9265D"/>
    <w:rsid w:val="00B92A56"/>
    <w:rsid w:val="00B92D16"/>
    <w:rsid w:val="00B93542"/>
    <w:rsid w:val="00B939B5"/>
    <w:rsid w:val="00B93AE0"/>
    <w:rsid w:val="00B93E00"/>
    <w:rsid w:val="00B93E08"/>
    <w:rsid w:val="00B93FE9"/>
    <w:rsid w:val="00B9404E"/>
    <w:rsid w:val="00B942BF"/>
    <w:rsid w:val="00B947CC"/>
    <w:rsid w:val="00B94823"/>
    <w:rsid w:val="00B948E9"/>
    <w:rsid w:val="00B94CD5"/>
    <w:rsid w:val="00B94DBB"/>
    <w:rsid w:val="00B94EA7"/>
    <w:rsid w:val="00B94F49"/>
    <w:rsid w:val="00B951A1"/>
    <w:rsid w:val="00B9526D"/>
    <w:rsid w:val="00B95349"/>
    <w:rsid w:val="00B95B43"/>
    <w:rsid w:val="00B95FE0"/>
    <w:rsid w:val="00B960D4"/>
    <w:rsid w:val="00B9633E"/>
    <w:rsid w:val="00B96438"/>
    <w:rsid w:val="00B965BA"/>
    <w:rsid w:val="00B96845"/>
    <w:rsid w:val="00B96BB2"/>
    <w:rsid w:val="00B96D9C"/>
    <w:rsid w:val="00B96DA1"/>
    <w:rsid w:val="00B970FB"/>
    <w:rsid w:val="00B976D8"/>
    <w:rsid w:val="00BA002A"/>
    <w:rsid w:val="00BA08CF"/>
    <w:rsid w:val="00BA0D44"/>
    <w:rsid w:val="00BA0E6B"/>
    <w:rsid w:val="00BA10CF"/>
    <w:rsid w:val="00BA123B"/>
    <w:rsid w:val="00BA137E"/>
    <w:rsid w:val="00BA1395"/>
    <w:rsid w:val="00BA17BF"/>
    <w:rsid w:val="00BA1BC1"/>
    <w:rsid w:val="00BA26A5"/>
    <w:rsid w:val="00BA277F"/>
    <w:rsid w:val="00BA27D6"/>
    <w:rsid w:val="00BA2AE7"/>
    <w:rsid w:val="00BA2B2B"/>
    <w:rsid w:val="00BA3134"/>
    <w:rsid w:val="00BA32A4"/>
    <w:rsid w:val="00BA42DC"/>
    <w:rsid w:val="00BA4432"/>
    <w:rsid w:val="00BA4860"/>
    <w:rsid w:val="00BA4949"/>
    <w:rsid w:val="00BA4B50"/>
    <w:rsid w:val="00BA4D76"/>
    <w:rsid w:val="00BA4EC5"/>
    <w:rsid w:val="00BA513C"/>
    <w:rsid w:val="00BA51C8"/>
    <w:rsid w:val="00BA51EA"/>
    <w:rsid w:val="00BA53AE"/>
    <w:rsid w:val="00BA53B0"/>
    <w:rsid w:val="00BA54A6"/>
    <w:rsid w:val="00BA5BF2"/>
    <w:rsid w:val="00BA634B"/>
    <w:rsid w:val="00BA6453"/>
    <w:rsid w:val="00BA65DF"/>
    <w:rsid w:val="00BA6CDF"/>
    <w:rsid w:val="00BA6EEC"/>
    <w:rsid w:val="00BA6FAA"/>
    <w:rsid w:val="00BA6FC9"/>
    <w:rsid w:val="00BA728A"/>
    <w:rsid w:val="00BA75FF"/>
    <w:rsid w:val="00BA7E8E"/>
    <w:rsid w:val="00BB0285"/>
    <w:rsid w:val="00BB030C"/>
    <w:rsid w:val="00BB068E"/>
    <w:rsid w:val="00BB085C"/>
    <w:rsid w:val="00BB0FA3"/>
    <w:rsid w:val="00BB1169"/>
    <w:rsid w:val="00BB12E7"/>
    <w:rsid w:val="00BB1539"/>
    <w:rsid w:val="00BB1BCD"/>
    <w:rsid w:val="00BB1C06"/>
    <w:rsid w:val="00BB1CC7"/>
    <w:rsid w:val="00BB2057"/>
    <w:rsid w:val="00BB2074"/>
    <w:rsid w:val="00BB21D9"/>
    <w:rsid w:val="00BB23A2"/>
    <w:rsid w:val="00BB295A"/>
    <w:rsid w:val="00BB2C49"/>
    <w:rsid w:val="00BB303F"/>
    <w:rsid w:val="00BB31D0"/>
    <w:rsid w:val="00BB33D4"/>
    <w:rsid w:val="00BB3549"/>
    <w:rsid w:val="00BB38F1"/>
    <w:rsid w:val="00BB390F"/>
    <w:rsid w:val="00BB3969"/>
    <w:rsid w:val="00BB3D25"/>
    <w:rsid w:val="00BB3EE3"/>
    <w:rsid w:val="00BB3EF2"/>
    <w:rsid w:val="00BB4A20"/>
    <w:rsid w:val="00BB4BA6"/>
    <w:rsid w:val="00BB4CF1"/>
    <w:rsid w:val="00BB4D0D"/>
    <w:rsid w:val="00BB512B"/>
    <w:rsid w:val="00BB559D"/>
    <w:rsid w:val="00BB597F"/>
    <w:rsid w:val="00BB5A00"/>
    <w:rsid w:val="00BB5BAA"/>
    <w:rsid w:val="00BB5D1C"/>
    <w:rsid w:val="00BB5F7B"/>
    <w:rsid w:val="00BB5F8B"/>
    <w:rsid w:val="00BB6476"/>
    <w:rsid w:val="00BB6661"/>
    <w:rsid w:val="00BB692F"/>
    <w:rsid w:val="00BB7001"/>
    <w:rsid w:val="00BB714F"/>
    <w:rsid w:val="00BB7329"/>
    <w:rsid w:val="00BB7530"/>
    <w:rsid w:val="00BB7B12"/>
    <w:rsid w:val="00BB7BF2"/>
    <w:rsid w:val="00BB7F23"/>
    <w:rsid w:val="00BB7F73"/>
    <w:rsid w:val="00BC09BA"/>
    <w:rsid w:val="00BC0F23"/>
    <w:rsid w:val="00BC0F9B"/>
    <w:rsid w:val="00BC1375"/>
    <w:rsid w:val="00BC15D0"/>
    <w:rsid w:val="00BC17F3"/>
    <w:rsid w:val="00BC1D72"/>
    <w:rsid w:val="00BC202A"/>
    <w:rsid w:val="00BC21CD"/>
    <w:rsid w:val="00BC25FD"/>
    <w:rsid w:val="00BC31FA"/>
    <w:rsid w:val="00BC355B"/>
    <w:rsid w:val="00BC3CA2"/>
    <w:rsid w:val="00BC3E0C"/>
    <w:rsid w:val="00BC3E58"/>
    <w:rsid w:val="00BC4116"/>
    <w:rsid w:val="00BC42ED"/>
    <w:rsid w:val="00BC439E"/>
    <w:rsid w:val="00BC458E"/>
    <w:rsid w:val="00BC47F5"/>
    <w:rsid w:val="00BC497B"/>
    <w:rsid w:val="00BC4AA6"/>
    <w:rsid w:val="00BC4B11"/>
    <w:rsid w:val="00BC4C3B"/>
    <w:rsid w:val="00BC4E67"/>
    <w:rsid w:val="00BC5368"/>
    <w:rsid w:val="00BC5437"/>
    <w:rsid w:val="00BC56A1"/>
    <w:rsid w:val="00BC5723"/>
    <w:rsid w:val="00BC5BDD"/>
    <w:rsid w:val="00BC5BF8"/>
    <w:rsid w:val="00BC62CC"/>
    <w:rsid w:val="00BC6303"/>
    <w:rsid w:val="00BC6A5D"/>
    <w:rsid w:val="00BC6B08"/>
    <w:rsid w:val="00BC6C33"/>
    <w:rsid w:val="00BC6CB2"/>
    <w:rsid w:val="00BC704C"/>
    <w:rsid w:val="00BC7A6F"/>
    <w:rsid w:val="00BC7AC4"/>
    <w:rsid w:val="00BC7CF1"/>
    <w:rsid w:val="00BD08AE"/>
    <w:rsid w:val="00BD0DD3"/>
    <w:rsid w:val="00BD122D"/>
    <w:rsid w:val="00BD1574"/>
    <w:rsid w:val="00BD184C"/>
    <w:rsid w:val="00BD1CD4"/>
    <w:rsid w:val="00BD1E4A"/>
    <w:rsid w:val="00BD20A8"/>
    <w:rsid w:val="00BD25C5"/>
    <w:rsid w:val="00BD2A3B"/>
    <w:rsid w:val="00BD2B8E"/>
    <w:rsid w:val="00BD2D9C"/>
    <w:rsid w:val="00BD3294"/>
    <w:rsid w:val="00BD34CF"/>
    <w:rsid w:val="00BD34E9"/>
    <w:rsid w:val="00BD3BF0"/>
    <w:rsid w:val="00BD3E0C"/>
    <w:rsid w:val="00BD4140"/>
    <w:rsid w:val="00BD429A"/>
    <w:rsid w:val="00BD4683"/>
    <w:rsid w:val="00BD4884"/>
    <w:rsid w:val="00BD4A16"/>
    <w:rsid w:val="00BD500B"/>
    <w:rsid w:val="00BD52E3"/>
    <w:rsid w:val="00BD5938"/>
    <w:rsid w:val="00BD5B68"/>
    <w:rsid w:val="00BD5D27"/>
    <w:rsid w:val="00BD6124"/>
    <w:rsid w:val="00BD633C"/>
    <w:rsid w:val="00BD6630"/>
    <w:rsid w:val="00BD681F"/>
    <w:rsid w:val="00BD6E35"/>
    <w:rsid w:val="00BD72AA"/>
    <w:rsid w:val="00BD72B0"/>
    <w:rsid w:val="00BD7354"/>
    <w:rsid w:val="00BD73FA"/>
    <w:rsid w:val="00BD7B8A"/>
    <w:rsid w:val="00BE00F6"/>
    <w:rsid w:val="00BE0380"/>
    <w:rsid w:val="00BE03E2"/>
    <w:rsid w:val="00BE0520"/>
    <w:rsid w:val="00BE0576"/>
    <w:rsid w:val="00BE0A16"/>
    <w:rsid w:val="00BE0AD3"/>
    <w:rsid w:val="00BE0BF0"/>
    <w:rsid w:val="00BE0D76"/>
    <w:rsid w:val="00BE10EB"/>
    <w:rsid w:val="00BE1820"/>
    <w:rsid w:val="00BE185E"/>
    <w:rsid w:val="00BE1A62"/>
    <w:rsid w:val="00BE1AD5"/>
    <w:rsid w:val="00BE1E31"/>
    <w:rsid w:val="00BE1F79"/>
    <w:rsid w:val="00BE2048"/>
    <w:rsid w:val="00BE2102"/>
    <w:rsid w:val="00BE24C1"/>
    <w:rsid w:val="00BE2726"/>
    <w:rsid w:val="00BE2A8E"/>
    <w:rsid w:val="00BE2FE6"/>
    <w:rsid w:val="00BE396E"/>
    <w:rsid w:val="00BE3B27"/>
    <w:rsid w:val="00BE3CE4"/>
    <w:rsid w:val="00BE3D77"/>
    <w:rsid w:val="00BE3D8B"/>
    <w:rsid w:val="00BE3DD5"/>
    <w:rsid w:val="00BE3DDF"/>
    <w:rsid w:val="00BE3E1C"/>
    <w:rsid w:val="00BE4040"/>
    <w:rsid w:val="00BE40F4"/>
    <w:rsid w:val="00BE4E27"/>
    <w:rsid w:val="00BE50ED"/>
    <w:rsid w:val="00BE5225"/>
    <w:rsid w:val="00BE5501"/>
    <w:rsid w:val="00BE5880"/>
    <w:rsid w:val="00BE6096"/>
    <w:rsid w:val="00BE6352"/>
    <w:rsid w:val="00BE69CD"/>
    <w:rsid w:val="00BE6DF5"/>
    <w:rsid w:val="00BE6FCF"/>
    <w:rsid w:val="00BE7447"/>
    <w:rsid w:val="00BE761C"/>
    <w:rsid w:val="00BE7642"/>
    <w:rsid w:val="00BE7BF4"/>
    <w:rsid w:val="00BF0599"/>
    <w:rsid w:val="00BF0C33"/>
    <w:rsid w:val="00BF0CB7"/>
    <w:rsid w:val="00BF0D86"/>
    <w:rsid w:val="00BF0E39"/>
    <w:rsid w:val="00BF10C7"/>
    <w:rsid w:val="00BF1128"/>
    <w:rsid w:val="00BF1434"/>
    <w:rsid w:val="00BF1441"/>
    <w:rsid w:val="00BF14BB"/>
    <w:rsid w:val="00BF22C2"/>
    <w:rsid w:val="00BF242C"/>
    <w:rsid w:val="00BF2453"/>
    <w:rsid w:val="00BF2751"/>
    <w:rsid w:val="00BF2CC5"/>
    <w:rsid w:val="00BF2E9C"/>
    <w:rsid w:val="00BF340E"/>
    <w:rsid w:val="00BF34A7"/>
    <w:rsid w:val="00BF3A67"/>
    <w:rsid w:val="00BF3B31"/>
    <w:rsid w:val="00BF3D2D"/>
    <w:rsid w:val="00BF3DF3"/>
    <w:rsid w:val="00BF42F3"/>
    <w:rsid w:val="00BF4342"/>
    <w:rsid w:val="00BF4367"/>
    <w:rsid w:val="00BF4389"/>
    <w:rsid w:val="00BF457A"/>
    <w:rsid w:val="00BF4AE8"/>
    <w:rsid w:val="00BF4B03"/>
    <w:rsid w:val="00BF4B33"/>
    <w:rsid w:val="00BF4F1A"/>
    <w:rsid w:val="00BF50F6"/>
    <w:rsid w:val="00BF5390"/>
    <w:rsid w:val="00BF5B2F"/>
    <w:rsid w:val="00BF5F7C"/>
    <w:rsid w:val="00BF5FDD"/>
    <w:rsid w:val="00BF6088"/>
    <w:rsid w:val="00BF60B4"/>
    <w:rsid w:val="00BF62AE"/>
    <w:rsid w:val="00BF64EE"/>
    <w:rsid w:val="00BF655C"/>
    <w:rsid w:val="00BF668A"/>
    <w:rsid w:val="00BF6695"/>
    <w:rsid w:val="00BF66E4"/>
    <w:rsid w:val="00BF692C"/>
    <w:rsid w:val="00BF6B8A"/>
    <w:rsid w:val="00BF6D7F"/>
    <w:rsid w:val="00BF6FE5"/>
    <w:rsid w:val="00BF715A"/>
    <w:rsid w:val="00BF7175"/>
    <w:rsid w:val="00BF7473"/>
    <w:rsid w:val="00BF7502"/>
    <w:rsid w:val="00BF758A"/>
    <w:rsid w:val="00BF7630"/>
    <w:rsid w:val="00BF7944"/>
    <w:rsid w:val="00BF7B1C"/>
    <w:rsid w:val="00BF7BA5"/>
    <w:rsid w:val="00BF7C12"/>
    <w:rsid w:val="00C00060"/>
    <w:rsid w:val="00C004A7"/>
    <w:rsid w:val="00C00619"/>
    <w:rsid w:val="00C00D33"/>
    <w:rsid w:val="00C00F4D"/>
    <w:rsid w:val="00C012B6"/>
    <w:rsid w:val="00C01349"/>
    <w:rsid w:val="00C01739"/>
    <w:rsid w:val="00C018B2"/>
    <w:rsid w:val="00C019BF"/>
    <w:rsid w:val="00C01B90"/>
    <w:rsid w:val="00C0201B"/>
    <w:rsid w:val="00C020D7"/>
    <w:rsid w:val="00C025B2"/>
    <w:rsid w:val="00C026B1"/>
    <w:rsid w:val="00C026CA"/>
    <w:rsid w:val="00C0294F"/>
    <w:rsid w:val="00C02C0D"/>
    <w:rsid w:val="00C03322"/>
    <w:rsid w:val="00C0393C"/>
    <w:rsid w:val="00C03B48"/>
    <w:rsid w:val="00C0402F"/>
    <w:rsid w:val="00C04194"/>
    <w:rsid w:val="00C0433F"/>
    <w:rsid w:val="00C04566"/>
    <w:rsid w:val="00C045C3"/>
    <w:rsid w:val="00C046D8"/>
    <w:rsid w:val="00C0479C"/>
    <w:rsid w:val="00C0484A"/>
    <w:rsid w:val="00C04964"/>
    <w:rsid w:val="00C04A49"/>
    <w:rsid w:val="00C04B82"/>
    <w:rsid w:val="00C05177"/>
    <w:rsid w:val="00C053F9"/>
    <w:rsid w:val="00C0547B"/>
    <w:rsid w:val="00C0574D"/>
    <w:rsid w:val="00C05C0F"/>
    <w:rsid w:val="00C0600C"/>
    <w:rsid w:val="00C0602B"/>
    <w:rsid w:val="00C06243"/>
    <w:rsid w:val="00C0669F"/>
    <w:rsid w:val="00C066D6"/>
    <w:rsid w:val="00C067A6"/>
    <w:rsid w:val="00C06969"/>
    <w:rsid w:val="00C06AA7"/>
    <w:rsid w:val="00C06D1A"/>
    <w:rsid w:val="00C06D6E"/>
    <w:rsid w:val="00C06F16"/>
    <w:rsid w:val="00C06F35"/>
    <w:rsid w:val="00C07021"/>
    <w:rsid w:val="00C07230"/>
    <w:rsid w:val="00C07545"/>
    <w:rsid w:val="00C07710"/>
    <w:rsid w:val="00C07780"/>
    <w:rsid w:val="00C07867"/>
    <w:rsid w:val="00C07A5D"/>
    <w:rsid w:val="00C07BD9"/>
    <w:rsid w:val="00C103B5"/>
    <w:rsid w:val="00C103D3"/>
    <w:rsid w:val="00C104F8"/>
    <w:rsid w:val="00C10596"/>
    <w:rsid w:val="00C1069A"/>
    <w:rsid w:val="00C1070B"/>
    <w:rsid w:val="00C1076C"/>
    <w:rsid w:val="00C10C75"/>
    <w:rsid w:val="00C10CEE"/>
    <w:rsid w:val="00C10E76"/>
    <w:rsid w:val="00C10F75"/>
    <w:rsid w:val="00C11242"/>
    <w:rsid w:val="00C1134B"/>
    <w:rsid w:val="00C1154B"/>
    <w:rsid w:val="00C1179C"/>
    <w:rsid w:val="00C11866"/>
    <w:rsid w:val="00C11994"/>
    <w:rsid w:val="00C11F15"/>
    <w:rsid w:val="00C12C27"/>
    <w:rsid w:val="00C12EE4"/>
    <w:rsid w:val="00C1345F"/>
    <w:rsid w:val="00C136ED"/>
    <w:rsid w:val="00C13821"/>
    <w:rsid w:val="00C13CDE"/>
    <w:rsid w:val="00C13F51"/>
    <w:rsid w:val="00C1420C"/>
    <w:rsid w:val="00C143CE"/>
    <w:rsid w:val="00C14783"/>
    <w:rsid w:val="00C1483B"/>
    <w:rsid w:val="00C1499A"/>
    <w:rsid w:val="00C14B0C"/>
    <w:rsid w:val="00C150C2"/>
    <w:rsid w:val="00C1513F"/>
    <w:rsid w:val="00C15713"/>
    <w:rsid w:val="00C15872"/>
    <w:rsid w:val="00C159F0"/>
    <w:rsid w:val="00C15C04"/>
    <w:rsid w:val="00C16118"/>
    <w:rsid w:val="00C1639B"/>
    <w:rsid w:val="00C16519"/>
    <w:rsid w:val="00C16579"/>
    <w:rsid w:val="00C16861"/>
    <w:rsid w:val="00C16AD0"/>
    <w:rsid w:val="00C16C48"/>
    <w:rsid w:val="00C16D1B"/>
    <w:rsid w:val="00C16F6D"/>
    <w:rsid w:val="00C1704C"/>
    <w:rsid w:val="00C170A2"/>
    <w:rsid w:val="00C1749E"/>
    <w:rsid w:val="00C17670"/>
    <w:rsid w:val="00C17966"/>
    <w:rsid w:val="00C17A43"/>
    <w:rsid w:val="00C17A60"/>
    <w:rsid w:val="00C17D06"/>
    <w:rsid w:val="00C17DDE"/>
    <w:rsid w:val="00C2023E"/>
    <w:rsid w:val="00C2125D"/>
    <w:rsid w:val="00C212C5"/>
    <w:rsid w:val="00C21643"/>
    <w:rsid w:val="00C217A5"/>
    <w:rsid w:val="00C217ED"/>
    <w:rsid w:val="00C218B6"/>
    <w:rsid w:val="00C219F5"/>
    <w:rsid w:val="00C21FAA"/>
    <w:rsid w:val="00C220F9"/>
    <w:rsid w:val="00C22199"/>
    <w:rsid w:val="00C222A3"/>
    <w:rsid w:val="00C2244C"/>
    <w:rsid w:val="00C22557"/>
    <w:rsid w:val="00C22572"/>
    <w:rsid w:val="00C227BD"/>
    <w:rsid w:val="00C22822"/>
    <w:rsid w:val="00C2296E"/>
    <w:rsid w:val="00C22B1C"/>
    <w:rsid w:val="00C22B35"/>
    <w:rsid w:val="00C23111"/>
    <w:rsid w:val="00C23486"/>
    <w:rsid w:val="00C2369D"/>
    <w:rsid w:val="00C236E5"/>
    <w:rsid w:val="00C23881"/>
    <w:rsid w:val="00C239D7"/>
    <w:rsid w:val="00C23A80"/>
    <w:rsid w:val="00C23C2B"/>
    <w:rsid w:val="00C23CBC"/>
    <w:rsid w:val="00C23CCE"/>
    <w:rsid w:val="00C23CF0"/>
    <w:rsid w:val="00C24858"/>
    <w:rsid w:val="00C24C06"/>
    <w:rsid w:val="00C24F8A"/>
    <w:rsid w:val="00C25006"/>
    <w:rsid w:val="00C25172"/>
    <w:rsid w:val="00C25A07"/>
    <w:rsid w:val="00C25B0A"/>
    <w:rsid w:val="00C25C41"/>
    <w:rsid w:val="00C2634A"/>
    <w:rsid w:val="00C2639E"/>
    <w:rsid w:val="00C263D4"/>
    <w:rsid w:val="00C2649A"/>
    <w:rsid w:val="00C2683F"/>
    <w:rsid w:val="00C268C8"/>
    <w:rsid w:val="00C268D1"/>
    <w:rsid w:val="00C2694F"/>
    <w:rsid w:val="00C26B66"/>
    <w:rsid w:val="00C26E84"/>
    <w:rsid w:val="00C271A9"/>
    <w:rsid w:val="00C276A9"/>
    <w:rsid w:val="00C27A6D"/>
    <w:rsid w:val="00C27BF6"/>
    <w:rsid w:val="00C27C15"/>
    <w:rsid w:val="00C27F7E"/>
    <w:rsid w:val="00C30BB6"/>
    <w:rsid w:val="00C31722"/>
    <w:rsid w:val="00C31873"/>
    <w:rsid w:val="00C31CCB"/>
    <w:rsid w:val="00C31E2E"/>
    <w:rsid w:val="00C31EFC"/>
    <w:rsid w:val="00C32258"/>
    <w:rsid w:val="00C3244A"/>
    <w:rsid w:val="00C326AD"/>
    <w:rsid w:val="00C32728"/>
    <w:rsid w:val="00C32B15"/>
    <w:rsid w:val="00C33A15"/>
    <w:rsid w:val="00C33B62"/>
    <w:rsid w:val="00C342BD"/>
    <w:rsid w:val="00C34364"/>
    <w:rsid w:val="00C34394"/>
    <w:rsid w:val="00C344EF"/>
    <w:rsid w:val="00C34992"/>
    <w:rsid w:val="00C349C8"/>
    <w:rsid w:val="00C352E7"/>
    <w:rsid w:val="00C35432"/>
    <w:rsid w:val="00C355DB"/>
    <w:rsid w:val="00C356CE"/>
    <w:rsid w:val="00C35B2B"/>
    <w:rsid w:val="00C36110"/>
    <w:rsid w:val="00C3674E"/>
    <w:rsid w:val="00C36785"/>
    <w:rsid w:val="00C369BA"/>
    <w:rsid w:val="00C36AB1"/>
    <w:rsid w:val="00C36CB7"/>
    <w:rsid w:val="00C3717A"/>
    <w:rsid w:val="00C37ADB"/>
    <w:rsid w:val="00C37C95"/>
    <w:rsid w:val="00C40021"/>
    <w:rsid w:val="00C40081"/>
    <w:rsid w:val="00C40415"/>
    <w:rsid w:val="00C40506"/>
    <w:rsid w:val="00C4076B"/>
    <w:rsid w:val="00C408AF"/>
    <w:rsid w:val="00C409B0"/>
    <w:rsid w:val="00C40B5A"/>
    <w:rsid w:val="00C40C83"/>
    <w:rsid w:val="00C40D9C"/>
    <w:rsid w:val="00C40E02"/>
    <w:rsid w:val="00C40F92"/>
    <w:rsid w:val="00C410E1"/>
    <w:rsid w:val="00C414B2"/>
    <w:rsid w:val="00C415DC"/>
    <w:rsid w:val="00C418ED"/>
    <w:rsid w:val="00C41D77"/>
    <w:rsid w:val="00C42CDF"/>
    <w:rsid w:val="00C42F08"/>
    <w:rsid w:val="00C43211"/>
    <w:rsid w:val="00C43C57"/>
    <w:rsid w:val="00C43D16"/>
    <w:rsid w:val="00C44086"/>
    <w:rsid w:val="00C440D0"/>
    <w:rsid w:val="00C44184"/>
    <w:rsid w:val="00C44203"/>
    <w:rsid w:val="00C444A2"/>
    <w:rsid w:val="00C4461F"/>
    <w:rsid w:val="00C44AAB"/>
    <w:rsid w:val="00C44AC3"/>
    <w:rsid w:val="00C44AD4"/>
    <w:rsid w:val="00C44B87"/>
    <w:rsid w:val="00C44D64"/>
    <w:rsid w:val="00C44E6D"/>
    <w:rsid w:val="00C44FF6"/>
    <w:rsid w:val="00C452B8"/>
    <w:rsid w:val="00C45510"/>
    <w:rsid w:val="00C45589"/>
    <w:rsid w:val="00C45712"/>
    <w:rsid w:val="00C45853"/>
    <w:rsid w:val="00C458B8"/>
    <w:rsid w:val="00C45CF3"/>
    <w:rsid w:val="00C45D23"/>
    <w:rsid w:val="00C45FCF"/>
    <w:rsid w:val="00C462CC"/>
    <w:rsid w:val="00C462D5"/>
    <w:rsid w:val="00C4698D"/>
    <w:rsid w:val="00C46AE1"/>
    <w:rsid w:val="00C46CED"/>
    <w:rsid w:val="00C46DF9"/>
    <w:rsid w:val="00C4746B"/>
    <w:rsid w:val="00C4748F"/>
    <w:rsid w:val="00C4756C"/>
    <w:rsid w:val="00C476F1"/>
    <w:rsid w:val="00C47B74"/>
    <w:rsid w:val="00C47CA0"/>
    <w:rsid w:val="00C47F91"/>
    <w:rsid w:val="00C47FE7"/>
    <w:rsid w:val="00C507B4"/>
    <w:rsid w:val="00C50905"/>
    <w:rsid w:val="00C50BFE"/>
    <w:rsid w:val="00C50C7A"/>
    <w:rsid w:val="00C50CD0"/>
    <w:rsid w:val="00C510AC"/>
    <w:rsid w:val="00C51201"/>
    <w:rsid w:val="00C5131A"/>
    <w:rsid w:val="00C51399"/>
    <w:rsid w:val="00C5140F"/>
    <w:rsid w:val="00C516AA"/>
    <w:rsid w:val="00C516C8"/>
    <w:rsid w:val="00C518D6"/>
    <w:rsid w:val="00C518DD"/>
    <w:rsid w:val="00C51BE5"/>
    <w:rsid w:val="00C51DD5"/>
    <w:rsid w:val="00C51F8C"/>
    <w:rsid w:val="00C5231C"/>
    <w:rsid w:val="00C52611"/>
    <w:rsid w:val="00C52671"/>
    <w:rsid w:val="00C526BB"/>
    <w:rsid w:val="00C52851"/>
    <w:rsid w:val="00C529F1"/>
    <w:rsid w:val="00C52A24"/>
    <w:rsid w:val="00C52DA4"/>
    <w:rsid w:val="00C52EC1"/>
    <w:rsid w:val="00C53105"/>
    <w:rsid w:val="00C532E9"/>
    <w:rsid w:val="00C53554"/>
    <w:rsid w:val="00C538A2"/>
    <w:rsid w:val="00C53A96"/>
    <w:rsid w:val="00C53CA1"/>
    <w:rsid w:val="00C5446E"/>
    <w:rsid w:val="00C54759"/>
    <w:rsid w:val="00C549BA"/>
    <w:rsid w:val="00C54BB1"/>
    <w:rsid w:val="00C54BDC"/>
    <w:rsid w:val="00C54EBE"/>
    <w:rsid w:val="00C550DB"/>
    <w:rsid w:val="00C5561C"/>
    <w:rsid w:val="00C5565A"/>
    <w:rsid w:val="00C55A85"/>
    <w:rsid w:val="00C55B9A"/>
    <w:rsid w:val="00C5609F"/>
    <w:rsid w:val="00C5618F"/>
    <w:rsid w:val="00C565B1"/>
    <w:rsid w:val="00C565E8"/>
    <w:rsid w:val="00C56D45"/>
    <w:rsid w:val="00C578A5"/>
    <w:rsid w:val="00C578D2"/>
    <w:rsid w:val="00C5793A"/>
    <w:rsid w:val="00C5793C"/>
    <w:rsid w:val="00C57BF2"/>
    <w:rsid w:val="00C57CFF"/>
    <w:rsid w:val="00C57E47"/>
    <w:rsid w:val="00C60048"/>
    <w:rsid w:val="00C60543"/>
    <w:rsid w:val="00C60557"/>
    <w:rsid w:val="00C60B7F"/>
    <w:rsid w:val="00C6100E"/>
    <w:rsid w:val="00C61033"/>
    <w:rsid w:val="00C614C1"/>
    <w:rsid w:val="00C6158E"/>
    <w:rsid w:val="00C615EE"/>
    <w:rsid w:val="00C61785"/>
    <w:rsid w:val="00C619CE"/>
    <w:rsid w:val="00C61B43"/>
    <w:rsid w:val="00C6235A"/>
    <w:rsid w:val="00C625AA"/>
    <w:rsid w:val="00C625E5"/>
    <w:rsid w:val="00C6269C"/>
    <w:rsid w:val="00C627D6"/>
    <w:rsid w:val="00C62831"/>
    <w:rsid w:val="00C62ABE"/>
    <w:rsid w:val="00C62C6E"/>
    <w:rsid w:val="00C62EC0"/>
    <w:rsid w:val="00C632D4"/>
    <w:rsid w:val="00C63302"/>
    <w:rsid w:val="00C634EF"/>
    <w:rsid w:val="00C637B3"/>
    <w:rsid w:val="00C63805"/>
    <w:rsid w:val="00C6395D"/>
    <w:rsid w:val="00C63A99"/>
    <w:rsid w:val="00C63ED1"/>
    <w:rsid w:val="00C63F15"/>
    <w:rsid w:val="00C64164"/>
    <w:rsid w:val="00C64303"/>
    <w:rsid w:val="00C64422"/>
    <w:rsid w:val="00C64609"/>
    <w:rsid w:val="00C64709"/>
    <w:rsid w:val="00C64755"/>
    <w:rsid w:val="00C65154"/>
    <w:rsid w:val="00C6516E"/>
    <w:rsid w:val="00C6520A"/>
    <w:rsid w:val="00C65232"/>
    <w:rsid w:val="00C65448"/>
    <w:rsid w:val="00C657E5"/>
    <w:rsid w:val="00C65829"/>
    <w:rsid w:val="00C65AAD"/>
    <w:rsid w:val="00C6615D"/>
    <w:rsid w:val="00C66199"/>
    <w:rsid w:val="00C66436"/>
    <w:rsid w:val="00C66488"/>
    <w:rsid w:val="00C66911"/>
    <w:rsid w:val="00C66D33"/>
    <w:rsid w:val="00C66E78"/>
    <w:rsid w:val="00C676C0"/>
    <w:rsid w:val="00C67704"/>
    <w:rsid w:val="00C67B22"/>
    <w:rsid w:val="00C7048C"/>
    <w:rsid w:val="00C704FC"/>
    <w:rsid w:val="00C70653"/>
    <w:rsid w:val="00C715FA"/>
    <w:rsid w:val="00C71E73"/>
    <w:rsid w:val="00C71E90"/>
    <w:rsid w:val="00C721F5"/>
    <w:rsid w:val="00C72610"/>
    <w:rsid w:val="00C7299F"/>
    <w:rsid w:val="00C72A57"/>
    <w:rsid w:val="00C72C11"/>
    <w:rsid w:val="00C72E54"/>
    <w:rsid w:val="00C72F6A"/>
    <w:rsid w:val="00C733C1"/>
    <w:rsid w:val="00C73912"/>
    <w:rsid w:val="00C73B11"/>
    <w:rsid w:val="00C73EF2"/>
    <w:rsid w:val="00C7405A"/>
    <w:rsid w:val="00C74982"/>
    <w:rsid w:val="00C74F28"/>
    <w:rsid w:val="00C74F5C"/>
    <w:rsid w:val="00C74FF1"/>
    <w:rsid w:val="00C7520B"/>
    <w:rsid w:val="00C7569D"/>
    <w:rsid w:val="00C75D63"/>
    <w:rsid w:val="00C75DDA"/>
    <w:rsid w:val="00C764D3"/>
    <w:rsid w:val="00C768FD"/>
    <w:rsid w:val="00C76B77"/>
    <w:rsid w:val="00C76BDA"/>
    <w:rsid w:val="00C76C0C"/>
    <w:rsid w:val="00C76CC0"/>
    <w:rsid w:val="00C76DFC"/>
    <w:rsid w:val="00C770A1"/>
    <w:rsid w:val="00C771F3"/>
    <w:rsid w:val="00C7721C"/>
    <w:rsid w:val="00C774E3"/>
    <w:rsid w:val="00C776AE"/>
    <w:rsid w:val="00C77CA0"/>
    <w:rsid w:val="00C77D93"/>
    <w:rsid w:val="00C801F3"/>
    <w:rsid w:val="00C80634"/>
    <w:rsid w:val="00C806FF"/>
    <w:rsid w:val="00C80848"/>
    <w:rsid w:val="00C8096F"/>
    <w:rsid w:val="00C809B3"/>
    <w:rsid w:val="00C80AB2"/>
    <w:rsid w:val="00C80CD4"/>
    <w:rsid w:val="00C80EE3"/>
    <w:rsid w:val="00C81675"/>
    <w:rsid w:val="00C8180B"/>
    <w:rsid w:val="00C81BF8"/>
    <w:rsid w:val="00C81CD5"/>
    <w:rsid w:val="00C81E06"/>
    <w:rsid w:val="00C81FBA"/>
    <w:rsid w:val="00C81FCD"/>
    <w:rsid w:val="00C82611"/>
    <w:rsid w:val="00C82678"/>
    <w:rsid w:val="00C8279A"/>
    <w:rsid w:val="00C82A35"/>
    <w:rsid w:val="00C82AE9"/>
    <w:rsid w:val="00C82F5D"/>
    <w:rsid w:val="00C831A8"/>
    <w:rsid w:val="00C831DD"/>
    <w:rsid w:val="00C83351"/>
    <w:rsid w:val="00C836A6"/>
    <w:rsid w:val="00C83943"/>
    <w:rsid w:val="00C83B84"/>
    <w:rsid w:val="00C83EE4"/>
    <w:rsid w:val="00C8404B"/>
    <w:rsid w:val="00C849C5"/>
    <w:rsid w:val="00C84B3E"/>
    <w:rsid w:val="00C84C04"/>
    <w:rsid w:val="00C85310"/>
    <w:rsid w:val="00C853C8"/>
    <w:rsid w:val="00C85479"/>
    <w:rsid w:val="00C855AE"/>
    <w:rsid w:val="00C8586C"/>
    <w:rsid w:val="00C85D6F"/>
    <w:rsid w:val="00C85DCD"/>
    <w:rsid w:val="00C861A4"/>
    <w:rsid w:val="00C865AF"/>
    <w:rsid w:val="00C86BE7"/>
    <w:rsid w:val="00C86E26"/>
    <w:rsid w:val="00C86E77"/>
    <w:rsid w:val="00C870AE"/>
    <w:rsid w:val="00C87170"/>
    <w:rsid w:val="00C8725A"/>
    <w:rsid w:val="00C87266"/>
    <w:rsid w:val="00C87297"/>
    <w:rsid w:val="00C87504"/>
    <w:rsid w:val="00C87684"/>
    <w:rsid w:val="00C87AEB"/>
    <w:rsid w:val="00C90115"/>
    <w:rsid w:val="00C90198"/>
    <w:rsid w:val="00C903DB"/>
    <w:rsid w:val="00C9053E"/>
    <w:rsid w:val="00C910C6"/>
    <w:rsid w:val="00C912E7"/>
    <w:rsid w:val="00C91B1A"/>
    <w:rsid w:val="00C91BEC"/>
    <w:rsid w:val="00C927BF"/>
    <w:rsid w:val="00C92840"/>
    <w:rsid w:val="00C92929"/>
    <w:rsid w:val="00C929E6"/>
    <w:rsid w:val="00C92B3A"/>
    <w:rsid w:val="00C92DCF"/>
    <w:rsid w:val="00C92EDC"/>
    <w:rsid w:val="00C92F82"/>
    <w:rsid w:val="00C93132"/>
    <w:rsid w:val="00C932BC"/>
    <w:rsid w:val="00C9362B"/>
    <w:rsid w:val="00C93895"/>
    <w:rsid w:val="00C938B8"/>
    <w:rsid w:val="00C938C9"/>
    <w:rsid w:val="00C93A7C"/>
    <w:rsid w:val="00C94302"/>
    <w:rsid w:val="00C94321"/>
    <w:rsid w:val="00C94877"/>
    <w:rsid w:val="00C949C4"/>
    <w:rsid w:val="00C949E5"/>
    <w:rsid w:val="00C94F61"/>
    <w:rsid w:val="00C95645"/>
    <w:rsid w:val="00C9592F"/>
    <w:rsid w:val="00C959F0"/>
    <w:rsid w:val="00C95A54"/>
    <w:rsid w:val="00C9639E"/>
    <w:rsid w:val="00C966AD"/>
    <w:rsid w:val="00C9696B"/>
    <w:rsid w:val="00C96D2F"/>
    <w:rsid w:val="00C96F5B"/>
    <w:rsid w:val="00C97244"/>
    <w:rsid w:val="00C977A2"/>
    <w:rsid w:val="00CA0311"/>
    <w:rsid w:val="00CA068C"/>
    <w:rsid w:val="00CA0831"/>
    <w:rsid w:val="00CA090B"/>
    <w:rsid w:val="00CA0ADC"/>
    <w:rsid w:val="00CA0DD2"/>
    <w:rsid w:val="00CA1648"/>
    <w:rsid w:val="00CA179A"/>
    <w:rsid w:val="00CA1DB0"/>
    <w:rsid w:val="00CA1EF0"/>
    <w:rsid w:val="00CA2926"/>
    <w:rsid w:val="00CA296E"/>
    <w:rsid w:val="00CA2BDA"/>
    <w:rsid w:val="00CA2E4E"/>
    <w:rsid w:val="00CA3480"/>
    <w:rsid w:val="00CA34E0"/>
    <w:rsid w:val="00CA35E4"/>
    <w:rsid w:val="00CA360C"/>
    <w:rsid w:val="00CA4117"/>
    <w:rsid w:val="00CA422F"/>
    <w:rsid w:val="00CA43EF"/>
    <w:rsid w:val="00CA442B"/>
    <w:rsid w:val="00CA4507"/>
    <w:rsid w:val="00CA462E"/>
    <w:rsid w:val="00CA46C7"/>
    <w:rsid w:val="00CA47D8"/>
    <w:rsid w:val="00CA4DB4"/>
    <w:rsid w:val="00CA50FB"/>
    <w:rsid w:val="00CA55BC"/>
    <w:rsid w:val="00CA5608"/>
    <w:rsid w:val="00CA5791"/>
    <w:rsid w:val="00CA5916"/>
    <w:rsid w:val="00CA59F0"/>
    <w:rsid w:val="00CA5F6D"/>
    <w:rsid w:val="00CA6287"/>
    <w:rsid w:val="00CA64B7"/>
    <w:rsid w:val="00CA66DB"/>
    <w:rsid w:val="00CA68F5"/>
    <w:rsid w:val="00CA6C33"/>
    <w:rsid w:val="00CA6CB8"/>
    <w:rsid w:val="00CA6F2A"/>
    <w:rsid w:val="00CA70FE"/>
    <w:rsid w:val="00CA71EB"/>
    <w:rsid w:val="00CA7645"/>
    <w:rsid w:val="00CA7761"/>
    <w:rsid w:val="00CA78C9"/>
    <w:rsid w:val="00CA7E82"/>
    <w:rsid w:val="00CB00E0"/>
    <w:rsid w:val="00CB01B3"/>
    <w:rsid w:val="00CB02FC"/>
    <w:rsid w:val="00CB058C"/>
    <w:rsid w:val="00CB0BCF"/>
    <w:rsid w:val="00CB0C87"/>
    <w:rsid w:val="00CB0DDE"/>
    <w:rsid w:val="00CB1392"/>
    <w:rsid w:val="00CB17C3"/>
    <w:rsid w:val="00CB18C1"/>
    <w:rsid w:val="00CB195C"/>
    <w:rsid w:val="00CB19E5"/>
    <w:rsid w:val="00CB1CA7"/>
    <w:rsid w:val="00CB1CB8"/>
    <w:rsid w:val="00CB24BF"/>
    <w:rsid w:val="00CB25AD"/>
    <w:rsid w:val="00CB25D9"/>
    <w:rsid w:val="00CB2B05"/>
    <w:rsid w:val="00CB2B6C"/>
    <w:rsid w:val="00CB2DA6"/>
    <w:rsid w:val="00CB3028"/>
    <w:rsid w:val="00CB3734"/>
    <w:rsid w:val="00CB37B0"/>
    <w:rsid w:val="00CB38E5"/>
    <w:rsid w:val="00CB3B61"/>
    <w:rsid w:val="00CB3E1D"/>
    <w:rsid w:val="00CB3FD0"/>
    <w:rsid w:val="00CB434E"/>
    <w:rsid w:val="00CB4361"/>
    <w:rsid w:val="00CB4440"/>
    <w:rsid w:val="00CB4562"/>
    <w:rsid w:val="00CB479C"/>
    <w:rsid w:val="00CB4900"/>
    <w:rsid w:val="00CB4C10"/>
    <w:rsid w:val="00CB4EBB"/>
    <w:rsid w:val="00CB4FD7"/>
    <w:rsid w:val="00CB5380"/>
    <w:rsid w:val="00CB5828"/>
    <w:rsid w:val="00CB58F0"/>
    <w:rsid w:val="00CB5C3E"/>
    <w:rsid w:val="00CB5E23"/>
    <w:rsid w:val="00CB5E40"/>
    <w:rsid w:val="00CB62A5"/>
    <w:rsid w:val="00CB62F6"/>
    <w:rsid w:val="00CB6630"/>
    <w:rsid w:val="00CB697B"/>
    <w:rsid w:val="00CB6CCC"/>
    <w:rsid w:val="00CB78B5"/>
    <w:rsid w:val="00CB7A52"/>
    <w:rsid w:val="00CB7B69"/>
    <w:rsid w:val="00CC01CF"/>
    <w:rsid w:val="00CC025D"/>
    <w:rsid w:val="00CC0307"/>
    <w:rsid w:val="00CC0359"/>
    <w:rsid w:val="00CC049D"/>
    <w:rsid w:val="00CC06D0"/>
    <w:rsid w:val="00CC07AC"/>
    <w:rsid w:val="00CC09A4"/>
    <w:rsid w:val="00CC0C91"/>
    <w:rsid w:val="00CC0D56"/>
    <w:rsid w:val="00CC0E2F"/>
    <w:rsid w:val="00CC114E"/>
    <w:rsid w:val="00CC1177"/>
    <w:rsid w:val="00CC14FC"/>
    <w:rsid w:val="00CC18D2"/>
    <w:rsid w:val="00CC1997"/>
    <w:rsid w:val="00CC1ECF"/>
    <w:rsid w:val="00CC2316"/>
    <w:rsid w:val="00CC2374"/>
    <w:rsid w:val="00CC2432"/>
    <w:rsid w:val="00CC289B"/>
    <w:rsid w:val="00CC2FD5"/>
    <w:rsid w:val="00CC30C6"/>
    <w:rsid w:val="00CC31CC"/>
    <w:rsid w:val="00CC3230"/>
    <w:rsid w:val="00CC3238"/>
    <w:rsid w:val="00CC363B"/>
    <w:rsid w:val="00CC3999"/>
    <w:rsid w:val="00CC3B03"/>
    <w:rsid w:val="00CC3D5C"/>
    <w:rsid w:val="00CC4104"/>
    <w:rsid w:val="00CC42B9"/>
    <w:rsid w:val="00CC495D"/>
    <w:rsid w:val="00CC4A13"/>
    <w:rsid w:val="00CC4EAD"/>
    <w:rsid w:val="00CC4FE9"/>
    <w:rsid w:val="00CC55AA"/>
    <w:rsid w:val="00CC562C"/>
    <w:rsid w:val="00CC57F1"/>
    <w:rsid w:val="00CC5A3A"/>
    <w:rsid w:val="00CC5A48"/>
    <w:rsid w:val="00CC5A57"/>
    <w:rsid w:val="00CC5D9C"/>
    <w:rsid w:val="00CC5E41"/>
    <w:rsid w:val="00CC66D8"/>
    <w:rsid w:val="00CC681D"/>
    <w:rsid w:val="00CC695B"/>
    <w:rsid w:val="00CC6B44"/>
    <w:rsid w:val="00CC6E00"/>
    <w:rsid w:val="00CC70FE"/>
    <w:rsid w:val="00CC71D6"/>
    <w:rsid w:val="00CC769D"/>
    <w:rsid w:val="00CC7814"/>
    <w:rsid w:val="00CC798F"/>
    <w:rsid w:val="00CC7BB8"/>
    <w:rsid w:val="00CC7CCC"/>
    <w:rsid w:val="00CC7F1A"/>
    <w:rsid w:val="00CC7FFA"/>
    <w:rsid w:val="00CD003E"/>
    <w:rsid w:val="00CD00FD"/>
    <w:rsid w:val="00CD04BE"/>
    <w:rsid w:val="00CD0B97"/>
    <w:rsid w:val="00CD1335"/>
    <w:rsid w:val="00CD162C"/>
    <w:rsid w:val="00CD17FE"/>
    <w:rsid w:val="00CD1954"/>
    <w:rsid w:val="00CD19BC"/>
    <w:rsid w:val="00CD1BC0"/>
    <w:rsid w:val="00CD1E01"/>
    <w:rsid w:val="00CD1EF6"/>
    <w:rsid w:val="00CD2343"/>
    <w:rsid w:val="00CD23CD"/>
    <w:rsid w:val="00CD29D6"/>
    <w:rsid w:val="00CD2A42"/>
    <w:rsid w:val="00CD2BCC"/>
    <w:rsid w:val="00CD2DA7"/>
    <w:rsid w:val="00CD2DFD"/>
    <w:rsid w:val="00CD316C"/>
    <w:rsid w:val="00CD3194"/>
    <w:rsid w:val="00CD383E"/>
    <w:rsid w:val="00CD3917"/>
    <w:rsid w:val="00CD3AF1"/>
    <w:rsid w:val="00CD3AFB"/>
    <w:rsid w:val="00CD3C07"/>
    <w:rsid w:val="00CD3E52"/>
    <w:rsid w:val="00CD456D"/>
    <w:rsid w:val="00CD4631"/>
    <w:rsid w:val="00CD46F1"/>
    <w:rsid w:val="00CD4C72"/>
    <w:rsid w:val="00CD4F24"/>
    <w:rsid w:val="00CD521C"/>
    <w:rsid w:val="00CD63EC"/>
    <w:rsid w:val="00CD65B2"/>
    <w:rsid w:val="00CD65CF"/>
    <w:rsid w:val="00CD686B"/>
    <w:rsid w:val="00CD72D7"/>
    <w:rsid w:val="00CD742D"/>
    <w:rsid w:val="00CD7ABB"/>
    <w:rsid w:val="00CD7CF4"/>
    <w:rsid w:val="00CD7DBA"/>
    <w:rsid w:val="00CD7F82"/>
    <w:rsid w:val="00CE03BF"/>
    <w:rsid w:val="00CE08D1"/>
    <w:rsid w:val="00CE0CC2"/>
    <w:rsid w:val="00CE0D51"/>
    <w:rsid w:val="00CE0D8E"/>
    <w:rsid w:val="00CE1472"/>
    <w:rsid w:val="00CE1679"/>
    <w:rsid w:val="00CE16D3"/>
    <w:rsid w:val="00CE1B2A"/>
    <w:rsid w:val="00CE1B80"/>
    <w:rsid w:val="00CE1CD1"/>
    <w:rsid w:val="00CE1D0F"/>
    <w:rsid w:val="00CE1FB2"/>
    <w:rsid w:val="00CE22B1"/>
    <w:rsid w:val="00CE230A"/>
    <w:rsid w:val="00CE240B"/>
    <w:rsid w:val="00CE24EE"/>
    <w:rsid w:val="00CE2557"/>
    <w:rsid w:val="00CE2AC6"/>
    <w:rsid w:val="00CE2B31"/>
    <w:rsid w:val="00CE2D38"/>
    <w:rsid w:val="00CE2DBD"/>
    <w:rsid w:val="00CE2F56"/>
    <w:rsid w:val="00CE32F5"/>
    <w:rsid w:val="00CE338B"/>
    <w:rsid w:val="00CE363C"/>
    <w:rsid w:val="00CE3931"/>
    <w:rsid w:val="00CE3B6E"/>
    <w:rsid w:val="00CE3CB0"/>
    <w:rsid w:val="00CE40DE"/>
    <w:rsid w:val="00CE47DD"/>
    <w:rsid w:val="00CE4902"/>
    <w:rsid w:val="00CE4A47"/>
    <w:rsid w:val="00CE4B3D"/>
    <w:rsid w:val="00CE4E9F"/>
    <w:rsid w:val="00CE5095"/>
    <w:rsid w:val="00CE51F3"/>
    <w:rsid w:val="00CE524D"/>
    <w:rsid w:val="00CE5429"/>
    <w:rsid w:val="00CE554C"/>
    <w:rsid w:val="00CE5727"/>
    <w:rsid w:val="00CE58E0"/>
    <w:rsid w:val="00CE5957"/>
    <w:rsid w:val="00CE5D1F"/>
    <w:rsid w:val="00CE5D8E"/>
    <w:rsid w:val="00CE60FC"/>
    <w:rsid w:val="00CE62F1"/>
    <w:rsid w:val="00CE6434"/>
    <w:rsid w:val="00CE678A"/>
    <w:rsid w:val="00CE6869"/>
    <w:rsid w:val="00CE698E"/>
    <w:rsid w:val="00CE6F43"/>
    <w:rsid w:val="00CE7438"/>
    <w:rsid w:val="00CE7554"/>
    <w:rsid w:val="00CF0571"/>
    <w:rsid w:val="00CF05CA"/>
    <w:rsid w:val="00CF08CC"/>
    <w:rsid w:val="00CF0B1D"/>
    <w:rsid w:val="00CF0B29"/>
    <w:rsid w:val="00CF0C03"/>
    <w:rsid w:val="00CF15F1"/>
    <w:rsid w:val="00CF19F2"/>
    <w:rsid w:val="00CF1CDF"/>
    <w:rsid w:val="00CF1CF8"/>
    <w:rsid w:val="00CF2AC9"/>
    <w:rsid w:val="00CF2FB3"/>
    <w:rsid w:val="00CF30B0"/>
    <w:rsid w:val="00CF30F3"/>
    <w:rsid w:val="00CF322E"/>
    <w:rsid w:val="00CF3249"/>
    <w:rsid w:val="00CF3325"/>
    <w:rsid w:val="00CF3463"/>
    <w:rsid w:val="00CF3491"/>
    <w:rsid w:val="00CF3A36"/>
    <w:rsid w:val="00CF3ABA"/>
    <w:rsid w:val="00CF40E5"/>
    <w:rsid w:val="00CF410D"/>
    <w:rsid w:val="00CF4557"/>
    <w:rsid w:val="00CF4C4A"/>
    <w:rsid w:val="00CF4DD0"/>
    <w:rsid w:val="00CF4F50"/>
    <w:rsid w:val="00CF50B5"/>
    <w:rsid w:val="00CF5223"/>
    <w:rsid w:val="00CF5284"/>
    <w:rsid w:val="00CF5340"/>
    <w:rsid w:val="00CF56F8"/>
    <w:rsid w:val="00CF615A"/>
    <w:rsid w:val="00CF61B3"/>
    <w:rsid w:val="00CF6FBC"/>
    <w:rsid w:val="00CF72FD"/>
    <w:rsid w:val="00CF7713"/>
    <w:rsid w:val="00CF78E8"/>
    <w:rsid w:val="00CF7B75"/>
    <w:rsid w:val="00D0013B"/>
    <w:rsid w:val="00D00B4F"/>
    <w:rsid w:val="00D00CD0"/>
    <w:rsid w:val="00D015D7"/>
    <w:rsid w:val="00D01637"/>
    <w:rsid w:val="00D01A9B"/>
    <w:rsid w:val="00D01C80"/>
    <w:rsid w:val="00D01CD3"/>
    <w:rsid w:val="00D01E02"/>
    <w:rsid w:val="00D01E59"/>
    <w:rsid w:val="00D01ECE"/>
    <w:rsid w:val="00D01F08"/>
    <w:rsid w:val="00D02298"/>
    <w:rsid w:val="00D02B1D"/>
    <w:rsid w:val="00D02D97"/>
    <w:rsid w:val="00D0315E"/>
    <w:rsid w:val="00D033E1"/>
    <w:rsid w:val="00D0353C"/>
    <w:rsid w:val="00D03848"/>
    <w:rsid w:val="00D0397D"/>
    <w:rsid w:val="00D03A9E"/>
    <w:rsid w:val="00D03DCF"/>
    <w:rsid w:val="00D03DE1"/>
    <w:rsid w:val="00D03E1E"/>
    <w:rsid w:val="00D03F2D"/>
    <w:rsid w:val="00D04374"/>
    <w:rsid w:val="00D044BE"/>
    <w:rsid w:val="00D0450E"/>
    <w:rsid w:val="00D0497C"/>
    <w:rsid w:val="00D04A90"/>
    <w:rsid w:val="00D04D8B"/>
    <w:rsid w:val="00D05024"/>
    <w:rsid w:val="00D0520A"/>
    <w:rsid w:val="00D05899"/>
    <w:rsid w:val="00D06581"/>
    <w:rsid w:val="00D06590"/>
    <w:rsid w:val="00D06611"/>
    <w:rsid w:val="00D067EF"/>
    <w:rsid w:val="00D068E5"/>
    <w:rsid w:val="00D06ADB"/>
    <w:rsid w:val="00D06D9F"/>
    <w:rsid w:val="00D0702D"/>
    <w:rsid w:val="00D0703E"/>
    <w:rsid w:val="00D07328"/>
    <w:rsid w:val="00D07B20"/>
    <w:rsid w:val="00D07C5A"/>
    <w:rsid w:val="00D07D18"/>
    <w:rsid w:val="00D10243"/>
    <w:rsid w:val="00D1039F"/>
    <w:rsid w:val="00D10605"/>
    <w:rsid w:val="00D107C0"/>
    <w:rsid w:val="00D10BFB"/>
    <w:rsid w:val="00D11183"/>
    <w:rsid w:val="00D115F3"/>
    <w:rsid w:val="00D11648"/>
    <w:rsid w:val="00D11841"/>
    <w:rsid w:val="00D1197F"/>
    <w:rsid w:val="00D119A3"/>
    <w:rsid w:val="00D11A1E"/>
    <w:rsid w:val="00D11C1A"/>
    <w:rsid w:val="00D11F49"/>
    <w:rsid w:val="00D12AF3"/>
    <w:rsid w:val="00D12B52"/>
    <w:rsid w:val="00D12C58"/>
    <w:rsid w:val="00D12DCF"/>
    <w:rsid w:val="00D12EDF"/>
    <w:rsid w:val="00D12FF9"/>
    <w:rsid w:val="00D1311F"/>
    <w:rsid w:val="00D13266"/>
    <w:rsid w:val="00D13659"/>
    <w:rsid w:val="00D1393C"/>
    <w:rsid w:val="00D139F0"/>
    <w:rsid w:val="00D13D41"/>
    <w:rsid w:val="00D14207"/>
    <w:rsid w:val="00D14310"/>
    <w:rsid w:val="00D14807"/>
    <w:rsid w:val="00D14827"/>
    <w:rsid w:val="00D14860"/>
    <w:rsid w:val="00D14B39"/>
    <w:rsid w:val="00D14BA3"/>
    <w:rsid w:val="00D15077"/>
    <w:rsid w:val="00D15260"/>
    <w:rsid w:val="00D15880"/>
    <w:rsid w:val="00D167AA"/>
    <w:rsid w:val="00D16889"/>
    <w:rsid w:val="00D16A66"/>
    <w:rsid w:val="00D16D6C"/>
    <w:rsid w:val="00D16F73"/>
    <w:rsid w:val="00D17320"/>
    <w:rsid w:val="00D1735C"/>
    <w:rsid w:val="00D174EC"/>
    <w:rsid w:val="00D17562"/>
    <w:rsid w:val="00D17569"/>
    <w:rsid w:val="00D17672"/>
    <w:rsid w:val="00D17740"/>
    <w:rsid w:val="00D17E30"/>
    <w:rsid w:val="00D17EB1"/>
    <w:rsid w:val="00D17EC4"/>
    <w:rsid w:val="00D17F85"/>
    <w:rsid w:val="00D17FCA"/>
    <w:rsid w:val="00D201FC"/>
    <w:rsid w:val="00D202C7"/>
    <w:rsid w:val="00D202E0"/>
    <w:rsid w:val="00D205AD"/>
    <w:rsid w:val="00D205DB"/>
    <w:rsid w:val="00D20E4A"/>
    <w:rsid w:val="00D2101F"/>
    <w:rsid w:val="00D21A3D"/>
    <w:rsid w:val="00D21EBC"/>
    <w:rsid w:val="00D21F47"/>
    <w:rsid w:val="00D223F1"/>
    <w:rsid w:val="00D224A3"/>
    <w:rsid w:val="00D22731"/>
    <w:rsid w:val="00D22835"/>
    <w:rsid w:val="00D22907"/>
    <w:rsid w:val="00D2293B"/>
    <w:rsid w:val="00D229FC"/>
    <w:rsid w:val="00D22CA6"/>
    <w:rsid w:val="00D22E74"/>
    <w:rsid w:val="00D2317E"/>
    <w:rsid w:val="00D23226"/>
    <w:rsid w:val="00D232F5"/>
    <w:rsid w:val="00D23439"/>
    <w:rsid w:val="00D236A9"/>
    <w:rsid w:val="00D2388F"/>
    <w:rsid w:val="00D23C36"/>
    <w:rsid w:val="00D23DBB"/>
    <w:rsid w:val="00D24289"/>
    <w:rsid w:val="00D24F28"/>
    <w:rsid w:val="00D256CC"/>
    <w:rsid w:val="00D25783"/>
    <w:rsid w:val="00D2582C"/>
    <w:rsid w:val="00D25AE2"/>
    <w:rsid w:val="00D25CB7"/>
    <w:rsid w:val="00D25D35"/>
    <w:rsid w:val="00D25FCD"/>
    <w:rsid w:val="00D2603A"/>
    <w:rsid w:val="00D26434"/>
    <w:rsid w:val="00D26505"/>
    <w:rsid w:val="00D2654C"/>
    <w:rsid w:val="00D26D3E"/>
    <w:rsid w:val="00D26F2C"/>
    <w:rsid w:val="00D271AB"/>
    <w:rsid w:val="00D27CE5"/>
    <w:rsid w:val="00D301C8"/>
    <w:rsid w:val="00D302B2"/>
    <w:rsid w:val="00D3034F"/>
    <w:rsid w:val="00D306AC"/>
    <w:rsid w:val="00D30FE5"/>
    <w:rsid w:val="00D31078"/>
    <w:rsid w:val="00D31420"/>
    <w:rsid w:val="00D31473"/>
    <w:rsid w:val="00D31849"/>
    <w:rsid w:val="00D31A83"/>
    <w:rsid w:val="00D31AC7"/>
    <w:rsid w:val="00D31B97"/>
    <w:rsid w:val="00D31DA6"/>
    <w:rsid w:val="00D322E4"/>
    <w:rsid w:val="00D322ED"/>
    <w:rsid w:val="00D32558"/>
    <w:rsid w:val="00D325BC"/>
    <w:rsid w:val="00D32AC1"/>
    <w:rsid w:val="00D32E1E"/>
    <w:rsid w:val="00D330BF"/>
    <w:rsid w:val="00D332F2"/>
    <w:rsid w:val="00D333AC"/>
    <w:rsid w:val="00D334A5"/>
    <w:rsid w:val="00D3358B"/>
    <w:rsid w:val="00D33792"/>
    <w:rsid w:val="00D33A78"/>
    <w:rsid w:val="00D34068"/>
    <w:rsid w:val="00D34366"/>
    <w:rsid w:val="00D34503"/>
    <w:rsid w:val="00D347D7"/>
    <w:rsid w:val="00D348A7"/>
    <w:rsid w:val="00D348EB"/>
    <w:rsid w:val="00D34AB3"/>
    <w:rsid w:val="00D34F12"/>
    <w:rsid w:val="00D34F17"/>
    <w:rsid w:val="00D34FC2"/>
    <w:rsid w:val="00D35019"/>
    <w:rsid w:val="00D35413"/>
    <w:rsid w:val="00D3571F"/>
    <w:rsid w:val="00D35C4D"/>
    <w:rsid w:val="00D35DCA"/>
    <w:rsid w:val="00D363CD"/>
    <w:rsid w:val="00D363E7"/>
    <w:rsid w:val="00D365B7"/>
    <w:rsid w:val="00D3667B"/>
    <w:rsid w:val="00D367C1"/>
    <w:rsid w:val="00D36C52"/>
    <w:rsid w:val="00D36D5E"/>
    <w:rsid w:val="00D36EFE"/>
    <w:rsid w:val="00D36FDD"/>
    <w:rsid w:val="00D37422"/>
    <w:rsid w:val="00D37533"/>
    <w:rsid w:val="00D3796D"/>
    <w:rsid w:val="00D379BF"/>
    <w:rsid w:val="00D37EF0"/>
    <w:rsid w:val="00D40162"/>
    <w:rsid w:val="00D40183"/>
    <w:rsid w:val="00D40303"/>
    <w:rsid w:val="00D405F9"/>
    <w:rsid w:val="00D40877"/>
    <w:rsid w:val="00D40B47"/>
    <w:rsid w:val="00D40C0B"/>
    <w:rsid w:val="00D40EF1"/>
    <w:rsid w:val="00D41012"/>
    <w:rsid w:val="00D41297"/>
    <w:rsid w:val="00D4196B"/>
    <w:rsid w:val="00D41DC1"/>
    <w:rsid w:val="00D41FE5"/>
    <w:rsid w:val="00D422A4"/>
    <w:rsid w:val="00D42480"/>
    <w:rsid w:val="00D426A5"/>
    <w:rsid w:val="00D426BF"/>
    <w:rsid w:val="00D42840"/>
    <w:rsid w:val="00D42E02"/>
    <w:rsid w:val="00D42E84"/>
    <w:rsid w:val="00D432A3"/>
    <w:rsid w:val="00D433A5"/>
    <w:rsid w:val="00D439AD"/>
    <w:rsid w:val="00D43BF4"/>
    <w:rsid w:val="00D43DBE"/>
    <w:rsid w:val="00D44383"/>
    <w:rsid w:val="00D446D1"/>
    <w:rsid w:val="00D4483B"/>
    <w:rsid w:val="00D44915"/>
    <w:rsid w:val="00D44B23"/>
    <w:rsid w:val="00D44D68"/>
    <w:rsid w:val="00D44E01"/>
    <w:rsid w:val="00D44E26"/>
    <w:rsid w:val="00D45169"/>
    <w:rsid w:val="00D45204"/>
    <w:rsid w:val="00D452B9"/>
    <w:rsid w:val="00D456FB"/>
    <w:rsid w:val="00D45708"/>
    <w:rsid w:val="00D45948"/>
    <w:rsid w:val="00D459D3"/>
    <w:rsid w:val="00D45B9D"/>
    <w:rsid w:val="00D45C04"/>
    <w:rsid w:val="00D45F0A"/>
    <w:rsid w:val="00D46133"/>
    <w:rsid w:val="00D4620B"/>
    <w:rsid w:val="00D4623B"/>
    <w:rsid w:val="00D463B4"/>
    <w:rsid w:val="00D468B6"/>
    <w:rsid w:val="00D46D7B"/>
    <w:rsid w:val="00D46DDD"/>
    <w:rsid w:val="00D4702C"/>
    <w:rsid w:val="00D47154"/>
    <w:rsid w:val="00D474F3"/>
    <w:rsid w:val="00D47D1F"/>
    <w:rsid w:val="00D47E04"/>
    <w:rsid w:val="00D50087"/>
    <w:rsid w:val="00D50594"/>
    <w:rsid w:val="00D509F9"/>
    <w:rsid w:val="00D50C44"/>
    <w:rsid w:val="00D5104D"/>
    <w:rsid w:val="00D5138E"/>
    <w:rsid w:val="00D51726"/>
    <w:rsid w:val="00D51789"/>
    <w:rsid w:val="00D51BD6"/>
    <w:rsid w:val="00D51C63"/>
    <w:rsid w:val="00D52393"/>
    <w:rsid w:val="00D524EA"/>
    <w:rsid w:val="00D525DA"/>
    <w:rsid w:val="00D52717"/>
    <w:rsid w:val="00D5277D"/>
    <w:rsid w:val="00D5334D"/>
    <w:rsid w:val="00D53466"/>
    <w:rsid w:val="00D53519"/>
    <w:rsid w:val="00D5357D"/>
    <w:rsid w:val="00D536C9"/>
    <w:rsid w:val="00D536F8"/>
    <w:rsid w:val="00D53718"/>
    <w:rsid w:val="00D5389E"/>
    <w:rsid w:val="00D53980"/>
    <w:rsid w:val="00D5399F"/>
    <w:rsid w:val="00D53BD9"/>
    <w:rsid w:val="00D53ED9"/>
    <w:rsid w:val="00D5406A"/>
    <w:rsid w:val="00D543B9"/>
    <w:rsid w:val="00D54DE9"/>
    <w:rsid w:val="00D55089"/>
    <w:rsid w:val="00D5532E"/>
    <w:rsid w:val="00D5533D"/>
    <w:rsid w:val="00D554EA"/>
    <w:rsid w:val="00D55653"/>
    <w:rsid w:val="00D5568E"/>
    <w:rsid w:val="00D5580B"/>
    <w:rsid w:val="00D55C93"/>
    <w:rsid w:val="00D55D88"/>
    <w:rsid w:val="00D56675"/>
    <w:rsid w:val="00D56B42"/>
    <w:rsid w:val="00D56CA1"/>
    <w:rsid w:val="00D56E9E"/>
    <w:rsid w:val="00D56FFE"/>
    <w:rsid w:val="00D57411"/>
    <w:rsid w:val="00D57E2A"/>
    <w:rsid w:val="00D60DB6"/>
    <w:rsid w:val="00D6131A"/>
    <w:rsid w:val="00D61342"/>
    <w:rsid w:val="00D61A30"/>
    <w:rsid w:val="00D61C28"/>
    <w:rsid w:val="00D61E1B"/>
    <w:rsid w:val="00D6210D"/>
    <w:rsid w:val="00D625A3"/>
    <w:rsid w:val="00D627CA"/>
    <w:rsid w:val="00D62934"/>
    <w:rsid w:val="00D629CE"/>
    <w:rsid w:val="00D62D52"/>
    <w:rsid w:val="00D62DBC"/>
    <w:rsid w:val="00D62E6A"/>
    <w:rsid w:val="00D62E94"/>
    <w:rsid w:val="00D62EB9"/>
    <w:rsid w:val="00D63244"/>
    <w:rsid w:val="00D636E6"/>
    <w:rsid w:val="00D63E1A"/>
    <w:rsid w:val="00D64026"/>
    <w:rsid w:val="00D6488C"/>
    <w:rsid w:val="00D64948"/>
    <w:rsid w:val="00D6497C"/>
    <w:rsid w:val="00D64A60"/>
    <w:rsid w:val="00D64E2E"/>
    <w:rsid w:val="00D65352"/>
    <w:rsid w:val="00D6562E"/>
    <w:rsid w:val="00D659C7"/>
    <w:rsid w:val="00D65D1E"/>
    <w:rsid w:val="00D65E80"/>
    <w:rsid w:val="00D6622C"/>
    <w:rsid w:val="00D66557"/>
    <w:rsid w:val="00D667C8"/>
    <w:rsid w:val="00D669FE"/>
    <w:rsid w:val="00D66CE9"/>
    <w:rsid w:val="00D66DE9"/>
    <w:rsid w:val="00D66E08"/>
    <w:rsid w:val="00D67069"/>
    <w:rsid w:val="00D67242"/>
    <w:rsid w:val="00D672DB"/>
    <w:rsid w:val="00D6756F"/>
    <w:rsid w:val="00D67822"/>
    <w:rsid w:val="00D6788B"/>
    <w:rsid w:val="00D67BBA"/>
    <w:rsid w:val="00D67D39"/>
    <w:rsid w:val="00D701E6"/>
    <w:rsid w:val="00D703CB"/>
    <w:rsid w:val="00D70494"/>
    <w:rsid w:val="00D70550"/>
    <w:rsid w:val="00D708DA"/>
    <w:rsid w:val="00D70937"/>
    <w:rsid w:val="00D709B2"/>
    <w:rsid w:val="00D70A80"/>
    <w:rsid w:val="00D70F28"/>
    <w:rsid w:val="00D716A4"/>
    <w:rsid w:val="00D71A4D"/>
    <w:rsid w:val="00D71AF0"/>
    <w:rsid w:val="00D71D1B"/>
    <w:rsid w:val="00D72004"/>
    <w:rsid w:val="00D721D4"/>
    <w:rsid w:val="00D7244F"/>
    <w:rsid w:val="00D726A6"/>
    <w:rsid w:val="00D72822"/>
    <w:rsid w:val="00D72A4F"/>
    <w:rsid w:val="00D72DA8"/>
    <w:rsid w:val="00D72E63"/>
    <w:rsid w:val="00D73301"/>
    <w:rsid w:val="00D738C0"/>
    <w:rsid w:val="00D73914"/>
    <w:rsid w:val="00D739D2"/>
    <w:rsid w:val="00D73C83"/>
    <w:rsid w:val="00D73D9D"/>
    <w:rsid w:val="00D73DB4"/>
    <w:rsid w:val="00D7400C"/>
    <w:rsid w:val="00D74843"/>
    <w:rsid w:val="00D74AD7"/>
    <w:rsid w:val="00D74B65"/>
    <w:rsid w:val="00D74BB3"/>
    <w:rsid w:val="00D75662"/>
    <w:rsid w:val="00D758F4"/>
    <w:rsid w:val="00D75B66"/>
    <w:rsid w:val="00D75B7B"/>
    <w:rsid w:val="00D75C2B"/>
    <w:rsid w:val="00D760C3"/>
    <w:rsid w:val="00D76251"/>
    <w:rsid w:val="00D76357"/>
    <w:rsid w:val="00D765F3"/>
    <w:rsid w:val="00D7676D"/>
    <w:rsid w:val="00D768C1"/>
    <w:rsid w:val="00D76C1D"/>
    <w:rsid w:val="00D76D40"/>
    <w:rsid w:val="00D76F67"/>
    <w:rsid w:val="00D777C2"/>
    <w:rsid w:val="00D77C5B"/>
    <w:rsid w:val="00D77FD3"/>
    <w:rsid w:val="00D80017"/>
    <w:rsid w:val="00D806A3"/>
    <w:rsid w:val="00D806B1"/>
    <w:rsid w:val="00D806B6"/>
    <w:rsid w:val="00D80F2E"/>
    <w:rsid w:val="00D81088"/>
    <w:rsid w:val="00D810EF"/>
    <w:rsid w:val="00D81368"/>
    <w:rsid w:val="00D81426"/>
    <w:rsid w:val="00D81469"/>
    <w:rsid w:val="00D815D6"/>
    <w:rsid w:val="00D816C9"/>
    <w:rsid w:val="00D81A16"/>
    <w:rsid w:val="00D81AC0"/>
    <w:rsid w:val="00D81D3E"/>
    <w:rsid w:val="00D81E7C"/>
    <w:rsid w:val="00D82093"/>
    <w:rsid w:val="00D82150"/>
    <w:rsid w:val="00D8229D"/>
    <w:rsid w:val="00D823C4"/>
    <w:rsid w:val="00D82780"/>
    <w:rsid w:val="00D82A01"/>
    <w:rsid w:val="00D82DB9"/>
    <w:rsid w:val="00D8311A"/>
    <w:rsid w:val="00D83394"/>
    <w:rsid w:val="00D83439"/>
    <w:rsid w:val="00D8356B"/>
    <w:rsid w:val="00D83908"/>
    <w:rsid w:val="00D84AE0"/>
    <w:rsid w:val="00D84C95"/>
    <w:rsid w:val="00D84D01"/>
    <w:rsid w:val="00D84D35"/>
    <w:rsid w:val="00D851B6"/>
    <w:rsid w:val="00D8576C"/>
    <w:rsid w:val="00D858FB"/>
    <w:rsid w:val="00D85D29"/>
    <w:rsid w:val="00D861A1"/>
    <w:rsid w:val="00D86673"/>
    <w:rsid w:val="00D86A17"/>
    <w:rsid w:val="00D86DE4"/>
    <w:rsid w:val="00D86E07"/>
    <w:rsid w:val="00D8709F"/>
    <w:rsid w:val="00D87248"/>
    <w:rsid w:val="00D87338"/>
    <w:rsid w:val="00D874CA"/>
    <w:rsid w:val="00D874D9"/>
    <w:rsid w:val="00D87864"/>
    <w:rsid w:val="00D87E1C"/>
    <w:rsid w:val="00D90156"/>
    <w:rsid w:val="00D906B9"/>
    <w:rsid w:val="00D90778"/>
    <w:rsid w:val="00D90A59"/>
    <w:rsid w:val="00D90D10"/>
    <w:rsid w:val="00D90D30"/>
    <w:rsid w:val="00D91319"/>
    <w:rsid w:val="00D91603"/>
    <w:rsid w:val="00D91662"/>
    <w:rsid w:val="00D917BB"/>
    <w:rsid w:val="00D922F4"/>
    <w:rsid w:val="00D9237C"/>
    <w:rsid w:val="00D924CF"/>
    <w:rsid w:val="00D926E5"/>
    <w:rsid w:val="00D929CA"/>
    <w:rsid w:val="00D929D7"/>
    <w:rsid w:val="00D92C66"/>
    <w:rsid w:val="00D93486"/>
    <w:rsid w:val="00D93B91"/>
    <w:rsid w:val="00D93F01"/>
    <w:rsid w:val="00D9433A"/>
    <w:rsid w:val="00D944E5"/>
    <w:rsid w:val="00D9472E"/>
    <w:rsid w:val="00D94DC0"/>
    <w:rsid w:val="00D94DE6"/>
    <w:rsid w:val="00D95A22"/>
    <w:rsid w:val="00D95B79"/>
    <w:rsid w:val="00D960C0"/>
    <w:rsid w:val="00D9645D"/>
    <w:rsid w:val="00D96606"/>
    <w:rsid w:val="00D9690E"/>
    <w:rsid w:val="00D9695E"/>
    <w:rsid w:val="00D96CB5"/>
    <w:rsid w:val="00D96D39"/>
    <w:rsid w:val="00D96F20"/>
    <w:rsid w:val="00D970DC"/>
    <w:rsid w:val="00D9751B"/>
    <w:rsid w:val="00D97889"/>
    <w:rsid w:val="00D97A33"/>
    <w:rsid w:val="00D97C98"/>
    <w:rsid w:val="00D97DA5"/>
    <w:rsid w:val="00DA0008"/>
    <w:rsid w:val="00DA02C3"/>
    <w:rsid w:val="00DA043D"/>
    <w:rsid w:val="00DA0BD2"/>
    <w:rsid w:val="00DA1701"/>
    <w:rsid w:val="00DA1909"/>
    <w:rsid w:val="00DA1CE5"/>
    <w:rsid w:val="00DA2654"/>
    <w:rsid w:val="00DA2FFB"/>
    <w:rsid w:val="00DA3272"/>
    <w:rsid w:val="00DA33F0"/>
    <w:rsid w:val="00DA3425"/>
    <w:rsid w:val="00DA3436"/>
    <w:rsid w:val="00DA389A"/>
    <w:rsid w:val="00DA3F68"/>
    <w:rsid w:val="00DA3FD4"/>
    <w:rsid w:val="00DA426C"/>
    <w:rsid w:val="00DA43C1"/>
    <w:rsid w:val="00DA448D"/>
    <w:rsid w:val="00DA45CB"/>
    <w:rsid w:val="00DA46C6"/>
    <w:rsid w:val="00DA47CA"/>
    <w:rsid w:val="00DA4A5B"/>
    <w:rsid w:val="00DA4AC3"/>
    <w:rsid w:val="00DA4E88"/>
    <w:rsid w:val="00DA50D2"/>
    <w:rsid w:val="00DA536D"/>
    <w:rsid w:val="00DA5AC8"/>
    <w:rsid w:val="00DA5AF8"/>
    <w:rsid w:val="00DA5BD9"/>
    <w:rsid w:val="00DA6177"/>
    <w:rsid w:val="00DA63BB"/>
    <w:rsid w:val="00DA63C8"/>
    <w:rsid w:val="00DA6673"/>
    <w:rsid w:val="00DA6EE7"/>
    <w:rsid w:val="00DA74B5"/>
    <w:rsid w:val="00DA766E"/>
    <w:rsid w:val="00DA7D0D"/>
    <w:rsid w:val="00DA7ED2"/>
    <w:rsid w:val="00DB0142"/>
    <w:rsid w:val="00DB0473"/>
    <w:rsid w:val="00DB09A3"/>
    <w:rsid w:val="00DB0BC7"/>
    <w:rsid w:val="00DB0E36"/>
    <w:rsid w:val="00DB101F"/>
    <w:rsid w:val="00DB1171"/>
    <w:rsid w:val="00DB141C"/>
    <w:rsid w:val="00DB1423"/>
    <w:rsid w:val="00DB150E"/>
    <w:rsid w:val="00DB1D14"/>
    <w:rsid w:val="00DB1D22"/>
    <w:rsid w:val="00DB226E"/>
    <w:rsid w:val="00DB2383"/>
    <w:rsid w:val="00DB247D"/>
    <w:rsid w:val="00DB24B1"/>
    <w:rsid w:val="00DB2670"/>
    <w:rsid w:val="00DB297F"/>
    <w:rsid w:val="00DB2E63"/>
    <w:rsid w:val="00DB2EEC"/>
    <w:rsid w:val="00DB3A5B"/>
    <w:rsid w:val="00DB3A70"/>
    <w:rsid w:val="00DB3B1E"/>
    <w:rsid w:val="00DB3E2B"/>
    <w:rsid w:val="00DB4195"/>
    <w:rsid w:val="00DB430D"/>
    <w:rsid w:val="00DB44F5"/>
    <w:rsid w:val="00DB5894"/>
    <w:rsid w:val="00DB5920"/>
    <w:rsid w:val="00DB60C7"/>
    <w:rsid w:val="00DB6148"/>
    <w:rsid w:val="00DB62FE"/>
    <w:rsid w:val="00DB6661"/>
    <w:rsid w:val="00DB66A7"/>
    <w:rsid w:val="00DB66B7"/>
    <w:rsid w:val="00DB67FA"/>
    <w:rsid w:val="00DB6837"/>
    <w:rsid w:val="00DB6A1C"/>
    <w:rsid w:val="00DB6C9D"/>
    <w:rsid w:val="00DB6CAA"/>
    <w:rsid w:val="00DB6CD8"/>
    <w:rsid w:val="00DB6E5F"/>
    <w:rsid w:val="00DB77CB"/>
    <w:rsid w:val="00DB7B1D"/>
    <w:rsid w:val="00DB7BF5"/>
    <w:rsid w:val="00DB7CBB"/>
    <w:rsid w:val="00DB7E2D"/>
    <w:rsid w:val="00DB7E48"/>
    <w:rsid w:val="00DC04B1"/>
    <w:rsid w:val="00DC06E1"/>
    <w:rsid w:val="00DC08DC"/>
    <w:rsid w:val="00DC0E35"/>
    <w:rsid w:val="00DC0E7F"/>
    <w:rsid w:val="00DC1127"/>
    <w:rsid w:val="00DC12B9"/>
    <w:rsid w:val="00DC18DE"/>
    <w:rsid w:val="00DC1B33"/>
    <w:rsid w:val="00DC1E5D"/>
    <w:rsid w:val="00DC21D3"/>
    <w:rsid w:val="00DC223C"/>
    <w:rsid w:val="00DC2342"/>
    <w:rsid w:val="00DC245D"/>
    <w:rsid w:val="00DC2700"/>
    <w:rsid w:val="00DC271D"/>
    <w:rsid w:val="00DC28A4"/>
    <w:rsid w:val="00DC28E5"/>
    <w:rsid w:val="00DC305F"/>
    <w:rsid w:val="00DC3144"/>
    <w:rsid w:val="00DC364E"/>
    <w:rsid w:val="00DC3716"/>
    <w:rsid w:val="00DC3A30"/>
    <w:rsid w:val="00DC3AEC"/>
    <w:rsid w:val="00DC3FFE"/>
    <w:rsid w:val="00DC41E4"/>
    <w:rsid w:val="00DC4718"/>
    <w:rsid w:val="00DC4A3E"/>
    <w:rsid w:val="00DC4C0C"/>
    <w:rsid w:val="00DC4C83"/>
    <w:rsid w:val="00DC4F97"/>
    <w:rsid w:val="00DC5102"/>
    <w:rsid w:val="00DC541C"/>
    <w:rsid w:val="00DC54C6"/>
    <w:rsid w:val="00DC54C8"/>
    <w:rsid w:val="00DC5C79"/>
    <w:rsid w:val="00DC5DCA"/>
    <w:rsid w:val="00DC6008"/>
    <w:rsid w:val="00DC6196"/>
    <w:rsid w:val="00DC647D"/>
    <w:rsid w:val="00DC652F"/>
    <w:rsid w:val="00DC6635"/>
    <w:rsid w:val="00DC6658"/>
    <w:rsid w:val="00DC670F"/>
    <w:rsid w:val="00DC692E"/>
    <w:rsid w:val="00DC6A53"/>
    <w:rsid w:val="00DC6AD3"/>
    <w:rsid w:val="00DC6BA1"/>
    <w:rsid w:val="00DC6BDB"/>
    <w:rsid w:val="00DC6E74"/>
    <w:rsid w:val="00DC6EAE"/>
    <w:rsid w:val="00DC6F41"/>
    <w:rsid w:val="00DC7343"/>
    <w:rsid w:val="00DC74DB"/>
    <w:rsid w:val="00DC78B5"/>
    <w:rsid w:val="00DC7A32"/>
    <w:rsid w:val="00DC7D3B"/>
    <w:rsid w:val="00DC7D79"/>
    <w:rsid w:val="00DD0112"/>
    <w:rsid w:val="00DD08F8"/>
    <w:rsid w:val="00DD0E7E"/>
    <w:rsid w:val="00DD12B8"/>
    <w:rsid w:val="00DD1624"/>
    <w:rsid w:val="00DD16A9"/>
    <w:rsid w:val="00DD17C7"/>
    <w:rsid w:val="00DD1A50"/>
    <w:rsid w:val="00DD1A53"/>
    <w:rsid w:val="00DD1C71"/>
    <w:rsid w:val="00DD1D1F"/>
    <w:rsid w:val="00DD1D9D"/>
    <w:rsid w:val="00DD1DD0"/>
    <w:rsid w:val="00DD1E6F"/>
    <w:rsid w:val="00DD2060"/>
    <w:rsid w:val="00DD21A9"/>
    <w:rsid w:val="00DD2308"/>
    <w:rsid w:val="00DD25FE"/>
    <w:rsid w:val="00DD2945"/>
    <w:rsid w:val="00DD2CE3"/>
    <w:rsid w:val="00DD2D19"/>
    <w:rsid w:val="00DD31CE"/>
    <w:rsid w:val="00DD32D9"/>
    <w:rsid w:val="00DD33B3"/>
    <w:rsid w:val="00DD38B4"/>
    <w:rsid w:val="00DD39ED"/>
    <w:rsid w:val="00DD41F3"/>
    <w:rsid w:val="00DD42A8"/>
    <w:rsid w:val="00DD4BC4"/>
    <w:rsid w:val="00DD4DF1"/>
    <w:rsid w:val="00DD521D"/>
    <w:rsid w:val="00DD523E"/>
    <w:rsid w:val="00DD5261"/>
    <w:rsid w:val="00DD53E6"/>
    <w:rsid w:val="00DD55A9"/>
    <w:rsid w:val="00DD56A5"/>
    <w:rsid w:val="00DD5845"/>
    <w:rsid w:val="00DD589A"/>
    <w:rsid w:val="00DD5E8A"/>
    <w:rsid w:val="00DD6943"/>
    <w:rsid w:val="00DD6AA2"/>
    <w:rsid w:val="00DD6AFD"/>
    <w:rsid w:val="00DD6D9C"/>
    <w:rsid w:val="00DD6E00"/>
    <w:rsid w:val="00DD6E1A"/>
    <w:rsid w:val="00DD7317"/>
    <w:rsid w:val="00DD7C8A"/>
    <w:rsid w:val="00DE00E8"/>
    <w:rsid w:val="00DE031B"/>
    <w:rsid w:val="00DE035F"/>
    <w:rsid w:val="00DE0590"/>
    <w:rsid w:val="00DE0B0D"/>
    <w:rsid w:val="00DE0C7D"/>
    <w:rsid w:val="00DE13F8"/>
    <w:rsid w:val="00DE14D4"/>
    <w:rsid w:val="00DE18E4"/>
    <w:rsid w:val="00DE18FF"/>
    <w:rsid w:val="00DE1E1D"/>
    <w:rsid w:val="00DE1F87"/>
    <w:rsid w:val="00DE20EA"/>
    <w:rsid w:val="00DE25AF"/>
    <w:rsid w:val="00DE2D23"/>
    <w:rsid w:val="00DE2E79"/>
    <w:rsid w:val="00DE3BF0"/>
    <w:rsid w:val="00DE3D2A"/>
    <w:rsid w:val="00DE3D95"/>
    <w:rsid w:val="00DE3EAD"/>
    <w:rsid w:val="00DE3ED6"/>
    <w:rsid w:val="00DE3FB3"/>
    <w:rsid w:val="00DE3FC9"/>
    <w:rsid w:val="00DE4065"/>
    <w:rsid w:val="00DE4269"/>
    <w:rsid w:val="00DE42DE"/>
    <w:rsid w:val="00DE4608"/>
    <w:rsid w:val="00DE464B"/>
    <w:rsid w:val="00DE4664"/>
    <w:rsid w:val="00DE4D00"/>
    <w:rsid w:val="00DE4E22"/>
    <w:rsid w:val="00DE51F1"/>
    <w:rsid w:val="00DE5308"/>
    <w:rsid w:val="00DE53C7"/>
    <w:rsid w:val="00DE5BC9"/>
    <w:rsid w:val="00DE5DE1"/>
    <w:rsid w:val="00DE5F48"/>
    <w:rsid w:val="00DE5FC7"/>
    <w:rsid w:val="00DE6009"/>
    <w:rsid w:val="00DE6118"/>
    <w:rsid w:val="00DE63CB"/>
    <w:rsid w:val="00DE63F4"/>
    <w:rsid w:val="00DE6404"/>
    <w:rsid w:val="00DE65CB"/>
    <w:rsid w:val="00DE662D"/>
    <w:rsid w:val="00DE68FF"/>
    <w:rsid w:val="00DE6C34"/>
    <w:rsid w:val="00DE6D57"/>
    <w:rsid w:val="00DE6E87"/>
    <w:rsid w:val="00DE6F8A"/>
    <w:rsid w:val="00DE6F9A"/>
    <w:rsid w:val="00DE7198"/>
    <w:rsid w:val="00DE7204"/>
    <w:rsid w:val="00DE7BAE"/>
    <w:rsid w:val="00DF0410"/>
    <w:rsid w:val="00DF049E"/>
    <w:rsid w:val="00DF059B"/>
    <w:rsid w:val="00DF0A22"/>
    <w:rsid w:val="00DF0A25"/>
    <w:rsid w:val="00DF0B60"/>
    <w:rsid w:val="00DF0D8E"/>
    <w:rsid w:val="00DF0E2D"/>
    <w:rsid w:val="00DF105A"/>
    <w:rsid w:val="00DF10C3"/>
    <w:rsid w:val="00DF11C9"/>
    <w:rsid w:val="00DF1268"/>
    <w:rsid w:val="00DF19BE"/>
    <w:rsid w:val="00DF1E32"/>
    <w:rsid w:val="00DF227C"/>
    <w:rsid w:val="00DF22B0"/>
    <w:rsid w:val="00DF22E7"/>
    <w:rsid w:val="00DF24BD"/>
    <w:rsid w:val="00DF2554"/>
    <w:rsid w:val="00DF26AC"/>
    <w:rsid w:val="00DF28B1"/>
    <w:rsid w:val="00DF29B1"/>
    <w:rsid w:val="00DF2A38"/>
    <w:rsid w:val="00DF2C3F"/>
    <w:rsid w:val="00DF2E72"/>
    <w:rsid w:val="00DF3200"/>
    <w:rsid w:val="00DF33DB"/>
    <w:rsid w:val="00DF398C"/>
    <w:rsid w:val="00DF44A4"/>
    <w:rsid w:val="00DF453C"/>
    <w:rsid w:val="00DF4A9E"/>
    <w:rsid w:val="00DF4C31"/>
    <w:rsid w:val="00DF4DCA"/>
    <w:rsid w:val="00DF51D6"/>
    <w:rsid w:val="00DF52DE"/>
    <w:rsid w:val="00DF52F3"/>
    <w:rsid w:val="00DF5D33"/>
    <w:rsid w:val="00DF64B0"/>
    <w:rsid w:val="00DF69BC"/>
    <w:rsid w:val="00DF6DC7"/>
    <w:rsid w:val="00DF71AC"/>
    <w:rsid w:val="00DF74FD"/>
    <w:rsid w:val="00DF764D"/>
    <w:rsid w:val="00DF7672"/>
    <w:rsid w:val="00DF774F"/>
    <w:rsid w:val="00DF7823"/>
    <w:rsid w:val="00E00302"/>
    <w:rsid w:val="00E0044E"/>
    <w:rsid w:val="00E00469"/>
    <w:rsid w:val="00E0049C"/>
    <w:rsid w:val="00E00719"/>
    <w:rsid w:val="00E00D3E"/>
    <w:rsid w:val="00E00E5C"/>
    <w:rsid w:val="00E01039"/>
    <w:rsid w:val="00E0106D"/>
    <w:rsid w:val="00E0113F"/>
    <w:rsid w:val="00E0116C"/>
    <w:rsid w:val="00E014EA"/>
    <w:rsid w:val="00E01517"/>
    <w:rsid w:val="00E01573"/>
    <w:rsid w:val="00E016A2"/>
    <w:rsid w:val="00E019FC"/>
    <w:rsid w:val="00E01AAC"/>
    <w:rsid w:val="00E01CE5"/>
    <w:rsid w:val="00E02101"/>
    <w:rsid w:val="00E0223A"/>
    <w:rsid w:val="00E0270F"/>
    <w:rsid w:val="00E02773"/>
    <w:rsid w:val="00E02AF9"/>
    <w:rsid w:val="00E02F0F"/>
    <w:rsid w:val="00E03221"/>
    <w:rsid w:val="00E03284"/>
    <w:rsid w:val="00E0328C"/>
    <w:rsid w:val="00E03323"/>
    <w:rsid w:val="00E0333A"/>
    <w:rsid w:val="00E03B72"/>
    <w:rsid w:val="00E03C49"/>
    <w:rsid w:val="00E03CD1"/>
    <w:rsid w:val="00E03D33"/>
    <w:rsid w:val="00E03D9D"/>
    <w:rsid w:val="00E0434E"/>
    <w:rsid w:val="00E04992"/>
    <w:rsid w:val="00E049CB"/>
    <w:rsid w:val="00E04A6F"/>
    <w:rsid w:val="00E04C33"/>
    <w:rsid w:val="00E04CF3"/>
    <w:rsid w:val="00E04EFC"/>
    <w:rsid w:val="00E0562C"/>
    <w:rsid w:val="00E05724"/>
    <w:rsid w:val="00E05C0F"/>
    <w:rsid w:val="00E05CBE"/>
    <w:rsid w:val="00E05F3C"/>
    <w:rsid w:val="00E06174"/>
    <w:rsid w:val="00E06257"/>
    <w:rsid w:val="00E06B00"/>
    <w:rsid w:val="00E06B72"/>
    <w:rsid w:val="00E06C85"/>
    <w:rsid w:val="00E06CD8"/>
    <w:rsid w:val="00E06D11"/>
    <w:rsid w:val="00E06E60"/>
    <w:rsid w:val="00E0709B"/>
    <w:rsid w:val="00E07237"/>
    <w:rsid w:val="00E077A1"/>
    <w:rsid w:val="00E10623"/>
    <w:rsid w:val="00E10665"/>
    <w:rsid w:val="00E1091D"/>
    <w:rsid w:val="00E10B7F"/>
    <w:rsid w:val="00E10C95"/>
    <w:rsid w:val="00E10C99"/>
    <w:rsid w:val="00E10F8E"/>
    <w:rsid w:val="00E10FA2"/>
    <w:rsid w:val="00E112E8"/>
    <w:rsid w:val="00E1145B"/>
    <w:rsid w:val="00E115C2"/>
    <w:rsid w:val="00E11F32"/>
    <w:rsid w:val="00E12136"/>
    <w:rsid w:val="00E12421"/>
    <w:rsid w:val="00E1276F"/>
    <w:rsid w:val="00E12F00"/>
    <w:rsid w:val="00E1313F"/>
    <w:rsid w:val="00E13726"/>
    <w:rsid w:val="00E13AAD"/>
    <w:rsid w:val="00E13CD4"/>
    <w:rsid w:val="00E13FB7"/>
    <w:rsid w:val="00E14118"/>
    <w:rsid w:val="00E1439C"/>
    <w:rsid w:val="00E147B4"/>
    <w:rsid w:val="00E14B93"/>
    <w:rsid w:val="00E14CE4"/>
    <w:rsid w:val="00E14F10"/>
    <w:rsid w:val="00E15054"/>
    <w:rsid w:val="00E15361"/>
    <w:rsid w:val="00E159ED"/>
    <w:rsid w:val="00E15F6A"/>
    <w:rsid w:val="00E15FDB"/>
    <w:rsid w:val="00E161BC"/>
    <w:rsid w:val="00E164E0"/>
    <w:rsid w:val="00E16692"/>
    <w:rsid w:val="00E16938"/>
    <w:rsid w:val="00E16D8B"/>
    <w:rsid w:val="00E16E7F"/>
    <w:rsid w:val="00E16F9D"/>
    <w:rsid w:val="00E17482"/>
    <w:rsid w:val="00E17499"/>
    <w:rsid w:val="00E175C4"/>
    <w:rsid w:val="00E176EB"/>
    <w:rsid w:val="00E17A55"/>
    <w:rsid w:val="00E20047"/>
    <w:rsid w:val="00E202D1"/>
    <w:rsid w:val="00E20425"/>
    <w:rsid w:val="00E207F4"/>
    <w:rsid w:val="00E20AB4"/>
    <w:rsid w:val="00E20C5C"/>
    <w:rsid w:val="00E20DC8"/>
    <w:rsid w:val="00E20E87"/>
    <w:rsid w:val="00E2146E"/>
    <w:rsid w:val="00E2176A"/>
    <w:rsid w:val="00E217E7"/>
    <w:rsid w:val="00E21A37"/>
    <w:rsid w:val="00E21AAE"/>
    <w:rsid w:val="00E21B26"/>
    <w:rsid w:val="00E21DA0"/>
    <w:rsid w:val="00E21E5B"/>
    <w:rsid w:val="00E2213B"/>
    <w:rsid w:val="00E2223B"/>
    <w:rsid w:val="00E22455"/>
    <w:rsid w:val="00E22932"/>
    <w:rsid w:val="00E22AE7"/>
    <w:rsid w:val="00E22E5D"/>
    <w:rsid w:val="00E22E7A"/>
    <w:rsid w:val="00E233D5"/>
    <w:rsid w:val="00E23534"/>
    <w:rsid w:val="00E23744"/>
    <w:rsid w:val="00E23915"/>
    <w:rsid w:val="00E23DE9"/>
    <w:rsid w:val="00E23F78"/>
    <w:rsid w:val="00E241F6"/>
    <w:rsid w:val="00E242B1"/>
    <w:rsid w:val="00E246AC"/>
    <w:rsid w:val="00E24751"/>
    <w:rsid w:val="00E24B64"/>
    <w:rsid w:val="00E24D9D"/>
    <w:rsid w:val="00E25047"/>
    <w:rsid w:val="00E251B8"/>
    <w:rsid w:val="00E25995"/>
    <w:rsid w:val="00E25AFD"/>
    <w:rsid w:val="00E25BC9"/>
    <w:rsid w:val="00E25C07"/>
    <w:rsid w:val="00E25C73"/>
    <w:rsid w:val="00E25D5F"/>
    <w:rsid w:val="00E25F9A"/>
    <w:rsid w:val="00E2650D"/>
    <w:rsid w:val="00E26AC5"/>
    <w:rsid w:val="00E27104"/>
    <w:rsid w:val="00E27299"/>
    <w:rsid w:val="00E2797B"/>
    <w:rsid w:val="00E27A1D"/>
    <w:rsid w:val="00E27E0B"/>
    <w:rsid w:val="00E2C1D2"/>
    <w:rsid w:val="00E3057D"/>
    <w:rsid w:val="00E308A3"/>
    <w:rsid w:val="00E309FC"/>
    <w:rsid w:val="00E30C10"/>
    <w:rsid w:val="00E31159"/>
    <w:rsid w:val="00E311A3"/>
    <w:rsid w:val="00E311E8"/>
    <w:rsid w:val="00E31304"/>
    <w:rsid w:val="00E31A5A"/>
    <w:rsid w:val="00E31AFC"/>
    <w:rsid w:val="00E31D28"/>
    <w:rsid w:val="00E31DD8"/>
    <w:rsid w:val="00E31F70"/>
    <w:rsid w:val="00E3201E"/>
    <w:rsid w:val="00E32021"/>
    <w:rsid w:val="00E321F0"/>
    <w:rsid w:val="00E323C6"/>
    <w:rsid w:val="00E32B4E"/>
    <w:rsid w:val="00E32E7C"/>
    <w:rsid w:val="00E32F03"/>
    <w:rsid w:val="00E330C2"/>
    <w:rsid w:val="00E33743"/>
    <w:rsid w:val="00E339B3"/>
    <w:rsid w:val="00E339C7"/>
    <w:rsid w:val="00E339D5"/>
    <w:rsid w:val="00E33A24"/>
    <w:rsid w:val="00E33F14"/>
    <w:rsid w:val="00E3412B"/>
    <w:rsid w:val="00E3453F"/>
    <w:rsid w:val="00E347C5"/>
    <w:rsid w:val="00E350FA"/>
    <w:rsid w:val="00E35130"/>
    <w:rsid w:val="00E35240"/>
    <w:rsid w:val="00E354EC"/>
    <w:rsid w:val="00E35751"/>
    <w:rsid w:val="00E35972"/>
    <w:rsid w:val="00E35D27"/>
    <w:rsid w:val="00E35DA8"/>
    <w:rsid w:val="00E36377"/>
    <w:rsid w:val="00E364A0"/>
    <w:rsid w:val="00E364B2"/>
    <w:rsid w:val="00E364B7"/>
    <w:rsid w:val="00E3655D"/>
    <w:rsid w:val="00E36CE2"/>
    <w:rsid w:val="00E36F69"/>
    <w:rsid w:val="00E371AA"/>
    <w:rsid w:val="00E3729D"/>
    <w:rsid w:val="00E37643"/>
    <w:rsid w:val="00E37887"/>
    <w:rsid w:val="00E378FB"/>
    <w:rsid w:val="00E37A0A"/>
    <w:rsid w:val="00E37C15"/>
    <w:rsid w:val="00E37D75"/>
    <w:rsid w:val="00E400A7"/>
    <w:rsid w:val="00E4041C"/>
    <w:rsid w:val="00E40459"/>
    <w:rsid w:val="00E407B2"/>
    <w:rsid w:val="00E40A3C"/>
    <w:rsid w:val="00E40D8B"/>
    <w:rsid w:val="00E40E88"/>
    <w:rsid w:val="00E40F65"/>
    <w:rsid w:val="00E41036"/>
    <w:rsid w:val="00E4151B"/>
    <w:rsid w:val="00E420DA"/>
    <w:rsid w:val="00E4231F"/>
    <w:rsid w:val="00E42574"/>
    <w:rsid w:val="00E42585"/>
    <w:rsid w:val="00E42A9D"/>
    <w:rsid w:val="00E42D9A"/>
    <w:rsid w:val="00E43021"/>
    <w:rsid w:val="00E4311D"/>
    <w:rsid w:val="00E432C8"/>
    <w:rsid w:val="00E43322"/>
    <w:rsid w:val="00E43361"/>
    <w:rsid w:val="00E433BE"/>
    <w:rsid w:val="00E43647"/>
    <w:rsid w:val="00E445CC"/>
    <w:rsid w:val="00E4526D"/>
    <w:rsid w:val="00E45272"/>
    <w:rsid w:val="00E4570D"/>
    <w:rsid w:val="00E45723"/>
    <w:rsid w:val="00E459F7"/>
    <w:rsid w:val="00E4601A"/>
    <w:rsid w:val="00E46A3A"/>
    <w:rsid w:val="00E46C7A"/>
    <w:rsid w:val="00E46D33"/>
    <w:rsid w:val="00E46DDC"/>
    <w:rsid w:val="00E46EC8"/>
    <w:rsid w:val="00E46F0E"/>
    <w:rsid w:val="00E47194"/>
    <w:rsid w:val="00E47321"/>
    <w:rsid w:val="00E47D9C"/>
    <w:rsid w:val="00E50044"/>
    <w:rsid w:val="00E50573"/>
    <w:rsid w:val="00E5064A"/>
    <w:rsid w:val="00E507B8"/>
    <w:rsid w:val="00E50B02"/>
    <w:rsid w:val="00E50DAB"/>
    <w:rsid w:val="00E512AF"/>
    <w:rsid w:val="00E5159D"/>
    <w:rsid w:val="00E518EA"/>
    <w:rsid w:val="00E518F8"/>
    <w:rsid w:val="00E519E2"/>
    <w:rsid w:val="00E51A76"/>
    <w:rsid w:val="00E51B94"/>
    <w:rsid w:val="00E51CAF"/>
    <w:rsid w:val="00E52289"/>
    <w:rsid w:val="00E522C1"/>
    <w:rsid w:val="00E52310"/>
    <w:rsid w:val="00E52331"/>
    <w:rsid w:val="00E52386"/>
    <w:rsid w:val="00E527C7"/>
    <w:rsid w:val="00E52824"/>
    <w:rsid w:val="00E5287D"/>
    <w:rsid w:val="00E529EF"/>
    <w:rsid w:val="00E530CB"/>
    <w:rsid w:val="00E535B0"/>
    <w:rsid w:val="00E535E8"/>
    <w:rsid w:val="00E546F5"/>
    <w:rsid w:val="00E54965"/>
    <w:rsid w:val="00E549AA"/>
    <w:rsid w:val="00E54A53"/>
    <w:rsid w:val="00E550FC"/>
    <w:rsid w:val="00E5543C"/>
    <w:rsid w:val="00E554E9"/>
    <w:rsid w:val="00E55599"/>
    <w:rsid w:val="00E55607"/>
    <w:rsid w:val="00E556F0"/>
    <w:rsid w:val="00E557BD"/>
    <w:rsid w:val="00E55845"/>
    <w:rsid w:val="00E55936"/>
    <w:rsid w:val="00E55A0A"/>
    <w:rsid w:val="00E55BA1"/>
    <w:rsid w:val="00E55C0C"/>
    <w:rsid w:val="00E55C6E"/>
    <w:rsid w:val="00E55EE2"/>
    <w:rsid w:val="00E56249"/>
    <w:rsid w:val="00E56812"/>
    <w:rsid w:val="00E56FA7"/>
    <w:rsid w:val="00E570EA"/>
    <w:rsid w:val="00E571CC"/>
    <w:rsid w:val="00E571DD"/>
    <w:rsid w:val="00E57200"/>
    <w:rsid w:val="00E57463"/>
    <w:rsid w:val="00E5766A"/>
    <w:rsid w:val="00E57ABC"/>
    <w:rsid w:val="00E57CA5"/>
    <w:rsid w:val="00E57EE1"/>
    <w:rsid w:val="00E6004D"/>
    <w:rsid w:val="00E60127"/>
    <w:rsid w:val="00E60CEA"/>
    <w:rsid w:val="00E60D1F"/>
    <w:rsid w:val="00E60DD9"/>
    <w:rsid w:val="00E610D0"/>
    <w:rsid w:val="00E612D4"/>
    <w:rsid w:val="00E61554"/>
    <w:rsid w:val="00E61D5F"/>
    <w:rsid w:val="00E6205F"/>
    <w:rsid w:val="00E62553"/>
    <w:rsid w:val="00E62603"/>
    <w:rsid w:val="00E62B14"/>
    <w:rsid w:val="00E62B23"/>
    <w:rsid w:val="00E62FCB"/>
    <w:rsid w:val="00E63060"/>
    <w:rsid w:val="00E6331E"/>
    <w:rsid w:val="00E633BF"/>
    <w:rsid w:val="00E63460"/>
    <w:rsid w:val="00E635DB"/>
    <w:rsid w:val="00E63617"/>
    <w:rsid w:val="00E63F5E"/>
    <w:rsid w:val="00E642FA"/>
    <w:rsid w:val="00E646F1"/>
    <w:rsid w:val="00E646F3"/>
    <w:rsid w:val="00E64B84"/>
    <w:rsid w:val="00E64E23"/>
    <w:rsid w:val="00E64EFC"/>
    <w:rsid w:val="00E65349"/>
    <w:rsid w:val="00E653A0"/>
    <w:rsid w:val="00E65A6D"/>
    <w:rsid w:val="00E65F6A"/>
    <w:rsid w:val="00E66022"/>
    <w:rsid w:val="00E661BB"/>
    <w:rsid w:val="00E662DD"/>
    <w:rsid w:val="00E66347"/>
    <w:rsid w:val="00E6642D"/>
    <w:rsid w:val="00E66712"/>
    <w:rsid w:val="00E669D4"/>
    <w:rsid w:val="00E66C00"/>
    <w:rsid w:val="00E66E51"/>
    <w:rsid w:val="00E67109"/>
    <w:rsid w:val="00E6732A"/>
    <w:rsid w:val="00E67A33"/>
    <w:rsid w:val="00E67B17"/>
    <w:rsid w:val="00E67D41"/>
    <w:rsid w:val="00E700F9"/>
    <w:rsid w:val="00E701E8"/>
    <w:rsid w:val="00E7023D"/>
    <w:rsid w:val="00E70602"/>
    <w:rsid w:val="00E70794"/>
    <w:rsid w:val="00E7093F"/>
    <w:rsid w:val="00E70DFC"/>
    <w:rsid w:val="00E70FE6"/>
    <w:rsid w:val="00E71637"/>
    <w:rsid w:val="00E71752"/>
    <w:rsid w:val="00E7175D"/>
    <w:rsid w:val="00E717EC"/>
    <w:rsid w:val="00E718AC"/>
    <w:rsid w:val="00E71AA9"/>
    <w:rsid w:val="00E71BC6"/>
    <w:rsid w:val="00E71C97"/>
    <w:rsid w:val="00E720AF"/>
    <w:rsid w:val="00E723BA"/>
    <w:rsid w:val="00E724C5"/>
    <w:rsid w:val="00E72531"/>
    <w:rsid w:val="00E72C2B"/>
    <w:rsid w:val="00E72D60"/>
    <w:rsid w:val="00E72E1A"/>
    <w:rsid w:val="00E72EC0"/>
    <w:rsid w:val="00E73211"/>
    <w:rsid w:val="00E7360A"/>
    <w:rsid w:val="00E738F7"/>
    <w:rsid w:val="00E739DD"/>
    <w:rsid w:val="00E73C34"/>
    <w:rsid w:val="00E73C51"/>
    <w:rsid w:val="00E73C7C"/>
    <w:rsid w:val="00E73EE0"/>
    <w:rsid w:val="00E743B2"/>
    <w:rsid w:val="00E743E7"/>
    <w:rsid w:val="00E74866"/>
    <w:rsid w:val="00E74895"/>
    <w:rsid w:val="00E7494A"/>
    <w:rsid w:val="00E74A13"/>
    <w:rsid w:val="00E74C3B"/>
    <w:rsid w:val="00E7560B"/>
    <w:rsid w:val="00E7568C"/>
    <w:rsid w:val="00E7582B"/>
    <w:rsid w:val="00E75AAF"/>
    <w:rsid w:val="00E75D76"/>
    <w:rsid w:val="00E7606D"/>
    <w:rsid w:val="00E76737"/>
    <w:rsid w:val="00E767FE"/>
    <w:rsid w:val="00E76F47"/>
    <w:rsid w:val="00E76F4C"/>
    <w:rsid w:val="00E772C9"/>
    <w:rsid w:val="00E77334"/>
    <w:rsid w:val="00E773E0"/>
    <w:rsid w:val="00E7787D"/>
    <w:rsid w:val="00E77AB0"/>
    <w:rsid w:val="00E77AF9"/>
    <w:rsid w:val="00E77C77"/>
    <w:rsid w:val="00E80227"/>
    <w:rsid w:val="00E804D5"/>
    <w:rsid w:val="00E80574"/>
    <w:rsid w:val="00E80D3B"/>
    <w:rsid w:val="00E80E1C"/>
    <w:rsid w:val="00E81130"/>
    <w:rsid w:val="00E818DA"/>
    <w:rsid w:val="00E81B3B"/>
    <w:rsid w:val="00E81FAC"/>
    <w:rsid w:val="00E8212A"/>
    <w:rsid w:val="00E82141"/>
    <w:rsid w:val="00E82348"/>
    <w:rsid w:val="00E82BA1"/>
    <w:rsid w:val="00E82FF6"/>
    <w:rsid w:val="00E83520"/>
    <w:rsid w:val="00E835EE"/>
    <w:rsid w:val="00E836B3"/>
    <w:rsid w:val="00E83A33"/>
    <w:rsid w:val="00E83C3D"/>
    <w:rsid w:val="00E83DBF"/>
    <w:rsid w:val="00E83DC5"/>
    <w:rsid w:val="00E83E1D"/>
    <w:rsid w:val="00E83F5C"/>
    <w:rsid w:val="00E842EE"/>
    <w:rsid w:val="00E844D1"/>
    <w:rsid w:val="00E8481A"/>
    <w:rsid w:val="00E84AD9"/>
    <w:rsid w:val="00E84E45"/>
    <w:rsid w:val="00E84FFD"/>
    <w:rsid w:val="00E8517B"/>
    <w:rsid w:val="00E85671"/>
    <w:rsid w:val="00E868D2"/>
    <w:rsid w:val="00E86DDB"/>
    <w:rsid w:val="00E86EA0"/>
    <w:rsid w:val="00E87072"/>
    <w:rsid w:val="00E872F4"/>
    <w:rsid w:val="00E874C5"/>
    <w:rsid w:val="00E87891"/>
    <w:rsid w:val="00E87B7C"/>
    <w:rsid w:val="00E87DC0"/>
    <w:rsid w:val="00E901D7"/>
    <w:rsid w:val="00E90203"/>
    <w:rsid w:val="00E904A3"/>
    <w:rsid w:val="00E90732"/>
    <w:rsid w:val="00E90979"/>
    <w:rsid w:val="00E90A12"/>
    <w:rsid w:val="00E90AFB"/>
    <w:rsid w:val="00E90D39"/>
    <w:rsid w:val="00E914B7"/>
    <w:rsid w:val="00E91537"/>
    <w:rsid w:val="00E9157D"/>
    <w:rsid w:val="00E91A5A"/>
    <w:rsid w:val="00E91EE9"/>
    <w:rsid w:val="00E91F84"/>
    <w:rsid w:val="00E925EC"/>
    <w:rsid w:val="00E92C66"/>
    <w:rsid w:val="00E93003"/>
    <w:rsid w:val="00E932AF"/>
    <w:rsid w:val="00E93389"/>
    <w:rsid w:val="00E935C2"/>
    <w:rsid w:val="00E939A9"/>
    <w:rsid w:val="00E93DFF"/>
    <w:rsid w:val="00E93E6F"/>
    <w:rsid w:val="00E94526"/>
    <w:rsid w:val="00E946F3"/>
    <w:rsid w:val="00E94C8F"/>
    <w:rsid w:val="00E94CE3"/>
    <w:rsid w:val="00E95083"/>
    <w:rsid w:val="00E95099"/>
    <w:rsid w:val="00E952BB"/>
    <w:rsid w:val="00E95811"/>
    <w:rsid w:val="00E95DA8"/>
    <w:rsid w:val="00E9611A"/>
    <w:rsid w:val="00E96B28"/>
    <w:rsid w:val="00E96E97"/>
    <w:rsid w:val="00E970D0"/>
    <w:rsid w:val="00E974EA"/>
    <w:rsid w:val="00E9799B"/>
    <w:rsid w:val="00E97C0D"/>
    <w:rsid w:val="00E97E01"/>
    <w:rsid w:val="00EA03FD"/>
    <w:rsid w:val="00EA08C9"/>
    <w:rsid w:val="00EA0A35"/>
    <w:rsid w:val="00EA0E90"/>
    <w:rsid w:val="00EA0F8B"/>
    <w:rsid w:val="00EA0FF5"/>
    <w:rsid w:val="00EA1325"/>
    <w:rsid w:val="00EA1612"/>
    <w:rsid w:val="00EA1948"/>
    <w:rsid w:val="00EA1975"/>
    <w:rsid w:val="00EA1E1F"/>
    <w:rsid w:val="00EA20FB"/>
    <w:rsid w:val="00EA223E"/>
    <w:rsid w:val="00EA23FA"/>
    <w:rsid w:val="00EA24BE"/>
    <w:rsid w:val="00EA2D18"/>
    <w:rsid w:val="00EA36D6"/>
    <w:rsid w:val="00EA3840"/>
    <w:rsid w:val="00EA3D2A"/>
    <w:rsid w:val="00EA3E6F"/>
    <w:rsid w:val="00EA3FAF"/>
    <w:rsid w:val="00EA3FB6"/>
    <w:rsid w:val="00EA4251"/>
    <w:rsid w:val="00EA4341"/>
    <w:rsid w:val="00EA439B"/>
    <w:rsid w:val="00EA44CE"/>
    <w:rsid w:val="00EA457A"/>
    <w:rsid w:val="00EA4BEE"/>
    <w:rsid w:val="00EA4DE1"/>
    <w:rsid w:val="00EA55DF"/>
    <w:rsid w:val="00EA56C0"/>
    <w:rsid w:val="00EA592E"/>
    <w:rsid w:val="00EA5A1E"/>
    <w:rsid w:val="00EA5A4E"/>
    <w:rsid w:val="00EA5D87"/>
    <w:rsid w:val="00EA5DA9"/>
    <w:rsid w:val="00EA5EC3"/>
    <w:rsid w:val="00EA6110"/>
    <w:rsid w:val="00EA6201"/>
    <w:rsid w:val="00EA62F2"/>
    <w:rsid w:val="00EA68A6"/>
    <w:rsid w:val="00EA6986"/>
    <w:rsid w:val="00EA69CD"/>
    <w:rsid w:val="00EA6E1A"/>
    <w:rsid w:val="00EA6FB2"/>
    <w:rsid w:val="00EA7171"/>
    <w:rsid w:val="00EA752D"/>
    <w:rsid w:val="00EA75B8"/>
    <w:rsid w:val="00EA7782"/>
    <w:rsid w:val="00EA781B"/>
    <w:rsid w:val="00EA7BFC"/>
    <w:rsid w:val="00EA7EDF"/>
    <w:rsid w:val="00EA7F1C"/>
    <w:rsid w:val="00EA7FF2"/>
    <w:rsid w:val="00EB0290"/>
    <w:rsid w:val="00EB0751"/>
    <w:rsid w:val="00EB0E5A"/>
    <w:rsid w:val="00EB0ECE"/>
    <w:rsid w:val="00EB0F5D"/>
    <w:rsid w:val="00EB0F97"/>
    <w:rsid w:val="00EB1093"/>
    <w:rsid w:val="00EB10B8"/>
    <w:rsid w:val="00EB1220"/>
    <w:rsid w:val="00EB191B"/>
    <w:rsid w:val="00EB1C0C"/>
    <w:rsid w:val="00EB1CDC"/>
    <w:rsid w:val="00EB1DC2"/>
    <w:rsid w:val="00EB2122"/>
    <w:rsid w:val="00EB24DE"/>
    <w:rsid w:val="00EB314C"/>
    <w:rsid w:val="00EB3195"/>
    <w:rsid w:val="00EB3207"/>
    <w:rsid w:val="00EB376F"/>
    <w:rsid w:val="00EB3822"/>
    <w:rsid w:val="00EB3DFC"/>
    <w:rsid w:val="00EB3E73"/>
    <w:rsid w:val="00EB3F38"/>
    <w:rsid w:val="00EB3F83"/>
    <w:rsid w:val="00EB4456"/>
    <w:rsid w:val="00EB4820"/>
    <w:rsid w:val="00EB4A3A"/>
    <w:rsid w:val="00EB515F"/>
    <w:rsid w:val="00EB5414"/>
    <w:rsid w:val="00EB560B"/>
    <w:rsid w:val="00EB5A0D"/>
    <w:rsid w:val="00EB5DEE"/>
    <w:rsid w:val="00EB6143"/>
    <w:rsid w:val="00EB64BF"/>
    <w:rsid w:val="00EB6672"/>
    <w:rsid w:val="00EB66B9"/>
    <w:rsid w:val="00EB672D"/>
    <w:rsid w:val="00EB69C9"/>
    <w:rsid w:val="00EB6DD4"/>
    <w:rsid w:val="00EB6E44"/>
    <w:rsid w:val="00EB6F12"/>
    <w:rsid w:val="00EB6FF3"/>
    <w:rsid w:val="00EB7040"/>
    <w:rsid w:val="00EB7061"/>
    <w:rsid w:val="00EB70C0"/>
    <w:rsid w:val="00EB70DF"/>
    <w:rsid w:val="00EB7340"/>
    <w:rsid w:val="00EB7399"/>
    <w:rsid w:val="00EB76AD"/>
    <w:rsid w:val="00EB79D6"/>
    <w:rsid w:val="00EB7A9F"/>
    <w:rsid w:val="00EB7F01"/>
    <w:rsid w:val="00EC02E2"/>
    <w:rsid w:val="00EC02EA"/>
    <w:rsid w:val="00EC05D5"/>
    <w:rsid w:val="00EC0912"/>
    <w:rsid w:val="00EC0FCA"/>
    <w:rsid w:val="00EC0FF1"/>
    <w:rsid w:val="00EC105E"/>
    <w:rsid w:val="00EC1242"/>
    <w:rsid w:val="00EC1449"/>
    <w:rsid w:val="00EC1969"/>
    <w:rsid w:val="00EC1B36"/>
    <w:rsid w:val="00EC1D34"/>
    <w:rsid w:val="00EC1EDC"/>
    <w:rsid w:val="00EC1F91"/>
    <w:rsid w:val="00EC249D"/>
    <w:rsid w:val="00EC29AB"/>
    <w:rsid w:val="00EC2B82"/>
    <w:rsid w:val="00EC3191"/>
    <w:rsid w:val="00EC3415"/>
    <w:rsid w:val="00EC3829"/>
    <w:rsid w:val="00EC39F2"/>
    <w:rsid w:val="00EC3C90"/>
    <w:rsid w:val="00EC3E1C"/>
    <w:rsid w:val="00EC3F8C"/>
    <w:rsid w:val="00EC4209"/>
    <w:rsid w:val="00EC4429"/>
    <w:rsid w:val="00EC48B6"/>
    <w:rsid w:val="00EC4B96"/>
    <w:rsid w:val="00EC4C39"/>
    <w:rsid w:val="00EC4D59"/>
    <w:rsid w:val="00EC4F2F"/>
    <w:rsid w:val="00EC5086"/>
    <w:rsid w:val="00EC5B74"/>
    <w:rsid w:val="00EC5EAF"/>
    <w:rsid w:val="00EC6394"/>
    <w:rsid w:val="00EC6828"/>
    <w:rsid w:val="00EC6833"/>
    <w:rsid w:val="00EC69E2"/>
    <w:rsid w:val="00EC6C32"/>
    <w:rsid w:val="00EC6EB4"/>
    <w:rsid w:val="00EC6EDE"/>
    <w:rsid w:val="00EC7027"/>
    <w:rsid w:val="00EC7137"/>
    <w:rsid w:val="00EC73A5"/>
    <w:rsid w:val="00EC7401"/>
    <w:rsid w:val="00EC757B"/>
    <w:rsid w:val="00EC769F"/>
    <w:rsid w:val="00EC77E4"/>
    <w:rsid w:val="00EC78E4"/>
    <w:rsid w:val="00EC79F7"/>
    <w:rsid w:val="00EC7F04"/>
    <w:rsid w:val="00ED004A"/>
    <w:rsid w:val="00ED06DF"/>
    <w:rsid w:val="00ED0741"/>
    <w:rsid w:val="00ED08D6"/>
    <w:rsid w:val="00ED0F20"/>
    <w:rsid w:val="00ED11ED"/>
    <w:rsid w:val="00ED133E"/>
    <w:rsid w:val="00ED1744"/>
    <w:rsid w:val="00ED1E16"/>
    <w:rsid w:val="00ED1EBA"/>
    <w:rsid w:val="00ED204F"/>
    <w:rsid w:val="00ED21A0"/>
    <w:rsid w:val="00ED2349"/>
    <w:rsid w:val="00ED2476"/>
    <w:rsid w:val="00ED2695"/>
    <w:rsid w:val="00ED2AF9"/>
    <w:rsid w:val="00ED2B6B"/>
    <w:rsid w:val="00ED2D0A"/>
    <w:rsid w:val="00ED33B7"/>
    <w:rsid w:val="00ED39D0"/>
    <w:rsid w:val="00ED3E38"/>
    <w:rsid w:val="00ED40F4"/>
    <w:rsid w:val="00ED42A7"/>
    <w:rsid w:val="00ED4388"/>
    <w:rsid w:val="00ED44C5"/>
    <w:rsid w:val="00ED4578"/>
    <w:rsid w:val="00ED49D4"/>
    <w:rsid w:val="00ED4ADB"/>
    <w:rsid w:val="00ED53BF"/>
    <w:rsid w:val="00ED5515"/>
    <w:rsid w:val="00ED55A0"/>
    <w:rsid w:val="00ED5852"/>
    <w:rsid w:val="00ED5E39"/>
    <w:rsid w:val="00ED5F93"/>
    <w:rsid w:val="00ED6095"/>
    <w:rsid w:val="00ED6167"/>
    <w:rsid w:val="00ED635C"/>
    <w:rsid w:val="00ED6425"/>
    <w:rsid w:val="00ED6452"/>
    <w:rsid w:val="00ED6A9B"/>
    <w:rsid w:val="00ED7000"/>
    <w:rsid w:val="00ED7171"/>
    <w:rsid w:val="00ED73F1"/>
    <w:rsid w:val="00ED73F7"/>
    <w:rsid w:val="00ED7738"/>
    <w:rsid w:val="00ED7AE1"/>
    <w:rsid w:val="00EE0203"/>
    <w:rsid w:val="00EE0454"/>
    <w:rsid w:val="00EE067B"/>
    <w:rsid w:val="00EE06A9"/>
    <w:rsid w:val="00EE076A"/>
    <w:rsid w:val="00EE095C"/>
    <w:rsid w:val="00EE0ABF"/>
    <w:rsid w:val="00EE0C96"/>
    <w:rsid w:val="00EE1299"/>
    <w:rsid w:val="00EE1312"/>
    <w:rsid w:val="00EE162B"/>
    <w:rsid w:val="00EE1993"/>
    <w:rsid w:val="00EE1AE6"/>
    <w:rsid w:val="00EE1B54"/>
    <w:rsid w:val="00EE1EC4"/>
    <w:rsid w:val="00EE230C"/>
    <w:rsid w:val="00EE2440"/>
    <w:rsid w:val="00EE258D"/>
    <w:rsid w:val="00EE26FC"/>
    <w:rsid w:val="00EE3271"/>
    <w:rsid w:val="00EE34AA"/>
    <w:rsid w:val="00EE3519"/>
    <w:rsid w:val="00EE3AF7"/>
    <w:rsid w:val="00EE3FEA"/>
    <w:rsid w:val="00EE4034"/>
    <w:rsid w:val="00EE41FD"/>
    <w:rsid w:val="00EE429C"/>
    <w:rsid w:val="00EE481F"/>
    <w:rsid w:val="00EE49F1"/>
    <w:rsid w:val="00EE5237"/>
    <w:rsid w:val="00EE52D7"/>
    <w:rsid w:val="00EE5577"/>
    <w:rsid w:val="00EE5A69"/>
    <w:rsid w:val="00EE5BD1"/>
    <w:rsid w:val="00EE5C22"/>
    <w:rsid w:val="00EE5C92"/>
    <w:rsid w:val="00EE5E91"/>
    <w:rsid w:val="00EE62B7"/>
    <w:rsid w:val="00EE63F4"/>
    <w:rsid w:val="00EE6480"/>
    <w:rsid w:val="00EE67A3"/>
    <w:rsid w:val="00EE6A60"/>
    <w:rsid w:val="00EE6B70"/>
    <w:rsid w:val="00EE6BB2"/>
    <w:rsid w:val="00EE6DD1"/>
    <w:rsid w:val="00EE6EA5"/>
    <w:rsid w:val="00EE71F2"/>
    <w:rsid w:val="00EE72BB"/>
    <w:rsid w:val="00EE7556"/>
    <w:rsid w:val="00EE7702"/>
    <w:rsid w:val="00EE77B3"/>
    <w:rsid w:val="00EE7904"/>
    <w:rsid w:val="00EEC7D5"/>
    <w:rsid w:val="00EF0002"/>
    <w:rsid w:val="00EF0299"/>
    <w:rsid w:val="00EF0B3B"/>
    <w:rsid w:val="00EF0BF9"/>
    <w:rsid w:val="00EF0CFC"/>
    <w:rsid w:val="00EF10FD"/>
    <w:rsid w:val="00EF1259"/>
    <w:rsid w:val="00EF21AE"/>
    <w:rsid w:val="00EF2517"/>
    <w:rsid w:val="00EF2789"/>
    <w:rsid w:val="00EF27EE"/>
    <w:rsid w:val="00EF2937"/>
    <w:rsid w:val="00EF2996"/>
    <w:rsid w:val="00EF2A17"/>
    <w:rsid w:val="00EF32F8"/>
    <w:rsid w:val="00EF34AA"/>
    <w:rsid w:val="00EF3666"/>
    <w:rsid w:val="00EF3820"/>
    <w:rsid w:val="00EF3DE9"/>
    <w:rsid w:val="00EF3E4A"/>
    <w:rsid w:val="00EF3F0D"/>
    <w:rsid w:val="00EF409F"/>
    <w:rsid w:val="00EF410C"/>
    <w:rsid w:val="00EF45FA"/>
    <w:rsid w:val="00EF4662"/>
    <w:rsid w:val="00EF48C5"/>
    <w:rsid w:val="00EF4AD7"/>
    <w:rsid w:val="00EF4DE8"/>
    <w:rsid w:val="00EF4FE9"/>
    <w:rsid w:val="00EF5005"/>
    <w:rsid w:val="00EF5331"/>
    <w:rsid w:val="00EF5485"/>
    <w:rsid w:val="00EF5A2D"/>
    <w:rsid w:val="00EF5D51"/>
    <w:rsid w:val="00EF5DE5"/>
    <w:rsid w:val="00EF6028"/>
    <w:rsid w:val="00EF64D1"/>
    <w:rsid w:val="00EF657B"/>
    <w:rsid w:val="00EF6881"/>
    <w:rsid w:val="00EF69CF"/>
    <w:rsid w:val="00EF6A5F"/>
    <w:rsid w:val="00EF6B61"/>
    <w:rsid w:val="00EF6C2C"/>
    <w:rsid w:val="00EF6F06"/>
    <w:rsid w:val="00EF7274"/>
    <w:rsid w:val="00EF784D"/>
    <w:rsid w:val="00EF7E55"/>
    <w:rsid w:val="00EF7F1E"/>
    <w:rsid w:val="00F0004C"/>
    <w:rsid w:val="00F00403"/>
    <w:rsid w:val="00F00607"/>
    <w:rsid w:val="00F0084E"/>
    <w:rsid w:val="00F01118"/>
    <w:rsid w:val="00F015CB"/>
    <w:rsid w:val="00F01682"/>
    <w:rsid w:val="00F017F6"/>
    <w:rsid w:val="00F01964"/>
    <w:rsid w:val="00F01A1F"/>
    <w:rsid w:val="00F01CDC"/>
    <w:rsid w:val="00F01F6E"/>
    <w:rsid w:val="00F01FF5"/>
    <w:rsid w:val="00F0202D"/>
    <w:rsid w:val="00F0226B"/>
    <w:rsid w:val="00F0243B"/>
    <w:rsid w:val="00F0265A"/>
    <w:rsid w:val="00F02702"/>
    <w:rsid w:val="00F03077"/>
    <w:rsid w:val="00F033DF"/>
    <w:rsid w:val="00F03B29"/>
    <w:rsid w:val="00F03B3C"/>
    <w:rsid w:val="00F03BBD"/>
    <w:rsid w:val="00F03D17"/>
    <w:rsid w:val="00F03D3B"/>
    <w:rsid w:val="00F040B2"/>
    <w:rsid w:val="00F04351"/>
    <w:rsid w:val="00F043A0"/>
    <w:rsid w:val="00F04573"/>
    <w:rsid w:val="00F04628"/>
    <w:rsid w:val="00F04674"/>
    <w:rsid w:val="00F04699"/>
    <w:rsid w:val="00F0495E"/>
    <w:rsid w:val="00F04BC5"/>
    <w:rsid w:val="00F04BCB"/>
    <w:rsid w:val="00F04EFE"/>
    <w:rsid w:val="00F04F62"/>
    <w:rsid w:val="00F05044"/>
    <w:rsid w:val="00F0566B"/>
    <w:rsid w:val="00F05911"/>
    <w:rsid w:val="00F05F08"/>
    <w:rsid w:val="00F062A4"/>
    <w:rsid w:val="00F062F0"/>
    <w:rsid w:val="00F06319"/>
    <w:rsid w:val="00F0644F"/>
    <w:rsid w:val="00F064A3"/>
    <w:rsid w:val="00F06685"/>
    <w:rsid w:val="00F06807"/>
    <w:rsid w:val="00F06A0C"/>
    <w:rsid w:val="00F06F00"/>
    <w:rsid w:val="00F06FCF"/>
    <w:rsid w:val="00F07264"/>
    <w:rsid w:val="00F07FCE"/>
    <w:rsid w:val="00F10043"/>
    <w:rsid w:val="00F10860"/>
    <w:rsid w:val="00F10FE1"/>
    <w:rsid w:val="00F116F3"/>
    <w:rsid w:val="00F11831"/>
    <w:rsid w:val="00F11D7C"/>
    <w:rsid w:val="00F11DE3"/>
    <w:rsid w:val="00F120F4"/>
    <w:rsid w:val="00F1219F"/>
    <w:rsid w:val="00F121D0"/>
    <w:rsid w:val="00F12277"/>
    <w:rsid w:val="00F1271C"/>
    <w:rsid w:val="00F12808"/>
    <w:rsid w:val="00F12EF6"/>
    <w:rsid w:val="00F12FCA"/>
    <w:rsid w:val="00F131D0"/>
    <w:rsid w:val="00F1332D"/>
    <w:rsid w:val="00F13585"/>
    <w:rsid w:val="00F1369E"/>
    <w:rsid w:val="00F136C3"/>
    <w:rsid w:val="00F13B85"/>
    <w:rsid w:val="00F13BD3"/>
    <w:rsid w:val="00F13C66"/>
    <w:rsid w:val="00F13D33"/>
    <w:rsid w:val="00F13FA0"/>
    <w:rsid w:val="00F13FCA"/>
    <w:rsid w:val="00F1400C"/>
    <w:rsid w:val="00F1455E"/>
    <w:rsid w:val="00F14591"/>
    <w:rsid w:val="00F14763"/>
    <w:rsid w:val="00F14AA7"/>
    <w:rsid w:val="00F14D42"/>
    <w:rsid w:val="00F14DC0"/>
    <w:rsid w:val="00F14F4D"/>
    <w:rsid w:val="00F152C7"/>
    <w:rsid w:val="00F155D7"/>
    <w:rsid w:val="00F1565D"/>
    <w:rsid w:val="00F15785"/>
    <w:rsid w:val="00F15EBD"/>
    <w:rsid w:val="00F163EF"/>
    <w:rsid w:val="00F163F9"/>
    <w:rsid w:val="00F16505"/>
    <w:rsid w:val="00F167F3"/>
    <w:rsid w:val="00F16B89"/>
    <w:rsid w:val="00F16E92"/>
    <w:rsid w:val="00F173AC"/>
    <w:rsid w:val="00F17908"/>
    <w:rsid w:val="00F17D0B"/>
    <w:rsid w:val="00F17D62"/>
    <w:rsid w:val="00F17FD0"/>
    <w:rsid w:val="00F2055C"/>
    <w:rsid w:val="00F208D1"/>
    <w:rsid w:val="00F20BD7"/>
    <w:rsid w:val="00F20C81"/>
    <w:rsid w:val="00F20CFF"/>
    <w:rsid w:val="00F2153D"/>
    <w:rsid w:val="00F21B41"/>
    <w:rsid w:val="00F21D36"/>
    <w:rsid w:val="00F22159"/>
    <w:rsid w:val="00F22266"/>
    <w:rsid w:val="00F227E5"/>
    <w:rsid w:val="00F228C6"/>
    <w:rsid w:val="00F229CD"/>
    <w:rsid w:val="00F22DBC"/>
    <w:rsid w:val="00F23249"/>
    <w:rsid w:val="00F235A9"/>
    <w:rsid w:val="00F2395E"/>
    <w:rsid w:val="00F23A42"/>
    <w:rsid w:val="00F240B2"/>
    <w:rsid w:val="00F24455"/>
    <w:rsid w:val="00F246D0"/>
    <w:rsid w:val="00F247BA"/>
    <w:rsid w:val="00F249E7"/>
    <w:rsid w:val="00F25039"/>
    <w:rsid w:val="00F251F4"/>
    <w:rsid w:val="00F25520"/>
    <w:rsid w:val="00F2583B"/>
    <w:rsid w:val="00F2587C"/>
    <w:rsid w:val="00F25CCF"/>
    <w:rsid w:val="00F25D06"/>
    <w:rsid w:val="00F26080"/>
    <w:rsid w:val="00F26227"/>
    <w:rsid w:val="00F26A32"/>
    <w:rsid w:val="00F26CCC"/>
    <w:rsid w:val="00F2751E"/>
    <w:rsid w:val="00F27EA1"/>
    <w:rsid w:val="00F3039E"/>
    <w:rsid w:val="00F30514"/>
    <w:rsid w:val="00F30519"/>
    <w:rsid w:val="00F305FC"/>
    <w:rsid w:val="00F30662"/>
    <w:rsid w:val="00F30A65"/>
    <w:rsid w:val="00F30DC2"/>
    <w:rsid w:val="00F310B0"/>
    <w:rsid w:val="00F31271"/>
    <w:rsid w:val="00F312E8"/>
    <w:rsid w:val="00F3140E"/>
    <w:rsid w:val="00F31415"/>
    <w:rsid w:val="00F314F6"/>
    <w:rsid w:val="00F318D8"/>
    <w:rsid w:val="00F31A47"/>
    <w:rsid w:val="00F31CB6"/>
    <w:rsid w:val="00F32047"/>
    <w:rsid w:val="00F323B9"/>
    <w:rsid w:val="00F32F26"/>
    <w:rsid w:val="00F3311E"/>
    <w:rsid w:val="00F336D5"/>
    <w:rsid w:val="00F3377E"/>
    <w:rsid w:val="00F33A67"/>
    <w:rsid w:val="00F33C47"/>
    <w:rsid w:val="00F34540"/>
    <w:rsid w:val="00F3464F"/>
    <w:rsid w:val="00F34678"/>
    <w:rsid w:val="00F34696"/>
    <w:rsid w:val="00F3492C"/>
    <w:rsid w:val="00F35254"/>
    <w:rsid w:val="00F35539"/>
    <w:rsid w:val="00F35598"/>
    <w:rsid w:val="00F35600"/>
    <w:rsid w:val="00F3574B"/>
    <w:rsid w:val="00F35B89"/>
    <w:rsid w:val="00F35E38"/>
    <w:rsid w:val="00F35E8E"/>
    <w:rsid w:val="00F364D8"/>
    <w:rsid w:val="00F36714"/>
    <w:rsid w:val="00F36836"/>
    <w:rsid w:val="00F36A37"/>
    <w:rsid w:val="00F36BB9"/>
    <w:rsid w:val="00F3701C"/>
    <w:rsid w:val="00F375AF"/>
    <w:rsid w:val="00F375C8"/>
    <w:rsid w:val="00F37D64"/>
    <w:rsid w:val="00F37FC2"/>
    <w:rsid w:val="00F400EB"/>
    <w:rsid w:val="00F403C5"/>
    <w:rsid w:val="00F403D6"/>
    <w:rsid w:val="00F4045B"/>
    <w:rsid w:val="00F404DE"/>
    <w:rsid w:val="00F40635"/>
    <w:rsid w:val="00F40791"/>
    <w:rsid w:val="00F4099C"/>
    <w:rsid w:val="00F40D7F"/>
    <w:rsid w:val="00F40F18"/>
    <w:rsid w:val="00F40F81"/>
    <w:rsid w:val="00F40FDE"/>
    <w:rsid w:val="00F414B3"/>
    <w:rsid w:val="00F416E9"/>
    <w:rsid w:val="00F41CE2"/>
    <w:rsid w:val="00F420C7"/>
    <w:rsid w:val="00F4253D"/>
    <w:rsid w:val="00F4290F"/>
    <w:rsid w:val="00F42A7B"/>
    <w:rsid w:val="00F42B48"/>
    <w:rsid w:val="00F42BF7"/>
    <w:rsid w:val="00F42D87"/>
    <w:rsid w:val="00F430A4"/>
    <w:rsid w:val="00F43401"/>
    <w:rsid w:val="00F4365B"/>
    <w:rsid w:val="00F43749"/>
    <w:rsid w:val="00F438B4"/>
    <w:rsid w:val="00F43B97"/>
    <w:rsid w:val="00F442F2"/>
    <w:rsid w:val="00F44459"/>
    <w:rsid w:val="00F44614"/>
    <w:rsid w:val="00F44618"/>
    <w:rsid w:val="00F44A7F"/>
    <w:rsid w:val="00F44BFA"/>
    <w:rsid w:val="00F44C39"/>
    <w:rsid w:val="00F4568B"/>
    <w:rsid w:val="00F459CB"/>
    <w:rsid w:val="00F460BD"/>
    <w:rsid w:val="00F460DC"/>
    <w:rsid w:val="00F46111"/>
    <w:rsid w:val="00F46502"/>
    <w:rsid w:val="00F469D2"/>
    <w:rsid w:val="00F46E58"/>
    <w:rsid w:val="00F46EF6"/>
    <w:rsid w:val="00F47065"/>
    <w:rsid w:val="00F470B0"/>
    <w:rsid w:val="00F47198"/>
    <w:rsid w:val="00F47228"/>
    <w:rsid w:val="00F47A37"/>
    <w:rsid w:val="00F47AFE"/>
    <w:rsid w:val="00F47BC6"/>
    <w:rsid w:val="00F47C39"/>
    <w:rsid w:val="00F47EBB"/>
    <w:rsid w:val="00F503ED"/>
    <w:rsid w:val="00F5055A"/>
    <w:rsid w:val="00F505D6"/>
    <w:rsid w:val="00F50609"/>
    <w:rsid w:val="00F50950"/>
    <w:rsid w:val="00F50A5A"/>
    <w:rsid w:val="00F50B7E"/>
    <w:rsid w:val="00F511F7"/>
    <w:rsid w:val="00F512BD"/>
    <w:rsid w:val="00F514D7"/>
    <w:rsid w:val="00F515B8"/>
    <w:rsid w:val="00F517A2"/>
    <w:rsid w:val="00F51B96"/>
    <w:rsid w:val="00F51C79"/>
    <w:rsid w:val="00F51CE9"/>
    <w:rsid w:val="00F51D2C"/>
    <w:rsid w:val="00F51E77"/>
    <w:rsid w:val="00F524A7"/>
    <w:rsid w:val="00F52669"/>
    <w:rsid w:val="00F527BB"/>
    <w:rsid w:val="00F52EF6"/>
    <w:rsid w:val="00F5336E"/>
    <w:rsid w:val="00F536EF"/>
    <w:rsid w:val="00F5383C"/>
    <w:rsid w:val="00F53853"/>
    <w:rsid w:val="00F538F1"/>
    <w:rsid w:val="00F53C42"/>
    <w:rsid w:val="00F53D32"/>
    <w:rsid w:val="00F53E78"/>
    <w:rsid w:val="00F55488"/>
    <w:rsid w:val="00F55565"/>
    <w:rsid w:val="00F55930"/>
    <w:rsid w:val="00F5605B"/>
    <w:rsid w:val="00F562AE"/>
    <w:rsid w:val="00F5643A"/>
    <w:rsid w:val="00F56D83"/>
    <w:rsid w:val="00F56F95"/>
    <w:rsid w:val="00F56F9C"/>
    <w:rsid w:val="00F56FC0"/>
    <w:rsid w:val="00F5736C"/>
    <w:rsid w:val="00F57374"/>
    <w:rsid w:val="00F574C8"/>
    <w:rsid w:val="00F5757B"/>
    <w:rsid w:val="00F578F9"/>
    <w:rsid w:val="00F57A66"/>
    <w:rsid w:val="00F57A6C"/>
    <w:rsid w:val="00F57E38"/>
    <w:rsid w:val="00F602AF"/>
    <w:rsid w:val="00F604FD"/>
    <w:rsid w:val="00F605FE"/>
    <w:rsid w:val="00F606D2"/>
    <w:rsid w:val="00F609F2"/>
    <w:rsid w:val="00F60B36"/>
    <w:rsid w:val="00F6123A"/>
    <w:rsid w:val="00F612F6"/>
    <w:rsid w:val="00F615CC"/>
    <w:rsid w:val="00F616F6"/>
    <w:rsid w:val="00F618CA"/>
    <w:rsid w:val="00F619E7"/>
    <w:rsid w:val="00F61E0A"/>
    <w:rsid w:val="00F62121"/>
    <w:rsid w:val="00F62291"/>
    <w:rsid w:val="00F623FC"/>
    <w:rsid w:val="00F62564"/>
    <w:rsid w:val="00F6265A"/>
    <w:rsid w:val="00F626C2"/>
    <w:rsid w:val="00F62A55"/>
    <w:rsid w:val="00F62B5C"/>
    <w:rsid w:val="00F62D72"/>
    <w:rsid w:val="00F6305B"/>
    <w:rsid w:val="00F63562"/>
    <w:rsid w:val="00F63684"/>
    <w:rsid w:val="00F63A2E"/>
    <w:rsid w:val="00F63CE7"/>
    <w:rsid w:val="00F63DCC"/>
    <w:rsid w:val="00F64092"/>
    <w:rsid w:val="00F64269"/>
    <w:rsid w:val="00F645D3"/>
    <w:rsid w:val="00F6485F"/>
    <w:rsid w:val="00F64915"/>
    <w:rsid w:val="00F64D0C"/>
    <w:rsid w:val="00F65035"/>
    <w:rsid w:val="00F65121"/>
    <w:rsid w:val="00F655A1"/>
    <w:rsid w:val="00F66B31"/>
    <w:rsid w:val="00F66EAC"/>
    <w:rsid w:val="00F67235"/>
    <w:rsid w:val="00F676F3"/>
    <w:rsid w:val="00F678B3"/>
    <w:rsid w:val="00F67AB7"/>
    <w:rsid w:val="00F67D6E"/>
    <w:rsid w:val="00F67FB8"/>
    <w:rsid w:val="00F67FC9"/>
    <w:rsid w:val="00F68AFA"/>
    <w:rsid w:val="00F70784"/>
    <w:rsid w:val="00F70A8E"/>
    <w:rsid w:val="00F70AAD"/>
    <w:rsid w:val="00F70B2D"/>
    <w:rsid w:val="00F70E9A"/>
    <w:rsid w:val="00F71047"/>
    <w:rsid w:val="00F71537"/>
    <w:rsid w:val="00F71658"/>
    <w:rsid w:val="00F71CF3"/>
    <w:rsid w:val="00F71EE0"/>
    <w:rsid w:val="00F71FD3"/>
    <w:rsid w:val="00F724BA"/>
    <w:rsid w:val="00F72843"/>
    <w:rsid w:val="00F73155"/>
    <w:rsid w:val="00F732AC"/>
    <w:rsid w:val="00F733AA"/>
    <w:rsid w:val="00F73556"/>
    <w:rsid w:val="00F73875"/>
    <w:rsid w:val="00F73C12"/>
    <w:rsid w:val="00F73D5E"/>
    <w:rsid w:val="00F73E36"/>
    <w:rsid w:val="00F73FD3"/>
    <w:rsid w:val="00F744E3"/>
    <w:rsid w:val="00F745CC"/>
    <w:rsid w:val="00F74AF1"/>
    <w:rsid w:val="00F74E37"/>
    <w:rsid w:val="00F74FAC"/>
    <w:rsid w:val="00F7513A"/>
    <w:rsid w:val="00F75245"/>
    <w:rsid w:val="00F7531E"/>
    <w:rsid w:val="00F75712"/>
    <w:rsid w:val="00F757A6"/>
    <w:rsid w:val="00F75989"/>
    <w:rsid w:val="00F75D93"/>
    <w:rsid w:val="00F76551"/>
    <w:rsid w:val="00F76703"/>
    <w:rsid w:val="00F768BF"/>
    <w:rsid w:val="00F76AF3"/>
    <w:rsid w:val="00F76D66"/>
    <w:rsid w:val="00F76F51"/>
    <w:rsid w:val="00F771D7"/>
    <w:rsid w:val="00F7726F"/>
    <w:rsid w:val="00F773FF"/>
    <w:rsid w:val="00F774A7"/>
    <w:rsid w:val="00F77828"/>
    <w:rsid w:val="00F77928"/>
    <w:rsid w:val="00F77ACC"/>
    <w:rsid w:val="00F77D4E"/>
    <w:rsid w:val="00F8044F"/>
    <w:rsid w:val="00F806C6"/>
    <w:rsid w:val="00F808AC"/>
    <w:rsid w:val="00F80A1F"/>
    <w:rsid w:val="00F80AD7"/>
    <w:rsid w:val="00F8138C"/>
    <w:rsid w:val="00F81B21"/>
    <w:rsid w:val="00F82001"/>
    <w:rsid w:val="00F821D4"/>
    <w:rsid w:val="00F8249E"/>
    <w:rsid w:val="00F8277B"/>
    <w:rsid w:val="00F82826"/>
    <w:rsid w:val="00F82B32"/>
    <w:rsid w:val="00F82B97"/>
    <w:rsid w:val="00F82C4B"/>
    <w:rsid w:val="00F82E71"/>
    <w:rsid w:val="00F82E9D"/>
    <w:rsid w:val="00F82EFD"/>
    <w:rsid w:val="00F8335C"/>
    <w:rsid w:val="00F83586"/>
    <w:rsid w:val="00F838AB"/>
    <w:rsid w:val="00F84487"/>
    <w:rsid w:val="00F8469A"/>
    <w:rsid w:val="00F846CE"/>
    <w:rsid w:val="00F847E4"/>
    <w:rsid w:val="00F8487B"/>
    <w:rsid w:val="00F84C8B"/>
    <w:rsid w:val="00F85094"/>
    <w:rsid w:val="00F854C1"/>
    <w:rsid w:val="00F857C0"/>
    <w:rsid w:val="00F859EA"/>
    <w:rsid w:val="00F85A4B"/>
    <w:rsid w:val="00F85BEE"/>
    <w:rsid w:val="00F85C09"/>
    <w:rsid w:val="00F85C8E"/>
    <w:rsid w:val="00F85F88"/>
    <w:rsid w:val="00F8625A"/>
    <w:rsid w:val="00F8627A"/>
    <w:rsid w:val="00F86AE0"/>
    <w:rsid w:val="00F86C33"/>
    <w:rsid w:val="00F86FB2"/>
    <w:rsid w:val="00F86FC9"/>
    <w:rsid w:val="00F87052"/>
    <w:rsid w:val="00F87153"/>
    <w:rsid w:val="00F874A0"/>
    <w:rsid w:val="00F87A1A"/>
    <w:rsid w:val="00F90868"/>
    <w:rsid w:val="00F90A33"/>
    <w:rsid w:val="00F90B61"/>
    <w:rsid w:val="00F911BE"/>
    <w:rsid w:val="00F91747"/>
    <w:rsid w:val="00F920F9"/>
    <w:rsid w:val="00F921D0"/>
    <w:rsid w:val="00F926C6"/>
    <w:rsid w:val="00F92733"/>
    <w:rsid w:val="00F927A1"/>
    <w:rsid w:val="00F92DA8"/>
    <w:rsid w:val="00F92E90"/>
    <w:rsid w:val="00F931D8"/>
    <w:rsid w:val="00F93450"/>
    <w:rsid w:val="00F9361E"/>
    <w:rsid w:val="00F93886"/>
    <w:rsid w:val="00F93D16"/>
    <w:rsid w:val="00F94533"/>
    <w:rsid w:val="00F9464E"/>
    <w:rsid w:val="00F946EF"/>
    <w:rsid w:val="00F94BA2"/>
    <w:rsid w:val="00F94BC3"/>
    <w:rsid w:val="00F94F30"/>
    <w:rsid w:val="00F951E7"/>
    <w:rsid w:val="00F95508"/>
    <w:rsid w:val="00F95764"/>
    <w:rsid w:val="00F959CF"/>
    <w:rsid w:val="00F95AC4"/>
    <w:rsid w:val="00F95E16"/>
    <w:rsid w:val="00F9660D"/>
    <w:rsid w:val="00F9676D"/>
    <w:rsid w:val="00F96A61"/>
    <w:rsid w:val="00F96B6C"/>
    <w:rsid w:val="00F96B80"/>
    <w:rsid w:val="00F96E5F"/>
    <w:rsid w:val="00F9751F"/>
    <w:rsid w:val="00F97546"/>
    <w:rsid w:val="00F97624"/>
    <w:rsid w:val="00F976ED"/>
    <w:rsid w:val="00F97822"/>
    <w:rsid w:val="00F97A9F"/>
    <w:rsid w:val="00F97EE6"/>
    <w:rsid w:val="00FA0174"/>
    <w:rsid w:val="00FA024D"/>
    <w:rsid w:val="00FA05BE"/>
    <w:rsid w:val="00FA071E"/>
    <w:rsid w:val="00FA0A84"/>
    <w:rsid w:val="00FA1032"/>
    <w:rsid w:val="00FA1051"/>
    <w:rsid w:val="00FA1385"/>
    <w:rsid w:val="00FA13C4"/>
    <w:rsid w:val="00FA14AC"/>
    <w:rsid w:val="00FA1632"/>
    <w:rsid w:val="00FA1724"/>
    <w:rsid w:val="00FA1A01"/>
    <w:rsid w:val="00FA1A4A"/>
    <w:rsid w:val="00FA1AB4"/>
    <w:rsid w:val="00FA1BBB"/>
    <w:rsid w:val="00FA1ECF"/>
    <w:rsid w:val="00FA2001"/>
    <w:rsid w:val="00FA2285"/>
    <w:rsid w:val="00FA24A6"/>
    <w:rsid w:val="00FA258F"/>
    <w:rsid w:val="00FA282B"/>
    <w:rsid w:val="00FA2BCF"/>
    <w:rsid w:val="00FA2E57"/>
    <w:rsid w:val="00FA30A2"/>
    <w:rsid w:val="00FA3216"/>
    <w:rsid w:val="00FA3246"/>
    <w:rsid w:val="00FA347F"/>
    <w:rsid w:val="00FA3A6B"/>
    <w:rsid w:val="00FA4303"/>
    <w:rsid w:val="00FA46A4"/>
    <w:rsid w:val="00FA48E4"/>
    <w:rsid w:val="00FA4F49"/>
    <w:rsid w:val="00FA511E"/>
    <w:rsid w:val="00FA51EE"/>
    <w:rsid w:val="00FA5218"/>
    <w:rsid w:val="00FA568E"/>
    <w:rsid w:val="00FA5739"/>
    <w:rsid w:val="00FA57BB"/>
    <w:rsid w:val="00FA5AF6"/>
    <w:rsid w:val="00FA5C67"/>
    <w:rsid w:val="00FA5D82"/>
    <w:rsid w:val="00FA604C"/>
    <w:rsid w:val="00FA6AEA"/>
    <w:rsid w:val="00FA6F44"/>
    <w:rsid w:val="00FA6F8A"/>
    <w:rsid w:val="00FA6FD3"/>
    <w:rsid w:val="00FA715D"/>
    <w:rsid w:val="00FA719A"/>
    <w:rsid w:val="00FA73FB"/>
    <w:rsid w:val="00FA7543"/>
    <w:rsid w:val="00FA7671"/>
    <w:rsid w:val="00FA78E2"/>
    <w:rsid w:val="00FA79F5"/>
    <w:rsid w:val="00FA7F10"/>
    <w:rsid w:val="00FB02AC"/>
    <w:rsid w:val="00FB0458"/>
    <w:rsid w:val="00FB0FAB"/>
    <w:rsid w:val="00FB0FDE"/>
    <w:rsid w:val="00FB15B4"/>
    <w:rsid w:val="00FB1CFD"/>
    <w:rsid w:val="00FB1F0E"/>
    <w:rsid w:val="00FB222A"/>
    <w:rsid w:val="00FB2548"/>
    <w:rsid w:val="00FB2686"/>
    <w:rsid w:val="00FB269B"/>
    <w:rsid w:val="00FB26FD"/>
    <w:rsid w:val="00FB2C2F"/>
    <w:rsid w:val="00FB3393"/>
    <w:rsid w:val="00FB44C3"/>
    <w:rsid w:val="00FB470E"/>
    <w:rsid w:val="00FB4CE6"/>
    <w:rsid w:val="00FB557E"/>
    <w:rsid w:val="00FB5709"/>
    <w:rsid w:val="00FB5A90"/>
    <w:rsid w:val="00FB5AC2"/>
    <w:rsid w:val="00FB5B59"/>
    <w:rsid w:val="00FB5BFC"/>
    <w:rsid w:val="00FB5CB7"/>
    <w:rsid w:val="00FB5CF4"/>
    <w:rsid w:val="00FB61B7"/>
    <w:rsid w:val="00FB6201"/>
    <w:rsid w:val="00FB63DF"/>
    <w:rsid w:val="00FB64E8"/>
    <w:rsid w:val="00FB67E4"/>
    <w:rsid w:val="00FB6A8B"/>
    <w:rsid w:val="00FB6B23"/>
    <w:rsid w:val="00FB6F5B"/>
    <w:rsid w:val="00FB77E9"/>
    <w:rsid w:val="00FB7812"/>
    <w:rsid w:val="00FB7A07"/>
    <w:rsid w:val="00FB7F79"/>
    <w:rsid w:val="00FC031F"/>
    <w:rsid w:val="00FC0700"/>
    <w:rsid w:val="00FC0715"/>
    <w:rsid w:val="00FC12FE"/>
    <w:rsid w:val="00FC131C"/>
    <w:rsid w:val="00FC1449"/>
    <w:rsid w:val="00FC1A31"/>
    <w:rsid w:val="00FC1B6F"/>
    <w:rsid w:val="00FC23EB"/>
    <w:rsid w:val="00FC28AA"/>
    <w:rsid w:val="00FC2901"/>
    <w:rsid w:val="00FC29CE"/>
    <w:rsid w:val="00FC2AF0"/>
    <w:rsid w:val="00FC32FA"/>
    <w:rsid w:val="00FC336B"/>
    <w:rsid w:val="00FC3479"/>
    <w:rsid w:val="00FC3543"/>
    <w:rsid w:val="00FC38D1"/>
    <w:rsid w:val="00FC3BDC"/>
    <w:rsid w:val="00FC3D1E"/>
    <w:rsid w:val="00FC3F5E"/>
    <w:rsid w:val="00FC4544"/>
    <w:rsid w:val="00FC4803"/>
    <w:rsid w:val="00FC4D3D"/>
    <w:rsid w:val="00FC4D64"/>
    <w:rsid w:val="00FC4F8B"/>
    <w:rsid w:val="00FC4FF4"/>
    <w:rsid w:val="00FC5214"/>
    <w:rsid w:val="00FC530D"/>
    <w:rsid w:val="00FC53AE"/>
    <w:rsid w:val="00FC5528"/>
    <w:rsid w:val="00FC56AC"/>
    <w:rsid w:val="00FC589C"/>
    <w:rsid w:val="00FC58E1"/>
    <w:rsid w:val="00FC5C50"/>
    <w:rsid w:val="00FC5CCE"/>
    <w:rsid w:val="00FC6154"/>
    <w:rsid w:val="00FC61E9"/>
    <w:rsid w:val="00FC6378"/>
    <w:rsid w:val="00FC6A73"/>
    <w:rsid w:val="00FC6B97"/>
    <w:rsid w:val="00FC6CD3"/>
    <w:rsid w:val="00FC6FBC"/>
    <w:rsid w:val="00FC73FF"/>
    <w:rsid w:val="00FC7AA1"/>
    <w:rsid w:val="00FC7B12"/>
    <w:rsid w:val="00FC7B74"/>
    <w:rsid w:val="00FC7CF7"/>
    <w:rsid w:val="00FC7E1A"/>
    <w:rsid w:val="00FC7EDD"/>
    <w:rsid w:val="00FC7FDD"/>
    <w:rsid w:val="00FD0098"/>
    <w:rsid w:val="00FD06EF"/>
    <w:rsid w:val="00FD081C"/>
    <w:rsid w:val="00FD09D4"/>
    <w:rsid w:val="00FD0B83"/>
    <w:rsid w:val="00FD0C52"/>
    <w:rsid w:val="00FD0DAF"/>
    <w:rsid w:val="00FD0F41"/>
    <w:rsid w:val="00FD0F7B"/>
    <w:rsid w:val="00FD1204"/>
    <w:rsid w:val="00FD13EE"/>
    <w:rsid w:val="00FD1B36"/>
    <w:rsid w:val="00FD20B8"/>
    <w:rsid w:val="00FD20C7"/>
    <w:rsid w:val="00FD2A51"/>
    <w:rsid w:val="00FD2DFB"/>
    <w:rsid w:val="00FD2E0D"/>
    <w:rsid w:val="00FD3383"/>
    <w:rsid w:val="00FD3551"/>
    <w:rsid w:val="00FD3CC0"/>
    <w:rsid w:val="00FD3D88"/>
    <w:rsid w:val="00FD3F7A"/>
    <w:rsid w:val="00FD4122"/>
    <w:rsid w:val="00FD53A7"/>
    <w:rsid w:val="00FD5613"/>
    <w:rsid w:val="00FD599A"/>
    <w:rsid w:val="00FD5F33"/>
    <w:rsid w:val="00FD623B"/>
    <w:rsid w:val="00FD63B5"/>
    <w:rsid w:val="00FD63DA"/>
    <w:rsid w:val="00FD6E30"/>
    <w:rsid w:val="00FD6F7A"/>
    <w:rsid w:val="00FD71EA"/>
    <w:rsid w:val="00FD73F8"/>
    <w:rsid w:val="00FD78F3"/>
    <w:rsid w:val="00FD7E43"/>
    <w:rsid w:val="00FD7F44"/>
    <w:rsid w:val="00FE012F"/>
    <w:rsid w:val="00FE0144"/>
    <w:rsid w:val="00FE03C0"/>
    <w:rsid w:val="00FE054B"/>
    <w:rsid w:val="00FE073D"/>
    <w:rsid w:val="00FE0786"/>
    <w:rsid w:val="00FE1133"/>
    <w:rsid w:val="00FE12FE"/>
    <w:rsid w:val="00FE13CF"/>
    <w:rsid w:val="00FE148B"/>
    <w:rsid w:val="00FE1A01"/>
    <w:rsid w:val="00FE1B59"/>
    <w:rsid w:val="00FE1BDF"/>
    <w:rsid w:val="00FE1C44"/>
    <w:rsid w:val="00FE1FF8"/>
    <w:rsid w:val="00FE206B"/>
    <w:rsid w:val="00FE2103"/>
    <w:rsid w:val="00FE2527"/>
    <w:rsid w:val="00FE254F"/>
    <w:rsid w:val="00FE28D2"/>
    <w:rsid w:val="00FE2BDC"/>
    <w:rsid w:val="00FE2CB7"/>
    <w:rsid w:val="00FE305F"/>
    <w:rsid w:val="00FE35D4"/>
    <w:rsid w:val="00FE363E"/>
    <w:rsid w:val="00FE37CC"/>
    <w:rsid w:val="00FE38CC"/>
    <w:rsid w:val="00FE3DD2"/>
    <w:rsid w:val="00FE3EC7"/>
    <w:rsid w:val="00FE429E"/>
    <w:rsid w:val="00FE47D6"/>
    <w:rsid w:val="00FE48D0"/>
    <w:rsid w:val="00FE5104"/>
    <w:rsid w:val="00FE5109"/>
    <w:rsid w:val="00FE53B1"/>
    <w:rsid w:val="00FE5620"/>
    <w:rsid w:val="00FE58AF"/>
    <w:rsid w:val="00FE5A86"/>
    <w:rsid w:val="00FE5CF0"/>
    <w:rsid w:val="00FE5F09"/>
    <w:rsid w:val="00FE6154"/>
    <w:rsid w:val="00FE63BE"/>
    <w:rsid w:val="00FE6814"/>
    <w:rsid w:val="00FE682E"/>
    <w:rsid w:val="00FE6B77"/>
    <w:rsid w:val="00FE6EE4"/>
    <w:rsid w:val="00FE72DD"/>
    <w:rsid w:val="00FE792F"/>
    <w:rsid w:val="00FE7F08"/>
    <w:rsid w:val="00FE7FD0"/>
    <w:rsid w:val="00FF00BD"/>
    <w:rsid w:val="00FF081E"/>
    <w:rsid w:val="00FF08C7"/>
    <w:rsid w:val="00FF0E19"/>
    <w:rsid w:val="00FF0FA6"/>
    <w:rsid w:val="00FF12EE"/>
    <w:rsid w:val="00FF13BE"/>
    <w:rsid w:val="00FF14F6"/>
    <w:rsid w:val="00FF1742"/>
    <w:rsid w:val="00FF182C"/>
    <w:rsid w:val="00FF18FE"/>
    <w:rsid w:val="00FF19F6"/>
    <w:rsid w:val="00FF1E53"/>
    <w:rsid w:val="00FF2113"/>
    <w:rsid w:val="00FF240B"/>
    <w:rsid w:val="00FF292B"/>
    <w:rsid w:val="00FF2B2B"/>
    <w:rsid w:val="00FF2C24"/>
    <w:rsid w:val="00FF2FFD"/>
    <w:rsid w:val="00FF30EB"/>
    <w:rsid w:val="00FF34AF"/>
    <w:rsid w:val="00FF35D9"/>
    <w:rsid w:val="00FF388A"/>
    <w:rsid w:val="00FF38DA"/>
    <w:rsid w:val="00FF3D73"/>
    <w:rsid w:val="00FF3E04"/>
    <w:rsid w:val="00FF3E86"/>
    <w:rsid w:val="00FF4149"/>
    <w:rsid w:val="00FF416A"/>
    <w:rsid w:val="00FF4262"/>
    <w:rsid w:val="00FF438D"/>
    <w:rsid w:val="00FF44E9"/>
    <w:rsid w:val="00FF484F"/>
    <w:rsid w:val="00FF4989"/>
    <w:rsid w:val="00FF51AA"/>
    <w:rsid w:val="00FF52CF"/>
    <w:rsid w:val="00FF53E0"/>
    <w:rsid w:val="00FF548E"/>
    <w:rsid w:val="00FF5524"/>
    <w:rsid w:val="00FF596B"/>
    <w:rsid w:val="00FF5CBC"/>
    <w:rsid w:val="00FF5EA3"/>
    <w:rsid w:val="00FF60C9"/>
    <w:rsid w:val="00FF60DA"/>
    <w:rsid w:val="00FF6381"/>
    <w:rsid w:val="00FF6401"/>
    <w:rsid w:val="00FF640F"/>
    <w:rsid w:val="00FF670F"/>
    <w:rsid w:val="00FF69BF"/>
    <w:rsid w:val="00FF6B1C"/>
    <w:rsid w:val="00FF74F0"/>
    <w:rsid w:val="00FF7B09"/>
    <w:rsid w:val="00FF7D64"/>
    <w:rsid w:val="0100FD81"/>
    <w:rsid w:val="011FED6A"/>
    <w:rsid w:val="01274B53"/>
    <w:rsid w:val="01462273"/>
    <w:rsid w:val="01475102"/>
    <w:rsid w:val="0150689F"/>
    <w:rsid w:val="015716DF"/>
    <w:rsid w:val="015DBD61"/>
    <w:rsid w:val="015E4E50"/>
    <w:rsid w:val="01633BE6"/>
    <w:rsid w:val="016A79C5"/>
    <w:rsid w:val="016DE907"/>
    <w:rsid w:val="0170B3FA"/>
    <w:rsid w:val="017764CB"/>
    <w:rsid w:val="017F0D2E"/>
    <w:rsid w:val="019747C6"/>
    <w:rsid w:val="0199D630"/>
    <w:rsid w:val="019A3348"/>
    <w:rsid w:val="01A76363"/>
    <w:rsid w:val="01D14C2E"/>
    <w:rsid w:val="01EC5B5E"/>
    <w:rsid w:val="01FE54E7"/>
    <w:rsid w:val="02098CDA"/>
    <w:rsid w:val="022B8FC5"/>
    <w:rsid w:val="02300A41"/>
    <w:rsid w:val="02323BA1"/>
    <w:rsid w:val="0247896F"/>
    <w:rsid w:val="025F854B"/>
    <w:rsid w:val="02743EF0"/>
    <w:rsid w:val="0284AF7E"/>
    <w:rsid w:val="0286BD01"/>
    <w:rsid w:val="028F9B0B"/>
    <w:rsid w:val="029BC2F7"/>
    <w:rsid w:val="029E50ED"/>
    <w:rsid w:val="02A59F7B"/>
    <w:rsid w:val="02AEA738"/>
    <w:rsid w:val="02E06F73"/>
    <w:rsid w:val="02ED1982"/>
    <w:rsid w:val="02FD7B1F"/>
    <w:rsid w:val="03153F4C"/>
    <w:rsid w:val="031E3B4A"/>
    <w:rsid w:val="03572147"/>
    <w:rsid w:val="035C219E"/>
    <w:rsid w:val="03626A4E"/>
    <w:rsid w:val="037F95AE"/>
    <w:rsid w:val="03822670"/>
    <w:rsid w:val="03896B99"/>
    <w:rsid w:val="039121E7"/>
    <w:rsid w:val="0399F242"/>
    <w:rsid w:val="039C594A"/>
    <w:rsid w:val="03A6472D"/>
    <w:rsid w:val="03BDAFE3"/>
    <w:rsid w:val="03CE01AB"/>
    <w:rsid w:val="03D13FBA"/>
    <w:rsid w:val="03E0DC39"/>
    <w:rsid w:val="03E16DA6"/>
    <w:rsid w:val="03E67196"/>
    <w:rsid w:val="03E950E6"/>
    <w:rsid w:val="03EA20EC"/>
    <w:rsid w:val="03EE6764"/>
    <w:rsid w:val="03F954DB"/>
    <w:rsid w:val="0408088F"/>
    <w:rsid w:val="040D92B2"/>
    <w:rsid w:val="0418A9AC"/>
    <w:rsid w:val="041AA4A0"/>
    <w:rsid w:val="0433064C"/>
    <w:rsid w:val="04334F59"/>
    <w:rsid w:val="045091F9"/>
    <w:rsid w:val="046D2835"/>
    <w:rsid w:val="04802180"/>
    <w:rsid w:val="048FC572"/>
    <w:rsid w:val="0491AB02"/>
    <w:rsid w:val="04D2AD36"/>
    <w:rsid w:val="04F63CBA"/>
    <w:rsid w:val="04F8E540"/>
    <w:rsid w:val="04FE5E49"/>
    <w:rsid w:val="05002070"/>
    <w:rsid w:val="05038B50"/>
    <w:rsid w:val="0513BA1B"/>
    <w:rsid w:val="0519D22A"/>
    <w:rsid w:val="051C25CD"/>
    <w:rsid w:val="052E867C"/>
    <w:rsid w:val="053F3840"/>
    <w:rsid w:val="055AADA1"/>
    <w:rsid w:val="055EABB2"/>
    <w:rsid w:val="0561D759"/>
    <w:rsid w:val="058EB823"/>
    <w:rsid w:val="059A360B"/>
    <w:rsid w:val="059FEA5B"/>
    <w:rsid w:val="05AB7C22"/>
    <w:rsid w:val="05AFF2E6"/>
    <w:rsid w:val="05BFFB2C"/>
    <w:rsid w:val="05E77DCE"/>
    <w:rsid w:val="05EFA746"/>
    <w:rsid w:val="061AD53F"/>
    <w:rsid w:val="06263792"/>
    <w:rsid w:val="0629CFA6"/>
    <w:rsid w:val="06317D99"/>
    <w:rsid w:val="06365A81"/>
    <w:rsid w:val="064703C2"/>
    <w:rsid w:val="064DE175"/>
    <w:rsid w:val="0661F388"/>
    <w:rsid w:val="06638B89"/>
    <w:rsid w:val="06657E16"/>
    <w:rsid w:val="06685031"/>
    <w:rsid w:val="066AC578"/>
    <w:rsid w:val="06704743"/>
    <w:rsid w:val="06770DDD"/>
    <w:rsid w:val="067A80E9"/>
    <w:rsid w:val="068268C0"/>
    <w:rsid w:val="06829F9C"/>
    <w:rsid w:val="068C11CA"/>
    <w:rsid w:val="068C89EF"/>
    <w:rsid w:val="0697F903"/>
    <w:rsid w:val="069C6D7C"/>
    <w:rsid w:val="06A7EA4B"/>
    <w:rsid w:val="06B4537F"/>
    <w:rsid w:val="06CB8978"/>
    <w:rsid w:val="06D9EC50"/>
    <w:rsid w:val="06F70D27"/>
    <w:rsid w:val="06FB41C5"/>
    <w:rsid w:val="070BEAF7"/>
    <w:rsid w:val="070C4B54"/>
    <w:rsid w:val="07195F31"/>
    <w:rsid w:val="07238F03"/>
    <w:rsid w:val="072CD326"/>
    <w:rsid w:val="0731C221"/>
    <w:rsid w:val="0735243B"/>
    <w:rsid w:val="073E7462"/>
    <w:rsid w:val="074D1E20"/>
    <w:rsid w:val="074E2A72"/>
    <w:rsid w:val="07585E7E"/>
    <w:rsid w:val="076C95C3"/>
    <w:rsid w:val="07720DCB"/>
    <w:rsid w:val="07755CCB"/>
    <w:rsid w:val="0777B661"/>
    <w:rsid w:val="07825823"/>
    <w:rsid w:val="07A366DC"/>
    <w:rsid w:val="07B0DC45"/>
    <w:rsid w:val="07C0C562"/>
    <w:rsid w:val="07DCFD15"/>
    <w:rsid w:val="07DD1870"/>
    <w:rsid w:val="0811088B"/>
    <w:rsid w:val="08280C25"/>
    <w:rsid w:val="082E269C"/>
    <w:rsid w:val="08331652"/>
    <w:rsid w:val="083678F0"/>
    <w:rsid w:val="083E03E6"/>
    <w:rsid w:val="084654D7"/>
    <w:rsid w:val="084F8A86"/>
    <w:rsid w:val="085E3ED3"/>
    <w:rsid w:val="086F09E3"/>
    <w:rsid w:val="087FBA71"/>
    <w:rsid w:val="0881C2B3"/>
    <w:rsid w:val="089925F9"/>
    <w:rsid w:val="08B1AE2C"/>
    <w:rsid w:val="08B49BC7"/>
    <w:rsid w:val="08B95B49"/>
    <w:rsid w:val="08C6BE7F"/>
    <w:rsid w:val="08C8A72C"/>
    <w:rsid w:val="08CAB795"/>
    <w:rsid w:val="08D15780"/>
    <w:rsid w:val="08D5F69E"/>
    <w:rsid w:val="08EDA2CF"/>
    <w:rsid w:val="08F2E9CB"/>
    <w:rsid w:val="09019F33"/>
    <w:rsid w:val="09048CC5"/>
    <w:rsid w:val="090BD699"/>
    <w:rsid w:val="09150BEC"/>
    <w:rsid w:val="092F4ECB"/>
    <w:rsid w:val="0934B797"/>
    <w:rsid w:val="093AB55F"/>
    <w:rsid w:val="094927B5"/>
    <w:rsid w:val="094A438B"/>
    <w:rsid w:val="094DA37F"/>
    <w:rsid w:val="0951EE03"/>
    <w:rsid w:val="0956471C"/>
    <w:rsid w:val="095C3436"/>
    <w:rsid w:val="095F659A"/>
    <w:rsid w:val="096FD8D1"/>
    <w:rsid w:val="098CF683"/>
    <w:rsid w:val="09965626"/>
    <w:rsid w:val="099D1ED8"/>
    <w:rsid w:val="09A39FF4"/>
    <w:rsid w:val="09A72586"/>
    <w:rsid w:val="09B5DF1F"/>
    <w:rsid w:val="09C0498D"/>
    <w:rsid w:val="09CEAF09"/>
    <w:rsid w:val="09ED5ACA"/>
    <w:rsid w:val="09F9EBF7"/>
    <w:rsid w:val="0A028523"/>
    <w:rsid w:val="0A1548EF"/>
    <w:rsid w:val="0A2A2CF5"/>
    <w:rsid w:val="0A3CACFF"/>
    <w:rsid w:val="0A4D1210"/>
    <w:rsid w:val="0A53C5B3"/>
    <w:rsid w:val="0A5AED7D"/>
    <w:rsid w:val="0A5B4834"/>
    <w:rsid w:val="0A679B84"/>
    <w:rsid w:val="0A68B77B"/>
    <w:rsid w:val="0A75813C"/>
    <w:rsid w:val="0A8D10EA"/>
    <w:rsid w:val="0A9910D4"/>
    <w:rsid w:val="0A9E6BAB"/>
    <w:rsid w:val="0A9E93AB"/>
    <w:rsid w:val="0A9F78FB"/>
    <w:rsid w:val="0AAC99A9"/>
    <w:rsid w:val="0AAFA561"/>
    <w:rsid w:val="0ABA888B"/>
    <w:rsid w:val="0AC5935A"/>
    <w:rsid w:val="0ACD2D59"/>
    <w:rsid w:val="0AD18C41"/>
    <w:rsid w:val="0ADECFED"/>
    <w:rsid w:val="0ADF7F18"/>
    <w:rsid w:val="0AE7D72B"/>
    <w:rsid w:val="0AEA97C3"/>
    <w:rsid w:val="0AEF4281"/>
    <w:rsid w:val="0AF9345E"/>
    <w:rsid w:val="0B004A3D"/>
    <w:rsid w:val="0B03F304"/>
    <w:rsid w:val="0B1158A6"/>
    <w:rsid w:val="0B12BD27"/>
    <w:rsid w:val="0B2468EB"/>
    <w:rsid w:val="0B282D98"/>
    <w:rsid w:val="0B32BFAE"/>
    <w:rsid w:val="0B48B54F"/>
    <w:rsid w:val="0B4901E0"/>
    <w:rsid w:val="0B76F66D"/>
    <w:rsid w:val="0B86CF5F"/>
    <w:rsid w:val="0B8776C6"/>
    <w:rsid w:val="0BA2B6FF"/>
    <w:rsid w:val="0BA4A162"/>
    <w:rsid w:val="0BAD44F8"/>
    <w:rsid w:val="0BB37E59"/>
    <w:rsid w:val="0BB836D2"/>
    <w:rsid w:val="0BB887F8"/>
    <w:rsid w:val="0BBA117F"/>
    <w:rsid w:val="0BDDD46A"/>
    <w:rsid w:val="0BDF3D84"/>
    <w:rsid w:val="0BE33FE9"/>
    <w:rsid w:val="0BFF7A36"/>
    <w:rsid w:val="0C05E271"/>
    <w:rsid w:val="0C2497CC"/>
    <w:rsid w:val="0C265DE6"/>
    <w:rsid w:val="0C2C42D1"/>
    <w:rsid w:val="0C3780DD"/>
    <w:rsid w:val="0C3FB158"/>
    <w:rsid w:val="0C5498D7"/>
    <w:rsid w:val="0C652154"/>
    <w:rsid w:val="0C6BF129"/>
    <w:rsid w:val="0C71A490"/>
    <w:rsid w:val="0C75FBB3"/>
    <w:rsid w:val="0C828C25"/>
    <w:rsid w:val="0C853E79"/>
    <w:rsid w:val="0C91E81E"/>
    <w:rsid w:val="0C957D04"/>
    <w:rsid w:val="0C95AC5A"/>
    <w:rsid w:val="0C9BE321"/>
    <w:rsid w:val="0CA0C2F8"/>
    <w:rsid w:val="0CA851ED"/>
    <w:rsid w:val="0CB6ACE4"/>
    <w:rsid w:val="0CD3CBDD"/>
    <w:rsid w:val="0CD596BD"/>
    <w:rsid w:val="0CE1330E"/>
    <w:rsid w:val="0CE2F202"/>
    <w:rsid w:val="0CE4C647"/>
    <w:rsid w:val="0CEC3F57"/>
    <w:rsid w:val="0D03FFCC"/>
    <w:rsid w:val="0D1348E0"/>
    <w:rsid w:val="0D2A34EC"/>
    <w:rsid w:val="0D2D5C74"/>
    <w:rsid w:val="0D2E918C"/>
    <w:rsid w:val="0D3F3CD6"/>
    <w:rsid w:val="0D40E7DB"/>
    <w:rsid w:val="0D53C07C"/>
    <w:rsid w:val="0D74EA06"/>
    <w:rsid w:val="0D7D59CC"/>
    <w:rsid w:val="0D870596"/>
    <w:rsid w:val="0DA0E77D"/>
    <w:rsid w:val="0DA6577D"/>
    <w:rsid w:val="0DB9D76C"/>
    <w:rsid w:val="0DCDBA44"/>
    <w:rsid w:val="0DD32513"/>
    <w:rsid w:val="0DE96219"/>
    <w:rsid w:val="0DEED10D"/>
    <w:rsid w:val="0E05B724"/>
    <w:rsid w:val="0E1460BB"/>
    <w:rsid w:val="0E1464BD"/>
    <w:rsid w:val="0E309ABA"/>
    <w:rsid w:val="0E3871F1"/>
    <w:rsid w:val="0E3EFC06"/>
    <w:rsid w:val="0E7C76E8"/>
    <w:rsid w:val="0EB52204"/>
    <w:rsid w:val="0EB8120B"/>
    <w:rsid w:val="0EB95EB0"/>
    <w:rsid w:val="0EC29B92"/>
    <w:rsid w:val="0ECCBDA8"/>
    <w:rsid w:val="0EDC7F79"/>
    <w:rsid w:val="0EDF7DFA"/>
    <w:rsid w:val="0EE5B96F"/>
    <w:rsid w:val="0F0BA442"/>
    <w:rsid w:val="0F20E9F4"/>
    <w:rsid w:val="0F33E615"/>
    <w:rsid w:val="0F4ACAE6"/>
    <w:rsid w:val="0F4B58CE"/>
    <w:rsid w:val="0F816C98"/>
    <w:rsid w:val="0F827B50"/>
    <w:rsid w:val="0F9C5CE2"/>
    <w:rsid w:val="0FA2F437"/>
    <w:rsid w:val="0FB687AA"/>
    <w:rsid w:val="0FC74E0D"/>
    <w:rsid w:val="0FC97305"/>
    <w:rsid w:val="0FCA7C2A"/>
    <w:rsid w:val="0FD1661A"/>
    <w:rsid w:val="0FDA83CC"/>
    <w:rsid w:val="10068636"/>
    <w:rsid w:val="1017C4C7"/>
    <w:rsid w:val="1022BB16"/>
    <w:rsid w:val="1022DE9F"/>
    <w:rsid w:val="1033DC0D"/>
    <w:rsid w:val="10370292"/>
    <w:rsid w:val="103B66AB"/>
    <w:rsid w:val="103CC406"/>
    <w:rsid w:val="103E34BF"/>
    <w:rsid w:val="103E4A94"/>
    <w:rsid w:val="103E4E95"/>
    <w:rsid w:val="1047984B"/>
    <w:rsid w:val="104CE877"/>
    <w:rsid w:val="1050FF7E"/>
    <w:rsid w:val="105543EC"/>
    <w:rsid w:val="105621A4"/>
    <w:rsid w:val="107A7AA3"/>
    <w:rsid w:val="10899E6D"/>
    <w:rsid w:val="10A37519"/>
    <w:rsid w:val="10AF2089"/>
    <w:rsid w:val="10B1E310"/>
    <w:rsid w:val="10D1A8ED"/>
    <w:rsid w:val="10EF0C95"/>
    <w:rsid w:val="10EFC6F3"/>
    <w:rsid w:val="110DC30D"/>
    <w:rsid w:val="1117F3DE"/>
    <w:rsid w:val="111BEAF6"/>
    <w:rsid w:val="111FE44B"/>
    <w:rsid w:val="112BDEB3"/>
    <w:rsid w:val="11420F3B"/>
    <w:rsid w:val="1145B4AF"/>
    <w:rsid w:val="11521AE9"/>
    <w:rsid w:val="1153FF69"/>
    <w:rsid w:val="1170E12D"/>
    <w:rsid w:val="118026EF"/>
    <w:rsid w:val="118142BF"/>
    <w:rsid w:val="11843121"/>
    <w:rsid w:val="118468D1"/>
    <w:rsid w:val="118516E0"/>
    <w:rsid w:val="118B26AB"/>
    <w:rsid w:val="1190E542"/>
    <w:rsid w:val="1195D6BE"/>
    <w:rsid w:val="119A0977"/>
    <w:rsid w:val="11A7D941"/>
    <w:rsid w:val="11A9BA11"/>
    <w:rsid w:val="11B32E7E"/>
    <w:rsid w:val="11C09E65"/>
    <w:rsid w:val="11D6B327"/>
    <w:rsid w:val="11E6FE03"/>
    <w:rsid w:val="11EAF91E"/>
    <w:rsid w:val="12095507"/>
    <w:rsid w:val="122059B4"/>
    <w:rsid w:val="1239A4A6"/>
    <w:rsid w:val="123BAAF0"/>
    <w:rsid w:val="124895CC"/>
    <w:rsid w:val="1258CA32"/>
    <w:rsid w:val="128AFA43"/>
    <w:rsid w:val="128BA2BD"/>
    <w:rsid w:val="1299554D"/>
    <w:rsid w:val="12A1B6CC"/>
    <w:rsid w:val="12A3389C"/>
    <w:rsid w:val="12A4E8B6"/>
    <w:rsid w:val="12AB77B3"/>
    <w:rsid w:val="12B2C78B"/>
    <w:rsid w:val="12B3C9E0"/>
    <w:rsid w:val="12D87681"/>
    <w:rsid w:val="12DB3CBC"/>
    <w:rsid w:val="12DF1AAA"/>
    <w:rsid w:val="12F112BD"/>
    <w:rsid w:val="1311874D"/>
    <w:rsid w:val="131C9C74"/>
    <w:rsid w:val="13292969"/>
    <w:rsid w:val="133E5E08"/>
    <w:rsid w:val="1362C627"/>
    <w:rsid w:val="136A53B4"/>
    <w:rsid w:val="137C6B6F"/>
    <w:rsid w:val="1380B574"/>
    <w:rsid w:val="13811B16"/>
    <w:rsid w:val="13915F1F"/>
    <w:rsid w:val="139E92CA"/>
    <w:rsid w:val="13A4FC11"/>
    <w:rsid w:val="13AD1C88"/>
    <w:rsid w:val="13B149A2"/>
    <w:rsid w:val="13BBF383"/>
    <w:rsid w:val="13BDFFA5"/>
    <w:rsid w:val="13D67ADC"/>
    <w:rsid w:val="13DE9475"/>
    <w:rsid w:val="13E971CE"/>
    <w:rsid w:val="13F01870"/>
    <w:rsid w:val="1402E6DE"/>
    <w:rsid w:val="1414D11B"/>
    <w:rsid w:val="1428F9C7"/>
    <w:rsid w:val="142BA103"/>
    <w:rsid w:val="144F66ED"/>
    <w:rsid w:val="14541634"/>
    <w:rsid w:val="145D7A0F"/>
    <w:rsid w:val="146BD0F0"/>
    <w:rsid w:val="147FEFE4"/>
    <w:rsid w:val="1488016E"/>
    <w:rsid w:val="148809D6"/>
    <w:rsid w:val="148DD412"/>
    <w:rsid w:val="1493ED05"/>
    <w:rsid w:val="149558BF"/>
    <w:rsid w:val="149E42CD"/>
    <w:rsid w:val="14A49C1E"/>
    <w:rsid w:val="14B604B4"/>
    <w:rsid w:val="14C70410"/>
    <w:rsid w:val="14CED51E"/>
    <w:rsid w:val="15056831"/>
    <w:rsid w:val="15108604"/>
    <w:rsid w:val="151E65B4"/>
    <w:rsid w:val="1534680B"/>
    <w:rsid w:val="15408CF6"/>
    <w:rsid w:val="15898367"/>
    <w:rsid w:val="158C3280"/>
    <w:rsid w:val="15B51ED4"/>
    <w:rsid w:val="15C15C86"/>
    <w:rsid w:val="15CF2B0C"/>
    <w:rsid w:val="15D400AA"/>
    <w:rsid w:val="15DD55D4"/>
    <w:rsid w:val="15EC8993"/>
    <w:rsid w:val="15EE6E4C"/>
    <w:rsid w:val="160395E5"/>
    <w:rsid w:val="1609A5CC"/>
    <w:rsid w:val="160DB806"/>
    <w:rsid w:val="16178CB4"/>
    <w:rsid w:val="1627AABD"/>
    <w:rsid w:val="16285756"/>
    <w:rsid w:val="162D143C"/>
    <w:rsid w:val="1636F6E2"/>
    <w:rsid w:val="163C5644"/>
    <w:rsid w:val="16488EBC"/>
    <w:rsid w:val="1665DCC5"/>
    <w:rsid w:val="166E71A0"/>
    <w:rsid w:val="1678EDE1"/>
    <w:rsid w:val="1693E279"/>
    <w:rsid w:val="16BC7A7E"/>
    <w:rsid w:val="16BF9815"/>
    <w:rsid w:val="16DA6E7E"/>
    <w:rsid w:val="16FBAF83"/>
    <w:rsid w:val="17266E50"/>
    <w:rsid w:val="174C8E7F"/>
    <w:rsid w:val="175B6A20"/>
    <w:rsid w:val="17649178"/>
    <w:rsid w:val="177DFA1B"/>
    <w:rsid w:val="178753E6"/>
    <w:rsid w:val="179AF6DB"/>
    <w:rsid w:val="179DCD57"/>
    <w:rsid w:val="17A7F4C2"/>
    <w:rsid w:val="17C9D412"/>
    <w:rsid w:val="17CDF85A"/>
    <w:rsid w:val="17D72159"/>
    <w:rsid w:val="17E2E01C"/>
    <w:rsid w:val="17ED5F31"/>
    <w:rsid w:val="17EEEAC9"/>
    <w:rsid w:val="180AFB41"/>
    <w:rsid w:val="182284BC"/>
    <w:rsid w:val="18305216"/>
    <w:rsid w:val="183C49AC"/>
    <w:rsid w:val="1845FE5A"/>
    <w:rsid w:val="185246E2"/>
    <w:rsid w:val="1857896F"/>
    <w:rsid w:val="1896FFB4"/>
    <w:rsid w:val="18AD4DB5"/>
    <w:rsid w:val="18B55D61"/>
    <w:rsid w:val="18B77577"/>
    <w:rsid w:val="18B9B7FF"/>
    <w:rsid w:val="18C06535"/>
    <w:rsid w:val="18C12ADB"/>
    <w:rsid w:val="18C3710A"/>
    <w:rsid w:val="18E5C9F5"/>
    <w:rsid w:val="18EB72F9"/>
    <w:rsid w:val="18F08715"/>
    <w:rsid w:val="1908E6E8"/>
    <w:rsid w:val="190BDEE4"/>
    <w:rsid w:val="191208AB"/>
    <w:rsid w:val="19362B15"/>
    <w:rsid w:val="19421D90"/>
    <w:rsid w:val="1945FDA6"/>
    <w:rsid w:val="1956C77C"/>
    <w:rsid w:val="19745337"/>
    <w:rsid w:val="197B20BC"/>
    <w:rsid w:val="197F5D7B"/>
    <w:rsid w:val="1982AE97"/>
    <w:rsid w:val="19A4C37A"/>
    <w:rsid w:val="19C65D2F"/>
    <w:rsid w:val="19C9D272"/>
    <w:rsid w:val="19DDCF26"/>
    <w:rsid w:val="19E7E83B"/>
    <w:rsid w:val="19FAAF72"/>
    <w:rsid w:val="1A00AE31"/>
    <w:rsid w:val="1A074806"/>
    <w:rsid w:val="1A170C69"/>
    <w:rsid w:val="1A1CF617"/>
    <w:rsid w:val="1A2C3741"/>
    <w:rsid w:val="1A39F717"/>
    <w:rsid w:val="1A4242EC"/>
    <w:rsid w:val="1A477765"/>
    <w:rsid w:val="1A4DC7C7"/>
    <w:rsid w:val="1A5F337F"/>
    <w:rsid w:val="1A6A613F"/>
    <w:rsid w:val="1A72A3E0"/>
    <w:rsid w:val="1A72EF8A"/>
    <w:rsid w:val="1A88117A"/>
    <w:rsid w:val="1A8C298E"/>
    <w:rsid w:val="1A8F388D"/>
    <w:rsid w:val="1A99037A"/>
    <w:rsid w:val="1A9A7AEC"/>
    <w:rsid w:val="1AA4B328"/>
    <w:rsid w:val="1AB0954B"/>
    <w:rsid w:val="1ABF843B"/>
    <w:rsid w:val="1AC45851"/>
    <w:rsid w:val="1AC4DDEE"/>
    <w:rsid w:val="1AF89279"/>
    <w:rsid w:val="1B0A4431"/>
    <w:rsid w:val="1B325D38"/>
    <w:rsid w:val="1B691EA8"/>
    <w:rsid w:val="1B8B8D69"/>
    <w:rsid w:val="1BA3D11C"/>
    <w:rsid w:val="1BBA371E"/>
    <w:rsid w:val="1BC2B218"/>
    <w:rsid w:val="1BD32C14"/>
    <w:rsid w:val="1BD6C5FC"/>
    <w:rsid w:val="1BDEEB95"/>
    <w:rsid w:val="1BE1D519"/>
    <w:rsid w:val="1BE74DD0"/>
    <w:rsid w:val="1BFE8485"/>
    <w:rsid w:val="1C06729E"/>
    <w:rsid w:val="1C1E43C1"/>
    <w:rsid w:val="1C2E1135"/>
    <w:rsid w:val="1C33A795"/>
    <w:rsid w:val="1C350259"/>
    <w:rsid w:val="1C50612C"/>
    <w:rsid w:val="1C54A1A5"/>
    <w:rsid w:val="1C559CC1"/>
    <w:rsid w:val="1C687ADF"/>
    <w:rsid w:val="1C7271CD"/>
    <w:rsid w:val="1C885C4B"/>
    <w:rsid w:val="1C88FDBF"/>
    <w:rsid w:val="1C8CA2BC"/>
    <w:rsid w:val="1C9781FA"/>
    <w:rsid w:val="1CBB5F2B"/>
    <w:rsid w:val="1CD11FEA"/>
    <w:rsid w:val="1CE8F51D"/>
    <w:rsid w:val="1CEBF7FE"/>
    <w:rsid w:val="1D1014AA"/>
    <w:rsid w:val="1D17C8DD"/>
    <w:rsid w:val="1D36A87D"/>
    <w:rsid w:val="1D3D075E"/>
    <w:rsid w:val="1D4FA795"/>
    <w:rsid w:val="1D53D838"/>
    <w:rsid w:val="1D661535"/>
    <w:rsid w:val="1D6AA488"/>
    <w:rsid w:val="1D6C6830"/>
    <w:rsid w:val="1D6E5B7E"/>
    <w:rsid w:val="1D75E85A"/>
    <w:rsid w:val="1D766C39"/>
    <w:rsid w:val="1D8752BE"/>
    <w:rsid w:val="1D8E5E2A"/>
    <w:rsid w:val="1D929FF8"/>
    <w:rsid w:val="1DA34C5A"/>
    <w:rsid w:val="1DA351A5"/>
    <w:rsid w:val="1DA3F2DA"/>
    <w:rsid w:val="1DA7A92D"/>
    <w:rsid w:val="1DB2CD11"/>
    <w:rsid w:val="1DB7926E"/>
    <w:rsid w:val="1DBC809E"/>
    <w:rsid w:val="1DBFC5F0"/>
    <w:rsid w:val="1DC3F6CC"/>
    <w:rsid w:val="1DE33829"/>
    <w:rsid w:val="1DF91AAB"/>
    <w:rsid w:val="1E0F6D6B"/>
    <w:rsid w:val="1E156660"/>
    <w:rsid w:val="1E183722"/>
    <w:rsid w:val="1E3DA811"/>
    <w:rsid w:val="1E3F283D"/>
    <w:rsid w:val="1E55236C"/>
    <w:rsid w:val="1E5C0E7E"/>
    <w:rsid w:val="1E69BB82"/>
    <w:rsid w:val="1EAECFAC"/>
    <w:rsid w:val="1EB5229C"/>
    <w:rsid w:val="1EC30374"/>
    <w:rsid w:val="1ED70B0D"/>
    <w:rsid w:val="1EE75725"/>
    <w:rsid w:val="1EE89543"/>
    <w:rsid w:val="1F010DED"/>
    <w:rsid w:val="1F09B722"/>
    <w:rsid w:val="1F108786"/>
    <w:rsid w:val="1F1AD22B"/>
    <w:rsid w:val="1F2072F1"/>
    <w:rsid w:val="1F25597E"/>
    <w:rsid w:val="1F2C9439"/>
    <w:rsid w:val="1F2E2F70"/>
    <w:rsid w:val="1F2FB763"/>
    <w:rsid w:val="1F34042A"/>
    <w:rsid w:val="1F38357D"/>
    <w:rsid w:val="1F472EDB"/>
    <w:rsid w:val="1F4A4657"/>
    <w:rsid w:val="1F507698"/>
    <w:rsid w:val="1F582C38"/>
    <w:rsid w:val="1F5836BE"/>
    <w:rsid w:val="1F5CB8E5"/>
    <w:rsid w:val="1F61A029"/>
    <w:rsid w:val="1F67FDB4"/>
    <w:rsid w:val="1F71F55C"/>
    <w:rsid w:val="1F85C6CB"/>
    <w:rsid w:val="1F9DE1DD"/>
    <w:rsid w:val="1FA41393"/>
    <w:rsid w:val="1FA71C6D"/>
    <w:rsid w:val="1FB010BD"/>
    <w:rsid w:val="1FCFD94E"/>
    <w:rsid w:val="1FD6B5EB"/>
    <w:rsid w:val="1FD8FF3D"/>
    <w:rsid w:val="1FDBFEB9"/>
    <w:rsid w:val="1FDDC15F"/>
    <w:rsid w:val="1FE4AF87"/>
    <w:rsid w:val="1FF836F9"/>
    <w:rsid w:val="1FFFC2D0"/>
    <w:rsid w:val="2006E353"/>
    <w:rsid w:val="20238AFC"/>
    <w:rsid w:val="202DF5DE"/>
    <w:rsid w:val="2031CB57"/>
    <w:rsid w:val="20388B2D"/>
    <w:rsid w:val="203B1CD3"/>
    <w:rsid w:val="2041D26D"/>
    <w:rsid w:val="205583A8"/>
    <w:rsid w:val="205CB38C"/>
    <w:rsid w:val="2064D924"/>
    <w:rsid w:val="207119E9"/>
    <w:rsid w:val="20A95737"/>
    <w:rsid w:val="20B2A66F"/>
    <w:rsid w:val="20BA309A"/>
    <w:rsid w:val="20BE8DC2"/>
    <w:rsid w:val="20D6034C"/>
    <w:rsid w:val="20D88EDE"/>
    <w:rsid w:val="20F58C24"/>
    <w:rsid w:val="21133D6F"/>
    <w:rsid w:val="2121C33E"/>
    <w:rsid w:val="21252525"/>
    <w:rsid w:val="212EE3F0"/>
    <w:rsid w:val="21399DA9"/>
    <w:rsid w:val="213A5450"/>
    <w:rsid w:val="21436435"/>
    <w:rsid w:val="216C075F"/>
    <w:rsid w:val="21828FC3"/>
    <w:rsid w:val="2183CD92"/>
    <w:rsid w:val="2190AF64"/>
    <w:rsid w:val="219D6CAE"/>
    <w:rsid w:val="21A17D07"/>
    <w:rsid w:val="21E5D5BB"/>
    <w:rsid w:val="21EFA431"/>
    <w:rsid w:val="221CED5A"/>
    <w:rsid w:val="221F4F7A"/>
    <w:rsid w:val="22280A9A"/>
    <w:rsid w:val="222E99F5"/>
    <w:rsid w:val="223907FA"/>
    <w:rsid w:val="223DFCA1"/>
    <w:rsid w:val="2241FA10"/>
    <w:rsid w:val="22428CB4"/>
    <w:rsid w:val="22439575"/>
    <w:rsid w:val="224A363D"/>
    <w:rsid w:val="224A3D19"/>
    <w:rsid w:val="224FF577"/>
    <w:rsid w:val="226712E4"/>
    <w:rsid w:val="226F8DFF"/>
    <w:rsid w:val="2271B544"/>
    <w:rsid w:val="2285DC6D"/>
    <w:rsid w:val="22896FFA"/>
    <w:rsid w:val="228B1EAD"/>
    <w:rsid w:val="228E666E"/>
    <w:rsid w:val="22951CC8"/>
    <w:rsid w:val="22993182"/>
    <w:rsid w:val="22AAE3D9"/>
    <w:rsid w:val="22AB2C79"/>
    <w:rsid w:val="22C6DF52"/>
    <w:rsid w:val="22CFB021"/>
    <w:rsid w:val="22D130D7"/>
    <w:rsid w:val="22E7FEE6"/>
    <w:rsid w:val="22F0C759"/>
    <w:rsid w:val="2315B509"/>
    <w:rsid w:val="2318E440"/>
    <w:rsid w:val="232E283F"/>
    <w:rsid w:val="23423B0F"/>
    <w:rsid w:val="238152E5"/>
    <w:rsid w:val="238D71A5"/>
    <w:rsid w:val="2399ADA1"/>
    <w:rsid w:val="23A8B1AC"/>
    <w:rsid w:val="23A9A0C0"/>
    <w:rsid w:val="23BA0716"/>
    <w:rsid w:val="23BBBB72"/>
    <w:rsid w:val="23D877C0"/>
    <w:rsid w:val="23DAD24F"/>
    <w:rsid w:val="23DE973C"/>
    <w:rsid w:val="23EABA64"/>
    <w:rsid w:val="23F1DDFE"/>
    <w:rsid w:val="23F4B7DB"/>
    <w:rsid w:val="23FF8C4F"/>
    <w:rsid w:val="242D39B2"/>
    <w:rsid w:val="2439BD69"/>
    <w:rsid w:val="244046AE"/>
    <w:rsid w:val="2446887A"/>
    <w:rsid w:val="245B84A2"/>
    <w:rsid w:val="2470DE2E"/>
    <w:rsid w:val="24776810"/>
    <w:rsid w:val="248972B7"/>
    <w:rsid w:val="248E8DA8"/>
    <w:rsid w:val="248F4952"/>
    <w:rsid w:val="2499661A"/>
    <w:rsid w:val="249D3AF0"/>
    <w:rsid w:val="24C4FC86"/>
    <w:rsid w:val="24D01094"/>
    <w:rsid w:val="24D955C4"/>
    <w:rsid w:val="24D977D8"/>
    <w:rsid w:val="24E777E9"/>
    <w:rsid w:val="24F54468"/>
    <w:rsid w:val="24FF400F"/>
    <w:rsid w:val="2503F699"/>
    <w:rsid w:val="2503FE3E"/>
    <w:rsid w:val="252507E5"/>
    <w:rsid w:val="2529B029"/>
    <w:rsid w:val="2555C184"/>
    <w:rsid w:val="2557436B"/>
    <w:rsid w:val="256A56A3"/>
    <w:rsid w:val="256DE4E1"/>
    <w:rsid w:val="256FADF8"/>
    <w:rsid w:val="2571FC8D"/>
    <w:rsid w:val="257BE9DE"/>
    <w:rsid w:val="2580801B"/>
    <w:rsid w:val="25828119"/>
    <w:rsid w:val="258806B2"/>
    <w:rsid w:val="259B98DD"/>
    <w:rsid w:val="25A4770A"/>
    <w:rsid w:val="25B620C2"/>
    <w:rsid w:val="25BD7161"/>
    <w:rsid w:val="25CB342A"/>
    <w:rsid w:val="25D2330A"/>
    <w:rsid w:val="25D8BECF"/>
    <w:rsid w:val="25DF57C0"/>
    <w:rsid w:val="26083047"/>
    <w:rsid w:val="2610BBE6"/>
    <w:rsid w:val="26173E32"/>
    <w:rsid w:val="261F4796"/>
    <w:rsid w:val="2628A538"/>
    <w:rsid w:val="262EA953"/>
    <w:rsid w:val="265AA64B"/>
    <w:rsid w:val="266BC669"/>
    <w:rsid w:val="266DEF8A"/>
    <w:rsid w:val="269AED89"/>
    <w:rsid w:val="269E677B"/>
    <w:rsid w:val="26A20DEB"/>
    <w:rsid w:val="26A34BBF"/>
    <w:rsid w:val="26A434DE"/>
    <w:rsid w:val="26B6CBED"/>
    <w:rsid w:val="26BB5C0A"/>
    <w:rsid w:val="26C81F4D"/>
    <w:rsid w:val="26CCF13D"/>
    <w:rsid w:val="26DFBDC3"/>
    <w:rsid w:val="26E6736D"/>
    <w:rsid w:val="26F1CD8A"/>
    <w:rsid w:val="26FE66CF"/>
    <w:rsid w:val="2711C310"/>
    <w:rsid w:val="27234AFE"/>
    <w:rsid w:val="2726F852"/>
    <w:rsid w:val="272731F6"/>
    <w:rsid w:val="2736B14C"/>
    <w:rsid w:val="273BEEF9"/>
    <w:rsid w:val="273EA7F8"/>
    <w:rsid w:val="27419314"/>
    <w:rsid w:val="2746AC48"/>
    <w:rsid w:val="27494048"/>
    <w:rsid w:val="2749B8B1"/>
    <w:rsid w:val="27532DB7"/>
    <w:rsid w:val="2759544F"/>
    <w:rsid w:val="2760B109"/>
    <w:rsid w:val="276AE6F7"/>
    <w:rsid w:val="276FAEDB"/>
    <w:rsid w:val="277B0069"/>
    <w:rsid w:val="2780E91D"/>
    <w:rsid w:val="2787B6C2"/>
    <w:rsid w:val="2791062B"/>
    <w:rsid w:val="27968125"/>
    <w:rsid w:val="279E4DF1"/>
    <w:rsid w:val="27A8D7EC"/>
    <w:rsid w:val="27A94B4C"/>
    <w:rsid w:val="27B72127"/>
    <w:rsid w:val="27B80D59"/>
    <w:rsid w:val="27C47EA5"/>
    <w:rsid w:val="27C5181C"/>
    <w:rsid w:val="27E4E955"/>
    <w:rsid w:val="27EFEEE5"/>
    <w:rsid w:val="27F7C8FF"/>
    <w:rsid w:val="27F8E619"/>
    <w:rsid w:val="27FE0137"/>
    <w:rsid w:val="282E7974"/>
    <w:rsid w:val="2838AD26"/>
    <w:rsid w:val="283933ED"/>
    <w:rsid w:val="284E6BCD"/>
    <w:rsid w:val="2863281F"/>
    <w:rsid w:val="286439A4"/>
    <w:rsid w:val="286CFDE2"/>
    <w:rsid w:val="28825DA0"/>
    <w:rsid w:val="289E5267"/>
    <w:rsid w:val="289FD459"/>
    <w:rsid w:val="28B2971D"/>
    <w:rsid w:val="28B46B43"/>
    <w:rsid w:val="28DEA61D"/>
    <w:rsid w:val="28DF0F78"/>
    <w:rsid w:val="290D9535"/>
    <w:rsid w:val="291C0D0F"/>
    <w:rsid w:val="29235F5B"/>
    <w:rsid w:val="29300165"/>
    <w:rsid w:val="294BED93"/>
    <w:rsid w:val="296F3178"/>
    <w:rsid w:val="2971A861"/>
    <w:rsid w:val="297D3771"/>
    <w:rsid w:val="299430D8"/>
    <w:rsid w:val="29B09C11"/>
    <w:rsid w:val="29D3E270"/>
    <w:rsid w:val="29D63CB7"/>
    <w:rsid w:val="29D853F2"/>
    <w:rsid w:val="29E38345"/>
    <w:rsid w:val="29E533A6"/>
    <w:rsid w:val="29F7FC2C"/>
    <w:rsid w:val="29F9D166"/>
    <w:rsid w:val="2A123B43"/>
    <w:rsid w:val="2A1777A6"/>
    <w:rsid w:val="2A1BE024"/>
    <w:rsid w:val="2A214E66"/>
    <w:rsid w:val="2A29FB77"/>
    <w:rsid w:val="2A2CDAEA"/>
    <w:rsid w:val="2A3A1284"/>
    <w:rsid w:val="2A4ABBCA"/>
    <w:rsid w:val="2A5A4E97"/>
    <w:rsid w:val="2A5F0D5C"/>
    <w:rsid w:val="2A677CD6"/>
    <w:rsid w:val="2A7508FB"/>
    <w:rsid w:val="2A7E5247"/>
    <w:rsid w:val="2A99AC88"/>
    <w:rsid w:val="2AB110DD"/>
    <w:rsid w:val="2ABB9460"/>
    <w:rsid w:val="2ABF32F6"/>
    <w:rsid w:val="2AC0AF11"/>
    <w:rsid w:val="2ACF00EE"/>
    <w:rsid w:val="2ADDDAFE"/>
    <w:rsid w:val="2AE5AD75"/>
    <w:rsid w:val="2AEF9C23"/>
    <w:rsid w:val="2B03479B"/>
    <w:rsid w:val="2B07F597"/>
    <w:rsid w:val="2B2AFE44"/>
    <w:rsid w:val="2B40FECC"/>
    <w:rsid w:val="2B4BCEA2"/>
    <w:rsid w:val="2B5B443E"/>
    <w:rsid w:val="2B607E39"/>
    <w:rsid w:val="2B77505B"/>
    <w:rsid w:val="2B81D800"/>
    <w:rsid w:val="2B89E99F"/>
    <w:rsid w:val="2BA2EF4D"/>
    <w:rsid w:val="2BA70EB5"/>
    <w:rsid w:val="2BB5A479"/>
    <w:rsid w:val="2BB5E371"/>
    <w:rsid w:val="2BCBA771"/>
    <w:rsid w:val="2BCFF789"/>
    <w:rsid w:val="2BE06287"/>
    <w:rsid w:val="2C01A2AD"/>
    <w:rsid w:val="2C030A5F"/>
    <w:rsid w:val="2C0B2701"/>
    <w:rsid w:val="2C0B3C65"/>
    <w:rsid w:val="2C0CCB97"/>
    <w:rsid w:val="2C21F32C"/>
    <w:rsid w:val="2C28B1D3"/>
    <w:rsid w:val="2C330BD8"/>
    <w:rsid w:val="2C3391F7"/>
    <w:rsid w:val="2C5924EE"/>
    <w:rsid w:val="2C5AF4A0"/>
    <w:rsid w:val="2C66A7CD"/>
    <w:rsid w:val="2C73086A"/>
    <w:rsid w:val="2C82BD5C"/>
    <w:rsid w:val="2C82FF46"/>
    <w:rsid w:val="2C91D22A"/>
    <w:rsid w:val="2C94A47E"/>
    <w:rsid w:val="2CB2FE8D"/>
    <w:rsid w:val="2CB6E2B5"/>
    <w:rsid w:val="2CC2764E"/>
    <w:rsid w:val="2CC91A77"/>
    <w:rsid w:val="2CFCC04E"/>
    <w:rsid w:val="2D0E8B64"/>
    <w:rsid w:val="2D1D0984"/>
    <w:rsid w:val="2D3304E3"/>
    <w:rsid w:val="2D3BEF7B"/>
    <w:rsid w:val="2D45A286"/>
    <w:rsid w:val="2D4762E1"/>
    <w:rsid w:val="2D49AFA9"/>
    <w:rsid w:val="2D61B9B1"/>
    <w:rsid w:val="2D666F7B"/>
    <w:rsid w:val="2D779DAE"/>
    <w:rsid w:val="2D829C37"/>
    <w:rsid w:val="2D89A120"/>
    <w:rsid w:val="2D9752DE"/>
    <w:rsid w:val="2D9D687A"/>
    <w:rsid w:val="2DBED4E5"/>
    <w:rsid w:val="2DC4346E"/>
    <w:rsid w:val="2DE76672"/>
    <w:rsid w:val="2DFA8A16"/>
    <w:rsid w:val="2E03C2BC"/>
    <w:rsid w:val="2E04B8D6"/>
    <w:rsid w:val="2E054193"/>
    <w:rsid w:val="2E1AA4AE"/>
    <w:rsid w:val="2E1E19B6"/>
    <w:rsid w:val="2E352612"/>
    <w:rsid w:val="2E5CC0DE"/>
    <w:rsid w:val="2E6DBE92"/>
    <w:rsid w:val="2E945A58"/>
    <w:rsid w:val="2E99F00C"/>
    <w:rsid w:val="2E9A3D25"/>
    <w:rsid w:val="2EA3DAAB"/>
    <w:rsid w:val="2EAA5135"/>
    <w:rsid w:val="2EB288A1"/>
    <w:rsid w:val="2EC5B6C0"/>
    <w:rsid w:val="2EC9E824"/>
    <w:rsid w:val="2ECBD6BB"/>
    <w:rsid w:val="2EE32A1C"/>
    <w:rsid w:val="2EEB2C5E"/>
    <w:rsid w:val="2EF0BC04"/>
    <w:rsid w:val="2F0148A0"/>
    <w:rsid w:val="2F08D0DC"/>
    <w:rsid w:val="2F0DA778"/>
    <w:rsid w:val="2F17B838"/>
    <w:rsid w:val="2F1F4219"/>
    <w:rsid w:val="2F250268"/>
    <w:rsid w:val="2F2AB9D9"/>
    <w:rsid w:val="2F33EC8B"/>
    <w:rsid w:val="2F4AF0BE"/>
    <w:rsid w:val="2F522B00"/>
    <w:rsid w:val="2F5799E4"/>
    <w:rsid w:val="2F731B3E"/>
    <w:rsid w:val="2F750305"/>
    <w:rsid w:val="2F83497F"/>
    <w:rsid w:val="2F944FFE"/>
    <w:rsid w:val="2FC27195"/>
    <w:rsid w:val="2FD41413"/>
    <w:rsid w:val="2FD8D1BF"/>
    <w:rsid w:val="2FF04978"/>
    <w:rsid w:val="30003469"/>
    <w:rsid w:val="304066D0"/>
    <w:rsid w:val="30408101"/>
    <w:rsid w:val="30421E2D"/>
    <w:rsid w:val="30547356"/>
    <w:rsid w:val="305F88BA"/>
    <w:rsid w:val="305FC0B9"/>
    <w:rsid w:val="30627310"/>
    <w:rsid w:val="3085CA2C"/>
    <w:rsid w:val="3097D3F4"/>
    <w:rsid w:val="309E7180"/>
    <w:rsid w:val="30A3A978"/>
    <w:rsid w:val="30B3E4DD"/>
    <w:rsid w:val="30C4B415"/>
    <w:rsid w:val="30CE192F"/>
    <w:rsid w:val="30E638B6"/>
    <w:rsid w:val="30F79012"/>
    <w:rsid w:val="30F7D532"/>
    <w:rsid w:val="3104C756"/>
    <w:rsid w:val="3107436F"/>
    <w:rsid w:val="31079F56"/>
    <w:rsid w:val="31091FCB"/>
    <w:rsid w:val="31118211"/>
    <w:rsid w:val="3113A01C"/>
    <w:rsid w:val="31203C2D"/>
    <w:rsid w:val="312E0BB2"/>
    <w:rsid w:val="3139F84E"/>
    <w:rsid w:val="313C76EF"/>
    <w:rsid w:val="31485F46"/>
    <w:rsid w:val="314F3708"/>
    <w:rsid w:val="315825BB"/>
    <w:rsid w:val="315FA7F0"/>
    <w:rsid w:val="3175DBC5"/>
    <w:rsid w:val="317B300E"/>
    <w:rsid w:val="318D6428"/>
    <w:rsid w:val="3196D2BF"/>
    <w:rsid w:val="31A26A6C"/>
    <w:rsid w:val="31D6EF51"/>
    <w:rsid w:val="31DCF754"/>
    <w:rsid w:val="31E7247F"/>
    <w:rsid w:val="31E95A24"/>
    <w:rsid w:val="31ECF49C"/>
    <w:rsid w:val="31F1B22A"/>
    <w:rsid w:val="31F6E847"/>
    <w:rsid w:val="320326F8"/>
    <w:rsid w:val="320794BE"/>
    <w:rsid w:val="3217D3A0"/>
    <w:rsid w:val="32297D2B"/>
    <w:rsid w:val="322E5113"/>
    <w:rsid w:val="32395761"/>
    <w:rsid w:val="323E56A9"/>
    <w:rsid w:val="324090E2"/>
    <w:rsid w:val="32491693"/>
    <w:rsid w:val="3261B0DB"/>
    <w:rsid w:val="3263FF00"/>
    <w:rsid w:val="326A89E1"/>
    <w:rsid w:val="326C5F8A"/>
    <w:rsid w:val="326D5758"/>
    <w:rsid w:val="327857B1"/>
    <w:rsid w:val="3278A413"/>
    <w:rsid w:val="3281669E"/>
    <w:rsid w:val="3284CA80"/>
    <w:rsid w:val="328792D0"/>
    <w:rsid w:val="3291C415"/>
    <w:rsid w:val="32AB50F0"/>
    <w:rsid w:val="32BC67D6"/>
    <w:rsid w:val="32C6078A"/>
    <w:rsid w:val="32CEA805"/>
    <w:rsid w:val="32D30E8E"/>
    <w:rsid w:val="32D57537"/>
    <w:rsid w:val="32EEAA33"/>
    <w:rsid w:val="33048B6C"/>
    <w:rsid w:val="33094FE5"/>
    <w:rsid w:val="330D7322"/>
    <w:rsid w:val="3314951B"/>
    <w:rsid w:val="3344C953"/>
    <w:rsid w:val="335CF260"/>
    <w:rsid w:val="33602361"/>
    <w:rsid w:val="336E48D1"/>
    <w:rsid w:val="336FF7D8"/>
    <w:rsid w:val="3394C9E6"/>
    <w:rsid w:val="33A1A9AD"/>
    <w:rsid w:val="33B0BFDB"/>
    <w:rsid w:val="33B12ADC"/>
    <w:rsid w:val="33B92975"/>
    <w:rsid w:val="33C6F37D"/>
    <w:rsid w:val="33CF16F1"/>
    <w:rsid w:val="33D71075"/>
    <w:rsid w:val="33E57140"/>
    <w:rsid w:val="33E66B12"/>
    <w:rsid w:val="33F5E457"/>
    <w:rsid w:val="33FE0957"/>
    <w:rsid w:val="3419D04E"/>
    <w:rsid w:val="3425D981"/>
    <w:rsid w:val="3427E230"/>
    <w:rsid w:val="34360011"/>
    <w:rsid w:val="343AE729"/>
    <w:rsid w:val="3441CFBE"/>
    <w:rsid w:val="3454678F"/>
    <w:rsid w:val="345C3857"/>
    <w:rsid w:val="34655394"/>
    <w:rsid w:val="34656156"/>
    <w:rsid w:val="3473D551"/>
    <w:rsid w:val="3477BAE2"/>
    <w:rsid w:val="3478281A"/>
    <w:rsid w:val="3479CF4F"/>
    <w:rsid w:val="34813BDC"/>
    <w:rsid w:val="34813F70"/>
    <w:rsid w:val="348D2733"/>
    <w:rsid w:val="34971207"/>
    <w:rsid w:val="3499E818"/>
    <w:rsid w:val="349A920A"/>
    <w:rsid w:val="34A58D23"/>
    <w:rsid w:val="34ABC6F3"/>
    <w:rsid w:val="34B16A5D"/>
    <w:rsid w:val="34CD3440"/>
    <w:rsid w:val="34D08004"/>
    <w:rsid w:val="34D5579C"/>
    <w:rsid w:val="350A273E"/>
    <w:rsid w:val="3525FDF7"/>
    <w:rsid w:val="352A7FA4"/>
    <w:rsid w:val="352B0A30"/>
    <w:rsid w:val="352F163B"/>
    <w:rsid w:val="354D4171"/>
    <w:rsid w:val="356E12AA"/>
    <w:rsid w:val="35739A9C"/>
    <w:rsid w:val="357F1B05"/>
    <w:rsid w:val="358BE7B4"/>
    <w:rsid w:val="3596309E"/>
    <w:rsid w:val="3598194A"/>
    <w:rsid w:val="35AC2F7C"/>
    <w:rsid w:val="35B5B78D"/>
    <w:rsid w:val="35D1E640"/>
    <w:rsid w:val="35D22210"/>
    <w:rsid w:val="35D4A166"/>
    <w:rsid w:val="35DA1AE1"/>
    <w:rsid w:val="36115190"/>
    <w:rsid w:val="3623472B"/>
    <w:rsid w:val="3639DFC9"/>
    <w:rsid w:val="363DFACC"/>
    <w:rsid w:val="36447246"/>
    <w:rsid w:val="364B8872"/>
    <w:rsid w:val="36502E1B"/>
    <w:rsid w:val="3667A6A2"/>
    <w:rsid w:val="36872544"/>
    <w:rsid w:val="36AC7975"/>
    <w:rsid w:val="36AE3C5C"/>
    <w:rsid w:val="36CA41F0"/>
    <w:rsid w:val="36D6B6A5"/>
    <w:rsid w:val="36DE2001"/>
    <w:rsid w:val="36FA97C0"/>
    <w:rsid w:val="36FB922E"/>
    <w:rsid w:val="3736479C"/>
    <w:rsid w:val="373A0585"/>
    <w:rsid w:val="3756F7DD"/>
    <w:rsid w:val="376B0B6C"/>
    <w:rsid w:val="37843D7C"/>
    <w:rsid w:val="3784D5D4"/>
    <w:rsid w:val="378DD9D6"/>
    <w:rsid w:val="379E347A"/>
    <w:rsid w:val="37A04F22"/>
    <w:rsid w:val="37A33A83"/>
    <w:rsid w:val="37ACDD88"/>
    <w:rsid w:val="37B28ADC"/>
    <w:rsid w:val="37C252BA"/>
    <w:rsid w:val="37F9CD1B"/>
    <w:rsid w:val="37FD90F2"/>
    <w:rsid w:val="381CBF2B"/>
    <w:rsid w:val="381CDBCE"/>
    <w:rsid w:val="38309654"/>
    <w:rsid w:val="38339CA6"/>
    <w:rsid w:val="3838EBBF"/>
    <w:rsid w:val="383F3370"/>
    <w:rsid w:val="383FD0DA"/>
    <w:rsid w:val="384DE76D"/>
    <w:rsid w:val="38524232"/>
    <w:rsid w:val="38530A43"/>
    <w:rsid w:val="385F5F30"/>
    <w:rsid w:val="3860BB04"/>
    <w:rsid w:val="386840EB"/>
    <w:rsid w:val="3871AF13"/>
    <w:rsid w:val="3872C9B0"/>
    <w:rsid w:val="3878D4F4"/>
    <w:rsid w:val="388801EA"/>
    <w:rsid w:val="388B5E29"/>
    <w:rsid w:val="389F0EF7"/>
    <w:rsid w:val="38A66F39"/>
    <w:rsid w:val="38C70169"/>
    <w:rsid w:val="38C809CC"/>
    <w:rsid w:val="38CD55D9"/>
    <w:rsid w:val="38E9DCF3"/>
    <w:rsid w:val="38EEC367"/>
    <w:rsid w:val="38F6917C"/>
    <w:rsid w:val="39229810"/>
    <w:rsid w:val="39253B70"/>
    <w:rsid w:val="392E4721"/>
    <w:rsid w:val="393F73BF"/>
    <w:rsid w:val="393FA844"/>
    <w:rsid w:val="3940A82D"/>
    <w:rsid w:val="39517629"/>
    <w:rsid w:val="398282EC"/>
    <w:rsid w:val="3982C283"/>
    <w:rsid w:val="3988EC26"/>
    <w:rsid w:val="39892314"/>
    <w:rsid w:val="398C7AEA"/>
    <w:rsid w:val="39948BE1"/>
    <w:rsid w:val="3997B80A"/>
    <w:rsid w:val="39A412B0"/>
    <w:rsid w:val="39B503B4"/>
    <w:rsid w:val="39B7689F"/>
    <w:rsid w:val="39B8048E"/>
    <w:rsid w:val="39BA2D79"/>
    <w:rsid w:val="39C118D2"/>
    <w:rsid w:val="39C76B99"/>
    <w:rsid w:val="39CAAF92"/>
    <w:rsid w:val="39CC48CB"/>
    <w:rsid w:val="39CE4402"/>
    <w:rsid w:val="39D3ED1E"/>
    <w:rsid w:val="39E41F8D"/>
    <w:rsid w:val="3A0A0796"/>
    <w:rsid w:val="3A1FEAAF"/>
    <w:rsid w:val="3A2D7274"/>
    <w:rsid w:val="3A3F42CE"/>
    <w:rsid w:val="3A50307C"/>
    <w:rsid w:val="3A50782F"/>
    <w:rsid w:val="3A542E23"/>
    <w:rsid w:val="3A68E080"/>
    <w:rsid w:val="3A7BC80B"/>
    <w:rsid w:val="3A9BB0F9"/>
    <w:rsid w:val="3AB9C8D0"/>
    <w:rsid w:val="3AC67C9B"/>
    <w:rsid w:val="3ACAD3D6"/>
    <w:rsid w:val="3AD33676"/>
    <w:rsid w:val="3ADBA3BC"/>
    <w:rsid w:val="3AE16EA7"/>
    <w:rsid w:val="3AE4BEB1"/>
    <w:rsid w:val="3AE891E4"/>
    <w:rsid w:val="3AEB423E"/>
    <w:rsid w:val="3AF69015"/>
    <w:rsid w:val="3AFF775D"/>
    <w:rsid w:val="3B095105"/>
    <w:rsid w:val="3B116CCC"/>
    <w:rsid w:val="3B125F5F"/>
    <w:rsid w:val="3B168845"/>
    <w:rsid w:val="3B182F17"/>
    <w:rsid w:val="3B1D7D88"/>
    <w:rsid w:val="3B206448"/>
    <w:rsid w:val="3B288FA4"/>
    <w:rsid w:val="3B294126"/>
    <w:rsid w:val="3B62B8E7"/>
    <w:rsid w:val="3B646405"/>
    <w:rsid w:val="3B737CA1"/>
    <w:rsid w:val="3B77DD18"/>
    <w:rsid w:val="3B8BEB09"/>
    <w:rsid w:val="3B977747"/>
    <w:rsid w:val="3B9D6D33"/>
    <w:rsid w:val="3BA0DB8A"/>
    <w:rsid w:val="3BA7904E"/>
    <w:rsid w:val="3BABAFBA"/>
    <w:rsid w:val="3BAD55FA"/>
    <w:rsid w:val="3BB5E7D3"/>
    <w:rsid w:val="3BBCE2B1"/>
    <w:rsid w:val="3BC6A3D2"/>
    <w:rsid w:val="3BE17EC7"/>
    <w:rsid w:val="3BFD30A0"/>
    <w:rsid w:val="3BFD861D"/>
    <w:rsid w:val="3C051683"/>
    <w:rsid w:val="3C059A7B"/>
    <w:rsid w:val="3C0A5A84"/>
    <w:rsid w:val="3C182531"/>
    <w:rsid w:val="3C19C4C9"/>
    <w:rsid w:val="3C1C8FF9"/>
    <w:rsid w:val="3C1F654E"/>
    <w:rsid w:val="3C24E71B"/>
    <w:rsid w:val="3C272C84"/>
    <w:rsid w:val="3C30077D"/>
    <w:rsid w:val="3C320C7E"/>
    <w:rsid w:val="3C434C7B"/>
    <w:rsid w:val="3C4E37ED"/>
    <w:rsid w:val="3C707AC5"/>
    <w:rsid w:val="3C7C1BC0"/>
    <w:rsid w:val="3C7F517D"/>
    <w:rsid w:val="3C856040"/>
    <w:rsid w:val="3C95F2EF"/>
    <w:rsid w:val="3CA79A95"/>
    <w:rsid w:val="3CB52359"/>
    <w:rsid w:val="3CB93BAD"/>
    <w:rsid w:val="3CC08D55"/>
    <w:rsid w:val="3CDEDA4F"/>
    <w:rsid w:val="3CE2F6CF"/>
    <w:rsid w:val="3CEC3003"/>
    <w:rsid w:val="3CFCB9AA"/>
    <w:rsid w:val="3D0126CC"/>
    <w:rsid w:val="3D063717"/>
    <w:rsid w:val="3D070E25"/>
    <w:rsid w:val="3D0BEC59"/>
    <w:rsid w:val="3D10F481"/>
    <w:rsid w:val="3D1555AC"/>
    <w:rsid w:val="3D1EDEEC"/>
    <w:rsid w:val="3D2E5DBB"/>
    <w:rsid w:val="3D424C5A"/>
    <w:rsid w:val="3D440638"/>
    <w:rsid w:val="3D4D7951"/>
    <w:rsid w:val="3D7954EC"/>
    <w:rsid w:val="3D9E8EA8"/>
    <w:rsid w:val="3DC10E1E"/>
    <w:rsid w:val="3DD8DAEF"/>
    <w:rsid w:val="3DE92AF0"/>
    <w:rsid w:val="3E1FD83F"/>
    <w:rsid w:val="3E42D897"/>
    <w:rsid w:val="3E512A82"/>
    <w:rsid w:val="3E56EBE3"/>
    <w:rsid w:val="3E77C940"/>
    <w:rsid w:val="3E811F44"/>
    <w:rsid w:val="3E848360"/>
    <w:rsid w:val="3E8F21A7"/>
    <w:rsid w:val="3E9D477C"/>
    <w:rsid w:val="3EA85B45"/>
    <w:rsid w:val="3EAE3230"/>
    <w:rsid w:val="3EB7491F"/>
    <w:rsid w:val="3EB7873D"/>
    <w:rsid w:val="3EC28913"/>
    <w:rsid w:val="3ECF3080"/>
    <w:rsid w:val="3EDA1EA9"/>
    <w:rsid w:val="3EE0A54C"/>
    <w:rsid w:val="3EED7881"/>
    <w:rsid w:val="3EF9405C"/>
    <w:rsid w:val="3EFA367C"/>
    <w:rsid w:val="3EFBCB1A"/>
    <w:rsid w:val="3F105040"/>
    <w:rsid w:val="3F1AB34C"/>
    <w:rsid w:val="3F383CFA"/>
    <w:rsid w:val="3F3BE6D2"/>
    <w:rsid w:val="3F3DBF85"/>
    <w:rsid w:val="3F3F9319"/>
    <w:rsid w:val="3F53E099"/>
    <w:rsid w:val="3F55A373"/>
    <w:rsid w:val="3F56761F"/>
    <w:rsid w:val="3F5F94AB"/>
    <w:rsid w:val="3F70BE6F"/>
    <w:rsid w:val="3F7674A0"/>
    <w:rsid w:val="3F7C1E8E"/>
    <w:rsid w:val="3F7DE7F2"/>
    <w:rsid w:val="3F838CB9"/>
    <w:rsid w:val="3F8A86BC"/>
    <w:rsid w:val="3F8CE6F7"/>
    <w:rsid w:val="3F945BC7"/>
    <w:rsid w:val="3FA92887"/>
    <w:rsid w:val="3FABCE8B"/>
    <w:rsid w:val="3FB0C82F"/>
    <w:rsid w:val="3FBAB0E5"/>
    <w:rsid w:val="3FC0BA8F"/>
    <w:rsid w:val="3FC499AB"/>
    <w:rsid w:val="3FC6DEB4"/>
    <w:rsid w:val="3FC79A34"/>
    <w:rsid w:val="3FD5F499"/>
    <w:rsid w:val="3FDCEE69"/>
    <w:rsid w:val="3FE93B1F"/>
    <w:rsid w:val="3FFAB830"/>
    <w:rsid w:val="400F0F5E"/>
    <w:rsid w:val="4012FF36"/>
    <w:rsid w:val="40137C8A"/>
    <w:rsid w:val="40232FDD"/>
    <w:rsid w:val="4023F920"/>
    <w:rsid w:val="403EF83F"/>
    <w:rsid w:val="40555F28"/>
    <w:rsid w:val="405F4E87"/>
    <w:rsid w:val="40932B7E"/>
    <w:rsid w:val="409F14F3"/>
    <w:rsid w:val="40A6965B"/>
    <w:rsid w:val="40A86D28"/>
    <w:rsid w:val="40D24355"/>
    <w:rsid w:val="40DB8E25"/>
    <w:rsid w:val="40DDC15A"/>
    <w:rsid w:val="41000EBE"/>
    <w:rsid w:val="410D14A6"/>
    <w:rsid w:val="410E8329"/>
    <w:rsid w:val="41150096"/>
    <w:rsid w:val="411A7D17"/>
    <w:rsid w:val="413BDFAB"/>
    <w:rsid w:val="415E9C96"/>
    <w:rsid w:val="416D7D88"/>
    <w:rsid w:val="417D7D96"/>
    <w:rsid w:val="4183F129"/>
    <w:rsid w:val="41B984D5"/>
    <w:rsid w:val="41C241B4"/>
    <w:rsid w:val="41C951D7"/>
    <w:rsid w:val="41D2E8A6"/>
    <w:rsid w:val="41D7951A"/>
    <w:rsid w:val="41DBA573"/>
    <w:rsid w:val="41DC2213"/>
    <w:rsid w:val="41DFEFDF"/>
    <w:rsid w:val="41E5FBA3"/>
    <w:rsid w:val="41ECC76C"/>
    <w:rsid w:val="41F2C282"/>
    <w:rsid w:val="4215C199"/>
    <w:rsid w:val="421BB642"/>
    <w:rsid w:val="4228F8A3"/>
    <w:rsid w:val="423FD1C8"/>
    <w:rsid w:val="4256822B"/>
    <w:rsid w:val="425F5E4D"/>
    <w:rsid w:val="427BF927"/>
    <w:rsid w:val="4280953A"/>
    <w:rsid w:val="4287BDED"/>
    <w:rsid w:val="428BD69D"/>
    <w:rsid w:val="42BAD96A"/>
    <w:rsid w:val="42C6DA7D"/>
    <w:rsid w:val="42D41E7F"/>
    <w:rsid w:val="42F0B01F"/>
    <w:rsid w:val="43130D1C"/>
    <w:rsid w:val="431EAACC"/>
    <w:rsid w:val="4320B8D8"/>
    <w:rsid w:val="437ABC27"/>
    <w:rsid w:val="437BF23E"/>
    <w:rsid w:val="4381752D"/>
    <w:rsid w:val="438D0B5C"/>
    <w:rsid w:val="43B54F35"/>
    <w:rsid w:val="43D1A250"/>
    <w:rsid w:val="43D43A8D"/>
    <w:rsid w:val="43FB6F65"/>
    <w:rsid w:val="44027966"/>
    <w:rsid w:val="4405E7DD"/>
    <w:rsid w:val="4416E244"/>
    <w:rsid w:val="44177EE5"/>
    <w:rsid w:val="441920C2"/>
    <w:rsid w:val="441FF444"/>
    <w:rsid w:val="4422CBE6"/>
    <w:rsid w:val="44268D43"/>
    <w:rsid w:val="4434F53F"/>
    <w:rsid w:val="44393B91"/>
    <w:rsid w:val="443BEB12"/>
    <w:rsid w:val="445E0B12"/>
    <w:rsid w:val="4461212D"/>
    <w:rsid w:val="4464F2FD"/>
    <w:rsid w:val="4465885E"/>
    <w:rsid w:val="44740E97"/>
    <w:rsid w:val="447A160A"/>
    <w:rsid w:val="4481F12E"/>
    <w:rsid w:val="448A4828"/>
    <w:rsid w:val="4491ABF1"/>
    <w:rsid w:val="4493E05C"/>
    <w:rsid w:val="449FB9FD"/>
    <w:rsid w:val="44AEC2AA"/>
    <w:rsid w:val="44AFDC22"/>
    <w:rsid w:val="44B92F0A"/>
    <w:rsid w:val="44CAD5DA"/>
    <w:rsid w:val="44CCA363"/>
    <w:rsid w:val="44CFDA30"/>
    <w:rsid w:val="44DA3C5A"/>
    <w:rsid w:val="44DD8853"/>
    <w:rsid w:val="44DEC00F"/>
    <w:rsid w:val="450FDF36"/>
    <w:rsid w:val="451E02A6"/>
    <w:rsid w:val="45257AF2"/>
    <w:rsid w:val="452FAC47"/>
    <w:rsid w:val="45373C7D"/>
    <w:rsid w:val="45403A2B"/>
    <w:rsid w:val="4549CC01"/>
    <w:rsid w:val="4549FFF8"/>
    <w:rsid w:val="45518C64"/>
    <w:rsid w:val="4565BCCD"/>
    <w:rsid w:val="457EF734"/>
    <w:rsid w:val="457FED20"/>
    <w:rsid w:val="4595F79A"/>
    <w:rsid w:val="45AA27C9"/>
    <w:rsid w:val="45AA7CC0"/>
    <w:rsid w:val="45ACD0C7"/>
    <w:rsid w:val="45C2AF82"/>
    <w:rsid w:val="45CF504E"/>
    <w:rsid w:val="45DD55B8"/>
    <w:rsid w:val="46052172"/>
    <w:rsid w:val="460B3EDF"/>
    <w:rsid w:val="46114465"/>
    <w:rsid w:val="4614FA6A"/>
    <w:rsid w:val="4616BE84"/>
    <w:rsid w:val="4616F908"/>
    <w:rsid w:val="461BDA7D"/>
    <w:rsid w:val="46248FA2"/>
    <w:rsid w:val="463447A6"/>
    <w:rsid w:val="464537F5"/>
    <w:rsid w:val="4650400A"/>
    <w:rsid w:val="46508758"/>
    <w:rsid w:val="46540F2C"/>
    <w:rsid w:val="46544059"/>
    <w:rsid w:val="4666C96B"/>
    <w:rsid w:val="466CAD04"/>
    <w:rsid w:val="4677EC5B"/>
    <w:rsid w:val="46780FBF"/>
    <w:rsid w:val="4684EC94"/>
    <w:rsid w:val="46A69BAB"/>
    <w:rsid w:val="46B84EB7"/>
    <w:rsid w:val="46BD6B04"/>
    <w:rsid w:val="46BF244D"/>
    <w:rsid w:val="46C70398"/>
    <w:rsid w:val="46D3AF58"/>
    <w:rsid w:val="46D59897"/>
    <w:rsid w:val="46D83419"/>
    <w:rsid w:val="46F4EC49"/>
    <w:rsid w:val="47000942"/>
    <w:rsid w:val="470A3FD7"/>
    <w:rsid w:val="4728C5BC"/>
    <w:rsid w:val="472DF76C"/>
    <w:rsid w:val="473C6CA0"/>
    <w:rsid w:val="47415CF6"/>
    <w:rsid w:val="47700E38"/>
    <w:rsid w:val="4773B9CE"/>
    <w:rsid w:val="4779B64F"/>
    <w:rsid w:val="477F919B"/>
    <w:rsid w:val="478252A4"/>
    <w:rsid w:val="47863454"/>
    <w:rsid w:val="478AB376"/>
    <w:rsid w:val="4793ED60"/>
    <w:rsid w:val="479DC81F"/>
    <w:rsid w:val="47BAB233"/>
    <w:rsid w:val="47C5C3B1"/>
    <w:rsid w:val="47D226ED"/>
    <w:rsid w:val="47DDB394"/>
    <w:rsid w:val="47E671B2"/>
    <w:rsid w:val="47ED76EB"/>
    <w:rsid w:val="47F45467"/>
    <w:rsid w:val="481393BF"/>
    <w:rsid w:val="48244B1B"/>
    <w:rsid w:val="482620D3"/>
    <w:rsid w:val="482D6A22"/>
    <w:rsid w:val="4853CAD0"/>
    <w:rsid w:val="485E33A1"/>
    <w:rsid w:val="486A77A9"/>
    <w:rsid w:val="4883FEAB"/>
    <w:rsid w:val="4894F2B4"/>
    <w:rsid w:val="489B6E71"/>
    <w:rsid w:val="48C88588"/>
    <w:rsid w:val="48C91FEC"/>
    <w:rsid w:val="48D05845"/>
    <w:rsid w:val="48DAB432"/>
    <w:rsid w:val="48F3CEEC"/>
    <w:rsid w:val="48F805BE"/>
    <w:rsid w:val="490FB2DF"/>
    <w:rsid w:val="4910A27A"/>
    <w:rsid w:val="49218C18"/>
    <w:rsid w:val="4933F516"/>
    <w:rsid w:val="49393C28"/>
    <w:rsid w:val="493C3542"/>
    <w:rsid w:val="4941F80E"/>
    <w:rsid w:val="49677ACA"/>
    <w:rsid w:val="4991B96C"/>
    <w:rsid w:val="49924162"/>
    <w:rsid w:val="499379A9"/>
    <w:rsid w:val="49CFE692"/>
    <w:rsid w:val="49D7D4B8"/>
    <w:rsid w:val="49DBB18E"/>
    <w:rsid w:val="49EAA5B5"/>
    <w:rsid w:val="4A12E7D2"/>
    <w:rsid w:val="4A1E704A"/>
    <w:rsid w:val="4A2A5EE7"/>
    <w:rsid w:val="4A4430E4"/>
    <w:rsid w:val="4A524A8F"/>
    <w:rsid w:val="4A536D50"/>
    <w:rsid w:val="4A79CA96"/>
    <w:rsid w:val="4A84E272"/>
    <w:rsid w:val="4A87D566"/>
    <w:rsid w:val="4A89883F"/>
    <w:rsid w:val="4A8E1308"/>
    <w:rsid w:val="4A917210"/>
    <w:rsid w:val="4A9A0D8A"/>
    <w:rsid w:val="4AA99D60"/>
    <w:rsid w:val="4AB5E009"/>
    <w:rsid w:val="4AC8B6EA"/>
    <w:rsid w:val="4AD4970B"/>
    <w:rsid w:val="4ADB474A"/>
    <w:rsid w:val="4B01059D"/>
    <w:rsid w:val="4B01514A"/>
    <w:rsid w:val="4B049483"/>
    <w:rsid w:val="4B0CD4D9"/>
    <w:rsid w:val="4B0D1D7D"/>
    <w:rsid w:val="4B12D3AA"/>
    <w:rsid w:val="4B1F5AEF"/>
    <w:rsid w:val="4B2BCFF2"/>
    <w:rsid w:val="4B33FE5C"/>
    <w:rsid w:val="4B83AF41"/>
    <w:rsid w:val="4B867A3C"/>
    <w:rsid w:val="4B87E589"/>
    <w:rsid w:val="4B9BC0D8"/>
    <w:rsid w:val="4BB3C311"/>
    <w:rsid w:val="4BB924EB"/>
    <w:rsid w:val="4BBEB817"/>
    <w:rsid w:val="4BBF684F"/>
    <w:rsid w:val="4BC277A4"/>
    <w:rsid w:val="4BE02140"/>
    <w:rsid w:val="4BEF0783"/>
    <w:rsid w:val="4BFBFE77"/>
    <w:rsid w:val="4BFE1098"/>
    <w:rsid w:val="4C02A145"/>
    <w:rsid w:val="4C0B7FB8"/>
    <w:rsid w:val="4C0C393A"/>
    <w:rsid w:val="4C1B46C0"/>
    <w:rsid w:val="4C218FD7"/>
    <w:rsid w:val="4C346DD0"/>
    <w:rsid w:val="4C42FF05"/>
    <w:rsid w:val="4C4BB6D3"/>
    <w:rsid w:val="4C52B698"/>
    <w:rsid w:val="4C636FF8"/>
    <w:rsid w:val="4C63B8AA"/>
    <w:rsid w:val="4C7B0AB6"/>
    <w:rsid w:val="4C7F6DF8"/>
    <w:rsid w:val="4C891A26"/>
    <w:rsid w:val="4CAEC1C0"/>
    <w:rsid w:val="4CB2055D"/>
    <w:rsid w:val="4CB2A370"/>
    <w:rsid w:val="4CD92EC2"/>
    <w:rsid w:val="4CEFB185"/>
    <w:rsid w:val="4D0E5068"/>
    <w:rsid w:val="4D0E553B"/>
    <w:rsid w:val="4D1B5A31"/>
    <w:rsid w:val="4D3979F2"/>
    <w:rsid w:val="4D46F5F2"/>
    <w:rsid w:val="4D69E868"/>
    <w:rsid w:val="4D7E8C4A"/>
    <w:rsid w:val="4D7FCA5C"/>
    <w:rsid w:val="4D86A016"/>
    <w:rsid w:val="4D88AB6B"/>
    <w:rsid w:val="4DA4F940"/>
    <w:rsid w:val="4DADBAFC"/>
    <w:rsid w:val="4DBBFA9C"/>
    <w:rsid w:val="4DC65406"/>
    <w:rsid w:val="4DCD20CA"/>
    <w:rsid w:val="4DD9F903"/>
    <w:rsid w:val="4DDEA5F3"/>
    <w:rsid w:val="4DE9CD7E"/>
    <w:rsid w:val="4E0FFF96"/>
    <w:rsid w:val="4E137FE5"/>
    <w:rsid w:val="4E1D2B0D"/>
    <w:rsid w:val="4E2942A1"/>
    <w:rsid w:val="4E2C47C2"/>
    <w:rsid w:val="4E2EF3F5"/>
    <w:rsid w:val="4E3214C2"/>
    <w:rsid w:val="4E73BD88"/>
    <w:rsid w:val="4E7B6AB8"/>
    <w:rsid w:val="4EB6931A"/>
    <w:rsid w:val="4ED562AB"/>
    <w:rsid w:val="4EF87A69"/>
    <w:rsid w:val="4EFB131F"/>
    <w:rsid w:val="4F17D13A"/>
    <w:rsid w:val="4F1A18C7"/>
    <w:rsid w:val="4F20430B"/>
    <w:rsid w:val="4F38F88E"/>
    <w:rsid w:val="4F3E12C5"/>
    <w:rsid w:val="4F53C855"/>
    <w:rsid w:val="4F730C19"/>
    <w:rsid w:val="4F95000C"/>
    <w:rsid w:val="4F9B7BDF"/>
    <w:rsid w:val="4FC0228E"/>
    <w:rsid w:val="4FD01D38"/>
    <w:rsid w:val="4FDB7FB5"/>
    <w:rsid w:val="4FFF130B"/>
    <w:rsid w:val="5000BE14"/>
    <w:rsid w:val="5033AB78"/>
    <w:rsid w:val="50527798"/>
    <w:rsid w:val="505EB301"/>
    <w:rsid w:val="50622987"/>
    <w:rsid w:val="506C1AA2"/>
    <w:rsid w:val="50757576"/>
    <w:rsid w:val="508A8CCD"/>
    <w:rsid w:val="509C9D0B"/>
    <w:rsid w:val="50A3D970"/>
    <w:rsid w:val="50B01D25"/>
    <w:rsid w:val="50BD0A9C"/>
    <w:rsid w:val="50C0C084"/>
    <w:rsid w:val="50D2130B"/>
    <w:rsid w:val="50DB4C39"/>
    <w:rsid w:val="50EADF22"/>
    <w:rsid w:val="50EB6D43"/>
    <w:rsid w:val="50FC5D83"/>
    <w:rsid w:val="5102EF6C"/>
    <w:rsid w:val="5113EAD3"/>
    <w:rsid w:val="5126A411"/>
    <w:rsid w:val="512B6620"/>
    <w:rsid w:val="512DB8BA"/>
    <w:rsid w:val="513094A4"/>
    <w:rsid w:val="5137B2C2"/>
    <w:rsid w:val="5156C9CD"/>
    <w:rsid w:val="515D44A2"/>
    <w:rsid w:val="5162CBEA"/>
    <w:rsid w:val="51756012"/>
    <w:rsid w:val="51A3750D"/>
    <w:rsid w:val="51A5FB77"/>
    <w:rsid w:val="51A71A50"/>
    <w:rsid w:val="51B9BFCC"/>
    <w:rsid w:val="51C4E84F"/>
    <w:rsid w:val="51D43444"/>
    <w:rsid w:val="51D5D3FE"/>
    <w:rsid w:val="51E6034F"/>
    <w:rsid w:val="51F7F717"/>
    <w:rsid w:val="51FF570E"/>
    <w:rsid w:val="52064568"/>
    <w:rsid w:val="520DA54A"/>
    <w:rsid w:val="52120ABC"/>
    <w:rsid w:val="5212DF31"/>
    <w:rsid w:val="5222AF25"/>
    <w:rsid w:val="5223E108"/>
    <w:rsid w:val="5226F876"/>
    <w:rsid w:val="522882E4"/>
    <w:rsid w:val="522A700B"/>
    <w:rsid w:val="5245AEC7"/>
    <w:rsid w:val="524BE68C"/>
    <w:rsid w:val="525A06ED"/>
    <w:rsid w:val="52678BC0"/>
    <w:rsid w:val="526878C7"/>
    <w:rsid w:val="526F3AF5"/>
    <w:rsid w:val="527C10F5"/>
    <w:rsid w:val="528D923D"/>
    <w:rsid w:val="529772A6"/>
    <w:rsid w:val="52988AD7"/>
    <w:rsid w:val="5298D031"/>
    <w:rsid w:val="529CD456"/>
    <w:rsid w:val="52A5F216"/>
    <w:rsid w:val="52AF7333"/>
    <w:rsid w:val="52BD5C1E"/>
    <w:rsid w:val="52C2EE17"/>
    <w:rsid w:val="52C47748"/>
    <w:rsid w:val="52CEBA0C"/>
    <w:rsid w:val="52CF72C0"/>
    <w:rsid w:val="52D2AE2B"/>
    <w:rsid w:val="52DF3C8C"/>
    <w:rsid w:val="52EFD7DC"/>
    <w:rsid w:val="52F48C61"/>
    <w:rsid w:val="52FC395F"/>
    <w:rsid w:val="53032722"/>
    <w:rsid w:val="5306DCC5"/>
    <w:rsid w:val="530B3B11"/>
    <w:rsid w:val="5311273E"/>
    <w:rsid w:val="5311BF29"/>
    <w:rsid w:val="53195D0C"/>
    <w:rsid w:val="531BDD8E"/>
    <w:rsid w:val="531F7D68"/>
    <w:rsid w:val="53212161"/>
    <w:rsid w:val="5322EBA4"/>
    <w:rsid w:val="532595DB"/>
    <w:rsid w:val="533083E7"/>
    <w:rsid w:val="53309FB6"/>
    <w:rsid w:val="5349B4A6"/>
    <w:rsid w:val="53572FE5"/>
    <w:rsid w:val="535C1428"/>
    <w:rsid w:val="5372605B"/>
    <w:rsid w:val="537F3F9C"/>
    <w:rsid w:val="53BBBB35"/>
    <w:rsid w:val="53C5397C"/>
    <w:rsid w:val="53DF3F06"/>
    <w:rsid w:val="53E2DE39"/>
    <w:rsid w:val="53E96782"/>
    <w:rsid w:val="53F55FC0"/>
    <w:rsid w:val="540C899B"/>
    <w:rsid w:val="541259B1"/>
    <w:rsid w:val="54229C41"/>
    <w:rsid w:val="5423AA3C"/>
    <w:rsid w:val="542B13AC"/>
    <w:rsid w:val="543BBE93"/>
    <w:rsid w:val="54515A20"/>
    <w:rsid w:val="54586F0C"/>
    <w:rsid w:val="5489DEEE"/>
    <w:rsid w:val="548A2D99"/>
    <w:rsid w:val="548CE44B"/>
    <w:rsid w:val="548DC678"/>
    <w:rsid w:val="549B1C77"/>
    <w:rsid w:val="549CF16A"/>
    <w:rsid w:val="54A66FB7"/>
    <w:rsid w:val="54A845A3"/>
    <w:rsid w:val="54A95988"/>
    <w:rsid w:val="54D0A3E1"/>
    <w:rsid w:val="54DDCBA0"/>
    <w:rsid w:val="54E7565A"/>
    <w:rsid w:val="54FDD653"/>
    <w:rsid w:val="551E854B"/>
    <w:rsid w:val="551F7061"/>
    <w:rsid w:val="55254353"/>
    <w:rsid w:val="552BBCB1"/>
    <w:rsid w:val="553AF279"/>
    <w:rsid w:val="554EFF22"/>
    <w:rsid w:val="55572233"/>
    <w:rsid w:val="556BAF73"/>
    <w:rsid w:val="557197E5"/>
    <w:rsid w:val="5582C3FF"/>
    <w:rsid w:val="55AB44A7"/>
    <w:rsid w:val="55C80197"/>
    <w:rsid w:val="55C80959"/>
    <w:rsid w:val="55EED537"/>
    <w:rsid w:val="560F525B"/>
    <w:rsid w:val="561FAFDB"/>
    <w:rsid w:val="562670DB"/>
    <w:rsid w:val="563081C5"/>
    <w:rsid w:val="5631CB05"/>
    <w:rsid w:val="563B6D89"/>
    <w:rsid w:val="5657DD35"/>
    <w:rsid w:val="567F677A"/>
    <w:rsid w:val="5689C190"/>
    <w:rsid w:val="56A82619"/>
    <w:rsid w:val="56B086AF"/>
    <w:rsid w:val="56B96EF8"/>
    <w:rsid w:val="56BE757F"/>
    <w:rsid w:val="56CEA830"/>
    <w:rsid w:val="56D38AA2"/>
    <w:rsid w:val="56D6C3FE"/>
    <w:rsid w:val="56DC3EA0"/>
    <w:rsid w:val="56E74AB4"/>
    <w:rsid w:val="56E7D1CC"/>
    <w:rsid w:val="56F6487E"/>
    <w:rsid w:val="56FC2ECF"/>
    <w:rsid w:val="57028FC9"/>
    <w:rsid w:val="5716F60C"/>
    <w:rsid w:val="571A51E9"/>
    <w:rsid w:val="572ADB18"/>
    <w:rsid w:val="5731E2F7"/>
    <w:rsid w:val="574D394A"/>
    <w:rsid w:val="576324E9"/>
    <w:rsid w:val="57659E6E"/>
    <w:rsid w:val="576619BB"/>
    <w:rsid w:val="578B2CB3"/>
    <w:rsid w:val="5797F3C1"/>
    <w:rsid w:val="57A61417"/>
    <w:rsid w:val="57AEFE53"/>
    <w:rsid w:val="57B57FEA"/>
    <w:rsid w:val="57CDF96A"/>
    <w:rsid w:val="57D7683A"/>
    <w:rsid w:val="57EFC77C"/>
    <w:rsid w:val="57F7CEC9"/>
    <w:rsid w:val="58014F4D"/>
    <w:rsid w:val="58036325"/>
    <w:rsid w:val="58039000"/>
    <w:rsid w:val="582895B2"/>
    <w:rsid w:val="582F449C"/>
    <w:rsid w:val="58457BAA"/>
    <w:rsid w:val="58478799"/>
    <w:rsid w:val="584D5BF0"/>
    <w:rsid w:val="5855675D"/>
    <w:rsid w:val="585D4888"/>
    <w:rsid w:val="58743516"/>
    <w:rsid w:val="5879B44A"/>
    <w:rsid w:val="5889DB6A"/>
    <w:rsid w:val="5889F3F3"/>
    <w:rsid w:val="58998C36"/>
    <w:rsid w:val="58A22247"/>
    <w:rsid w:val="58AD1B61"/>
    <w:rsid w:val="58B02EB5"/>
    <w:rsid w:val="58C07EC0"/>
    <w:rsid w:val="58D647EF"/>
    <w:rsid w:val="58E6D92C"/>
    <w:rsid w:val="58E8B94F"/>
    <w:rsid w:val="58FCFDBF"/>
    <w:rsid w:val="59059004"/>
    <w:rsid w:val="59276D6D"/>
    <w:rsid w:val="593636D7"/>
    <w:rsid w:val="59366923"/>
    <w:rsid w:val="593A8875"/>
    <w:rsid w:val="5942DEBF"/>
    <w:rsid w:val="594960BC"/>
    <w:rsid w:val="59570099"/>
    <w:rsid w:val="597153FD"/>
    <w:rsid w:val="59A310C4"/>
    <w:rsid w:val="59A6490D"/>
    <w:rsid w:val="59AC35DF"/>
    <w:rsid w:val="59FD0467"/>
    <w:rsid w:val="5A075A02"/>
    <w:rsid w:val="5A277FA2"/>
    <w:rsid w:val="5A2A8DB8"/>
    <w:rsid w:val="5A2CB308"/>
    <w:rsid w:val="5A338CA3"/>
    <w:rsid w:val="5A3DD601"/>
    <w:rsid w:val="5A3E7C22"/>
    <w:rsid w:val="5A4ADEB9"/>
    <w:rsid w:val="5A5F0E7F"/>
    <w:rsid w:val="5A738201"/>
    <w:rsid w:val="5A7AACE2"/>
    <w:rsid w:val="5A959EA2"/>
    <w:rsid w:val="5A9EF2D3"/>
    <w:rsid w:val="5AA36E8E"/>
    <w:rsid w:val="5AA387CA"/>
    <w:rsid w:val="5AC30BFA"/>
    <w:rsid w:val="5ACDA202"/>
    <w:rsid w:val="5ACFFEE9"/>
    <w:rsid w:val="5AE89426"/>
    <w:rsid w:val="5B07FC00"/>
    <w:rsid w:val="5B0FA409"/>
    <w:rsid w:val="5B11C722"/>
    <w:rsid w:val="5B11EFFD"/>
    <w:rsid w:val="5B285040"/>
    <w:rsid w:val="5B3A07C8"/>
    <w:rsid w:val="5B578758"/>
    <w:rsid w:val="5B5DB435"/>
    <w:rsid w:val="5B68DBE3"/>
    <w:rsid w:val="5B6AB6F5"/>
    <w:rsid w:val="5B94B080"/>
    <w:rsid w:val="5BB1D232"/>
    <w:rsid w:val="5BB4E642"/>
    <w:rsid w:val="5BB6E794"/>
    <w:rsid w:val="5BE4E8FD"/>
    <w:rsid w:val="5C02CFB6"/>
    <w:rsid w:val="5C06B8C1"/>
    <w:rsid w:val="5C0D8291"/>
    <w:rsid w:val="5C1808C5"/>
    <w:rsid w:val="5C1ADB19"/>
    <w:rsid w:val="5C1CCB97"/>
    <w:rsid w:val="5C292B05"/>
    <w:rsid w:val="5C36B7AF"/>
    <w:rsid w:val="5C3992DD"/>
    <w:rsid w:val="5C3BCC56"/>
    <w:rsid w:val="5C45905C"/>
    <w:rsid w:val="5C46D4C3"/>
    <w:rsid w:val="5C475076"/>
    <w:rsid w:val="5C58AC29"/>
    <w:rsid w:val="5C6299D2"/>
    <w:rsid w:val="5C69CD23"/>
    <w:rsid w:val="5C7A9EA4"/>
    <w:rsid w:val="5C7C14F3"/>
    <w:rsid w:val="5C87C9DC"/>
    <w:rsid w:val="5CA066E9"/>
    <w:rsid w:val="5CA7BA29"/>
    <w:rsid w:val="5CAD3170"/>
    <w:rsid w:val="5CB0297E"/>
    <w:rsid w:val="5CBA0370"/>
    <w:rsid w:val="5CC537BA"/>
    <w:rsid w:val="5CCB7F19"/>
    <w:rsid w:val="5CE78CE6"/>
    <w:rsid w:val="5CF2F5B7"/>
    <w:rsid w:val="5CF3352C"/>
    <w:rsid w:val="5CF8FE5F"/>
    <w:rsid w:val="5CFA3A1E"/>
    <w:rsid w:val="5D08C6AD"/>
    <w:rsid w:val="5D1630E5"/>
    <w:rsid w:val="5D1C1A0F"/>
    <w:rsid w:val="5D1F011A"/>
    <w:rsid w:val="5D508273"/>
    <w:rsid w:val="5D5BF75D"/>
    <w:rsid w:val="5D740D63"/>
    <w:rsid w:val="5D756E31"/>
    <w:rsid w:val="5DB387DF"/>
    <w:rsid w:val="5DB6A42A"/>
    <w:rsid w:val="5DBA3CE9"/>
    <w:rsid w:val="5DD827E9"/>
    <w:rsid w:val="5DDF72D3"/>
    <w:rsid w:val="5DE71FF6"/>
    <w:rsid w:val="5DF39382"/>
    <w:rsid w:val="5DF4175D"/>
    <w:rsid w:val="5DF8C141"/>
    <w:rsid w:val="5E0AFA8C"/>
    <w:rsid w:val="5E1C2582"/>
    <w:rsid w:val="5E26EDA8"/>
    <w:rsid w:val="5E3817A2"/>
    <w:rsid w:val="5E3A159D"/>
    <w:rsid w:val="5E3CF50F"/>
    <w:rsid w:val="5E4E191C"/>
    <w:rsid w:val="5E4E9A89"/>
    <w:rsid w:val="5E526837"/>
    <w:rsid w:val="5E5718FE"/>
    <w:rsid w:val="5E6C332D"/>
    <w:rsid w:val="5E7419A5"/>
    <w:rsid w:val="5E7A553A"/>
    <w:rsid w:val="5E969C8C"/>
    <w:rsid w:val="5EA2999B"/>
    <w:rsid w:val="5EC6EFFA"/>
    <w:rsid w:val="5ECD4E5C"/>
    <w:rsid w:val="5ED16CAD"/>
    <w:rsid w:val="5EED1BE1"/>
    <w:rsid w:val="5F07AAE0"/>
    <w:rsid w:val="5F228F51"/>
    <w:rsid w:val="5F29303A"/>
    <w:rsid w:val="5F3267A0"/>
    <w:rsid w:val="5F41765F"/>
    <w:rsid w:val="5F45FABE"/>
    <w:rsid w:val="5F56DE3A"/>
    <w:rsid w:val="5F5C4573"/>
    <w:rsid w:val="5F609317"/>
    <w:rsid w:val="5F6CF2E0"/>
    <w:rsid w:val="5F6F34AC"/>
    <w:rsid w:val="5F741CD5"/>
    <w:rsid w:val="5F7FF491"/>
    <w:rsid w:val="5F8DB9DE"/>
    <w:rsid w:val="5FA358A4"/>
    <w:rsid w:val="5FAA7703"/>
    <w:rsid w:val="5FAF49E9"/>
    <w:rsid w:val="5FB05E48"/>
    <w:rsid w:val="5FDBADA4"/>
    <w:rsid w:val="5FE10C1D"/>
    <w:rsid w:val="5FE1657A"/>
    <w:rsid w:val="6002B76B"/>
    <w:rsid w:val="6006BDD6"/>
    <w:rsid w:val="603DC053"/>
    <w:rsid w:val="604702BF"/>
    <w:rsid w:val="604A8671"/>
    <w:rsid w:val="6066E094"/>
    <w:rsid w:val="607179FD"/>
    <w:rsid w:val="6072DDEE"/>
    <w:rsid w:val="607B94C7"/>
    <w:rsid w:val="60908CE7"/>
    <w:rsid w:val="60A3A3A6"/>
    <w:rsid w:val="60AC6ADE"/>
    <w:rsid w:val="60B0AB3B"/>
    <w:rsid w:val="60B1918B"/>
    <w:rsid w:val="60C1D4B1"/>
    <w:rsid w:val="60CEE08C"/>
    <w:rsid w:val="60D11633"/>
    <w:rsid w:val="60D2DC9B"/>
    <w:rsid w:val="60E69A5F"/>
    <w:rsid w:val="60E731D7"/>
    <w:rsid w:val="60F3F5A0"/>
    <w:rsid w:val="60FF615E"/>
    <w:rsid w:val="6118CB28"/>
    <w:rsid w:val="612A2F6C"/>
    <w:rsid w:val="612CBC05"/>
    <w:rsid w:val="612EF403"/>
    <w:rsid w:val="6138EA0A"/>
    <w:rsid w:val="613B0177"/>
    <w:rsid w:val="61502546"/>
    <w:rsid w:val="6153C617"/>
    <w:rsid w:val="6155F922"/>
    <w:rsid w:val="6169B57C"/>
    <w:rsid w:val="616F874A"/>
    <w:rsid w:val="616F8771"/>
    <w:rsid w:val="61720837"/>
    <w:rsid w:val="617C6C8D"/>
    <w:rsid w:val="61AB1AD7"/>
    <w:rsid w:val="61AE435F"/>
    <w:rsid w:val="61B00CD3"/>
    <w:rsid w:val="61C3D6B3"/>
    <w:rsid w:val="61C60C33"/>
    <w:rsid w:val="61C64E23"/>
    <w:rsid w:val="61C97160"/>
    <w:rsid w:val="61CB0012"/>
    <w:rsid w:val="61CDA731"/>
    <w:rsid w:val="61EA64EF"/>
    <w:rsid w:val="61F46CA9"/>
    <w:rsid w:val="620EA3D2"/>
    <w:rsid w:val="621FE3C1"/>
    <w:rsid w:val="6226234B"/>
    <w:rsid w:val="622BAE99"/>
    <w:rsid w:val="6239A65A"/>
    <w:rsid w:val="623ABE13"/>
    <w:rsid w:val="624277BC"/>
    <w:rsid w:val="624B1402"/>
    <w:rsid w:val="624E7899"/>
    <w:rsid w:val="6251F1CF"/>
    <w:rsid w:val="6258ABCD"/>
    <w:rsid w:val="625EC858"/>
    <w:rsid w:val="62629918"/>
    <w:rsid w:val="626E6CEB"/>
    <w:rsid w:val="6273EE51"/>
    <w:rsid w:val="6285FCE3"/>
    <w:rsid w:val="628F30A5"/>
    <w:rsid w:val="62920468"/>
    <w:rsid w:val="62ACF6F5"/>
    <w:rsid w:val="62B72A56"/>
    <w:rsid w:val="62C95A55"/>
    <w:rsid w:val="62DF121A"/>
    <w:rsid w:val="62E282B3"/>
    <w:rsid w:val="62E8CB61"/>
    <w:rsid w:val="62EFCC5D"/>
    <w:rsid w:val="62F589F5"/>
    <w:rsid w:val="62F960F8"/>
    <w:rsid w:val="63067B1B"/>
    <w:rsid w:val="630AAA61"/>
    <w:rsid w:val="6324A4F6"/>
    <w:rsid w:val="63314BF1"/>
    <w:rsid w:val="63374452"/>
    <w:rsid w:val="6372F5F5"/>
    <w:rsid w:val="6374FE41"/>
    <w:rsid w:val="637AFFD9"/>
    <w:rsid w:val="637FB597"/>
    <w:rsid w:val="6389BFFA"/>
    <w:rsid w:val="638C08DA"/>
    <w:rsid w:val="63988D09"/>
    <w:rsid w:val="63A6EA4B"/>
    <w:rsid w:val="63CC3AC0"/>
    <w:rsid w:val="63D27C53"/>
    <w:rsid w:val="63D5663F"/>
    <w:rsid w:val="63E0546F"/>
    <w:rsid w:val="63E2EDD6"/>
    <w:rsid w:val="63E82EED"/>
    <w:rsid w:val="63EAE8B7"/>
    <w:rsid w:val="63EE112C"/>
    <w:rsid w:val="6407A59D"/>
    <w:rsid w:val="64093463"/>
    <w:rsid w:val="6416DCA0"/>
    <w:rsid w:val="6416DE15"/>
    <w:rsid w:val="6434CE83"/>
    <w:rsid w:val="643D403C"/>
    <w:rsid w:val="643ED50A"/>
    <w:rsid w:val="644AF84B"/>
    <w:rsid w:val="644DF6FF"/>
    <w:rsid w:val="6451C511"/>
    <w:rsid w:val="646A5C93"/>
    <w:rsid w:val="6470205B"/>
    <w:rsid w:val="64751AAB"/>
    <w:rsid w:val="6479A4AF"/>
    <w:rsid w:val="648217B0"/>
    <w:rsid w:val="64A932FB"/>
    <w:rsid w:val="64B4339E"/>
    <w:rsid w:val="64C0EF01"/>
    <w:rsid w:val="64C118D0"/>
    <w:rsid w:val="64CF2DFB"/>
    <w:rsid w:val="64ECE1EB"/>
    <w:rsid w:val="6502F924"/>
    <w:rsid w:val="650BE854"/>
    <w:rsid w:val="650E2EDE"/>
    <w:rsid w:val="65244C9C"/>
    <w:rsid w:val="65287207"/>
    <w:rsid w:val="6532582D"/>
    <w:rsid w:val="656757EA"/>
    <w:rsid w:val="656FECA6"/>
    <w:rsid w:val="65722486"/>
    <w:rsid w:val="657A2111"/>
    <w:rsid w:val="657A5078"/>
    <w:rsid w:val="657F69E4"/>
    <w:rsid w:val="658D6576"/>
    <w:rsid w:val="65A79180"/>
    <w:rsid w:val="65AD70FB"/>
    <w:rsid w:val="65B5629F"/>
    <w:rsid w:val="65CF7F2B"/>
    <w:rsid w:val="65CFDE80"/>
    <w:rsid w:val="65D5E6FB"/>
    <w:rsid w:val="65DC7116"/>
    <w:rsid w:val="65EFC765"/>
    <w:rsid w:val="65F315C1"/>
    <w:rsid w:val="660B47C1"/>
    <w:rsid w:val="661549C6"/>
    <w:rsid w:val="6616C90D"/>
    <w:rsid w:val="661D01A6"/>
    <w:rsid w:val="6634D6CC"/>
    <w:rsid w:val="663D51F6"/>
    <w:rsid w:val="66593AE5"/>
    <w:rsid w:val="66617E88"/>
    <w:rsid w:val="666BF5D5"/>
    <w:rsid w:val="6674DA7F"/>
    <w:rsid w:val="6675A983"/>
    <w:rsid w:val="66825F84"/>
    <w:rsid w:val="66A38FC7"/>
    <w:rsid w:val="66B133B9"/>
    <w:rsid w:val="66B4D0EF"/>
    <w:rsid w:val="66B851A0"/>
    <w:rsid w:val="66BC8A46"/>
    <w:rsid w:val="66C94B1C"/>
    <w:rsid w:val="66E417AE"/>
    <w:rsid w:val="66F64490"/>
    <w:rsid w:val="670967CA"/>
    <w:rsid w:val="67154DF3"/>
    <w:rsid w:val="6717F509"/>
    <w:rsid w:val="673FA06F"/>
    <w:rsid w:val="6754E464"/>
    <w:rsid w:val="675948D8"/>
    <w:rsid w:val="677294A1"/>
    <w:rsid w:val="678E5760"/>
    <w:rsid w:val="679A89A9"/>
    <w:rsid w:val="67A6D164"/>
    <w:rsid w:val="67B22ECF"/>
    <w:rsid w:val="67B39A02"/>
    <w:rsid w:val="67C2DFAD"/>
    <w:rsid w:val="67F152E7"/>
    <w:rsid w:val="67F5B60B"/>
    <w:rsid w:val="680EBD28"/>
    <w:rsid w:val="680EEC5A"/>
    <w:rsid w:val="681B4F61"/>
    <w:rsid w:val="681ECC79"/>
    <w:rsid w:val="682F6E3B"/>
    <w:rsid w:val="6842D405"/>
    <w:rsid w:val="68430ED8"/>
    <w:rsid w:val="6850C72C"/>
    <w:rsid w:val="68586620"/>
    <w:rsid w:val="6858F297"/>
    <w:rsid w:val="685B9DFE"/>
    <w:rsid w:val="685F5222"/>
    <w:rsid w:val="686337A9"/>
    <w:rsid w:val="686AE6EB"/>
    <w:rsid w:val="68747A81"/>
    <w:rsid w:val="68932407"/>
    <w:rsid w:val="689A9AC9"/>
    <w:rsid w:val="689AAEF4"/>
    <w:rsid w:val="68A3B5B2"/>
    <w:rsid w:val="68A88100"/>
    <w:rsid w:val="68AC0C38"/>
    <w:rsid w:val="68AE0070"/>
    <w:rsid w:val="68C5B249"/>
    <w:rsid w:val="68D5444F"/>
    <w:rsid w:val="68E3C46C"/>
    <w:rsid w:val="68EA8456"/>
    <w:rsid w:val="68F4CFC5"/>
    <w:rsid w:val="68FD4FC3"/>
    <w:rsid w:val="69136E1A"/>
    <w:rsid w:val="69157CA8"/>
    <w:rsid w:val="693113F5"/>
    <w:rsid w:val="69325FAA"/>
    <w:rsid w:val="6939CC0D"/>
    <w:rsid w:val="696AEF7B"/>
    <w:rsid w:val="69916DA6"/>
    <w:rsid w:val="69A0ABD1"/>
    <w:rsid w:val="69A5068A"/>
    <w:rsid w:val="69A94A9A"/>
    <w:rsid w:val="69B10709"/>
    <w:rsid w:val="69BB1CB3"/>
    <w:rsid w:val="69CB303E"/>
    <w:rsid w:val="69DDA31D"/>
    <w:rsid w:val="69E2FE48"/>
    <w:rsid w:val="69E5C8AF"/>
    <w:rsid w:val="69EC8EC6"/>
    <w:rsid w:val="69F564C6"/>
    <w:rsid w:val="69F6B276"/>
    <w:rsid w:val="6A0B7802"/>
    <w:rsid w:val="6A16F1C2"/>
    <w:rsid w:val="6A1EC78F"/>
    <w:rsid w:val="6A2168A0"/>
    <w:rsid w:val="6A2D5923"/>
    <w:rsid w:val="6A380FE3"/>
    <w:rsid w:val="6A38755B"/>
    <w:rsid w:val="6A44A38C"/>
    <w:rsid w:val="6A53D9F9"/>
    <w:rsid w:val="6A59433C"/>
    <w:rsid w:val="6A6373B1"/>
    <w:rsid w:val="6A71A493"/>
    <w:rsid w:val="6AA01504"/>
    <w:rsid w:val="6AA13A7A"/>
    <w:rsid w:val="6AA5C6FF"/>
    <w:rsid w:val="6AB3A6D7"/>
    <w:rsid w:val="6AB900B4"/>
    <w:rsid w:val="6ABF026E"/>
    <w:rsid w:val="6AD3E61C"/>
    <w:rsid w:val="6AF13AD9"/>
    <w:rsid w:val="6B01B075"/>
    <w:rsid w:val="6B0A09FB"/>
    <w:rsid w:val="6B1E0BA7"/>
    <w:rsid w:val="6B544632"/>
    <w:rsid w:val="6B59EFB1"/>
    <w:rsid w:val="6B5F885F"/>
    <w:rsid w:val="6B6DF558"/>
    <w:rsid w:val="6B8A8730"/>
    <w:rsid w:val="6B920377"/>
    <w:rsid w:val="6B9A394A"/>
    <w:rsid w:val="6B9D93C3"/>
    <w:rsid w:val="6BA1EBBA"/>
    <w:rsid w:val="6BAB2A8F"/>
    <w:rsid w:val="6BB4F215"/>
    <w:rsid w:val="6BB9A01D"/>
    <w:rsid w:val="6BE1AD8F"/>
    <w:rsid w:val="6BEC5066"/>
    <w:rsid w:val="6BF8D53F"/>
    <w:rsid w:val="6BFCFBE0"/>
    <w:rsid w:val="6C0E7022"/>
    <w:rsid w:val="6C27F909"/>
    <w:rsid w:val="6C44B071"/>
    <w:rsid w:val="6C59ADBA"/>
    <w:rsid w:val="6C602A54"/>
    <w:rsid w:val="6C6A205A"/>
    <w:rsid w:val="6C7EA0D3"/>
    <w:rsid w:val="6C850A45"/>
    <w:rsid w:val="6C8ADA35"/>
    <w:rsid w:val="6C8C176E"/>
    <w:rsid w:val="6C9FB1B4"/>
    <w:rsid w:val="6CA950D6"/>
    <w:rsid w:val="6CAB9503"/>
    <w:rsid w:val="6CB572F5"/>
    <w:rsid w:val="6CBB191F"/>
    <w:rsid w:val="6CFFF959"/>
    <w:rsid w:val="6D05BB10"/>
    <w:rsid w:val="6D27BAD2"/>
    <w:rsid w:val="6D45D40C"/>
    <w:rsid w:val="6D597923"/>
    <w:rsid w:val="6D893E2B"/>
    <w:rsid w:val="6D9FBF2A"/>
    <w:rsid w:val="6DAE09C1"/>
    <w:rsid w:val="6DB39239"/>
    <w:rsid w:val="6DCF3B37"/>
    <w:rsid w:val="6DD2C727"/>
    <w:rsid w:val="6DD3FF01"/>
    <w:rsid w:val="6DD5A458"/>
    <w:rsid w:val="6DD6497E"/>
    <w:rsid w:val="6DD7B300"/>
    <w:rsid w:val="6DD9ADC4"/>
    <w:rsid w:val="6DDF8411"/>
    <w:rsid w:val="6DE6BD52"/>
    <w:rsid w:val="6E10BF7D"/>
    <w:rsid w:val="6E1914E5"/>
    <w:rsid w:val="6E258340"/>
    <w:rsid w:val="6E267895"/>
    <w:rsid w:val="6E365BD7"/>
    <w:rsid w:val="6E3ED5F4"/>
    <w:rsid w:val="6E56A350"/>
    <w:rsid w:val="6E57898E"/>
    <w:rsid w:val="6E5953C0"/>
    <w:rsid w:val="6E59D97F"/>
    <w:rsid w:val="6E5ED46D"/>
    <w:rsid w:val="6E626AE5"/>
    <w:rsid w:val="6E63C241"/>
    <w:rsid w:val="6E6B7231"/>
    <w:rsid w:val="6E77E035"/>
    <w:rsid w:val="6E781D31"/>
    <w:rsid w:val="6E84D3EB"/>
    <w:rsid w:val="6E8748BE"/>
    <w:rsid w:val="6EC17FF5"/>
    <w:rsid w:val="6EC2CF67"/>
    <w:rsid w:val="6EDBA457"/>
    <w:rsid w:val="6EE35F0C"/>
    <w:rsid w:val="6EF267F8"/>
    <w:rsid w:val="6EF3FB80"/>
    <w:rsid w:val="6F054313"/>
    <w:rsid w:val="6F0F3A1D"/>
    <w:rsid w:val="6F104F0C"/>
    <w:rsid w:val="6F22BA05"/>
    <w:rsid w:val="6F2F93E9"/>
    <w:rsid w:val="6F40FBAC"/>
    <w:rsid w:val="6F4D2B32"/>
    <w:rsid w:val="6F6F82ED"/>
    <w:rsid w:val="6F780694"/>
    <w:rsid w:val="6F791DE6"/>
    <w:rsid w:val="6F7AD985"/>
    <w:rsid w:val="6F8444E7"/>
    <w:rsid w:val="6F896D0E"/>
    <w:rsid w:val="6FA62052"/>
    <w:rsid w:val="6FA92E60"/>
    <w:rsid w:val="6FAA408C"/>
    <w:rsid w:val="6FC73943"/>
    <w:rsid w:val="6FCE232A"/>
    <w:rsid w:val="6FCF079E"/>
    <w:rsid w:val="6FE468E8"/>
    <w:rsid w:val="6FE65EE7"/>
    <w:rsid w:val="6FE9015D"/>
    <w:rsid w:val="6FEFB553"/>
    <w:rsid w:val="7011149A"/>
    <w:rsid w:val="701321E3"/>
    <w:rsid w:val="701806B4"/>
    <w:rsid w:val="701A7656"/>
    <w:rsid w:val="702C3FAE"/>
    <w:rsid w:val="70565E7D"/>
    <w:rsid w:val="70669EA1"/>
    <w:rsid w:val="706E24BE"/>
    <w:rsid w:val="707F91FC"/>
    <w:rsid w:val="708FC4A4"/>
    <w:rsid w:val="7098419F"/>
    <w:rsid w:val="70A7651B"/>
    <w:rsid w:val="70B24FF0"/>
    <w:rsid w:val="70B81172"/>
    <w:rsid w:val="70C930A9"/>
    <w:rsid w:val="70CFBEA0"/>
    <w:rsid w:val="70E41D14"/>
    <w:rsid w:val="70E5367F"/>
    <w:rsid w:val="70ED7598"/>
    <w:rsid w:val="70FD2AEA"/>
    <w:rsid w:val="710C19DE"/>
    <w:rsid w:val="71103BDE"/>
    <w:rsid w:val="7130EBB8"/>
    <w:rsid w:val="714776B5"/>
    <w:rsid w:val="71539B20"/>
    <w:rsid w:val="715504A6"/>
    <w:rsid w:val="7166AE91"/>
    <w:rsid w:val="717A5B91"/>
    <w:rsid w:val="717B79CD"/>
    <w:rsid w:val="71869255"/>
    <w:rsid w:val="7191155A"/>
    <w:rsid w:val="719898D7"/>
    <w:rsid w:val="719D1FD1"/>
    <w:rsid w:val="71A3B249"/>
    <w:rsid w:val="71B13BA2"/>
    <w:rsid w:val="71BD7B0E"/>
    <w:rsid w:val="71C3237D"/>
    <w:rsid w:val="71CD3006"/>
    <w:rsid w:val="71CEF139"/>
    <w:rsid w:val="71D47BD7"/>
    <w:rsid w:val="71D4C311"/>
    <w:rsid w:val="71D7BE61"/>
    <w:rsid w:val="71DCD934"/>
    <w:rsid w:val="7202FBD9"/>
    <w:rsid w:val="7207103A"/>
    <w:rsid w:val="722CA5B5"/>
    <w:rsid w:val="723B4DD7"/>
    <w:rsid w:val="72638816"/>
    <w:rsid w:val="7265BD5A"/>
    <w:rsid w:val="7265E7FE"/>
    <w:rsid w:val="7271C065"/>
    <w:rsid w:val="729B5B33"/>
    <w:rsid w:val="729CCE7D"/>
    <w:rsid w:val="729D9B08"/>
    <w:rsid w:val="72A11965"/>
    <w:rsid w:val="72A18F97"/>
    <w:rsid w:val="72ABA97E"/>
    <w:rsid w:val="72B3A0B8"/>
    <w:rsid w:val="72CDD149"/>
    <w:rsid w:val="72DCB061"/>
    <w:rsid w:val="72EE600D"/>
    <w:rsid w:val="72FC2537"/>
    <w:rsid w:val="72FEA61A"/>
    <w:rsid w:val="731B7813"/>
    <w:rsid w:val="732CD8A4"/>
    <w:rsid w:val="73348AEB"/>
    <w:rsid w:val="7337F2CD"/>
    <w:rsid w:val="7352EF67"/>
    <w:rsid w:val="737539EF"/>
    <w:rsid w:val="73892962"/>
    <w:rsid w:val="739787EB"/>
    <w:rsid w:val="73A0F48B"/>
    <w:rsid w:val="73ABF355"/>
    <w:rsid w:val="73BD3A7E"/>
    <w:rsid w:val="73BEC1C7"/>
    <w:rsid w:val="73C5DBDA"/>
    <w:rsid w:val="73D400E9"/>
    <w:rsid w:val="73DACD2F"/>
    <w:rsid w:val="73E3D495"/>
    <w:rsid w:val="73F96A06"/>
    <w:rsid w:val="741D4F83"/>
    <w:rsid w:val="741E81CC"/>
    <w:rsid w:val="742CED64"/>
    <w:rsid w:val="74356D52"/>
    <w:rsid w:val="74361EE0"/>
    <w:rsid w:val="7437CD4E"/>
    <w:rsid w:val="743D6692"/>
    <w:rsid w:val="744D23F7"/>
    <w:rsid w:val="745B0960"/>
    <w:rsid w:val="747905B2"/>
    <w:rsid w:val="747EE147"/>
    <w:rsid w:val="74919E63"/>
    <w:rsid w:val="7495689F"/>
    <w:rsid w:val="7495C75E"/>
    <w:rsid w:val="749D5FFA"/>
    <w:rsid w:val="74A5D563"/>
    <w:rsid w:val="74A76BF4"/>
    <w:rsid w:val="74AE254E"/>
    <w:rsid w:val="74BD9460"/>
    <w:rsid w:val="74CF7F0C"/>
    <w:rsid w:val="74D4F298"/>
    <w:rsid w:val="74E14F25"/>
    <w:rsid w:val="74F86614"/>
    <w:rsid w:val="74FAD0C8"/>
    <w:rsid w:val="750E2FC6"/>
    <w:rsid w:val="751847DD"/>
    <w:rsid w:val="751F9896"/>
    <w:rsid w:val="75281BE6"/>
    <w:rsid w:val="752A6BC3"/>
    <w:rsid w:val="75426922"/>
    <w:rsid w:val="7557ABD8"/>
    <w:rsid w:val="755F66DD"/>
    <w:rsid w:val="758450E2"/>
    <w:rsid w:val="758B03AC"/>
    <w:rsid w:val="75965F20"/>
    <w:rsid w:val="759F1B46"/>
    <w:rsid w:val="75A8CFE8"/>
    <w:rsid w:val="75AAC690"/>
    <w:rsid w:val="75B51EE2"/>
    <w:rsid w:val="75B55268"/>
    <w:rsid w:val="75BA05B7"/>
    <w:rsid w:val="75C3BA3A"/>
    <w:rsid w:val="75DC917C"/>
    <w:rsid w:val="75E63699"/>
    <w:rsid w:val="75EB7F2E"/>
    <w:rsid w:val="75F123D7"/>
    <w:rsid w:val="75FBAD87"/>
    <w:rsid w:val="75FD7EC4"/>
    <w:rsid w:val="76007F29"/>
    <w:rsid w:val="7605934B"/>
    <w:rsid w:val="7623108A"/>
    <w:rsid w:val="76277CA0"/>
    <w:rsid w:val="762ECABD"/>
    <w:rsid w:val="762EEE18"/>
    <w:rsid w:val="7631182A"/>
    <w:rsid w:val="76397B19"/>
    <w:rsid w:val="7676229D"/>
    <w:rsid w:val="76803211"/>
    <w:rsid w:val="76805696"/>
    <w:rsid w:val="76942B53"/>
    <w:rsid w:val="76A3DC52"/>
    <w:rsid w:val="76BEAF4A"/>
    <w:rsid w:val="76E3A7CD"/>
    <w:rsid w:val="76EDED09"/>
    <w:rsid w:val="76FAE063"/>
    <w:rsid w:val="77253E0C"/>
    <w:rsid w:val="7729BF4B"/>
    <w:rsid w:val="773A40CA"/>
    <w:rsid w:val="77491901"/>
    <w:rsid w:val="774D5EAA"/>
    <w:rsid w:val="77533B3B"/>
    <w:rsid w:val="779C906A"/>
    <w:rsid w:val="77A434DC"/>
    <w:rsid w:val="77A9C6A0"/>
    <w:rsid w:val="77CA96E0"/>
    <w:rsid w:val="77E3ED5D"/>
    <w:rsid w:val="77E45EA5"/>
    <w:rsid w:val="77E9376A"/>
    <w:rsid w:val="78018C23"/>
    <w:rsid w:val="7804C744"/>
    <w:rsid w:val="78095D8A"/>
    <w:rsid w:val="782A70A0"/>
    <w:rsid w:val="78358899"/>
    <w:rsid w:val="7839C83C"/>
    <w:rsid w:val="784AE539"/>
    <w:rsid w:val="78582658"/>
    <w:rsid w:val="785ECFCC"/>
    <w:rsid w:val="785EEDD0"/>
    <w:rsid w:val="786B4087"/>
    <w:rsid w:val="7885C140"/>
    <w:rsid w:val="7888CA61"/>
    <w:rsid w:val="7894BFA1"/>
    <w:rsid w:val="789F8B52"/>
    <w:rsid w:val="78AC1229"/>
    <w:rsid w:val="78B0BC65"/>
    <w:rsid w:val="78B4EE49"/>
    <w:rsid w:val="78BAAA80"/>
    <w:rsid w:val="78E9D332"/>
    <w:rsid w:val="790FD2EA"/>
    <w:rsid w:val="7919A230"/>
    <w:rsid w:val="792D2DC6"/>
    <w:rsid w:val="794E3DEB"/>
    <w:rsid w:val="79544B98"/>
    <w:rsid w:val="799F3A1D"/>
    <w:rsid w:val="79B2BF5C"/>
    <w:rsid w:val="79BFE54B"/>
    <w:rsid w:val="79DD37A8"/>
    <w:rsid w:val="79E80A70"/>
    <w:rsid w:val="79F2C0CF"/>
    <w:rsid w:val="7A02830D"/>
    <w:rsid w:val="7A09D542"/>
    <w:rsid w:val="7A0C3994"/>
    <w:rsid w:val="7A17E7DF"/>
    <w:rsid w:val="7A1D8BA5"/>
    <w:rsid w:val="7A221E79"/>
    <w:rsid w:val="7A3DDD85"/>
    <w:rsid w:val="7A4A0D31"/>
    <w:rsid w:val="7A4EFF02"/>
    <w:rsid w:val="7A519844"/>
    <w:rsid w:val="7A5A3426"/>
    <w:rsid w:val="7A610DAE"/>
    <w:rsid w:val="7A714D84"/>
    <w:rsid w:val="7A7BA5D5"/>
    <w:rsid w:val="7A80262E"/>
    <w:rsid w:val="7A803DCE"/>
    <w:rsid w:val="7A84B2AE"/>
    <w:rsid w:val="7A8A1AB9"/>
    <w:rsid w:val="7A9D0298"/>
    <w:rsid w:val="7A9E3F61"/>
    <w:rsid w:val="7AB12493"/>
    <w:rsid w:val="7AB967FE"/>
    <w:rsid w:val="7AC6AD65"/>
    <w:rsid w:val="7ADB39EA"/>
    <w:rsid w:val="7AF32D0F"/>
    <w:rsid w:val="7AFD5A8C"/>
    <w:rsid w:val="7B0381EA"/>
    <w:rsid w:val="7B0AC173"/>
    <w:rsid w:val="7B12E5B2"/>
    <w:rsid w:val="7B1A0BD8"/>
    <w:rsid w:val="7B241C7D"/>
    <w:rsid w:val="7B2685AE"/>
    <w:rsid w:val="7B48AE69"/>
    <w:rsid w:val="7B5564D8"/>
    <w:rsid w:val="7B5B81F6"/>
    <w:rsid w:val="7B6994A4"/>
    <w:rsid w:val="7B6D88D5"/>
    <w:rsid w:val="7B7E1DEB"/>
    <w:rsid w:val="7B82B913"/>
    <w:rsid w:val="7B838702"/>
    <w:rsid w:val="7B93F3D8"/>
    <w:rsid w:val="7B97AC72"/>
    <w:rsid w:val="7B984F69"/>
    <w:rsid w:val="7B9867CC"/>
    <w:rsid w:val="7B9BE878"/>
    <w:rsid w:val="7B9CEED9"/>
    <w:rsid w:val="7BA4029A"/>
    <w:rsid w:val="7BCC9D8E"/>
    <w:rsid w:val="7BCE4523"/>
    <w:rsid w:val="7BCF4CB0"/>
    <w:rsid w:val="7BD3009F"/>
    <w:rsid w:val="7BD4E020"/>
    <w:rsid w:val="7BD9B9F7"/>
    <w:rsid w:val="7BDF1D17"/>
    <w:rsid w:val="7BE652D8"/>
    <w:rsid w:val="7BEAD2A5"/>
    <w:rsid w:val="7BEB7606"/>
    <w:rsid w:val="7BECDD43"/>
    <w:rsid w:val="7BF0B85B"/>
    <w:rsid w:val="7BFC9159"/>
    <w:rsid w:val="7C0E93B8"/>
    <w:rsid w:val="7C1971D2"/>
    <w:rsid w:val="7C21305F"/>
    <w:rsid w:val="7C480C5E"/>
    <w:rsid w:val="7C4CB294"/>
    <w:rsid w:val="7C5B6912"/>
    <w:rsid w:val="7C5C3C69"/>
    <w:rsid w:val="7C787752"/>
    <w:rsid w:val="7C7AB093"/>
    <w:rsid w:val="7C87567C"/>
    <w:rsid w:val="7C90CA4B"/>
    <w:rsid w:val="7C9D3190"/>
    <w:rsid w:val="7CB979A0"/>
    <w:rsid w:val="7CBEC3EC"/>
    <w:rsid w:val="7CDF28D3"/>
    <w:rsid w:val="7CE7E933"/>
    <w:rsid w:val="7CFCAF2C"/>
    <w:rsid w:val="7CFF3526"/>
    <w:rsid w:val="7D158F60"/>
    <w:rsid w:val="7D172742"/>
    <w:rsid w:val="7D26CA63"/>
    <w:rsid w:val="7D38C94F"/>
    <w:rsid w:val="7D3AB5AF"/>
    <w:rsid w:val="7D4E8E60"/>
    <w:rsid w:val="7D50C894"/>
    <w:rsid w:val="7D527C4B"/>
    <w:rsid w:val="7D931FE4"/>
    <w:rsid w:val="7D9373DA"/>
    <w:rsid w:val="7DA0F9A7"/>
    <w:rsid w:val="7DA17657"/>
    <w:rsid w:val="7DA8819A"/>
    <w:rsid w:val="7DC21666"/>
    <w:rsid w:val="7DC484CC"/>
    <w:rsid w:val="7DC621AC"/>
    <w:rsid w:val="7DD96471"/>
    <w:rsid w:val="7DDE1A26"/>
    <w:rsid w:val="7DF42B18"/>
    <w:rsid w:val="7DF4A847"/>
    <w:rsid w:val="7DF5BA60"/>
    <w:rsid w:val="7E0D2300"/>
    <w:rsid w:val="7E1D2FD7"/>
    <w:rsid w:val="7E3593BF"/>
    <w:rsid w:val="7E56E557"/>
    <w:rsid w:val="7E5ECEDC"/>
    <w:rsid w:val="7E7961D4"/>
    <w:rsid w:val="7E847287"/>
    <w:rsid w:val="7E87F188"/>
    <w:rsid w:val="7E8A9EB5"/>
    <w:rsid w:val="7E9FA339"/>
    <w:rsid w:val="7EA02E09"/>
    <w:rsid w:val="7EAB50B5"/>
    <w:rsid w:val="7EAE8F2A"/>
    <w:rsid w:val="7EB0C062"/>
    <w:rsid w:val="7EB1DDEF"/>
    <w:rsid w:val="7EB25F19"/>
    <w:rsid w:val="7EB28F8C"/>
    <w:rsid w:val="7ECC382E"/>
    <w:rsid w:val="7ECCC7A8"/>
    <w:rsid w:val="7ED14064"/>
    <w:rsid w:val="7ED36171"/>
    <w:rsid w:val="7ED8995E"/>
    <w:rsid w:val="7EE21D90"/>
    <w:rsid w:val="7EE5048D"/>
    <w:rsid w:val="7EE90EF2"/>
    <w:rsid w:val="7EEADB6E"/>
    <w:rsid w:val="7EEF89BA"/>
    <w:rsid w:val="7F144962"/>
    <w:rsid w:val="7F3B9787"/>
    <w:rsid w:val="7F61CACF"/>
    <w:rsid w:val="7F6389A1"/>
    <w:rsid w:val="7F6F0184"/>
    <w:rsid w:val="7F6F24D5"/>
    <w:rsid w:val="7F7E0496"/>
    <w:rsid w:val="7F831FD2"/>
    <w:rsid w:val="7F8D416A"/>
    <w:rsid w:val="7F9C1D23"/>
    <w:rsid w:val="7FA1F205"/>
    <w:rsid w:val="7FB8E082"/>
    <w:rsid w:val="7FCE2897"/>
    <w:rsid w:val="7FDA2E90"/>
    <w:rsid w:val="7FF78D28"/>
    <w:rsid w:val="7FFFE4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00974162-CCBA-7745-9C04-0D6905BE3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B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49665B"/>
    <w:pPr>
      <w:keepNext/>
      <w:keepLines/>
      <w:spacing w:before="30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126908"/>
    <w:pPr>
      <w:keepNext/>
      <w:keepLines/>
      <w:spacing w:before="24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74499F"/>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unhideWhenUsed/>
    <w:qFormat/>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link w:val="ListBulletChar"/>
    <w:uiPriority w:val="1"/>
    <w:qFormat/>
    <w:pPr>
      <w:numPr>
        <w:numId w:val="3"/>
      </w:numPr>
      <w:contextualSpacing/>
    </w:pPr>
  </w:style>
  <w:style w:type="character" w:customStyle="1" w:styleId="Heading3Char">
    <w:name w:val="Heading 3 Char"/>
    <w:basedOn w:val="DefaultParagraphFont"/>
    <w:link w:val="Heading3"/>
    <w:uiPriority w:val="9"/>
    <w:rsid w:val="00126908"/>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74499F"/>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unhideWhenUsed/>
    <w:qFormat/>
    <w:pPr>
      <w:outlineLvl w:val="9"/>
    </w:pPr>
    <w:rPr>
      <w:sz w:val="32"/>
    </w:rPr>
  </w:style>
  <w:style w:type="paragraph" w:styleId="NoSpacing">
    <w:name w:val="No Spacing"/>
    <w:link w:val="NoSpacingChar"/>
    <w:uiPriority w:val="1"/>
    <w:qFormat/>
    <w:rsid w:val="002D036B"/>
    <w:pPr>
      <w:spacing w:after="0" w:line="240" w:lineRule="auto"/>
    </w:pPr>
    <w:rPr>
      <w:rFonts w:ascii="Arial" w:hAnsi="Arial"/>
      <w:sz w:val="20"/>
    </w:rPr>
  </w:style>
  <w:style w:type="paragraph" w:styleId="BlockText">
    <w:name w:val="Block Text"/>
    <w:basedOn w:val="Normal"/>
    <w:uiPriority w:val="99"/>
    <w:qFormat/>
    <w:rsid w:val="002D036B"/>
    <w:pPr>
      <w:spacing w:before="60" w:after="0" w:line="250" w:lineRule="auto"/>
      <w:contextualSpacing/>
    </w:pPr>
    <w:rPr>
      <w:rFonts w:eastAsiaTheme="minorEastAsia"/>
      <w:iCs/>
    </w:rPr>
  </w:style>
  <w:style w:type="paragraph" w:styleId="ListNumber">
    <w:name w:val="List Number"/>
    <w:basedOn w:val="Normal"/>
    <w:link w:val="ListNumberChar"/>
    <w:qFormat/>
    <w:pPr>
      <w:numPr>
        <w:numId w:val="2"/>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nhideWhenUsed/>
    <w:rsid w:val="006431F9"/>
    <w:pPr>
      <w:spacing w:after="120"/>
    </w:pPr>
  </w:style>
  <w:style w:type="character" w:customStyle="1" w:styleId="BodyTextChar">
    <w:name w:val="Body Text Char"/>
    <w:basedOn w:val="DefaultParagraphFont"/>
    <w:link w:val="BodyText"/>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unhideWhenUsed/>
    <w:qFormat/>
    <w:rsid w:val="006431F9"/>
    <w:rPr>
      <w:b/>
      <w:bCs/>
      <w:i/>
      <w:iCs/>
      <w:spacing w:val="5"/>
      <w:sz w:val="22"/>
    </w:rPr>
  </w:style>
  <w:style w:type="paragraph" w:styleId="Caption">
    <w:name w:val="caption"/>
    <w:basedOn w:val="Normal"/>
    <w:next w:val="Normal"/>
    <w:uiPriority w:val="35"/>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u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u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u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u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u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u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u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u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u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u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u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u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u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u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6431F9"/>
    <w:rPr>
      <w:sz w:val="22"/>
      <w:szCs w:val="16"/>
    </w:rPr>
  </w:style>
  <w:style w:type="paragraph" w:styleId="CommentText">
    <w:name w:val="annotation text"/>
    <w:basedOn w:val="Normal"/>
    <w:link w:val="CommentTextChar"/>
    <w:uiPriority w:val="99"/>
    <w:unhideWhenUsed/>
    <w:rsid w:val="006431F9"/>
    <w:pPr>
      <w:spacing w:line="240" w:lineRule="auto"/>
    </w:pPr>
  </w:style>
  <w:style w:type="character" w:customStyle="1" w:styleId="CommentTextChar">
    <w:name w:val="Comment Text Char"/>
    <w:basedOn w:val="DefaultParagraphFont"/>
    <w:link w:val="CommentText"/>
    <w:uiPriority w:val="99"/>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nhideWhenUsed/>
    <w:rsid w:val="006431F9"/>
    <w:rPr>
      <w:sz w:val="22"/>
      <w:vertAlign w:val="superscript"/>
    </w:rPr>
  </w:style>
  <w:style w:type="paragraph" w:styleId="FootnoteText">
    <w:name w:val="footnote text"/>
    <w:basedOn w:val="Normal"/>
    <w:link w:val="FootnoteTextChar"/>
    <w:autoRedefine/>
    <w:uiPriority w:val="99"/>
    <w:unhideWhenUsed/>
    <w:qFormat/>
    <w:rsid w:val="003B463F"/>
    <w:pPr>
      <w:spacing w:after="0" w:line="240" w:lineRule="auto"/>
    </w:pPr>
    <w:rPr>
      <w:sz w:val="16"/>
    </w:rPr>
  </w:style>
  <w:style w:type="character" w:customStyle="1" w:styleId="FootnoteTextChar">
    <w:name w:val="Footnote Text Char"/>
    <w:basedOn w:val="DefaultParagraphFont"/>
    <w:link w:val="FootnoteText"/>
    <w:uiPriority w:val="99"/>
    <w:rsid w:val="003B463F"/>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u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u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u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u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u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u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u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u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u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u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u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u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1"/>
    <w:unhideWhenUsed/>
    <w:rsid w:val="006431F9"/>
    <w:pPr>
      <w:numPr>
        <w:numId w:val="4"/>
      </w:numPr>
      <w:contextualSpacing/>
    </w:pPr>
  </w:style>
  <w:style w:type="paragraph" w:styleId="ListBullet3">
    <w:name w:val="List Bullet 3"/>
    <w:basedOn w:val="Normal"/>
    <w:unhideWhenUsed/>
    <w:rsid w:val="006431F9"/>
    <w:pPr>
      <w:numPr>
        <w:numId w:val="5"/>
      </w:numPr>
      <w:contextualSpacing/>
    </w:pPr>
  </w:style>
  <w:style w:type="paragraph" w:styleId="ListBullet4">
    <w:name w:val="List Bullet 4"/>
    <w:basedOn w:val="Normal"/>
    <w:uiPriority w:val="99"/>
    <w:semiHidden/>
    <w:unhideWhenUsed/>
    <w:rsid w:val="006431F9"/>
    <w:pPr>
      <w:numPr>
        <w:numId w:val="6"/>
      </w:numPr>
      <w:contextualSpacing/>
    </w:pPr>
  </w:style>
  <w:style w:type="paragraph" w:styleId="ListBullet5">
    <w:name w:val="List Bullet 5"/>
    <w:basedOn w:val="Normal"/>
    <w:uiPriority w:val="99"/>
    <w:semiHidden/>
    <w:unhideWhenUsed/>
    <w:rsid w:val="006431F9"/>
    <w:pPr>
      <w:numPr>
        <w:numId w:val="7"/>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nhideWhenUsed/>
    <w:qFormat/>
    <w:rsid w:val="006431F9"/>
    <w:pPr>
      <w:numPr>
        <w:numId w:val="8"/>
      </w:numPr>
      <w:contextualSpacing/>
    </w:pPr>
  </w:style>
  <w:style w:type="paragraph" w:styleId="ListNumber3">
    <w:name w:val="List Number 3"/>
    <w:basedOn w:val="Normal"/>
    <w:unhideWhenUsed/>
    <w:qFormat/>
    <w:rsid w:val="006431F9"/>
    <w:pPr>
      <w:numPr>
        <w:numId w:val="9"/>
      </w:numPr>
      <w:contextualSpacing/>
    </w:pPr>
  </w:style>
  <w:style w:type="paragraph" w:styleId="ListNumber4">
    <w:name w:val="List Number 4"/>
    <w:basedOn w:val="Normal"/>
    <w:uiPriority w:val="99"/>
    <w:semiHidden/>
    <w:unhideWhenUsed/>
    <w:rsid w:val="006431F9"/>
    <w:pPr>
      <w:numPr>
        <w:numId w:val="10"/>
      </w:numPr>
      <w:contextualSpacing/>
    </w:pPr>
  </w:style>
  <w:style w:type="paragraph" w:styleId="ListNumber5">
    <w:name w:val="List Number 5"/>
    <w:basedOn w:val="Normal"/>
    <w:uiPriority w:val="99"/>
    <w:semiHidden/>
    <w:unhideWhenUsed/>
    <w:rsid w:val="006431F9"/>
    <w:pPr>
      <w:numPr>
        <w:numId w:val="11"/>
      </w:numPr>
      <w:contextualSpacing/>
    </w:pPr>
  </w:style>
  <w:style w:type="paragraph" w:styleId="ListParagraph">
    <w:name w:val="List Paragraph"/>
    <w:aliases w:val="Bullet List,Tier 1 Bullet,ADB List Paragraph,FooterText,Paragraphe de liste1,List Paragraph1,numbered,Bulletr List Paragraph,列出段落,列出段落1,List Paragraph2,List Paragraph21,Parágrafo da Lista1,List Paragraph11,Listeafsnit1,Párrafo de lista1,L"/>
    <w:basedOn w:val="Normal"/>
    <w:link w:val="ListParagraphChar"/>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u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u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u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u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u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u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unhideWhenUsed/>
    <w:qFormat/>
    <w:rsid w:val="006431F9"/>
    <w:rPr>
      <w:i/>
      <w:iCs/>
      <w:color w:val="404040" w:themeColor="text1" w:themeTint="BF"/>
      <w:sz w:val="22"/>
    </w:rPr>
  </w:style>
  <w:style w:type="character" w:styleId="SubtleReference">
    <w:name w:val="Subtle Reference"/>
    <w:basedOn w:val="DefaultParagraphFont"/>
    <w:uiPriority w:val="31"/>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link w:val="TableofFiguresChar"/>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684973"/>
    <w:pPr>
      <w:tabs>
        <w:tab w:val="right" w:pos="9016"/>
      </w:tabs>
      <w:spacing w:after="100"/>
    </w:pPr>
    <w:rPr>
      <w:b/>
      <w:color w:val="174F37"/>
      <w:sz w:val="28"/>
    </w:rPr>
  </w:style>
  <w:style w:type="paragraph" w:styleId="TOC2">
    <w:name w:val="toc 2"/>
    <w:basedOn w:val="Normal"/>
    <w:next w:val="Normal"/>
    <w:autoRedefine/>
    <w:uiPriority w:val="39"/>
    <w:unhideWhenUsed/>
    <w:rsid w:val="00667C54"/>
    <w:pPr>
      <w:tabs>
        <w:tab w:val="right" w:pos="9016"/>
      </w:tabs>
      <w:spacing w:after="100"/>
    </w:pPr>
    <w:rPr>
      <w:sz w:val="24"/>
    </w:rPr>
  </w:style>
  <w:style w:type="paragraph" w:styleId="TOC3">
    <w:name w:val="toc 3"/>
    <w:basedOn w:val="Normal"/>
    <w:next w:val="Normal"/>
    <w:autoRedefine/>
    <w:uiPriority w:val="39"/>
    <w:unhideWhenUsed/>
    <w:rsid w:val="00667C54"/>
    <w:pPr>
      <w:tabs>
        <w:tab w:val="right" w:pos="9016"/>
      </w:tabs>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unhideWhenUsed/>
    <w:rsid w:val="006431F9"/>
    <w:pPr>
      <w:spacing w:after="100"/>
      <w:ind w:left="880"/>
    </w:pPr>
  </w:style>
  <w:style w:type="paragraph" w:styleId="TOC6">
    <w:name w:val="toc 6"/>
    <w:basedOn w:val="Normal"/>
    <w:next w:val="Normal"/>
    <w:autoRedefine/>
    <w:uiPriority w:val="39"/>
    <w:unhideWhenUsed/>
    <w:rsid w:val="006431F9"/>
    <w:pPr>
      <w:spacing w:after="100"/>
      <w:ind w:left="1100"/>
    </w:pPr>
  </w:style>
  <w:style w:type="paragraph" w:styleId="TOC7">
    <w:name w:val="toc 7"/>
    <w:basedOn w:val="Normal"/>
    <w:next w:val="Normal"/>
    <w:autoRedefine/>
    <w:uiPriority w:val="39"/>
    <w:unhideWhenUsed/>
    <w:rsid w:val="006431F9"/>
    <w:pPr>
      <w:spacing w:after="100"/>
      <w:ind w:left="1320"/>
    </w:pPr>
  </w:style>
  <w:style w:type="paragraph" w:styleId="TOC8">
    <w:name w:val="toc 8"/>
    <w:basedOn w:val="Normal"/>
    <w:next w:val="Normal"/>
    <w:autoRedefine/>
    <w:uiPriority w:val="39"/>
    <w:unhideWhenUsed/>
    <w:rsid w:val="006431F9"/>
    <w:pPr>
      <w:spacing w:after="100"/>
      <w:ind w:left="1540"/>
    </w:pPr>
  </w:style>
  <w:style w:type="paragraph" w:styleId="TOC9">
    <w:name w:val="toc 9"/>
    <w:basedOn w:val="Normal"/>
    <w:next w:val="Normal"/>
    <w:autoRedefine/>
    <w:uiPriority w:val="39"/>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uiPriority w:val="99"/>
    <w:qFormat/>
    <w:rsid w:val="00E52386"/>
    <w:pPr>
      <w:spacing w:before="120" w:after="120" w:line="240" w:lineRule="auto"/>
    </w:pPr>
    <w:rPr>
      <w:b/>
      <w:noProof/>
      <w:color w:val="auto"/>
      <w:szCs w:val="20"/>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autoRedefine/>
    <w:qFormat/>
    <w:rsid w:val="00105389"/>
    <w:pPr>
      <w:spacing w:after="120" w:line="259" w:lineRule="auto"/>
    </w:pPr>
    <w:rPr>
      <w:rFonts w:asciiTheme="minorHAnsi" w:eastAsiaTheme="minorEastAsia" w:hAnsiTheme="minorHAnsi" w:cstheme="minorHAnsi"/>
      <w:color w:val="auto"/>
      <w:szCs w:val="20"/>
      <w:lang w:eastAsia="en-AU"/>
    </w:rPr>
  </w:style>
  <w:style w:type="character" w:customStyle="1" w:styleId="BodyChar">
    <w:name w:val="Body Char"/>
    <w:basedOn w:val="DefaultParagraphFont"/>
    <w:link w:val="Body"/>
    <w:rsid w:val="00105389"/>
    <w:rPr>
      <w:rFonts w:eastAsiaTheme="minorEastAsia" w:cstheme="minorHAnsi"/>
      <w:color w:val="auto"/>
      <w:sz w:val="20"/>
      <w:szCs w:val="20"/>
      <w:lang w:eastAsia="en-AU"/>
    </w:rPr>
  </w:style>
  <w:style w:type="paragraph" w:customStyle="1" w:styleId="Breakoutbullet">
    <w:name w:val="Breakout bullet"/>
    <w:basedOn w:val="Breakouttext"/>
    <w:qFormat/>
    <w:rsid w:val="009801B2"/>
    <w:pPr>
      <w:keepLines/>
      <w:numPr>
        <w:numId w:val="12"/>
      </w:numPr>
      <w:pBdr>
        <w:top w:val="single" w:sz="4" w:space="0" w:color="D4DFA0" w:themeColor="background2"/>
        <w:bottom w:val="single" w:sz="4" w:space="0" w:color="D4DFA0" w:themeColor="background2"/>
      </w:pBdr>
      <w:ind w:left="357" w:hanging="357"/>
    </w:pPr>
  </w:style>
  <w:style w:type="paragraph" w:customStyle="1" w:styleId="TableText">
    <w:name w:val="Table Text"/>
    <w:basedOn w:val="Normal"/>
    <w:link w:val="TableTextChar"/>
    <w:qFormat/>
    <w:rsid w:val="007A68AF"/>
    <w:pPr>
      <w:spacing w:before="20" w:after="30" w:line="220" w:lineRule="atLeast"/>
    </w:pPr>
    <w:rPr>
      <w:rFonts w:asciiTheme="minorHAnsi" w:eastAsiaTheme="minorEastAsia" w:hAnsiTheme="minorHAnsi" w:cstheme="minorHAnsi"/>
      <w:bCs/>
      <w:sz w:val="22"/>
      <w:lang w:eastAsia="en-AU"/>
    </w:rPr>
  </w:style>
  <w:style w:type="character" w:customStyle="1" w:styleId="TableTextChar">
    <w:name w:val="Table Text Char"/>
    <w:basedOn w:val="DefaultParagraphFont"/>
    <w:link w:val="TableText"/>
    <w:rsid w:val="007A68AF"/>
    <w:rPr>
      <w:rFonts w:eastAsiaTheme="minorEastAsia" w:cstheme="minorHAnsi"/>
      <w:bCs/>
      <w:color w:val="000000" w:themeColor="text1"/>
      <w:lang w:eastAsia="en-AU"/>
    </w:rPr>
  </w:style>
  <w:style w:type="paragraph" w:customStyle="1" w:styleId="Tablehead10">
    <w:name w:val="Table head 10"/>
    <w:basedOn w:val="Normal"/>
    <w:link w:val="Tablehead10Char"/>
    <w:qFormat/>
    <w:rsid w:val="007A68AF"/>
    <w:pPr>
      <w:spacing w:before="80" w:after="80" w:line="220" w:lineRule="atLeast"/>
    </w:pPr>
    <w:rPr>
      <w:rFonts w:asciiTheme="majorHAnsi" w:eastAsiaTheme="minorEastAsia" w:hAnsiTheme="majorHAnsi" w:cstheme="minorHAnsi"/>
      <w:b/>
      <w:bCs/>
      <w:color w:val="009D70" w:themeColor="accent2"/>
      <w:sz w:val="22"/>
      <w:lang w:eastAsia="en-AU"/>
    </w:rPr>
  </w:style>
  <w:style w:type="character" w:customStyle="1" w:styleId="Tablehead10Char">
    <w:name w:val="Table head 10 Char"/>
    <w:basedOn w:val="DefaultParagraphFont"/>
    <w:link w:val="Tablehead10"/>
    <w:rsid w:val="007A68AF"/>
    <w:rPr>
      <w:rFonts w:asciiTheme="majorHAnsi" w:eastAsiaTheme="minorEastAsia" w:hAnsiTheme="majorHAnsi" w:cstheme="minorHAnsi"/>
      <w:b/>
      <w:bCs/>
      <w:color w:val="009D70" w:themeColor="accent2"/>
      <w:lang w:eastAsia="en-AU"/>
    </w:rPr>
  </w:style>
  <w:style w:type="paragraph" w:customStyle="1" w:styleId="tableheadright">
    <w:name w:val="table head right"/>
    <w:basedOn w:val="Normal"/>
    <w:link w:val="tableheadrightChar"/>
    <w:qFormat/>
    <w:rsid w:val="00D5357D"/>
    <w:pPr>
      <w:spacing w:before="80" w:after="80" w:line="220" w:lineRule="atLeast"/>
      <w:jc w:val="right"/>
    </w:pPr>
    <w:rPr>
      <w:rFonts w:asciiTheme="majorHAnsi" w:eastAsiaTheme="minorEastAsia" w:hAnsiTheme="majorHAnsi" w:cstheme="minorHAnsi"/>
      <w:b/>
      <w:bCs/>
      <w:color w:val="009D70" w:themeColor="accent2"/>
      <w:sz w:val="22"/>
      <w:lang w:eastAsia="en-AU"/>
    </w:rPr>
  </w:style>
  <w:style w:type="character" w:customStyle="1" w:styleId="tableheadrightChar">
    <w:name w:val="table head right Char"/>
    <w:basedOn w:val="DefaultParagraphFont"/>
    <w:link w:val="tableheadright"/>
    <w:rsid w:val="00D5357D"/>
    <w:rPr>
      <w:rFonts w:asciiTheme="majorHAnsi" w:eastAsiaTheme="minorEastAsia" w:hAnsiTheme="majorHAnsi" w:cstheme="minorHAnsi"/>
      <w:b/>
      <w:bCs/>
      <w:color w:val="009D70" w:themeColor="accent2"/>
      <w:lang w:eastAsia="en-AU"/>
    </w:rPr>
  </w:style>
  <w:style w:type="paragraph" w:customStyle="1" w:styleId="Tablerightlarge">
    <w:name w:val="Table right large"/>
    <w:basedOn w:val="Normal"/>
    <w:link w:val="TablerightlargeChar"/>
    <w:qFormat/>
    <w:rsid w:val="00D5357D"/>
    <w:pPr>
      <w:widowControl w:val="0"/>
      <w:spacing w:before="20" w:after="20" w:line="260" w:lineRule="atLeast"/>
      <w:jc w:val="right"/>
    </w:pPr>
    <w:rPr>
      <w:rFonts w:eastAsiaTheme="minorEastAsia" w:cs="Arial"/>
      <w:color w:val="auto"/>
      <w:sz w:val="22"/>
      <w:lang w:eastAsia="en-AU"/>
    </w:rPr>
  </w:style>
  <w:style w:type="character" w:customStyle="1" w:styleId="TablerightlargeChar">
    <w:name w:val="Table right large Char"/>
    <w:basedOn w:val="DefaultParagraphFont"/>
    <w:link w:val="Tablerightlarge"/>
    <w:rsid w:val="00D5357D"/>
    <w:rPr>
      <w:rFonts w:ascii="Arial" w:eastAsiaTheme="minorEastAsia" w:hAnsi="Arial" w:cs="Arial"/>
      <w:color w:val="auto"/>
      <w:lang w:eastAsia="en-AU"/>
    </w:rPr>
  </w:style>
  <w:style w:type="paragraph" w:customStyle="1" w:styleId="TableHeading">
    <w:name w:val="Table Heading"/>
    <w:basedOn w:val="Normal"/>
    <w:link w:val="TableHeadingChar"/>
    <w:rsid w:val="00860D3D"/>
    <w:pPr>
      <w:spacing w:before="80" w:after="80" w:line="220" w:lineRule="atLeast"/>
    </w:pPr>
    <w:rPr>
      <w:rFonts w:asciiTheme="majorHAnsi" w:eastAsiaTheme="minorEastAsia" w:hAnsiTheme="majorHAnsi" w:cstheme="minorHAnsi"/>
      <w:b/>
      <w:bCs/>
      <w:color w:val="009D70" w:themeColor="accent2"/>
      <w:sz w:val="22"/>
      <w:lang w:eastAsia="en-AU"/>
    </w:rPr>
  </w:style>
  <w:style w:type="character" w:customStyle="1" w:styleId="ListParagraphChar">
    <w:name w:val="List Paragraph Char"/>
    <w:aliases w:val="Bullet List Char,Tier 1 Bullet Char,ADB List Paragraph Char,FooterText Char,Paragraphe de liste1 Char,List Paragraph1 Char,numbered Char,Bulletr List Paragraph Char,列出段落 Char,列出段落1 Char,List Paragraph2 Char,List Paragraph21 Char"/>
    <w:link w:val="ListParagraph"/>
    <w:uiPriority w:val="34"/>
    <w:qFormat/>
    <w:locked/>
    <w:rsid w:val="00860D3D"/>
    <w:rPr>
      <w:rFonts w:ascii="Arial" w:hAnsi="Arial"/>
      <w:color w:val="000000" w:themeColor="text1"/>
      <w:sz w:val="20"/>
    </w:rPr>
  </w:style>
  <w:style w:type="character" w:customStyle="1" w:styleId="TabletextChar0">
    <w:name w:val="Table text Char"/>
    <w:basedOn w:val="DefaultParagraphFont"/>
    <w:link w:val="Tabletext0"/>
    <w:uiPriority w:val="9"/>
    <w:locked/>
    <w:rsid w:val="00860D3D"/>
    <w:rPr>
      <w:rFonts w:ascii="Calibri" w:hAnsi="Calibri" w:cs="Arial"/>
      <w:sz w:val="21"/>
      <w:lang w:eastAsia="en-AU"/>
    </w:rPr>
  </w:style>
  <w:style w:type="paragraph" w:customStyle="1" w:styleId="Tabletext0">
    <w:name w:val="Table text"/>
    <w:basedOn w:val="Normal"/>
    <w:link w:val="TabletextChar0"/>
    <w:uiPriority w:val="9"/>
    <w:rsid w:val="00860D3D"/>
    <w:pPr>
      <w:widowControl w:val="0"/>
      <w:spacing w:before="20" w:after="20" w:line="260" w:lineRule="atLeast"/>
    </w:pPr>
    <w:rPr>
      <w:rFonts w:ascii="Calibri" w:hAnsi="Calibri" w:cs="Arial"/>
      <w:color w:val="595959" w:themeColor="text1" w:themeTint="A6"/>
      <w:sz w:val="21"/>
      <w:lang w:eastAsia="en-AU"/>
    </w:rPr>
  </w:style>
  <w:style w:type="table" w:customStyle="1" w:styleId="TableGrid10">
    <w:name w:val="Table Grid1"/>
    <w:basedOn w:val="TableNormal"/>
    <w:next w:val="TableGrid"/>
    <w:uiPriority w:val="59"/>
    <w:rsid w:val="00860D3D"/>
    <w:pPr>
      <w:spacing w:after="120" w:line="264" w:lineRule="auto"/>
    </w:pPr>
    <w:rPr>
      <w:rFonts w:eastAsiaTheme="minorEastAsia"/>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ight">
    <w:name w:val="table right"/>
    <w:basedOn w:val="Tabletext0"/>
    <w:link w:val="tablerightChar"/>
    <w:qFormat/>
    <w:rsid w:val="00860D3D"/>
    <w:pPr>
      <w:jc w:val="right"/>
    </w:pPr>
    <w:rPr>
      <w:rFonts w:ascii="Arial" w:hAnsi="Arial"/>
    </w:rPr>
  </w:style>
  <w:style w:type="character" w:customStyle="1" w:styleId="tablerightChar">
    <w:name w:val="table right Char"/>
    <w:basedOn w:val="TabletextChar0"/>
    <w:link w:val="tableright"/>
    <w:rsid w:val="00860D3D"/>
    <w:rPr>
      <w:rFonts w:ascii="Arial" w:hAnsi="Arial" w:cs="Arial"/>
      <w:sz w:val="21"/>
      <w:lang w:eastAsia="en-AU"/>
    </w:rPr>
  </w:style>
  <w:style w:type="character" w:customStyle="1" w:styleId="TableHeadingChar">
    <w:name w:val="Table Heading Char"/>
    <w:basedOn w:val="DefaultParagraphFont"/>
    <w:link w:val="TableHeading"/>
    <w:rsid w:val="00860D3D"/>
    <w:rPr>
      <w:rFonts w:asciiTheme="majorHAnsi" w:eastAsiaTheme="minorEastAsia" w:hAnsiTheme="majorHAnsi" w:cstheme="minorHAnsi"/>
      <w:b/>
      <w:bCs/>
      <w:color w:val="009D70" w:themeColor="accent2"/>
      <w:lang w:eastAsia="en-AU"/>
    </w:rPr>
  </w:style>
  <w:style w:type="paragraph" w:customStyle="1" w:styleId="tableheader0">
    <w:name w:val="table header"/>
    <w:basedOn w:val="Normal"/>
    <w:link w:val="tableheaderChar"/>
    <w:qFormat/>
    <w:rsid w:val="00486104"/>
    <w:pPr>
      <w:spacing w:before="80" w:after="80" w:line="220" w:lineRule="atLeast"/>
    </w:pPr>
    <w:rPr>
      <w:rFonts w:asciiTheme="majorHAnsi" w:eastAsiaTheme="minorEastAsia" w:hAnsiTheme="majorHAnsi" w:cstheme="minorHAnsi"/>
      <w:b/>
      <w:bCs/>
      <w:color w:val="009D70" w:themeColor="accent2"/>
      <w:sz w:val="22"/>
      <w:lang w:eastAsia="en-AU"/>
    </w:rPr>
  </w:style>
  <w:style w:type="character" w:customStyle="1" w:styleId="tableheaderChar">
    <w:name w:val="table header Char"/>
    <w:basedOn w:val="DefaultParagraphFont"/>
    <w:link w:val="tableheader0"/>
    <w:rsid w:val="00486104"/>
    <w:rPr>
      <w:rFonts w:asciiTheme="majorHAnsi" w:eastAsiaTheme="minorEastAsia" w:hAnsiTheme="majorHAnsi" w:cstheme="minorHAnsi"/>
      <w:b/>
      <w:bCs/>
      <w:color w:val="009D70" w:themeColor="accent2"/>
      <w:lang w:eastAsia="en-AU"/>
    </w:rPr>
  </w:style>
  <w:style w:type="numbering" w:customStyle="1" w:styleId="Bullets">
    <w:name w:val="Bullets"/>
    <w:uiPriority w:val="99"/>
    <w:rsid w:val="009E4CF2"/>
    <w:pPr>
      <w:numPr>
        <w:numId w:val="14"/>
      </w:numPr>
    </w:pPr>
  </w:style>
  <w:style w:type="paragraph" w:customStyle="1" w:styleId="Heading1Numbered">
    <w:name w:val="Heading 1 Numbered"/>
    <w:basedOn w:val="Heading1"/>
    <w:next w:val="Normal"/>
    <w:autoRedefine/>
    <w:rsid w:val="009E4CF2"/>
    <w:pPr>
      <w:tabs>
        <w:tab w:val="left" w:pos="0"/>
      </w:tabs>
      <w:spacing w:before="320" w:after="300" w:line="240" w:lineRule="auto"/>
      <w:ind w:hanging="851"/>
      <w:contextualSpacing w:val="0"/>
    </w:pPr>
    <w:rPr>
      <w:rFonts w:asciiTheme="majorHAnsi" w:hAnsiTheme="majorHAnsi"/>
      <w:sz w:val="52"/>
      <w:szCs w:val="52"/>
      <w:lang w:eastAsia="en-AU"/>
    </w:rPr>
  </w:style>
  <w:style w:type="paragraph" w:customStyle="1" w:styleId="Heading2Numbered">
    <w:name w:val="Heading 2 Numbered"/>
    <w:basedOn w:val="Heading2"/>
    <w:next w:val="Normal"/>
    <w:rsid w:val="009E4CF2"/>
    <w:pPr>
      <w:spacing w:after="100" w:line="240" w:lineRule="auto"/>
      <w:ind w:left="567" w:hanging="567"/>
      <w:contextualSpacing w:val="0"/>
    </w:pPr>
    <w:rPr>
      <w:rFonts w:asciiTheme="majorHAnsi" w:hAnsiTheme="majorHAnsi"/>
      <w:bCs/>
      <w:color w:val="174F37"/>
      <w:sz w:val="34"/>
      <w:szCs w:val="34"/>
      <w:lang w:eastAsia="en-AU"/>
    </w:rPr>
  </w:style>
  <w:style w:type="paragraph" w:customStyle="1" w:styleId="Heading3Numbered">
    <w:name w:val="Heading 3 Numbered"/>
    <w:basedOn w:val="Heading3"/>
    <w:next w:val="Normal"/>
    <w:rsid w:val="009E4CF2"/>
    <w:pPr>
      <w:spacing w:before="300" w:after="60" w:line="240" w:lineRule="auto"/>
      <w:ind w:left="567" w:hanging="567"/>
      <w:contextualSpacing w:val="0"/>
    </w:pPr>
    <w:rPr>
      <w:rFonts w:asciiTheme="majorHAnsi" w:hAnsiTheme="majorHAnsi"/>
      <w:bCs/>
      <w:color w:val="19FFBC" w:themeColor="accent2" w:themeTint="A6"/>
      <w:szCs w:val="28"/>
      <w:lang w:eastAsia="en-AU"/>
    </w:rPr>
  </w:style>
  <w:style w:type="numbering" w:customStyle="1" w:styleId="NumberedHeadings">
    <w:name w:val="Numbered Headings"/>
    <w:uiPriority w:val="99"/>
    <w:rsid w:val="009E4CF2"/>
    <w:pPr>
      <w:numPr>
        <w:numId w:val="18"/>
      </w:numPr>
    </w:pPr>
  </w:style>
  <w:style w:type="numbering" w:customStyle="1" w:styleId="ListNumbers">
    <w:name w:val="List Numbers"/>
    <w:uiPriority w:val="99"/>
    <w:rsid w:val="009E4CF2"/>
    <w:pPr>
      <w:numPr>
        <w:numId w:val="19"/>
      </w:numPr>
    </w:pPr>
  </w:style>
  <w:style w:type="paragraph" w:customStyle="1" w:styleId="Heading4Numbered">
    <w:name w:val="Heading 4 Numbered"/>
    <w:basedOn w:val="Heading4"/>
    <w:next w:val="Normal"/>
    <w:semiHidden/>
    <w:rsid w:val="009E4CF2"/>
    <w:pPr>
      <w:spacing w:before="240" w:after="60" w:line="240" w:lineRule="auto"/>
      <w:contextualSpacing w:val="0"/>
    </w:pPr>
    <w:rPr>
      <w:rFonts w:asciiTheme="majorHAnsi" w:hAnsiTheme="majorHAnsi"/>
      <w:iCs w:val="0"/>
      <w:color w:val="000000"/>
      <w:sz w:val="24"/>
      <w:szCs w:val="24"/>
      <w:lang w:eastAsia="en-AU"/>
      <w14:textFill>
        <w14:solidFill>
          <w14:srgbClr w14:val="000000">
            <w14:lumMod w14:val="65000"/>
            <w14:lumOff w14:val="35000"/>
          </w14:srgbClr>
        </w14:solidFill>
      </w14:textFill>
    </w:rPr>
  </w:style>
  <w:style w:type="table" w:customStyle="1" w:styleId="LayoutGrid">
    <w:name w:val="Layout Grid"/>
    <w:basedOn w:val="TableNormal"/>
    <w:uiPriority w:val="99"/>
    <w:rsid w:val="009E4CF2"/>
    <w:pPr>
      <w:spacing w:after="120" w:line="264" w:lineRule="auto"/>
    </w:pPr>
    <w:rPr>
      <w:rFonts w:eastAsiaTheme="minorEastAsia"/>
      <w:color w:val="auto"/>
      <w:sz w:val="18"/>
      <w:szCs w:val="20"/>
    </w:rPr>
    <w:tblPr>
      <w:tblCellMar>
        <w:left w:w="0" w:type="dxa"/>
        <w:right w:w="0" w:type="dxa"/>
      </w:tblCellMar>
    </w:tblPr>
  </w:style>
  <w:style w:type="paragraph" w:customStyle="1" w:styleId="TableBullet">
    <w:name w:val="Table Bullet"/>
    <w:basedOn w:val="TableText"/>
    <w:rsid w:val="009E4CF2"/>
    <w:pPr>
      <w:ind w:left="284" w:hanging="284"/>
    </w:pPr>
    <w:rPr>
      <w:rFonts w:asciiTheme="majorHAnsi" w:hAnsiTheme="majorHAnsi"/>
    </w:rPr>
  </w:style>
  <w:style w:type="paragraph" w:customStyle="1" w:styleId="FooterDetails">
    <w:name w:val="Footer Details"/>
    <w:basedOn w:val="Normal"/>
    <w:rsid w:val="009E4CF2"/>
    <w:pPr>
      <w:spacing w:after="0" w:line="240" w:lineRule="auto"/>
    </w:pPr>
    <w:rPr>
      <w:rFonts w:asciiTheme="majorHAnsi" w:eastAsiaTheme="minorEastAsia" w:hAnsiTheme="majorHAnsi" w:cstheme="minorHAnsi"/>
      <w:color w:val="auto"/>
      <w:sz w:val="15"/>
      <w:lang w:eastAsia="en-AU"/>
    </w:rPr>
  </w:style>
  <w:style w:type="paragraph" w:customStyle="1" w:styleId="SectionDividerTitle">
    <w:name w:val="Section Divider Title"/>
    <w:basedOn w:val="Heading1"/>
    <w:next w:val="Normal"/>
    <w:rsid w:val="009E4CF2"/>
    <w:pPr>
      <w:framePr w:w="9639" w:h="2835" w:hRule="exact" w:wrap="around" w:vAnchor="page" w:hAnchor="page" w:x="1135" w:y="1135" w:anchorLock="1"/>
      <w:spacing w:before="320" w:after="2960" w:line="480" w:lineRule="atLeast"/>
      <w:ind w:left="284"/>
    </w:pPr>
    <w:rPr>
      <w:rFonts w:asciiTheme="majorHAnsi" w:hAnsiTheme="majorHAnsi"/>
      <w:sz w:val="60"/>
      <w:szCs w:val="60"/>
      <w:lang w:eastAsia="en-AU"/>
    </w:rPr>
  </w:style>
  <w:style w:type="paragraph" w:customStyle="1" w:styleId="FootnoteSpacer">
    <w:name w:val="Footnote Spacer"/>
    <w:basedOn w:val="Footer"/>
    <w:semiHidden/>
    <w:rsid w:val="009E4CF2"/>
    <w:pPr>
      <w:pBdr>
        <w:bottom w:val="single" w:sz="6" w:space="1" w:color="000000" w:themeColor="text1"/>
      </w:pBdr>
      <w:spacing w:after="80"/>
    </w:pPr>
    <w:rPr>
      <w:rFonts w:asciiTheme="minorHAnsi" w:eastAsiaTheme="minorEastAsia" w:hAnsiTheme="minorHAnsi" w:cstheme="minorHAnsi"/>
      <w:color w:val="auto"/>
      <w:sz w:val="14"/>
      <w:lang w:eastAsia="en-AU"/>
    </w:rPr>
  </w:style>
  <w:style w:type="paragraph" w:customStyle="1" w:styleId="TableText-Numbers">
    <w:name w:val="Table Text - Numbers"/>
    <w:basedOn w:val="TableText"/>
    <w:semiHidden/>
    <w:rsid w:val="009E4CF2"/>
    <w:pPr>
      <w:ind w:right="17"/>
      <w:jc w:val="right"/>
    </w:pPr>
    <w:rPr>
      <w:rFonts w:asciiTheme="majorHAnsi" w:hAnsiTheme="majorHAnsi"/>
    </w:rPr>
  </w:style>
  <w:style w:type="paragraph" w:customStyle="1" w:styleId="TableText-NumbersNeg">
    <w:name w:val="Table Text - Numbers Neg"/>
    <w:basedOn w:val="TableText"/>
    <w:semiHidden/>
    <w:rsid w:val="009E4CF2"/>
    <w:pPr>
      <w:ind w:right="-40"/>
      <w:jc w:val="right"/>
    </w:pPr>
    <w:rPr>
      <w:rFonts w:asciiTheme="majorHAnsi" w:hAnsiTheme="majorHAnsi"/>
    </w:rPr>
  </w:style>
  <w:style w:type="paragraph" w:customStyle="1" w:styleId="TableHeading-Numbers">
    <w:name w:val="Table Heading - Numbers"/>
    <w:basedOn w:val="TableHeading"/>
    <w:semiHidden/>
    <w:rsid w:val="009E4CF2"/>
    <w:pPr>
      <w:ind w:right="17"/>
      <w:jc w:val="right"/>
    </w:pPr>
  </w:style>
  <w:style w:type="paragraph" w:customStyle="1" w:styleId="TableText-NumbersBold">
    <w:name w:val="Table Text - NumbersBold"/>
    <w:basedOn w:val="TableText-Numbers"/>
    <w:semiHidden/>
    <w:rsid w:val="009E4CF2"/>
    <w:pPr>
      <w:ind w:right="0"/>
    </w:pPr>
    <w:rPr>
      <w:b/>
    </w:rPr>
  </w:style>
  <w:style w:type="paragraph" w:customStyle="1" w:styleId="TableText-NumbersBoldNeg">
    <w:name w:val="Table Text - NumbersBoldNeg"/>
    <w:basedOn w:val="TableText-NumbersBold"/>
    <w:semiHidden/>
    <w:rsid w:val="009E4CF2"/>
    <w:pPr>
      <w:ind w:right="-57"/>
    </w:pPr>
  </w:style>
  <w:style w:type="paragraph" w:customStyle="1" w:styleId="FooterDetailsEven">
    <w:name w:val="Footer Details Even"/>
    <w:basedOn w:val="FooterDetails"/>
    <w:rsid w:val="009E4CF2"/>
    <w:rPr>
      <w:b/>
    </w:rPr>
  </w:style>
  <w:style w:type="paragraph" w:customStyle="1" w:styleId="IntroCopy">
    <w:name w:val="IntroCopy"/>
    <w:basedOn w:val="Normal"/>
    <w:next w:val="Normal"/>
    <w:rsid w:val="009E4CF2"/>
    <w:pPr>
      <w:spacing w:after="170" w:line="300" w:lineRule="atLeast"/>
    </w:pPr>
    <w:rPr>
      <w:rFonts w:asciiTheme="majorHAnsi" w:eastAsiaTheme="minorEastAsia" w:hAnsiTheme="majorHAnsi" w:cstheme="minorHAnsi"/>
      <w:color w:val="auto"/>
      <w:sz w:val="24"/>
      <w:lang w:eastAsia="en-AU"/>
    </w:rPr>
  </w:style>
  <w:style w:type="paragraph" w:customStyle="1" w:styleId="TableCaption">
    <w:name w:val="Table Caption"/>
    <w:basedOn w:val="Normal"/>
    <w:next w:val="Normal"/>
    <w:rsid w:val="009E4CF2"/>
    <w:pPr>
      <w:pBdr>
        <w:top w:val="single" w:sz="2" w:space="5" w:color="FFFFFF" w:themeColor="background1"/>
      </w:pBdr>
      <w:spacing w:before="200" w:after="120" w:line="259" w:lineRule="auto"/>
    </w:pPr>
    <w:rPr>
      <w:rFonts w:asciiTheme="minorHAnsi" w:eastAsiaTheme="minorEastAsia" w:hAnsiTheme="minorHAnsi" w:cstheme="minorHAnsi"/>
      <w:color w:val="595959" w:themeColor="text1" w:themeTint="A6"/>
      <w:sz w:val="22"/>
      <w:lang w:eastAsia="en-AU"/>
    </w:rPr>
  </w:style>
  <w:style w:type="paragraph" w:customStyle="1" w:styleId="FigureCaption">
    <w:name w:val="Figure Caption"/>
    <w:basedOn w:val="Normal"/>
    <w:next w:val="Normal"/>
    <w:rsid w:val="009E4CF2"/>
    <w:pPr>
      <w:pBdr>
        <w:top w:val="single" w:sz="2" w:space="5" w:color="FFFFFF" w:themeColor="background1"/>
      </w:pBdr>
      <w:spacing w:before="200" w:after="120" w:line="259" w:lineRule="auto"/>
    </w:pPr>
    <w:rPr>
      <w:rFonts w:asciiTheme="minorHAnsi" w:eastAsiaTheme="minorEastAsia" w:hAnsiTheme="minorHAnsi" w:cstheme="minorHAnsi"/>
      <w:sz w:val="22"/>
      <w:lang w:eastAsia="en-AU"/>
    </w:rPr>
  </w:style>
  <w:style w:type="paragraph" w:customStyle="1" w:styleId="TableCaptionWide">
    <w:name w:val="Table Caption Wide"/>
    <w:basedOn w:val="TableCaption"/>
    <w:next w:val="Normal"/>
    <w:rsid w:val="009E4CF2"/>
    <w:pPr>
      <w:ind w:left="-1985"/>
    </w:pPr>
  </w:style>
  <w:style w:type="paragraph" w:customStyle="1" w:styleId="CoverHeading">
    <w:name w:val="Cover Heading"/>
    <w:basedOn w:val="Normal"/>
    <w:next w:val="Normal"/>
    <w:rsid w:val="009E4CF2"/>
    <w:pPr>
      <w:spacing w:after="340" w:line="216" w:lineRule="auto"/>
      <w:contextualSpacing/>
    </w:pPr>
    <w:rPr>
      <w:rFonts w:asciiTheme="majorHAnsi" w:eastAsiaTheme="minorEastAsia" w:hAnsiTheme="majorHAnsi" w:cstheme="minorHAnsi"/>
      <w:b/>
      <w:color w:val="174F37"/>
      <w:sz w:val="52"/>
      <w:lang w:eastAsia="en-AU"/>
    </w:rPr>
  </w:style>
  <w:style w:type="paragraph" w:customStyle="1" w:styleId="CoverSubheading">
    <w:name w:val="Cover Subheading"/>
    <w:basedOn w:val="Normal"/>
    <w:next w:val="Normal"/>
    <w:rsid w:val="009E4CF2"/>
    <w:pPr>
      <w:spacing w:after="120" w:line="320" w:lineRule="atLeast"/>
      <w:contextualSpacing/>
    </w:pPr>
    <w:rPr>
      <w:rFonts w:asciiTheme="minorHAnsi" w:eastAsiaTheme="minorEastAsia" w:hAnsiTheme="minorHAnsi" w:cstheme="minorHAnsi"/>
      <w:color w:val="FFFFFF"/>
      <w:sz w:val="26"/>
      <w:lang w:eastAsia="en-AU"/>
    </w:rPr>
  </w:style>
  <w:style w:type="paragraph" w:customStyle="1" w:styleId="CoverDetails">
    <w:name w:val="Cover Details"/>
    <w:basedOn w:val="Normal"/>
    <w:rsid w:val="009E4CF2"/>
    <w:pPr>
      <w:spacing w:after="0" w:line="259" w:lineRule="auto"/>
    </w:pPr>
    <w:rPr>
      <w:rFonts w:asciiTheme="minorHAnsi" w:eastAsiaTheme="minorEastAsia" w:hAnsiTheme="minorHAnsi" w:cstheme="minorHAnsi"/>
      <w:color w:val="auto"/>
      <w:sz w:val="22"/>
      <w:lang w:eastAsia="en-AU"/>
    </w:rPr>
  </w:style>
  <w:style w:type="paragraph" w:customStyle="1" w:styleId="BackPageDetails">
    <w:name w:val="BackPage Details"/>
    <w:basedOn w:val="Normal"/>
    <w:rsid w:val="009E4CF2"/>
    <w:pPr>
      <w:spacing w:before="85" w:after="20" w:line="210" w:lineRule="atLeast"/>
    </w:pPr>
    <w:rPr>
      <w:rFonts w:asciiTheme="minorHAnsi" w:eastAsiaTheme="minorEastAsia" w:hAnsiTheme="minorHAnsi" w:cstheme="minorHAnsi"/>
      <w:color w:val="auto"/>
      <w:sz w:val="17"/>
      <w:lang w:eastAsia="en-AU"/>
    </w:rPr>
  </w:style>
  <w:style w:type="paragraph" w:customStyle="1" w:styleId="Default">
    <w:name w:val="Default"/>
    <w:rsid w:val="009E4CF2"/>
    <w:pPr>
      <w:autoSpaceDE w:val="0"/>
      <w:autoSpaceDN w:val="0"/>
      <w:adjustRightInd w:val="0"/>
      <w:spacing w:after="120" w:line="264" w:lineRule="auto"/>
    </w:pPr>
    <w:rPr>
      <w:rFonts w:ascii="DIN Next LT Pro" w:eastAsiaTheme="minorEastAsia" w:hAnsi="DIN Next LT Pro" w:cs="DIN Next LT Pro"/>
      <w:color w:val="000000"/>
      <w:sz w:val="24"/>
      <w:szCs w:val="24"/>
    </w:rPr>
  </w:style>
  <w:style w:type="paragraph" w:customStyle="1" w:styleId="bulletSV">
    <w:name w:val="bullet SV"/>
    <w:basedOn w:val="Normal"/>
    <w:link w:val="bulletSVChar"/>
    <w:rsid w:val="009E4CF2"/>
    <w:pPr>
      <w:numPr>
        <w:numId w:val="15"/>
      </w:numPr>
      <w:spacing w:before="120" w:after="0" w:line="240" w:lineRule="auto"/>
      <w:ind w:right="4"/>
    </w:pPr>
    <w:rPr>
      <w:rFonts w:eastAsia="Times New Roman" w:cs="Arial"/>
      <w:bCs/>
      <w:color w:val="auto"/>
      <w:sz w:val="22"/>
      <w:lang w:eastAsia="en-AU"/>
    </w:rPr>
  </w:style>
  <w:style w:type="character" w:customStyle="1" w:styleId="bulletSVChar">
    <w:name w:val="bullet SV Char"/>
    <w:link w:val="bulletSV"/>
    <w:rsid w:val="009E4CF2"/>
    <w:rPr>
      <w:rFonts w:ascii="Arial" w:eastAsia="Times New Roman" w:hAnsi="Arial" w:cs="Arial"/>
      <w:bCs/>
      <w:color w:val="auto"/>
      <w:lang w:eastAsia="en-AU"/>
    </w:rPr>
  </w:style>
  <w:style w:type="table" w:customStyle="1" w:styleId="LightList-Accent311">
    <w:name w:val="Light List - Accent 311"/>
    <w:basedOn w:val="TableNormal"/>
    <w:uiPriority w:val="61"/>
    <w:rsid w:val="009E4CF2"/>
    <w:pPr>
      <w:spacing w:after="120" w:line="264" w:lineRule="auto"/>
    </w:pPr>
    <w:rPr>
      <w:rFonts w:ascii="Arial" w:eastAsia="Times New Roman" w:hAnsi="Arial"/>
      <w:color w:val="auto"/>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NumberedlistChar">
    <w:name w:val="Numbered list Char"/>
    <w:link w:val="Numberedlist"/>
    <w:locked/>
    <w:rsid w:val="009E4CF2"/>
    <w:rPr>
      <w:rFonts w:ascii="Arial" w:eastAsia="Times New Roman" w:hAnsi="Arial" w:cs="Arial"/>
      <w:lang w:eastAsia="en-AU"/>
    </w:rPr>
  </w:style>
  <w:style w:type="paragraph" w:customStyle="1" w:styleId="Numberedlist">
    <w:name w:val="Numbered list"/>
    <w:basedOn w:val="ListParagraph"/>
    <w:link w:val="NumberedlistChar"/>
    <w:rsid w:val="009E4CF2"/>
    <w:pPr>
      <w:numPr>
        <w:numId w:val="16"/>
      </w:numPr>
      <w:spacing w:before="120" w:after="0" w:line="240" w:lineRule="auto"/>
      <w:contextualSpacing w:val="0"/>
    </w:pPr>
    <w:rPr>
      <w:rFonts w:eastAsia="Times New Roman" w:cs="Arial"/>
      <w:color w:val="595959" w:themeColor="text1" w:themeTint="A6"/>
      <w:sz w:val="22"/>
      <w:lang w:eastAsia="en-AU"/>
    </w:rPr>
  </w:style>
  <w:style w:type="paragraph" w:customStyle="1" w:styleId="Title2">
    <w:name w:val="Title2"/>
    <w:basedOn w:val="Heading1"/>
    <w:link w:val="Title2Char"/>
    <w:rsid w:val="009E4CF2"/>
    <w:pPr>
      <w:spacing w:before="320" w:after="300" w:line="240" w:lineRule="auto"/>
      <w:contextualSpacing w:val="0"/>
    </w:pPr>
    <w:rPr>
      <w:rFonts w:asciiTheme="majorHAnsi" w:hAnsiTheme="majorHAnsi"/>
      <w:b w:val="0"/>
      <w:bCs/>
      <w:sz w:val="52"/>
      <w:szCs w:val="40"/>
      <w:lang w:eastAsia="en-AU"/>
    </w:rPr>
  </w:style>
  <w:style w:type="character" w:customStyle="1" w:styleId="Title2Char">
    <w:name w:val="Title2 Char"/>
    <w:basedOn w:val="DefaultParagraphFont"/>
    <w:link w:val="Title2"/>
    <w:rsid w:val="009E4CF2"/>
    <w:rPr>
      <w:rFonts w:asciiTheme="majorHAnsi" w:eastAsiaTheme="majorEastAsia" w:hAnsiTheme="majorHAnsi" w:cstheme="majorBidi"/>
      <w:bCs/>
      <w:color w:val="174F37"/>
      <w:sz w:val="52"/>
      <w:szCs w:val="40"/>
      <w:lang w:eastAsia="en-AU"/>
    </w:rPr>
  </w:style>
  <w:style w:type="table" w:customStyle="1" w:styleId="TableGrid0">
    <w:name w:val="TableGrid"/>
    <w:rsid w:val="009E4CF2"/>
    <w:pPr>
      <w:spacing w:after="120" w:line="264" w:lineRule="auto"/>
    </w:pPr>
    <w:rPr>
      <w:rFonts w:eastAsiaTheme="minorEastAsia"/>
      <w:color w:val="auto"/>
      <w:lang w:eastAsia="en-AU"/>
    </w:rPr>
    <w:tblPr>
      <w:tblCellMar>
        <w:top w:w="0" w:type="dxa"/>
        <w:left w:w="0" w:type="dxa"/>
        <w:bottom w:w="0" w:type="dxa"/>
        <w:right w:w="0" w:type="dxa"/>
      </w:tblCellMar>
    </w:tblPr>
  </w:style>
  <w:style w:type="character" w:customStyle="1" w:styleId="BodyTextManualChar">
    <w:name w:val="Body Text Manual Char"/>
    <w:basedOn w:val="DefaultParagraphFont"/>
    <w:link w:val="BodyTextManual"/>
    <w:locked/>
    <w:rsid w:val="009E4CF2"/>
    <w:rPr>
      <w:rFonts w:ascii="Tahoma" w:hAnsi="Tahoma" w:cs="Tahoma"/>
      <w:lang w:eastAsia="x-none"/>
    </w:rPr>
  </w:style>
  <w:style w:type="paragraph" w:customStyle="1" w:styleId="BodyTextManual">
    <w:name w:val="Body Text Manual"/>
    <w:basedOn w:val="Normal"/>
    <w:link w:val="BodyTextManualChar"/>
    <w:rsid w:val="009E4CF2"/>
    <w:pPr>
      <w:spacing w:after="0" w:line="240" w:lineRule="auto"/>
    </w:pPr>
    <w:rPr>
      <w:rFonts w:ascii="Tahoma" w:hAnsi="Tahoma" w:cs="Tahoma"/>
      <w:color w:val="595959" w:themeColor="text1" w:themeTint="A6"/>
      <w:sz w:val="22"/>
      <w:lang w:eastAsia="x-none"/>
    </w:rPr>
  </w:style>
  <w:style w:type="character" w:customStyle="1" w:styleId="Style4">
    <w:name w:val="Style4"/>
    <w:basedOn w:val="DefaultParagraphFont"/>
    <w:uiPriority w:val="1"/>
    <w:rsid w:val="009E4CF2"/>
    <w:rPr>
      <w:rFonts w:ascii="Calibri" w:hAnsi="Calibri" w:cs="Calibri" w:hint="default"/>
    </w:rPr>
  </w:style>
  <w:style w:type="character" w:customStyle="1" w:styleId="keyboardfocusclass">
    <w:name w:val="keyboardfocusclass"/>
    <w:basedOn w:val="DefaultParagraphFont"/>
    <w:rsid w:val="009E4CF2"/>
  </w:style>
  <w:style w:type="paragraph" w:customStyle="1" w:styleId="Subheading">
    <w:name w:val="Subheading"/>
    <w:basedOn w:val="Normal"/>
    <w:next w:val="Normal"/>
    <w:uiPriority w:val="49"/>
    <w:rsid w:val="009E4CF2"/>
    <w:pPr>
      <w:keepNext/>
      <w:tabs>
        <w:tab w:val="right" w:pos="9582"/>
      </w:tabs>
      <w:spacing w:before="200" w:after="120" w:line="240" w:lineRule="auto"/>
    </w:pPr>
    <w:rPr>
      <w:rFonts w:asciiTheme="majorHAnsi" w:eastAsiaTheme="minorEastAsia" w:hAnsiTheme="majorHAnsi" w:cstheme="minorHAnsi"/>
      <w:b/>
      <w:color w:val="auto"/>
      <w:spacing w:val="-2"/>
      <w:sz w:val="18"/>
      <w:lang w:eastAsia="en-AU"/>
    </w:rPr>
  </w:style>
  <w:style w:type="paragraph" w:customStyle="1" w:styleId="Tabletextbold">
    <w:name w:val="Table text bold"/>
    <w:rsid w:val="009E4CF2"/>
    <w:pPr>
      <w:spacing w:before="120" w:after="20" w:line="276" w:lineRule="auto"/>
    </w:pPr>
    <w:rPr>
      <w:rFonts w:ascii="Arial" w:eastAsiaTheme="minorEastAsia" w:hAnsi="Arial"/>
      <w:b/>
      <w:color w:val="auto"/>
      <w:spacing w:val="6"/>
      <w:sz w:val="16"/>
      <w:szCs w:val="16"/>
    </w:rPr>
  </w:style>
  <w:style w:type="table" w:customStyle="1" w:styleId="DTFFinancialTable">
    <w:name w:val="DTF Financial Table"/>
    <w:basedOn w:val="TableNormal"/>
    <w:uiPriority w:val="99"/>
    <w:rsid w:val="009E4CF2"/>
    <w:pPr>
      <w:spacing w:before="20" w:after="20" w:line="264" w:lineRule="auto"/>
    </w:pPr>
    <w:rPr>
      <w:rFonts w:ascii="Arial" w:eastAsiaTheme="minorEastAsia" w:hAnsi="Arial"/>
      <w:color w:val="auto"/>
      <w:spacing w:val="2"/>
      <w:sz w:val="16"/>
      <w:szCs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character" w:customStyle="1" w:styleId="TableofFiguresChar">
    <w:name w:val="Table of Figures Char"/>
    <w:link w:val="TableofFigures"/>
    <w:rsid w:val="009E4CF2"/>
    <w:rPr>
      <w:rFonts w:ascii="Arial" w:hAnsi="Arial"/>
      <w:color w:val="000000" w:themeColor="text1"/>
      <w:sz w:val="20"/>
    </w:rPr>
  </w:style>
  <w:style w:type="paragraph" w:customStyle="1" w:styleId="Tabletextheading">
    <w:name w:val="Table text heading"/>
    <w:basedOn w:val="TableofFigures"/>
    <w:link w:val="TabletextheadingChar"/>
    <w:rsid w:val="009E4CF2"/>
    <w:pPr>
      <w:spacing w:before="20" w:after="20" w:line="240" w:lineRule="auto"/>
      <w:jc w:val="right"/>
    </w:pPr>
    <w:rPr>
      <w:rFonts w:asciiTheme="minorHAnsi" w:eastAsia="Tahoma" w:hAnsiTheme="minorHAnsi" w:cs="Arial"/>
      <w:i/>
      <w:iCs/>
      <w:noProof/>
      <w:color w:val="auto"/>
      <w:spacing w:val="2"/>
      <w:sz w:val="16"/>
      <w:szCs w:val="18"/>
      <w:lang w:eastAsia="en-AU"/>
    </w:rPr>
  </w:style>
  <w:style w:type="character" w:customStyle="1" w:styleId="TabletextheadingChar">
    <w:name w:val="Table text heading Char"/>
    <w:link w:val="Tabletextheading"/>
    <w:rsid w:val="009E4CF2"/>
    <w:rPr>
      <w:rFonts w:eastAsia="Tahoma" w:cs="Arial"/>
      <w:i/>
      <w:iCs/>
      <w:noProof/>
      <w:color w:val="auto"/>
      <w:spacing w:val="2"/>
      <w:sz w:val="16"/>
      <w:szCs w:val="18"/>
      <w:lang w:eastAsia="en-AU"/>
    </w:rPr>
  </w:style>
  <w:style w:type="paragraph" w:customStyle="1" w:styleId="TabletextheadingCentred">
    <w:name w:val="Table text heading Centred"/>
    <w:basedOn w:val="Tabletextheading"/>
    <w:link w:val="TabletextheadingCentredChar"/>
    <w:rsid w:val="009E4CF2"/>
    <w:pPr>
      <w:jc w:val="center"/>
    </w:pPr>
    <w:rPr>
      <w:noProof w:val="0"/>
      <w:szCs w:val="20"/>
    </w:rPr>
  </w:style>
  <w:style w:type="character" w:customStyle="1" w:styleId="TabletextheadingCentredChar">
    <w:name w:val="Table text heading Centred Char"/>
    <w:link w:val="TabletextheadingCentred"/>
    <w:locked/>
    <w:rsid w:val="009E4CF2"/>
    <w:rPr>
      <w:rFonts w:eastAsia="Tahoma" w:cs="Arial"/>
      <w:i/>
      <w:iCs/>
      <w:color w:val="auto"/>
      <w:spacing w:val="2"/>
      <w:sz w:val="16"/>
      <w:szCs w:val="20"/>
      <w:lang w:eastAsia="en-AU"/>
    </w:rPr>
  </w:style>
  <w:style w:type="paragraph" w:customStyle="1" w:styleId="TabletextheadingLeft">
    <w:name w:val="Table text heading Left"/>
    <w:basedOn w:val="Tabletextheading"/>
    <w:rsid w:val="009E4CF2"/>
    <w:pPr>
      <w:jc w:val="left"/>
    </w:pPr>
    <w:rPr>
      <w:i w:val="0"/>
    </w:rPr>
  </w:style>
  <w:style w:type="paragraph" w:customStyle="1" w:styleId="Bullet1">
    <w:name w:val="_Bullet1"/>
    <w:basedOn w:val="Normal"/>
    <w:rsid w:val="009E4CF2"/>
    <w:pPr>
      <w:numPr>
        <w:numId w:val="17"/>
      </w:numPr>
      <w:tabs>
        <w:tab w:val="num" w:pos="720"/>
      </w:tabs>
      <w:spacing w:after="120" w:line="240" w:lineRule="auto"/>
      <w:contextualSpacing/>
    </w:pPr>
    <w:rPr>
      <w:rFonts w:eastAsiaTheme="minorEastAsia" w:cs="Arial"/>
      <w:color w:val="464749"/>
      <w:sz w:val="21"/>
      <w:szCs w:val="21"/>
      <w:lang w:eastAsia="en-AU"/>
    </w:rPr>
  </w:style>
  <w:style w:type="paragraph" w:customStyle="1" w:styleId="Bullet2">
    <w:name w:val="_Bullet2"/>
    <w:basedOn w:val="Normal"/>
    <w:rsid w:val="009E4CF2"/>
    <w:pPr>
      <w:numPr>
        <w:ilvl w:val="1"/>
        <w:numId w:val="17"/>
      </w:numPr>
      <w:tabs>
        <w:tab w:val="num" w:pos="1440"/>
      </w:tabs>
      <w:spacing w:after="120" w:line="240" w:lineRule="auto"/>
      <w:contextualSpacing/>
    </w:pPr>
    <w:rPr>
      <w:rFonts w:eastAsiaTheme="minorEastAsia" w:cs="Arial"/>
      <w:color w:val="464749"/>
      <w:sz w:val="21"/>
      <w:szCs w:val="21"/>
      <w:lang w:eastAsia="en-AU"/>
    </w:rPr>
  </w:style>
  <w:style w:type="paragraph" w:customStyle="1" w:styleId="Bullet3">
    <w:name w:val="_Bullet3"/>
    <w:basedOn w:val="Normal"/>
    <w:rsid w:val="009E4CF2"/>
    <w:pPr>
      <w:numPr>
        <w:ilvl w:val="2"/>
        <w:numId w:val="17"/>
      </w:numPr>
      <w:tabs>
        <w:tab w:val="num" w:pos="2160"/>
      </w:tabs>
      <w:spacing w:after="120" w:line="240" w:lineRule="auto"/>
      <w:contextualSpacing/>
    </w:pPr>
    <w:rPr>
      <w:rFonts w:eastAsiaTheme="minorEastAsia" w:cs="Arial"/>
      <w:color w:val="464749"/>
      <w:sz w:val="21"/>
      <w:szCs w:val="21"/>
      <w:lang w:eastAsia="en-AU"/>
    </w:rPr>
  </w:style>
  <w:style w:type="character" w:customStyle="1" w:styleId="font71">
    <w:name w:val="font71"/>
    <w:basedOn w:val="DefaultParagraphFont"/>
    <w:rsid w:val="009E4CF2"/>
    <w:rPr>
      <w:rFonts w:ascii="Arial" w:hAnsi="Arial" w:cs="Arial" w:hint="default"/>
      <w:b/>
      <w:bCs/>
      <w:i w:val="0"/>
      <w:iCs w:val="0"/>
      <w:strike w:val="0"/>
      <w:dstrike w:val="0"/>
      <w:color w:val="000000"/>
      <w:sz w:val="18"/>
      <w:szCs w:val="18"/>
      <w:u w:val="none"/>
      <w:effect w:val="none"/>
    </w:rPr>
  </w:style>
  <w:style w:type="character" w:customStyle="1" w:styleId="font91">
    <w:name w:val="font91"/>
    <w:basedOn w:val="DefaultParagraphFont"/>
    <w:rsid w:val="009E4CF2"/>
    <w:rPr>
      <w:rFonts w:ascii="Arial" w:hAnsi="Arial" w:cs="Arial" w:hint="default"/>
      <w:b w:val="0"/>
      <w:bCs w:val="0"/>
      <w:i w:val="0"/>
      <w:iCs w:val="0"/>
      <w:strike w:val="0"/>
      <w:dstrike w:val="0"/>
      <w:color w:val="000000"/>
      <w:sz w:val="18"/>
      <w:szCs w:val="18"/>
      <w:u w:val="none"/>
      <w:effect w:val="none"/>
    </w:rPr>
  </w:style>
  <w:style w:type="character" w:customStyle="1" w:styleId="font121">
    <w:name w:val="font121"/>
    <w:basedOn w:val="DefaultParagraphFont"/>
    <w:rsid w:val="009E4CF2"/>
    <w:rPr>
      <w:rFonts w:ascii="Arial" w:hAnsi="Arial" w:cs="Arial" w:hint="default"/>
      <w:b w:val="0"/>
      <w:bCs w:val="0"/>
      <w:i w:val="0"/>
      <w:iCs w:val="0"/>
      <w:strike w:val="0"/>
      <w:dstrike w:val="0"/>
      <w:color w:val="000000"/>
      <w:sz w:val="16"/>
      <w:szCs w:val="16"/>
      <w:u w:val="none"/>
      <w:effect w:val="none"/>
    </w:rPr>
  </w:style>
  <w:style w:type="character" w:customStyle="1" w:styleId="font241">
    <w:name w:val="font241"/>
    <w:basedOn w:val="DefaultParagraphFont"/>
    <w:rsid w:val="009E4CF2"/>
    <w:rPr>
      <w:rFonts w:ascii="Arial" w:hAnsi="Arial" w:cs="Arial" w:hint="default"/>
      <w:b w:val="0"/>
      <w:bCs w:val="0"/>
      <w:i w:val="0"/>
      <w:iCs w:val="0"/>
      <w:strike w:val="0"/>
      <w:dstrike w:val="0"/>
      <w:color w:val="000000"/>
      <w:sz w:val="16"/>
      <w:szCs w:val="16"/>
      <w:u w:val="none"/>
      <w:effect w:val="none"/>
    </w:rPr>
  </w:style>
  <w:style w:type="character" w:customStyle="1" w:styleId="font81">
    <w:name w:val="font81"/>
    <w:basedOn w:val="DefaultParagraphFont"/>
    <w:rsid w:val="009E4CF2"/>
    <w:rPr>
      <w:rFonts w:ascii="Arial" w:hAnsi="Arial" w:cs="Arial" w:hint="default"/>
      <w:b w:val="0"/>
      <w:bCs w:val="0"/>
      <w:i w:val="0"/>
      <w:iCs w:val="0"/>
      <w:strike w:val="0"/>
      <w:dstrike w:val="0"/>
      <w:color w:val="000000"/>
      <w:sz w:val="16"/>
      <w:szCs w:val="16"/>
      <w:u w:val="none"/>
      <w:effect w:val="none"/>
    </w:rPr>
  </w:style>
  <w:style w:type="paragraph" w:customStyle="1" w:styleId="xWeb">
    <w:name w:val="xWeb"/>
    <w:basedOn w:val="Normal"/>
    <w:rsid w:val="009E4CF2"/>
    <w:pPr>
      <w:spacing w:after="0" w:line="240" w:lineRule="auto"/>
    </w:pPr>
    <w:rPr>
      <w:rFonts w:asciiTheme="minorHAnsi" w:eastAsia="Times New Roman" w:hAnsiTheme="minorHAnsi" w:cs="Arial"/>
      <w:b/>
      <w:color w:val="00A9B2"/>
      <w:spacing w:val="-4"/>
      <w:sz w:val="25"/>
      <w:szCs w:val="42"/>
      <w:lang w:eastAsia="en-AU"/>
    </w:rPr>
  </w:style>
  <w:style w:type="paragraph" w:customStyle="1" w:styleId="Pa2">
    <w:name w:val="Pa2"/>
    <w:basedOn w:val="Default"/>
    <w:next w:val="Default"/>
    <w:uiPriority w:val="99"/>
    <w:rsid w:val="009E4CF2"/>
    <w:pPr>
      <w:spacing w:line="171" w:lineRule="atLeast"/>
    </w:pPr>
    <w:rPr>
      <w:rFonts w:ascii="DIN Next LT Pro Medium" w:hAnsi="DIN Next LT Pro Medium" w:cs="Times New Roman"/>
      <w:color w:val="auto"/>
    </w:rPr>
  </w:style>
  <w:style w:type="character" w:customStyle="1" w:styleId="A8">
    <w:name w:val="A8"/>
    <w:uiPriority w:val="99"/>
    <w:rsid w:val="009E4CF2"/>
    <w:rPr>
      <w:rFonts w:cs="DIN Next LT Pro Light"/>
      <w:color w:val="000000"/>
      <w:sz w:val="10"/>
      <w:szCs w:val="10"/>
    </w:rPr>
  </w:style>
  <w:style w:type="paragraph" w:customStyle="1" w:styleId="xDisclaimertext3">
    <w:name w:val="xDisclaimer text 3"/>
    <w:basedOn w:val="Normal"/>
    <w:semiHidden/>
    <w:rsid w:val="009E4CF2"/>
    <w:pPr>
      <w:spacing w:before="60" w:after="60" w:line="175" w:lineRule="atLeast"/>
    </w:pPr>
    <w:rPr>
      <w:rFonts w:asciiTheme="minorHAnsi" w:eastAsia="Times New Roman" w:hAnsiTheme="minorHAnsi" w:cs="Arial"/>
      <w:color w:val="auto"/>
      <w:sz w:val="12"/>
      <w:lang w:eastAsia="en-AU"/>
    </w:rPr>
  </w:style>
  <w:style w:type="paragraph" w:customStyle="1" w:styleId="Pa9">
    <w:name w:val="Pa9"/>
    <w:basedOn w:val="Default"/>
    <w:next w:val="Default"/>
    <w:uiPriority w:val="99"/>
    <w:rsid w:val="009E4CF2"/>
    <w:pPr>
      <w:spacing w:line="171" w:lineRule="atLeast"/>
    </w:pPr>
    <w:rPr>
      <w:rFonts w:ascii="DIN Next LT Pro Light" w:hAnsi="DIN Next LT Pro Light" w:cstheme="minorBidi"/>
      <w:color w:val="auto"/>
    </w:rPr>
  </w:style>
  <w:style w:type="paragraph" w:customStyle="1" w:styleId="msonormal0">
    <w:name w:val="msonormal"/>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paragraph">
    <w:name w:val="paragraph"/>
    <w:basedOn w:val="Normal"/>
    <w:rsid w:val="009E4CF2"/>
    <w:pPr>
      <w:spacing w:before="100" w:beforeAutospacing="1" w:after="100" w:afterAutospacing="1" w:line="240" w:lineRule="auto"/>
    </w:pPr>
    <w:rPr>
      <w:rFonts w:asciiTheme="minorHAnsi" w:hAnsiTheme="minorHAnsi" w:cstheme="minorHAnsi"/>
      <w:color w:val="auto"/>
      <w:sz w:val="22"/>
      <w:lang w:eastAsia="en-AU"/>
    </w:rPr>
  </w:style>
  <w:style w:type="character" w:customStyle="1" w:styleId="normaltextrun">
    <w:name w:val="normaltextrun"/>
    <w:basedOn w:val="DefaultParagraphFont"/>
    <w:rsid w:val="009E4CF2"/>
  </w:style>
  <w:style w:type="character" w:customStyle="1" w:styleId="hgkelc">
    <w:name w:val="hgkelc"/>
    <w:basedOn w:val="DefaultParagraphFont"/>
    <w:rsid w:val="009E4CF2"/>
  </w:style>
  <w:style w:type="character" w:customStyle="1" w:styleId="scxw255232883">
    <w:name w:val="scxw255232883"/>
    <w:basedOn w:val="DefaultParagraphFont"/>
    <w:rsid w:val="009E4CF2"/>
  </w:style>
  <w:style w:type="character" w:customStyle="1" w:styleId="eop">
    <w:name w:val="eop"/>
    <w:basedOn w:val="DefaultParagraphFont"/>
    <w:rsid w:val="009E4CF2"/>
  </w:style>
  <w:style w:type="character" w:customStyle="1" w:styleId="normaltextrun1">
    <w:name w:val="normaltextrun1"/>
    <w:basedOn w:val="DefaultParagraphFont"/>
    <w:rsid w:val="009E4CF2"/>
  </w:style>
  <w:style w:type="character" w:customStyle="1" w:styleId="A1">
    <w:name w:val="A1"/>
    <w:uiPriority w:val="99"/>
    <w:rsid w:val="009E4CF2"/>
    <w:rPr>
      <w:rFonts w:cs="DIN Next LT Pro Light"/>
      <w:color w:val="000000"/>
      <w:sz w:val="28"/>
      <w:szCs w:val="28"/>
    </w:rPr>
  </w:style>
  <w:style w:type="character" w:customStyle="1" w:styleId="Italics">
    <w:name w:val="Italics"/>
    <w:rsid w:val="009E4CF2"/>
    <w:rPr>
      <w:i/>
    </w:rPr>
  </w:style>
  <w:style w:type="paragraph" w:customStyle="1" w:styleId="Pa24">
    <w:name w:val="Pa24"/>
    <w:basedOn w:val="Default"/>
    <w:next w:val="Default"/>
    <w:uiPriority w:val="99"/>
    <w:rsid w:val="009E4CF2"/>
    <w:pPr>
      <w:spacing w:after="0" w:line="261" w:lineRule="atLeast"/>
    </w:pPr>
    <w:rPr>
      <w:rFonts w:cstheme="minorBidi"/>
      <w:color w:val="auto"/>
    </w:rPr>
  </w:style>
  <w:style w:type="character" w:styleId="UnresolvedMention">
    <w:name w:val="Unresolved Mention"/>
    <w:basedOn w:val="DefaultParagraphFont"/>
    <w:uiPriority w:val="99"/>
    <w:unhideWhenUsed/>
    <w:rsid w:val="009E4CF2"/>
    <w:rPr>
      <w:color w:val="605E5C"/>
      <w:shd w:val="clear" w:color="auto" w:fill="E1DFDD"/>
    </w:rPr>
  </w:style>
  <w:style w:type="paragraph" w:customStyle="1" w:styleId="Pa7">
    <w:name w:val="Pa7"/>
    <w:basedOn w:val="Default"/>
    <w:next w:val="Default"/>
    <w:uiPriority w:val="99"/>
    <w:rsid w:val="009E4CF2"/>
    <w:pPr>
      <w:spacing w:after="0" w:line="261" w:lineRule="atLeast"/>
    </w:pPr>
    <w:rPr>
      <w:rFonts w:cstheme="minorBidi"/>
      <w:color w:val="auto"/>
    </w:rPr>
  </w:style>
  <w:style w:type="character" w:customStyle="1" w:styleId="A9">
    <w:name w:val="A9"/>
    <w:uiPriority w:val="99"/>
    <w:rsid w:val="009E4CF2"/>
    <w:rPr>
      <w:rFonts w:ascii="DIN Next LT Pro Medium" w:hAnsi="DIN Next LT Pro Medium" w:cs="DIN Next LT Pro Medium"/>
      <w:b/>
      <w:bCs/>
      <w:color w:val="82C340"/>
      <w:sz w:val="17"/>
      <w:szCs w:val="17"/>
    </w:rPr>
  </w:style>
  <w:style w:type="paragraph" w:customStyle="1" w:styleId="Intro">
    <w:name w:val="Intro"/>
    <w:basedOn w:val="Normal"/>
    <w:link w:val="IntroChar"/>
    <w:qFormat/>
    <w:rsid w:val="009E4CF2"/>
    <w:pPr>
      <w:shd w:val="clear" w:color="auto" w:fill="CBE3AE" w:themeFill="accent6"/>
      <w:spacing w:after="120" w:line="259" w:lineRule="auto"/>
    </w:pPr>
    <w:rPr>
      <w:rFonts w:asciiTheme="minorHAnsi" w:eastAsiaTheme="minorEastAsia" w:hAnsiTheme="minorHAnsi" w:cstheme="minorHAnsi"/>
      <w:b/>
      <w:bCs/>
      <w:color w:val="auto"/>
      <w:sz w:val="28"/>
      <w:szCs w:val="28"/>
      <w:lang w:eastAsia="en-AU"/>
    </w:rPr>
  </w:style>
  <w:style w:type="character" w:customStyle="1" w:styleId="IntroChar">
    <w:name w:val="Intro Char"/>
    <w:basedOn w:val="DefaultParagraphFont"/>
    <w:link w:val="Intro"/>
    <w:rsid w:val="009E4CF2"/>
    <w:rPr>
      <w:rFonts w:eastAsiaTheme="minorEastAsia" w:cstheme="minorHAnsi"/>
      <w:b/>
      <w:bCs/>
      <w:color w:val="auto"/>
      <w:sz w:val="28"/>
      <w:szCs w:val="28"/>
      <w:shd w:val="clear" w:color="auto" w:fill="CBE3AE" w:themeFill="accent6"/>
      <w:lang w:eastAsia="en-AU"/>
    </w:rPr>
  </w:style>
  <w:style w:type="paragraph" w:customStyle="1" w:styleId="Tablenote">
    <w:name w:val="Table note"/>
    <w:basedOn w:val="Normal"/>
    <w:link w:val="TablenoteChar"/>
    <w:qFormat/>
    <w:rsid w:val="009E4CF2"/>
    <w:pPr>
      <w:spacing w:after="120" w:line="259" w:lineRule="auto"/>
    </w:pPr>
    <w:rPr>
      <w:rFonts w:asciiTheme="minorHAnsi" w:eastAsiaTheme="minorEastAsia" w:hAnsiTheme="minorHAnsi" w:cstheme="minorHAnsi"/>
      <w:color w:val="auto"/>
      <w:szCs w:val="20"/>
      <w:lang w:eastAsia="en-AU"/>
    </w:rPr>
  </w:style>
  <w:style w:type="character" w:customStyle="1" w:styleId="TablenoteChar">
    <w:name w:val="Table note Char"/>
    <w:basedOn w:val="DefaultParagraphFont"/>
    <w:link w:val="Tablenote"/>
    <w:rsid w:val="009E4CF2"/>
    <w:rPr>
      <w:rFonts w:eastAsiaTheme="minorEastAsia" w:cstheme="minorHAnsi"/>
      <w:color w:val="auto"/>
      <w:sz w:val="20"/>
      <w:szCs w:val="20"/>
      <w:lang w:eastAsia="en-AU"/>
    </w:rPr>
  </w:style>
  <w:style w:type="paragraph" w:customStyle="1" w:styleId="numbercolour">
    <w:name w:val="number colour"/>
    <w:basedOn w:val="ListNumber"/>
    <w:link w:val="numbercolourChar"/>
    <w:qFormat/>
    <w:rsid w:val="009E4CF2"/>
    <w:pPr>
      <w:numPr>
        <w:numId w:val="0"/>
      </w:numPr>
      <w:spacing w:after="120" w:line="259" w:lineRule="auto"/>
      <w:ind w:left="2041" w:hanging="2041"/>
    </w:pPr>
    <w:rPr>
      <w:rFonts w:eastAsiaTheme="minorEastAsia"/>
      <w:color w:val="808080" w:themeColor="background1" w:themeShade="80"/>
    </w:rPr>
  </w:style>
  <w:style w:type="paragraph" w:customStyle="1" w:styleId="PullOutBoxBodyText">
    <w:name w:val="Pull Out Box Body Text"/>
    <w:basedOn w:val="Normal"/>
    <w:qFormat/>
    <w:rsid w:val="009E4CF2"/>
    <w:pPr>
      <w:spacing w:before="120" w:after="120" w:line="240" w:lineRule="atLeast"/>
      <w:ind w:left="142" w:right="142"/>
    </w:pPr>
    <w:rPr>
      <w:rFonts w:asciiTheme="minorHAnsi" w:eastAsia="Times New Roman" w:hAnsiTheme="minorHAnsi" w:cs="Arial"/>
      <w:szCs w:val="20"/>
      <w:lang w:eastAsia="en-AU"/>
    </w:rPr>
  </w:style>
  <w:style w:type="character" w:customStyle="1" w:styleId="ListNumberChar">
    <w:name w:val="List Number Char"/>
    <w:basedOn w:val="DefaultParagraphFont"/>
    <w:link w:val="ListNumber"/>
    <w:rsid w:val="009E4CF2"/>
    <w:rPr>
      <w:rFonts w:ascii="Arial" w:hAnsi="Arial"/>
      <w:color w:val="000000" w:themeColor="text1"/>
      <w:sz w:val="20"/>
    </w:rPr>
  </w:style>
  <w:style w:type="character" w:customStyle="1" w:styleId="numbercolourChar">
    <w:name w:val="number colour Char"/>
    <w:basedOn w:val="ListNumberChar"/>
    <w:link w:val="numbercolour"/>
    <w:rsid w:val="009E4CF2"/>
    <w:rPr>
      <w:rFonts w:ascii="Arial" w:eastAsiaTheme="minorEastAsia" w:hAnsi="Arial"/>
      <w:color w:val="808080" w:themeColor="background1" w:themeShade="80"/>
      <w:sz w:val="20"/>
    </w:rPr>
  </w:style>
  <w:style w:type="table" w:customStyle="1" w:styleId="PullOutBoxTable">
    <w:name w:val="Pull Out Box Table"/>
    <w:basedOn w:val="TableNormal"/>
    <w:uiPriority w:val="99"/>
    <w:rsid w:val="009E4CF2"/>
    <w:pPr>
      <w:spacing w:after="0" w:line="240" w:lineRule="auto"/>
    </w:pPr>
    <w:rPr>
      <w:rFonts w:eastAsia="Times New Roman" w:cs="Arial"/>
      <w:color w:val="000000" w:themeColor="text1"/>
      <w:sz w:val="20"/>
      <w:szCs w:val="20"/>
      <w:lang w:eastAsia="en-AU"/>
    </w:rPr>
    <w:tblPr>
      <w:tblBorders>
        <w:top w:val="single" w:sz="4" w:space="0" w:color="164F36" w:themeColor="text2"/>
        <w:left w:val="single" w:sz="4" w:space="0" w:color="164F36" w:themeColor="text2"/>
        <w:bottom w:val="single" w:sz="4" w:space="0" w:color="164F36" w:themeColor="text2"/>
        <w:right w:val="single" w:sz="4" w:space="0" w:color="164F36" w:themeColor="text2"/>
      </w:tblBorders>
      <w:tblCellMar>
        <w:top w:w="85" w:type="dxa"/>
        <w:left w:w="0" w:type="dxa"/>
        <w:bottom w:w="85" w:type="dxa"/>
        <w:right w:w="0" w:type="dxa"/>
      </w:tblCellMar>
    </w:tblPr>
    <w:tcPr>
      <w:shd w:val="clear" w:color="auto" w:fill="auto"/>
    </w:tcPr>
  </w:style>
  <w:style w:type="paragraph" w:customStyle="1" w:styleId="Pa22">
    <w:name w:val="Pa22"/>
    <w:basedOn w:val="Default"/>
    <w:next w:val="Default"/>
    <w:uiPriority w:val="99"/>
    <w:rsid w:val="009E4CF2"/>
    <w:pPr>
      <w:spacing w:after="0" w:line="151" w:lineRule="atLeast"/>
    </w:pPr>
    <w:rPr>
      <w:rFonts w:ascii="DIN Next LT Pro Light" w:hAnsi="DIN Next LT Pro Light" w:cstheme="minorBidi"/>
      <w:color w:val="auto"/>
    </w:rPr>
  </w:style>
  <w:style w:type="paragraph" w:customStyle="1" w:styleId="Pa20">
    <w:name w:val="Pa20"/>
    <w:basedOn w:val="Default"/>
    <w:next w:val="Default"/>
    <w:uiPriority w:val="99"/>
    <w:rsid w:val="009E4CF2"/>
    <w:pPr>
      <w:spacing w:after="0" w:line="171" w:lineRule="atLeast"/>
    </w:pPr>
    <w:rPr>
      <w:rFonts w:ascii="DIN Next LT Pro Medium" w:hAnsi="DIN Next LT Pro Medium" w:cstheme="minorBidi"/>
      <w:color w:val="auto"/>
    </w:rPr>
  </w:style>
  <w:style w:type="paragraph" w:customStyle="1" w:styleId="Pa26">
    <w:name w:val="Pa26"/>
    <w:basedOn w:val="Default"/>
    <w:next w:val="Default"/>
    <w:uiPriority w:val="99"/>
    <w:rsid w:val="009E4CF2"/>
    <w:pPr>
      <w:spacing w:after="0" w:line="171" w:lineRule="atLeast"/>
    </w:pPr>
    <w:rPr>
      <w:rFonts w:ascii="DIN Next LT Pro Medium" w:hAnsi="DIN Next LT Pro Medium" w:cstheme="minorBidi"/>
      <w:color w:val="auto"/>
    </w:rPr>
  </w:style>
  <w:style w:type="paragraph" w:customStyle="1" w:styleId="Pa27">
    <w:name w:val="Pa27"/>
    <w:basedOn w:val="Default"/>
    <w:next w:val="Default"/>
    <w:uiPriority w:val="99"/>
    <w:rsid w:val="009E4CF2"/>
    <w:pPr>
      <w:spacing w:after="0" w:line="171" w:lineRule="atLeast"/>
    </w:pPr>
    <w:rPr>
      <w:rFonts w:ascii="DIN Next LT Pro Medium" w:hAnsi="DIN Next LT Pro Medium" w:cstheme="minorBidi"/>
      <w:color w:val="auto"/>
    </w:rPr>
  </w:style>
  <w:style w:type="character" w:customStyle="1" w:styleId="A3">
    <w:name w:val="A3"/>
    <w:uiPriority w:val="99"/>
    <w:rsid w:val="009E4CF2"/>
    <w:rPr>
      <w:rFonts w:cs="DIN Next LT Pro"/>
      <w:b/>
      <w:bCs/>
      <w:color w:val="82C340"/>
      <w:sz w:val="36"/>
      <w:szCs w:val="36"/>
    </w:rPr>
  </w:style>
  <w:style w:type="paragraph" w:customStyle="1" w:styleId="Header3outcome">
    <w:name w:val="Header 3 outcome"/>
    <w:basedOn w:val="Heading4"/>
    <w:next w:val="BodyText"/>
    <w:link w:val="Header3outcomeChar"/>
    <w:qFormat/>
    <w:rsid w:val="009E4CF2"/>
    <w:pPr>
      <w:pBdr>
        <w:top w:val="single" w:sz="4" w:space="1" w:color="auto"/>
        <w:bottom w:val="single" w:sz="4" w:space="1" w:color="auto"/>
      </w:pBdr>
      <w:spacing w:before="240" w:after="120" w:line="240" w:lineRule="auto"/>
      <w:contextualSpacing w:val="0"/>
    </w:pPr>
    <w:rPr>
      <w:rFonts w:asciiTheme="majorHAnsi" w:hAnsiTheme="majorHAnsi"/>
      <w:iCs w:val="0"/>
      <w:color w:val="000000"/>
      <w:sz w:val="36"/>
      <w:szCs w:val="36"/>
      <w:lang w:eastAsia="en-AU"/>
      <w14:textFill>
        <w14:solidFill>
          <w14:srgbClr w14:val="000000">
            <w14:lumMod w14:val="65000"/>
            <w14:lumOff w14:val="35000"/>
          </w14:srgbClr>
        </w14:solidFill>
      </w14:textFill>
    </w:rPr>
  </w:style>
  <w:style w:type="character" w:customStyle="1" w:styleId="acopre">
    <w:name w:val="acopre"/>
    <w:basedOn w:val="DefaultParagraphFont"/>
    <w:rsid w:val="009E4CF2"/>
  </w:style>
  <w:style w:type="character" w:customStyle="1" w:styleId="Header3outcomeChar">
    <w:name w:val="Header 3 outcome Char"/>
    <w:basedOn w:val="Heading3Char"/>
    <w:link w:val="Header3outcome"/>
    <w:rsid w:val="009E4CF2"/>
    <w:rPr>
      <w:rFonts w:asciiTheme="majorHAnsi" w:eastAsiaTheme="majorEastAsia" w:hAnsiTheme="majorHAnsi" w:cstheme="majorBidi"/>
      <w:b w:val="0"/>
      <w:color w:val="000000"/>
      <w:sz w:val="36"/>
      <w:szCs w:val="36"/>
      <w:lang w:eastAsia="en-AU"/>
      <w14:textFill>
        <w14:solidFill>
          <w14:srgbClr w14:val="000000">
            <w14:lumMod w14:val="65000"/>
            <w14:lumOff w14:val="35000"/>
          </w14:srgbClr>
        </w14:solidFill>
      </w14:textFill>
    </w:rPr>
  </w:style>
  <w:style w:type="character" w:customStyle="1" w:styleId="A5">
    <w:name w:val="A5"/>
    <w:uiPriority w:val="99"/>
    <w:rsid w:val="009E4CF2"/>
    <w:rPr>
      <w:rFonts w:ascii="DIN Next LT Pro Medium" w:hAnsi="DIN Next LT Pro Medium" w:cs="DIN Next LT Pro Medium"/>
      <w:b/>
      <w:bCs/>
      <w:color w:val="82C340"/>
      <w:sz w:val="19"/>
      <w:szCs w:val="19"/>
    </w:rPr>
  </w:style>
  <w:style w:type="paragraph" w:customStyle="1" w:styleId="Pa1">
    <w:name w:val="Pa1"/>
    <w:basedOn w:val="Default"/>
    <w:next w:val="Default"/>
    <w:uiPriority w:val="99"/>
    <w:rsid w:val="009E4CF2"/>
    <w:pPr>
      <w:spacing w:after="0" w:line="191" w:lineRule="atLeast"/>
    </w:pPr>
    <w:rPr>
      <w:rFonts w:ascii="DIN Next LT Pro Light" w:hAnsi="DIN Next LT Pro Light" w:cstheme="minorBidi"/>
      <w:color w:val="auto"/>
    </w:rPr>
  </w:style>
  <w:style w:type="paragraph" w:customStyle="1" w:styleId="Pa30">
    <w:name w:val="Pa30"/>
    <w:basedOn w:val="Default"/>
    <w:next w:val="Default"/>
    <w:uiPriority w:val="99"/>
    <w:rsid w:val="009E4CF2"/>
    <w:pPr>
      <w:spacing w:after="0" w:line="191" w:lineRule="atLeast"/>
    </w:pPr>
    <w:rPr>
      <w:rFonts w:cstheme="minorBidi"/>
      <w:color w:val="auto"/>
    </w:rPr>
  </w:style>
  <w:style w:type="paragraph" w:customStyle="1" w:styleId="Pa31">
    <w:name w:val="Pa31"/>
    <w:basedOn w:val="Default"/>
    <w:next w:val="Default"/>
    <w:uiPriority w:val="99"/>
    <w:rsid w:val="009E4CF2"/>
    <w:pPr>
      <w:spacing w:after="0" w:line="191" w:lineRule="atLeast"/>
    </w:pPr>
    <w:rPr>
      <w:rFonts w:cstheme="minorBidi"/>
      <w:color w:val="auto"/>
    </w:rPr>
  </w:style>
  <w:style w:type="character" w:customStyle="1" w:styleId="A20">
    <w:name w:val="A20"/>
    <w:uiPriority w:val="99"/>
    <w:rsid w:val="009E4CF2"/>
    <w:rPr>
      <w:rFonts w:cs="DIN Next LT Pro Medium"/>
      <w:color w:val="000000"/>
    </w:rPr>
  </w:style>
  <w:style w:type="paragraph" w:customStyle="1" w:styleId="Pa5">
    <w:name w:val="Pa5"/>
    <w:basedOn w:val="Default"/>
    <w:next w:val="Default"/>
    <w:uiPriority w:val="99"/>
    <w:rsid w:val="009E4CF2"/>
    <w:pPr>
      <w:spacing w:after="0" w:line="191" w:lineRule="atLeast"/>
    </w:pPr>
    <w:rPr>
      <w:rFonts w:ascii="DIN Next LT Pro Light" w:hAnsi="DIN Next LT Pro Light" w:cstheme="minorBidi"/>
      <w:color w:val="auto"/>
    </w:rPr>
  </w:style>
  <w:style w:type="paragraph" w:customStyle="1" w:styleId="casestudybox">
    <w:name w:val="case study box"/>
    <w:basedOn w:val="Normal"/>
    <w:link w:val="casestudyboxChar"/>
    <w:qFormat/>
    <w:rsid w:val="009E4CF2"/>
    <w:pPr>
      <w:pBdr>
        <w:top w:val="single" w:sz="4" w:space="1" w:color="FFFFFF" w:themeColor="background1" w:themeTint="99"/>
        <w:left w:val="single" w:sz="4" w:space="4" w:color="FFFFFF" w:themeColor="background1" w:themeTint="99"/>
        <w:bottom w:val="single" w:sz="4" w:space="1" w:color="FFFFFF" w:themeColor="background1" w:themeTint="99"/>
        <w:right w:val="single" w:sz="4" w:space="4" w:color="FFFFFF" w:themeColor="background1" w:themeTint="99"/>
      </w:pBdr>
      <w:shd w:val="clear" w:color="auto" w:fill="CCE7B3" w:themeFill="accent1" w:themeFillTint="66"/>
      <w:spacing w:after="120" w:line="259" w:lineRule="auto"/>
    </w:pPr>
    <w:rPr>
      <w:rFonts w:asciiTheme="minorHAnsi" w:eastAsiaTheme="minorEastAsia" w:hAnsiTheme="minorHAnsi" w:cstheme="minorHAnsi"/>
      <w:color w:val="auto"/>
      <w:sz w:val="22"/>
      <w:lang w:eastAsia="en-AU"/>
    </w:rPr>
  </w:style>
  <w:style w:type="paragraph" w:customStyle="1" w:styleId="Pa10">
    <w:name w:val="Pa10"/>
    <w:basedOn w:val="Default"/>
    <w:next w:val="Default"/>
    <w:uiPriority w:val="99"/>
    <w:rsid w:val="009E4CF2"/>
    <w:pPr>
      <w:spacing w:after="0" w:line="441" w:lineRule="atLeast"/>
    </w:pPr>
    <w:rPr>
      <w:rFonts w:cstheme="minorBidi"/>
      <w:color w:val="auto"/>
    </w:rPr>
  </w:style>
  <w:style w:type="character" w:customStyle="1" w:styleId="casestudyboxChar">
    <w:name w:val="case study box Char"/>
    <w:basedOn w:val="DefaultParagraphFont"/>
    <w:link w:val="casestudybox"/>
    <w:rsid w:val="009E4CF2"/>
    <w:rPr>
      <w:rFonts w:eastAsiaTheme="minorEastAsia" w:cstheme="minorHAnsi"/>
      <w:color w:val="auto"/>
      <w:shd w:val="clear" w:color="auto" w:fill="CCE7B3" w:themeFill="accent1" w:themeFillTint="66"/>
      <w:lang w:eastAsia="en-AU"/>
    </w:rPr>
  </w:style>
  <w:style w:type="paragraph" w:customStyle="1" w:styleId="Pa35">
    <w:name w:val="Pa35"/>
    <w:basedOn w:val="Default"/>
    <w:next w:val="Default"/>
    <w:uiPriority w:val="99"/>
    <w:rsid w:val="009E4CF2"/>
    <w:pPr>
      <w:spacing w:after="0" w:line="221" w:lineRule="atLeast"/>
    </w:pPr>
    <w:rPr>
      <w:rFonts w:cstheme="minorBidi"/>
      <w:color w:val="auto"/>
    </w:rPr>
  </w:style>
  <w:style w:type="character" w:customStyle="1" w:styleId="A24">
    <w:name w:val="A24"/>
    <w:uiPriority w:val="99"/>
    <w:rsid w:val="009E4CF2"/>
    <w:rPr>
      <w:rFonts w:cs="DIN Next LT Pro"/>
      <w:b/>
      <w:bCs/>
      <w:color w:val="000000"/>
      <w:sz w:val="28"/>
      <w:szCs w:val="28"/>
    </w:rPr>
  </w:style>
  <w:style w:type="paragraph" w:customStyle="1" w:styleId="Pa34">
    <w:name w:val="Pa34"/>
    <w:basedOn w:val="Default"/>
    <w:next w:val="Default"/>
    <w:uiPriority w:val="99"/>
    <w:rsid w:val="009E4CF2"/>
    <w:pPr>
      <w:spacing w:after="0" w:line="191" w:lineRule="atLeast"/>
    </w:pPr>
    <w:rPr>
      <w:rFonts w:cstheme="minorBidi"/>
      <w:color w:val="auto"/>
    </w:rPr>
  </w:style>
  <w:style w:type="character" w:customStyle="1" w:styleId="A4">
    <w:name w:val="A4"/>
    <w:uiPriority w:val="99"/>
    <w:rsid w:val="009E4CF2"/>
    <w:rPr>
      <w:rFonts w:cs="DIN Next LT Pro"/>
      <w:color w:val="000000"/>
      <w:sz w:val="22"/>
      <w:szCs w:val="22"/>
    </w:rPr>
  </w:style>
  <w:style w:type="paragraph" w:customStyle="1" w:styleId="Header4lined">
    <w:name w:val="Header 4 lined"/>
    <w:basedOn w:val="Heading4"/>
    <w:link w:val="Header4linedChar"/>
    <w:qFormat/>
    <w:rsid w:val="009E4CF2"/>
    <w:pPr>
      <w:pBdr>
        <w:top w:val="single" w:sz="4" w:space="1" w:color="auto"/>
        <w:bottom w:val="single" w:sz="4" w:space="1" w:color="auto"/>
      </w:pBdr>
      <w:spacing w:before="240" w:after="60" w:line="240" w:lineRule="auto"/>
      <w:contextualSpacing w:val="0"/>
    </w:pPr>
    <w:rPr>
      <w:rFonts w:asciiTheme="majorHAnsi" w:hAnsiTheme="majorHAnsi"/>
      <w:iCs w:val="0"/>
      <w:color w:val="164F36" w:themeColor="text2"/>
      <w:sz w:val="32"/>
      <w:szCs w:val="32"/>
      <w:lang w:eastAsia="en-AU"/>
      <w14:textFill>
        <w14:solidFill>
          <w14:schemeClr w14:val="tx2">
            <w14:lumMod w14:val="50000"/>
            <w14:lumMod w14:val="65000"/>
            <w14:lumOff w14:val="35000"/>
          </w14:schemeClr>
        </w14:solidFill>
      </w14:textFill>
    </w:rPr>
  </w:style>
  <w:style w:type="character" w:customStyle="1" w:styleId="Header4linedChar">
    <w:name w:val="Header 4 lined Char"/>
    <w:basedOn w:val="Heading2Char"/>
    <w:link w:val="Header4lined"/>
    <w:rsid w:val="009E4CF2"/>
    <w:rPr>
      <w:rFonts w:asciiTheme="majorHAnsi" w:eastAsiaTheme="majorEastAsia" w:hAnsiTheme="majorHAnsi" w:cstheme="majorBidi"/>
      <w:b w:val="0"/>
      <w:color w:val="164F36" w:themeColor="text2"/>
      <w:sz w:val="32"/>
      <w:szCs w:val="32"/>
      <w:lang w:eastAsia="en-AU"/>
      <w14:textFill>
        <w14:solidFill>
          <w14:schemeClr w14:val="tx2">
            <w14:lumMod w14:val="50000"/>
            <w14:lumMod w14:val="65000"/>
            <w14:lumOff w14:val="35000"/>
          </w14:schemeClr>
        </w14:solidFill>
      </w14:textFill>
    </w:rPr>
  </w:style>
  <w:style w:type="character" w:styleId="Mention">
    <w:name w:val="Mention"/>
    <w:basedOn w:val="DefaultParagraphFont"/>
    <w:uiPriority w:val="99"/>
    <w:unhideWhenUsed/>
    <w:rsid w:val="009E4CF2"/>
    <w:rPr>
      <w:color w:val="2B579A"/>
      <w:shd w:val="clear" w:color="auto" w:fill="E1DFDD"/>
    </w:rPr>
  </w:style>
  <w:style w:type="paragraph" w:customStyle="1" w:styleId="Pa0">
    <w:name w:val="Pa0"/>
    <w:basedOn w:val="Default"/>
    <w:next w:val="Default"/>
    <w:uiPriority w:val="99"/>
    <w:rsid w:val="009E4CF2"/>
    <w:pPr>
      <w:spacing w:after="0" w:line="171" w:lineRule="atLeast"/>
    </w:pPr>
    <w:rPr>
      <w:rFonts w:ascii="DIN Next LT Pro Light" w:hAnsi="DIN Next LT Pro Light" w:cstheme="minorBidi"/>
      <w:color w:val="auto"/>
    </w:rPr>
  </w:style>
  <w:style w:type="paragraph" w:customStyle="1" w:styleId="H4casestudy">
    <w:name w:val="H4 case study"/>
    <w:basedOn w:val="Heading4"/>
    <w:link w:val="H4casestudyChar"/>
    <w:qFormat/>
    <w:rsid w:val="009E4CF2"/>
    <w:pPr>
      <w:spacing w:before="240" w:after="60" w:line="240" w:lineRule="auto"/>
      <w:contextualSpacing w:val="0"/>
    </w:pPr>
    <w:rPr>
      <w:rFonts w:asciiTheme="majorHAnsi" w:hAnsiTheme="majorHAnsi"/>
      <w:iCs w:val="0"/>
      <w:color w:val="000000"/>
      <w:sz w:val="24"/>
      <w:szCs w:val="24"/>
      <w:lang w:eastAsia="en-AU"/>
      <w14:textFill>
        <w14:solidFill>
          <w14:srgbClr w14:val="000000">
            <w14:lumMod w14:val="65000"/>
            <w14:lumOff w14:val="35000"/>
          </w14:srgbClr>
        </w14:solidFill>
      </w14:textFill>
    </w:rPr>
  </w:style>
  <w:style w:type="table" w:customStyle="1" w:styleId="DTFTextTable">
    <w:name w:val="DTF Text Table"/>
    <w:basedOn w:val="PlainTable4"/>
    <w:uiPriority w:val="99"/>
    <w:rsid w:val="009E4CF2"/>
    <w:rPr>
      <w:rFonts w:eastAsiaTheme="minorEastAsia"/>
      <w:color w:val="auto"/>
      <w:sz w:val="20"/>
      <w:szCs w:val="20"/>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4casestudyChar">
    <w:name w:val="H4 case study Char"/>
    <w:basedOn w:val="Heading4Char"/>
    <w:link w:val="H4casestudy"/>
    <w:rsid w:val="009E4CF2"/>
    <w:rPr>
      <w:rFonts w:asciiTheme="majorHAnsi" w:eastAsiaTheme="majorEastAsia" w:hAnsiTheme="majorHAnsi" w:cstheme="majorBidi"/>
      <w:iCs w:val="0"/>
      <w:color w:val="000000"/>
      <w:sz w:val="24"/>
      <w:szCs w:val="24"/>
      <w:lang w:eastAsia="en-AU"/>
      <w14:textFill>
        <w14:solidFill>
          <w14:srgbClr w14:val="000000">
            <w14:lumMod w14:val="65000"/>
            <w14:lumOff w14:val="35000"/>
          </w14:srgbClr>
        </w14:solidFill>
      </w14:textFill>
    </w:rPr>
  </w:style>
  <w:style w:type="paragraph" w:customStyle="1" w:styleId="Respperson">
    <w:name w:val="Resp person"/>
    <w:basedOn w:val="BodyText"/>
    <w:link w:val="ResppersonChar"/>
    <w:qFormat/>
    <w:rsid w:val="009E4CF2"/>
    <w:pPr>
      <w:spacing w:line="259" w:lineRule="auto"/>
    </w:pPr>
    <w:rPr>
      <w:rFonts w:asciiTheme="minorHAnsi" w:eastAsiaTheme="minorEastAsia" w:hAnsiTheme="minorHAnsi" w:cstheme="minorHAnsi"/>
      <w:b/>
      <w:bCs/>
      <w:color w:val="FF0000"/>
      <w:sz w:val="28"/>
      <w:szCs w:val="28"/>
      <w:lang w:eastAsia="en-AU"/>
    </w:rPr>
  </w:style>
  <w:style w:type="character" w:customStyle="1" w:styleId="ResppersonChar">
    <w:name w:val="Resp person Char"/>
    <w:basedOn w:val="BodyTextChar"/>
    <w:link w:val="Respperson"/>
    <w:rsid w:val="009E4CF2"/>
    <w:rPr>
      <w:rFonts w:eastAsiaTheme="minorEastAsia" w:cstheme="minorHAnsi"/>
      <w:b/>
      <w:bCs/>
      <w:color w:val="FF0000"/>
      <w:sz w:val="28"/>
      <w:szCs w:val="28"/>
      <w:lang w:eastAsia="en-AU"/>
    </w:rPr>
  </w:style>
  <w:style w:type="character" w:customStyle="1" w:styleId="TableTextLeftChar">
    <w:name w:val="Table Text Left Char"/>
    <w:basedOn w:val="DefaultParagraphFont"/>
    <w:link w:val="TableTextLeft"/>
    <w:locked/>
    <w:rsid w:val="009E4CF2"/>
    <w:rPr>
      <w:rFonts w:ascii="Times New Roman" w:eastAsia="Times New Roman" w:hAnsi="Times New Roman" w:cs="Arial"/>
      <w:color w:val="000000" w:themeColor="text1"/>
      <w:sz w:val="18"/>
      <w:lang w:eastAsia="en-AU"/>
    </w:rPr>
  </w:style>
  <w:style w:type="paragraph" w:customStyle="1" w:styleId="TableTextLeft">
    <w:name w:val="Table Text Left"/>
    <w:basedOn w:val="Normal"/>
    <w:link w:val="TableTextLeftChar"/>
    <w:qFormat/>
    <w:rsid w:val="009E4CF2"/>
    <w:pPr>
      <w:spacing w:before="60" w:after="60" w:line="220" w:lineRule="atLeast"/>
      <w:ind w:left="113" w:right="113"/>
    </w:pPr>
    <w:rPr>
      <w:rFonts w:ascii="Times New Roman" w:eastAsia="Times New Roman" w:hAnsi="Times New Roman" w:cs="Arial"/>
      <w:sz w:val="18"/>
      <w:lang w:eastAsia="en-AU"/>
    </w:rPr>
  </w:style>
  <w:style w:type="character" w:customStyle="1" w:styleId="Bold">
    <w:name w:val="Bold"/>
    <w:rsid w:val="009E4CF2"/>
    <w:rPr>
      <w:b/>
      <w:bCs w:val="0"/>
    </w:rPr>
  </w:style>
  <w:style w:type="character" w:customStyle="1" w:styleId="contextualspellingandgrammarerror">
    <w:name w:val="contextualspellingandgrammarerror"/>
    <w:basedOn w:val="DefaultParagraphFont"/>
    <w:rsid w:val="009E4CF2"/>
  </w:style>
  <w:style w:type="character" w:customStyle="1" w:styleId="scxp79791173">
    <w:name w:val="scxp79791173"/>
    <w:basedOn w:val="DefaultParagraphFont"/>
    <w:rsid w:val="009E4CF2"/>
  </w:style>
  <w:style w:type="character" w:customStyle="1" w:styleId="markedcontent">
    <w:name w:val="markedcontent"/>
    <w:basedOn w:val="DefaultParagraphFont"/>
    <w:rsid w:val="009E4CF2"/>
  </w:style>
  <w:style w:type="paragraph" w:customStyle="1" w:styleId="TableParagraph">
    <w:name w:val="Table Paragraph"/>
    <w:basedOn w:val="Tabletext0"/>
    <w:uiPriority w:val="1"/>
    <w:qFormat/>
    <w:rsid w:val="009E4CF2"/>
    <w:rPr>
      <w:rFonts w:eastAsiaTheme="minorEastAsia"/>
      <w:color w:val="auto"/>
      <w:szCs w:val="20"/>
    </w:rPr>
  </w:style>
  <w:style w:type="paragraph" w:customStyle="1" w:styleId="Graphicnotes">
    <w:name w:val="Graphic notes"/>
    <w:basedOn w:val="Normal"/>
    <w:link w:val="GraphicnotesChar"/>
    <w:autoRedefine/>
    <w:qFormat/>
    <w:rsid w:val="00FA6FD3"/>
    <w:pPr>
      <w:pBdr>
        <w:top w:val="single" w:sz="8" w:space="6" w:color="8CDEF4"/>
        <w:left w:val="single" w:sz="8" w:space="6" w:color="8CDEF4"/>
        <w:bottom w:val="single" w:sz="8" w:space="7" w:color="8CDEF4"/>
        <w:right w:val="single" w:sz="8" w:space="6" w:color="8CDEF4"/>
      </w:pBdr>
      <w:shd w:val="clear" w:color="auto" w:fill="8CDEF4"/>
      <w:spacing w:after="0" w:line="259" w:lineRule="auto"/>
      <w:contextualSpacing/>
    </w:pPr>
    <w:rPr>
      <w:rFonts w:asciiTheme="minorHAnsi" w:eastAsiaTheme="minorEastAsia" w:hAnsiTheme="minorHAnsi" w:cstheme="minorHAnsi"/>
      <w:noProof/>
      <w:color w:val="auto"/>
      <w:sz w:val="18"/>
      <w:lang w:eastAsia="en-AU"/>
    </w:rPr>
  </w:style>
  <w:style w:type="character" w:customStyle="1" w:styleId="GraphicnotesChar">
    <w:name w:val="Graphic notes Char"/>
    <w:basedOn w:val="DefaultParagraphFont"/>
    <w:link w:val="Graphicnotes"/>
    <w:rsid w:val="00FA6FD3"/>
    <w:rPr>
      <w:rFonts w:eastAsiaTheme="minorEastAsia" w:cstheme="minorHAnsi"/>
      <w:noProof/>
      <w:color w:val="auto"/>
      <w:sz w:val="18"/>
      <w:shd w:val="clear" w:color="auto" w:fill="8CDEF4"/>
      <w:lang w:eastAsia="en-AU"/>
    </w:rPr>
  </w:style>
  <w:style w:type="paragraph" w:customStyle="1" w:styleId="bigtext">
    <w:name w:val="big text"/>
    <w:basedOn w:val="Body"/>
    <w:link w:val="bigtextChar"/>
    <w:qFormat/>
    <w:rsid w:val="009E4CF2"/>
    <w:pPr>
      <w:spacing w:before="300" w:after="80" w:line="240" w:lineRule="auto"/>
    </w:pPr>
    <w:rPr>
      <w:b/>
      <w:bCs/>
      <w:color w:val="808080" w:themeColor="background1" w:themeShade="80"/>
      <w:sz w:val="36"/>
      <w:szCs w:val="36"/>
    </w:rPr>
  </w:style>
  <w:style w:type="character" w:customStyle="1" w:styleId="bigtextChar">
    <w:name w:val="big text Char"/>
    <w:basedOn w:val="BodyChar"/>
    <w:link w:val="bigtext"/>
    <w:rsid w:val="009E4CF2"/>
    <w:rPr>
      <w:rFonts w:eastAsiaTheme="minorEastAsia" w:cstheme="minorHAnsi"/>
      <w:b/>
      <w:bCs/>
      <w:color w:val="808080" w:themeColor="background1" w:themeShade="80"/>
      <w:sz w:val="36"/>
      <w:szCs w:val="36"/>
      <w:lang w:eastAsia="en-AU"/>
    </w:rPr>
  </w:style>
  <w:style w:type="paragraph" w:customStyle="1" w:styleId="P">
    <w:name w:val="P"/>
    <w:basedOn w:val="Normal"/>
    <w:uiPriority w:val="99"/>
    <w:rsid w:val="009E4CF2"/>
    <w:pPr>
      <w:widowControl w:val="0"/>
      <w:tabs>
        <w:tab w:val="left" w:pos="170"/>
        <w:tab w:val="left" w:pos="680"/>
      </w:tabs>
      <w:suppressAutoHyphens/>
      <w:autoSpaceDE w:val="0"/>
      <w:autoSpaceDN w:val="0"/>
      <w:adjustRightInd w:val="0"/>
      <w:spacing w:before="100" w:after="142" w:line="240" w:lineRule="atLeast"/>
      <w:textAlignment w:val="center"/>
    </w:pPr>
    <w:rPr>
      <w:rFonts w:ascii="DIN Next LT Pro Light" w:eastAsia="Times New Roman" w:hAnsi="DIN Next LT Pro Light" w:cs="DIN Next LT Pro Light"/>
      <w:color w:val="000000"/>
      <w:spacing w:val="-2"/>
      <w:sz w:val="19"/>
      <w:szCs w:val="19"/>
      <w:lang w:val="en-GB" w:eastAsia="en-GB"/>
    </w:rPr>
  </w:style>
  <w:style w:type="paragraph" w:customStyle="1" w:styleId="H1FIN">
    <w:name w:val="H1 FIN"/>
    <w:basedOn w:val="Normal"/>
    <w:uiPriority w:val="99"/>
    <w:rsid w:val="009E4CF2"/>
    <w:pPr>
      <w:widowControl w:val="0"/>
      <w:tabs>
        <w:tab w:val="left" w:pos="170"/>
        <w:tab w:val="left" w:pos="680"/>
      </w:tabs>
      <w:suppressAutoHyphens/>
      <w:autoSpaceDE w:val="0"/>
      <w:autoSpaceDN w:val="0"/>
      <w:adjustRightInd w:val="0"/>
      <w:spacing w:before="100" w:after="113" w:line="420" w:lineRule="atLeast"/>
      <w:textAlignment w:val="center"/>
    </w:pPr>
    <w:rPr>
      <w:rFonts w:ascii="DIN Next LT Pro" w:eastAsia="Times New Roman" w:hAnsi="DIN Next LT Pro" w:cs="DIN Next LT Pro"/>
      <w:color w:val="000000"/>
      <w:spacing w:val="-14"/>
      <w:sz w:val="36"/>
      <w:szCs w:val="36"/>
      <w:lang w:val="en-GB" w:eastAsia="en-GB"/>
    </w:rPr>
  </w:style>
  <w:style w:type="paragraph" w:customStyle="1" w:styleId="NoParagraphStyle">
    <w:name w:val="[No Paragraph Style]"/>
    <w:rsid w:val="009E4CF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en-GB"/>
    </w:rPr>
  </w:style>
  <w:style w:type="paragraph" w:customStyle="1" w:styleId="Ptight">
    <w:name w:val="P tight"/>
    <w:basedOn w:val="NoParagraphStyle"/>
    <w:uiPriority w:val="99"/>
    <w:rsid w:val="009E4CF2"/>
    <w:pPr>
      <w:tabs>
        <w:tab w:val="left" w:pos="454"/>
        <w:tab w:val="left" w:pos="850"/>
      </w:tabs>
      <w:suppressAutoHyphens/>
      <w:spacing w:after="28" w:line="240" w:lineRule="atLeast"/>
    </w:pPr>
    <w:rPr>
      <w:rFonts w:ascii="DIN Next LT Pro Light" w:hAnsi="DIN Next LT Pro Light" w:cs="DIN Next LT Pro Light"/>
      <w:spacing w:val="-2"/>
      <w:sz w:val="19"/>
      <w:szCs w:val="19"/>
    </w:rPr>
  </w:style>
  <w:style w:type="paragraph" w:customStyle="1" w:styleId="TableCopy">
    <w:name w:val="Table Copy"/>
    <w:basedOn w:val="P"/>
    <w:uiPriority w:val="99"/>
    <w:rsid w:val="009E4CF2"/>
  </w:style>
  <w:style w:type="paragraph" w:customStyle="1" w:styleId="TableHeaderRHS">
    <w:name w:val="Table Header RHS"/>
    <w:basedOn w:val="tableheader0"/>
    <w:uiPriority w:val="99"/>
    <w:rsid w:val="009E4CF2"/>
    <w:pPr>
      <w:widowControl w:val="0"/>
      <w:tabs>
        <w:tab w:val="left" w:pos="170"/>
        <w:tab w:val="left" w:pos="680"/>
      </w:tabs>
      <w:spacing w:before="0" w:after="57"/>
    </w:pPr>
    <w:rPr>
      <w:rFonts w:ascii="DIN Next LT Pro Medium" w:eastAsia="Times New Roman" w:hAnsi="DIN Next LT Pro Medium" w:cs="DIN Next LT Pro Medium"/>
      <w:b w:val="0"/>
      <w:bCs w:val="0"/>
      <w:sz w:val="19"/>
      <w:szCs w:val="19"/>
      <w:lang w:val="en-GB" w:eastAsia="en-GB"/>
    </w:rPr>
  </w:style>
  <w:style w:type="paragraph" w:customStyle="1" w:styleId="TableCopyBold">
    <w:name w:val="Table Copy Bold"/>
    <w:basedOn w:val="TableCopy"/>
    <w:uiPriority w:val="99"/>
    <w:rsid w:val="009E4CF2"/>
    <w:rPr>
      <w:rFonts w:ascii="DIN Next LT Pro Medium" w:hAnsi="DIN Next LT Pro Medium" w:cs="DIN Next LT Pro Medium"/>
    </w:rPr>
  </w:style>
  <w:style w:type="paragraph" w:customStyle="1" w:styleId="TableCopyRHS">
    <w:name w:val="Table Copy RHS"/>
    <w:basedOn w:val="TableCopy"/>
    <w:uiPriority w:val="99"/>
    <w:rsid w:val="009E4CF2"/>
    <w:pPr>
      <w:jc w:val="right"/>
    </w:pPr>
  </w:style>
  <w:style w:type="paragraph" w:customStyle="1" w:styleId="PTableListindent">
    <w:name w:val="P Table List indent"/>
    <w:basedOn w:val="Normal"/>
    <w:uiPriority w:val="99"/>
    <w:rsid w:val="009E4CF2"/>
    <w:pPr>
      <w:widowControl w:val="0"/>
      <w:tabs>
        <w:tab w:val="left" w:pos="170"/>
        <w:tab w:val="left" w:pos="680"/>
      </w:tabs>
      <w:suppressAutoHyphens/>
      <w:autoSpaceDE w:val="0"/>
      <w:autoSpaceDN w:val="0"/>
      <w:adjustRightInd w:val="0"/>
      <w:spacing w:before="100" w:after="57" w:line="240" w:lineRule="atLeast"/>
      <w:ind w:left="397" w:hanging="283"/>
      <w:textAlignment w:val="center"/>
    </w:pPr>
    <w:rPr>
      <w:rFonts w:ascii="DIN Next LT Pro Light" w:eastAsia="Times New Roman" w:hAnsi="DIN Next LT Pro Light" w:cs="DIN Next LT Pro Light"/>
      <w:color w:val="000000"/>
      <w:spacing w:val="-2"/>
      <w:sz w:val="19"/>
      <w:szCs w:val="19"/>
      <w:lang w:val="en-GB" w:eastAsia="en-GB"/>
    </w:rPr>
  </w:style>
  <w:style w:type="character" w:customStyle="1" w:styleId="DINBoldDIN">
    <w:name w:val="DIN Bold (DIN)"/>
    <w:uiPriority w:val="99"/>
    <w:rsid w:val="009E4CF2"/>
    <w:rPr>
      <w:rFonts w:ascii="DIN Next LT Pro Bold" w:hAnsi="DIN Next LT Pro Bold" w:cs="DIN Next LT Pro Bold"/>
      <w:b/>
      <w:bCs/>
      <w:color w:val="000000"/>
    </w:rPr>
  </w:style>
  <w:style w:type="character" w:customStyle="1" w:styleId="DinLightItalicDIN">
    <w:name w:val="Din Light Italic (DIN)"/>
    <w:uiPriority w:val="99"/>
    <w:rsid w:val="009E4CF2"/>
    <w:rPr>
      <w:rFonts w:ascii="DIN Next LT Pro Light Italic" w:hAnsi="DIN Next LT Pro Light Italic" w:cs="DIN Next LT Pro Light Italic"/>
      <w:i/>
      <w:iCs/>
    </w:rPr>
  </w:style>
  <w:style w:type="paragraph" w:customStyle="1" w:styleId="TableCopyBoldRHS">
    <w:name w:val="Table Copy Bold RHS"/>
    <w:basedOn w:val="TableCopyBold"/>
    <w:uiPriority w:val="99"/>
    <w:rsid w:val="009E4CF2"/>
    <w:pPr>
      <w:jc w:val="right"/>
    </w:pPr>
  </w:style>
  <w:style w:type="paragraph" w:customStyle="1" w:styleId="H2FIN">
    <w:name w:val="H2 FIN"/>
    <w:basedOn w:val="NoParagraphStyle"/>
    <w:uiPriority w:val="99"/>
    <w:rsid w:val="009E4CF2"/>
    <w:pPr>
      <w:tabs>
        <w:tab w:val="left" w:pos="170"/>
        <w:tab w:val="left" w:pos="680"/>
      </w:tabs>
      <w:suppressAutoHyphens/>
      <w:spacing w:before="28" w:after="57" w:line="270" w:lineRule="atLeast"/>
    </w:pPr>
    <w:rPr>
      <w:rFonts w:ascii="DIN Next LT Pro Medium" w:hAnsi="DIN Next LT Pro Medium" w:cs="DIN Next LT Pro Medium"/>
      <w:spacing w:val="-4"/>
      <w:sz w:val="22"/>
      <w:szCs w:val="22"/>
    </w:rPr>
  </w:style>
  <w:style w:type="paragraph" w:customStyle="1" w:styleId="Pindent">
    <w:name w:val="P indent"/>
    <w:basedOn w:val="TableCopy"/>
    <w:uiPriority w:val="99"/>
    <w:rsid w:val="009E4CF2"/>
    <w:pPr>
      <w:ind w:left="283"/>
    </w:pPr>
  </w:style>
  <w:style w:type="paragraph" w:customStyle="1" w:styleId="PleadintoBullet">
    <w:name w:val="P lead into Bullet"/>
    <w:basedOn w:val="P"/>
    <w:uiPriority w:val="99"/>
    <w:rsid w:val="009E4CF2"/>
    <w:pPr>
      <w:spacing w:after="57"/>
    </w:pPr>
  </w:style>
  <w:style w:type="paragraph" w:customStyle="1" w:styleId="H3FIN">
    <w:name w:val="H3 FIN"/>
    <w:basedOn w:val="NoParagraphStyle"/>
    <w:next w:val="P"/>
    <w:uiPriority w:val="99"/>
    <w:rsid w:val="009E4CF2"/>
    <w:pPr>
      <w:keepNext/>
      <w:tabs>
        <w:tab w:val="left" w:pos="170"/>
        <w:tab w:val="left" w:pos="794"/>
      </w:tabs>
      <w:suppressAutoHyphens/>
      <w:spacing w:before="28" w:after="85" w:line="250" w:lineRule="atLeast"/>
    </w:pPr>
    <w:rPr>
      <w:rFonts w:ascii="DIN Next LT Pro Medium" w:hAnsi="DIN Next LT Pro Medium" w:cs="DIN Next LT Pro Medium"/>
      <w:spacing w:val="-4"/>
      <w:sz w:val="21"/>
      <w:szCs w:val="21"/>
    </w:rPr>
  </w:style>
  <w:style w:type="paragraph" w:customStyle="1" w:styleId="H5">
    <w:name w:val="H5"/>
    <w:basedOn w:val="P"/>
    <w:uiPriority w:val="99"/>
    <w:rsid w:val="009E4CF2"/>
    <w:pPr>
      <w:spacing w:after="57"/>
    </w:pPr>
    <w:rPr>
      <w:rFonts w:ascii="DIN Next LT Pro Medium" w:hAnsi="DIN Next LT Pro Medium" w:cs="DIN Next LT Pro Medium"/>
      <w:spacing w:val="0"/>
    </w:rPr>
  </w:style>
  <w:style w:type="paragraph" w:customStyle="1" w:styleId="H4">
    <w:name w:val="H4"/>
    <w:basedOn w:val="P"/>
    <w:uiPriority w:val="99"/>
    <w:rsid w:val="009E4CF2"/>
    <w:pPr>
      <w:spacing w:after="57"/>
    </w:pPr>
    <w:rPr>
      <w:rFonts w:ascii="DIN Next LT Pro Medium" w:hAnsi="DIN Next LT Pro Medium" w:cs="DIN Next LT Pro Medium"/>
      <w:spacing w:val="0"/>
      <w:sz w:val="20"/>
      <w:szCs w:val="20"/>
    </w:rPr>
  </w:style>
  <w:style w:type="paragraph" w:customStyle="1" w:styleId="PBullet">
    <w:name w:val="P Bullet"/>
    <w:basedOn w:val="P"/>
    <w:uiPriority w:val="99"/>
    <w:rsid w:val="009E4CF2"/>
    <w:pPr>
      <w:spacing w:after="57"/>
      <w:ind w:left="170" w:hanging="170"/>
    </w:pPr>
  </w:style>
  <w:style w:type="paragraph" w:customStyle="1" w:styleId="PBulletLast">
    <w:name w:val="P Bullet Last"/>
    <w:basedOn w:val="PBullet"/>
    <w:uiPriority w:val="99"/>
    <w:rsid w:val="009E4CF2"/>
    <w:pPr>
      <w:spacing w:after="142"/>
    </w:pPr>
  </w:style>
  <w:style w:type="character" w:customStyle="1" w:styleId="DinMediumDIN">
    <w:name w:val="Din Medium (DIN)"/>
    <w:uiPriority w:val="99"/>
    <w:rsid w:val="009E4CF2"/>
    <w:rPr>
      <w:rFonts w:ascii="DIN Next LT Pro Medium" w:hAnsi="DIN Next LT Pro Medium" w:cs="DIN Next LT Pro Medium"/>
    </w:rPr>
  </w:style>
  <w:style w:type="paragraph" w:customStyle="1" w:styleId="PBulletL2">
    <w:name w:val="P Bullet L2"/>
    <w:basedOn w:val="P"/>
    <w:uiPriority w:val="99"/>
    <w:rsid w:val="009E4CF2"/>
    <w:pPr>
      <w:spacing w:after="57"/>
      <w:ind w:left="340" w:hanging="170"/>
    </w:pPr>
  </w:style>
  <w:style w:type="character" w:customStyle="1" w:styleId="DinmediumItalicDIN">
    <w:name w:val="Din medium Italic (DIN)"/>
    <w:uiPriority w:val="99"/>
    <w:rsid w:val="009E4CF2"/>
    <w:rPr>
      <w:rFonts w:ascii="DIN Next LT Pro Medium Italic" w:hAnsi="DIN Next LT Pro Medium Italic" w:cs="DIN Next LT Pro Medium Italic"/>
      <w:i/>
      <w:iCs/>
    </w:rPr>
  </w:style>
  <w:style w:type="paragraph" w:customStyle="1" w:styleId="Pa28">
    <w:name w:val="Pa28"/>
    <w:basedOn w:val="Default"/>
    <w:next w:val="Default"/>
    <w:uiPriority w:val="99"/>
    <w:rsid w:val="009E4CF2"/>
    <w:pPr>
      <w:spacing w:after="0" w:line="191" w:lineRule="atLeast"/>
    </w:pPr>
    <w:rPr>
      <w:rFonts w:ascii="DIN Next LT Pro Medium" w:hAnsi="DIN Next LT Pro Medium" w:cstheme="minorBidi"/>
      <w:color w:val="auto"/>
    </w:rPr>
  </w:style>
  <w:style w:type="paragraph" w:customStyle="1" w:styleId="PFootnote">
    <w:name w:val="P_Footnote"/>
    <w:basedOn w:val="Normal"/>
    <w:uiPriority w:val="99"/>
    <w:rsid w:val="009E4CF2"/>
    <w:pPr>
      <w:widowControl w:val="0"/>
      <w:tabs>
        <w:tab w:val="left" w:pos="283"/>
        <w:tab w:val="left" w:pos="680"/>
      </w:tabs>
      <w:suppressAutoHyphens/>
      <w:autoSpaceDE w:val="0"/>
      <w:autoSpaceDN w:val="0"/>
      <w:adjustRightInd w:val="0"/>
      <w:spacing w:before="283" w:after="142" w:line="200" w:lineRule="atLeast"/>
      <w:ind w:left="283" w:hanging="283"/>
    </w:pPr>
    <w:rPr>
      <w:rFonts w:ascii="DIN Next LT Pro Light" w:eastAsia="Times New Roman" w:hAnsi="DIN Next LT Pro Light" w:cs="DIN Next LT Pro Light"/>
      <w:color w:val="000000"/>
      <w:spacing w:val="-2"/>
      <w:sz w:val="16"/>
      <w:szCs w:val="16"/>
      <w:lang w:val="en-GB" w:eastAsia="en-GB"/>
    </w:rPr>
  </w:style>
  <w:style w:type="character" w:customStyle="1" w:styleId="SuperscriptDIN">
    <w:name w:val="Superscript (DIN)"/>
    <w:uiPriority w:val="99"/>
    <w:rsid w:val="009E4CF2"/>
    <w:rPr>
      <w:vertAlign w:val="superscript"/>
    </w:rPr>
  </w:style>
  <w:style w:type="paragraph" w:customStyle="1" w:styleId="Businessplan">
    <w:name w:val="Business plan"/>
    <w:basedOn w:val="TableText"/>
    <w:link w:val="BusinessplanChar"/>
    <w:qFormat/>
    <w:rsid w:val="009E4CF2"/>
    <w:pPr>
      <w:spacing w:before="60" w:after="60"/>
    </w:pPr>
    <w:rPr>
      <w:rFonts w:asciiTheme="majorHAnsi" w:hAnsiTheme="majorHAnsi"/>
      <w:color w:val="461E64"/>
      <w:sz w:val="21"/>
      <w:szCs w:val="21"/>
    </w:rPr>
  </w:style>
  <w:style w:type="character" w:customStyle="1" w:styleId="BusinessplanChar">
    <w:name w:val="Business plan Char"/>
    <w:basedOn w:val="TableTextChar"/>
    <w:link w:val="Businessplan"/>
    <w:rsid w:val="009E4CF2"/>
    <w:rPr>
      <w:rFonts w:asciiTheme="majorHAnsi" w:eastAsiaTheme="minorEastAsia" w:hAnsiTheme="majorHAnsi" w:cstheme="minorHAnsi"/>
      <w:bCs/>
      <w:color w:val="461E64"/>
      <w:sz w:val="21"/>
      <w:szCs w:val="21"/>
      <w:lang w:eastAsia="en-AU"/>
    </w:rPr>
  </w:style>
  <w:style w:type="paragraph" w:customStyle="1" w:styleId="m-1188504778444579149msolistparagraph">
    <w:name w:val="m_-1188504778444579149msolist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m-7920555122835596610msolistparagraph">
    <w:name w:val="m_-7920555122835596610msolist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m-2159190024666828181msolistparagraph">
    <w:name w:val="m_-2159190024666828181msolist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m8757964537049309497msolistparagraph">
    <w:name w:val="m_8757964537049309497msolist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A21">
    <w:name w:val="A21"/>
    <w:uiPriority w:val="99"/>
    <w:rsid w:val="009E4CF2"/>
    <w:rPr>
      <w:rFonts w:cs="DIN Next LT Pro"/>
      <w:color w:val="000000"/>
      <w:sz w:val="20"/>
      <w:szCs w:val="20"/>
    </w:rPr>
  </w:style>
  <w:style w:type="paragraph" w:customStyle="1" w:styleId="m6857640566619651211paragraph">
    <w:name w:val="m_6857640566619651211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m6857640566619651211normaltextrun">
    <w:name w:val="m_6857640566619651211normaltextrun"/>
    <w:basedOn w:val="DefaultParagraphFont"/>
    <w:rsid w:val="009E4CF2"/>
  </w:style>
  <w:style w:type="character" w:customStyle="1" w:styleId="m6857640566619651211eop">
    <w:name w:val="m_6857640566619651211eop"/>
    <w:basedOn w:val="DefaultParagraphFont"/>
    <w:rsid w:val="009E4CF2"/>
  </w:style>
  <w:style w:type="paragraph" w:customStyle="1" w:styleId="m6857640566619651211msolistparagraph">
    <w:name w:val="m_6857640566619651211msolist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ui-provider">
    <w:name w:val="ui-provider"/>
    <w:basedOn w:val="DefaultParagraphFont"/>
    <w:rsid w:val="009E4CF2"/>
  </w:style>
  <w:style w:type="character" w:customStyle="1" w:styleId="cf01">
    <w:name w:val="cf01"/>
    <w:basedOn w:val="DefaultParagraphFont"/>
    <w:rsid w:val="009E4CF2"/>
    <w:rPr>
      <w:rFonts w:ascii="Segoe UI" w:hAnsi="Segoe UI" w:cs="Segoe UI" w:hint="default"/>
      <w:sz w:val="18"/>
      <w:szCs w:val="18"/>
    </w:rPr>
  </w:style>
  <w:style w:type="character" w:customStyle="1" w:styleId="xt0psk2">
    <w:name w:val="xt0psk2"/>
    <w:basedOn w:val="DefaultParagraphFont"/>
    <w:rsid w:val="009E4CF2"/>
  </w:style>
  <w:style w:type="character" w:customStyle="1" w:styleId="grantdetailsitemlabel">
    <w:name w:val="grant__details__item__label"/>
    <w:basedOn w:val="DefaultParagraphFont"/>
    <w:rsid w:val="009E4CF2"/>
  </w:style>
  <w:style w:type="character" w:customStyle="1" w:styleId="grantdetailsiteminnertext">
    <w:name w:val="grant__details__item__inner__text"/>
    <w:basedOn w:val="DefaultParagraphFont"/>
    <w:rsid w:val="009E4CF2"/>
  </w:style>
  <w:style w:type="character" w:customStyle="1" w:styleId="Reference">
    <w:name w:val="Reference"/>
    <w:uiPriority w:val="29"/>
    <w:qFormat/>
    <w:rsid w:val="009E4CF2"/>
    <w:rPr>
      <w:b w:val="0"/>
      <w:i w:val="0"/>
      <w:color w:val="C00000"/>
      <w:sz w:val="16"/>
    </w:rPr>
  </w:style>
  <w:style w:type="character" w:customStyle="1" w:styleId="ListBulletChar">
    <w:name w:val="List Bullet Char"/>
    <w:basedOn w:val="DefaultParagraphFont"/>
    <w:link w:val="ListBullet"/>
    <w:uiPriority w:val="1"/>
    <w:rsid w:val="009E4CF2"/>
    <w:rPr>
      <w:rFonts w:ascii="Arial" w:hAnsi="Arial"/>
      <w:color w:val="000000" w:themeColor="text1"/>
      <w:sz w:val="20"/>
    </w:rPr>
  </w:style>
  <w:style w:type="paragraph" w:customStyle="1" w:styleId="Note">
    <w:name w:val="Note"/>
    <w:basedOn w:val="Normal"/>
    <w:link w:val="NoteChar"/>
    <w:uiPriority w:val="52"/>
    <w:qFormat/>
    <w:rsid w:val="009E4CF2"/>
    <w:pPr>
      <w:keepLines/>
      <w:tabs>
        <w:tab w:val="left" w:pos="397"/>
      </w:tabs>
      <w:spacing w:before="60" w:line="240" w:lineRule="auto"/>
      <w:ind w:left="397" w:hanging="397"/>
      <w:contextualSpacing/>
    </w:pPr>
    <w:rPr>
      <w:rFonts w:asciiTheme="minorHAnsi" w:hAnsiTheme="minorHAnsi"/>
      <w:i/>
      <w:color w:val="auto"/>
      <w:sz w:val="14"/>
      <w:szCs w:val="18"/>
    </w:rPr>
  </w:style>
  <w:style w:type="character" w:customStyle="1" w:styleId="NoteChar">
    <w:name w:val="Note Char"/>
    <w:basedOn w:val="DefaultParagraphFont"/>
    <w:link w:val="Note"/>
    <w:uiPriority w:val="52"/>
    <w:rsid w:val="009E4CF2"/>
    <w:rPr>
      <w:i/>
      <w:color w:val="auto"/>
      <w:sz w:val="14"/>
      <w:szCs w:val="18"/>
    </w:rPr>
  </w:style>
  <w:style w:type="table" w:customStyle="1" w:styleId="DTFTable">
    <w:name w:val="DTF Table"/>
    <w:basedOn w:val="DTFTextTable"/>
    <w:uiPriority w:val="99"/>
    <w:rsid w:val="009E4CF2"/>
    <w:pPr>
      <w:spacing w:before="20" w:after="20"/>
      <w:jc w:val="right"/>
    </w:pPr>
    <w:rPr>
      <w:rFonts w:eastAsiaTheme="minorHAnsi"/>
      <w:sz w:val="16"/>
      <w:szCs w:val="18"/>
    </w:rPr>
    <w:tblPr>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character" w:customStyle="1" w:styleId="Guidance">
    <w:name w:val="Guidance"/>
    <w:uiPriority w:val="31"/>
    <w:qFormat/>
    <w:rsid w:val="009E4CF2"/>
    <w:rPr>
      <w:color w:val="82C341" w:themeColor="accent1"/>
    </w:rPr>
  </w:style>
  <w:style w:type="paragraph" w:customStyle="1" w:styleId="tablesmall">
    <w:name w:val="table small"/>
    <w:basedOn w:val="Normal"/>
    <w:link w:val="tablesmallChar"/>
    <w:qFormat/>
    <w:rsid w:val="009E4CF2"/>
    <w:pPr>
      <w:spacing w:before="40" w:after="40" w:line="240" w:lineRule="auto"/>
    </w:pPr>
    <w:rPr>
      <w:rFonts w:eastAsiaTheme="minorEastAsia" w:cstheme="minorHAnsi"/>
      <w:color w:val="000000"/>
      <w:sz w:val="18"/>
      <w:szCs w:val="18"/>
      <w:lang w:eastAsia="en-AU"/>
    </w:rPr>
  </w:style>
  <w:style w:type="character" w:customStyle="1" w:styleId="tablesmallChar">
    <w:name w:val="table small Char"/>
    <w:basedOn w:val="DefaultParagraphFont"/>
    <w:link w:val="tablesmall"/>
    <w:rsid w:val="009E4CF2"/>
    <w:rPr>
      <w:rFonts w:ascii="Arial" w:eastAsiaTheme="minorEastAsia" w:hAnsi="Arial" w:cstheme="minorHAnsi"/>
      <w:color w:val="000000"/>
      <w:sz w:val="18"/>
      <w:szCs w:val="18"/>
      <w:lang w:eastAsia="en-AU"/>
    </w:rPr>
  </w:style>
  <w:style w:type="paragraph" w:customStyle="1" w:styleId="m2537615418847573955msolistparagraph">
    <w:name w:val="m_2537615418847573955msolist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A14">
    <w:name w:val="A14"/>
    <w:uiPriority w:val="99"/>
    <w:rsid w:val="009E4CF2"/>
    <w:rPr>
      <w:rFonts w:ascii="DIN Next LT Pro Medium" w:hAnsi="DIN Next LT Pro Medium" w:cs="DIN Next LT Pro Medium"/>
      <w:b/>
      <w:bCs/>
      <w:color w:val="000000"/>
      <w:sz w:val="19"/>
      <w:szCs w:val="19"/>
    </w:rPr>
  </w:style>
  <w:style w:type="paragraph" w:customStyle="1" w:styleId="m1927585488090615412paragraph">
    <w:name w:val="m_1927585488090615412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m1927585488090615412normaltextrun">
    <w:name w:val="m_1927585488090615412normaltextrun"/>
    <w:basedOn w:val="DefaultParagraphFont"/>
    <w:rsid w:val="009E4CF2"/>
  </w:style>
  <w:style w:type="character" w:customStyle="1" w:styleId="m1927585488090615412eop">
    <w:name w:val="m_1927585488090615412eop"/>
    <w:basedOn w:val="DefaultParagraphFont"/>
    <w:rsid w:val="009E4CF2"/>
  </w:style>
  <w:style w:type="character" w:customStyle="1" w:styleId="m1927585488090615412spellingerror">
    <w:name w:val="m_1927585488090615412spellingerror"/>
    <w:basedOn w:val="DefaultParagraphFont"/>
    <w:rsid w:val="009E4CF2"/>
  </w:style>
  <w:style w:type="paragraph" w:customStyle="1" w:styleId="Pa13">
    <w:name w:val="Pa13"/>
    <w:basedOn w:val="Default"/>
    <w:next w:val="Default"/>
    <w:uiPriority w:val="99"/>
    <w:rsid w:val="009E4CF2"/>
    <w:pPr>
      <w:spacing w:after="0" w:line="281" w:lineRule="atLeast"/>
    </w:pPr>
    <w:rPr>
      <w:rFonts w:ascii="DIN Next LT Pro Bold" w:hAnsi="DIN Next LT Pro Bold" w:cstheme="minorBidi"/>
      <w:color w:val="auto"/>
    </w:rPr>
  </w:style>
  <w:style w:type="paragraph" w:customStyle="1" w:styleId="Casestudytext">
    <w:name w:val="Case study text"/>
    <w:basedOn w:val="Normal"/>
    <w:link w:val="CasestudytextChar"/>
    <w:qFormat/>
    <w:rsid w:val="009E4CF2"/>
    <w:pPr>
      <w:spacing w:after="120" w:line="259" w:lineRule="auto"/>
    </w:pPr>
    <w:rPr>
      <w:rFonts w:asciiTheme="minorHAnsi" w:eastAsiaTheme="minorEastAsia" w:hAnsiTheme="minorHAnsi" w:cstheme="minorHAnsi"/>
      <w:noProof/>
      <w:szCs w:val="21"/>
      <w:lang w:eastAsia="en-AU"/>
    </w:rPr>
  </w:style>
  <w:style w:type="table" w:customStyle="1" w:styleId="SVsimple">
    <w:name w:val="SV simple"/>
    <w:basedOn w:val="TableNormal"/>
    <w:uiPriority w:val="99"/>
    <w:rsid w:val="009E4CF2"/>
    <w:pPr>
      <w:spacing w:after="0" w:line="240" w:lineRule="auto"/>
    </w:pPr>
    <w:rPr>
      <w:rFonts w:eastAsiaTheme="minorEastAsia"/>
      <w:color w:val="auto"/>
      <w:sz w:val="20"/>
      <w:szCs w:val="20"/>
    </w:rPr>
    <w:tblPr/>
  </w:style>
  <w:style w:type="character" w:customStyle="1" w:styleId="CasestudytextChar">
    <w:name w:val="Case study text Char"/>
    <w:basedOn w:val="DefaultParagraphFont"/>
    <w:link w:val="Casestudytext"/>
    <w:rsid w:val="009E4CF2"/>
    <w:rPr>
      <w:rFonts w:eastAsiaTheme="minorEastAsia" w:cstheme="minorHAnsi"/>
      <w:noProof/>
      <w:color w:val="000000" w:themeColor="text1"/>
      <w:sz w:val="20"/>
      <w:szCs w:val="21"/>
      <w:lang w:eastAsia="en-AU"/>
    </w:rPr>
  </w:style>
  <w:style w:type="paragraph" w:customStyle="1" w:styleId="m1104261093857630491msolistparagraph">
    <w:name w:val="m_1104261093857630491msolistparagraph"/>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imagecaption">
    <w:name w:val="image__caption"/>
    <w:basedOn w:val="DefaultParagraphFont"/>
    <w:rsid w:val="009E4CF2"/>
  </w:style>
  <w:style w:type="paragraph" w:customStyle="1" w:styleId="carouselslide">
    <w:name w:val="carousel__slide"/>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xxmsonormal">
    <w:name w:val="x_xxmsonormal"/>
    <w:basedOn w:val="Normal"/>
    <w:rsid w:val="009E4CF2"/>
    <w:pPr>
      <w:spacing w:after="0" w:line="240" w:lineRule="auto"/>
    </w:pPr>
    <w:rPr>
      <w:rFonts w:ascii="Calibri" w:hAnsi="Calibri" w:cs="Calibri"/>
      <w:color w:val="auto"/>
      <w:sz w:val="22"/>
      <w:lang w:eastAsia="en-AU"/>
    </w:rPr>
  </w:style>
  <w:style w:type="character" w:customStyle="1" w:styleId="xxcontentpasted0">
    <w:name w:val="x_xcontentpasted0"/>
    <w:basedOn w:val="DefaultParagraphFont"/>
    <w:rsid w:val="009E4CF2"/>
  </w:style>
  <w:style w:type="character" w:customStyle="1" w:styleId="xcontentpasted4">
    <w:name w:val="x_contentpasted4"/>
    <w:basedOn w:val="DefaultParagraphFont"/>
    <w:rsid w:val="009E4CF2"/>
  </w:style>
  <w:style w:type="paragraph" w:customStyle="1" w:styleId="Casestudyheader">
    <w:name w:val="Case study header"/>
    <w:basedOn w:val="Normal"/>
    <w:link w:val="CasestudyheaderChar"/>
    <w:qFormat/>
    <w:rsid w:val="009E4CF2"/>
    <w:pPr>
      <w:spacing w:before="120" w:after="20" w:line="259" w:lineRule="auto"/>
    </w:pPr>
    <w:rPr>
      <w:rFonts w:asciiTheme="minorHAnsi" w:eastAsiaTheme="minorEastAsia" w:hAnsiTheme="minorHAnsi" w:cstheme="minorHAnsi"/>
      <w:b/>
      <w:bCs/>
      <w:color w:val="auto"/>
      <w:sz w:val="24"/>
      <w:szCs w:val="32"/>
      <w:lang w:eastAsia="en-AU"/>
    </w:rPr>
  </w:style>
  <w:style w:type="character" w:customStyle="1" w:styleId="CasestudyheaderChar">
    <w:name w:val="Case study header Char"/>
    <w:basedOn w:val="DefaultParagraphFont"/>
    <w:link w:val="Casestudyheader"/>
    <w:rsid w:val="009E4CF2"/>
    <w:rPr>
      <w:rFonts w:eastAsiaTheme="minorEastAsia" w:cstheme="minorHAnsi"/>
      <w:b/>
      <w:bCs/>
      <w:color w:val="auto"/>
      <w:sz w:val="24"/>
      <w:szCs w:val="32"/>
      <w:lang w:eastAsia="en-AU"/>
    </w:rPr>
  </w:style>
  <w:style w:type="paragraph" w:customStyle="1" w:styleId="FAtableheader">
    <w:name w:val="FA table header"/>
    <w:basedOn w:val="Tablehead10"/>
    <w:link w:val="FAtableheaderChar"/>
    <w:qFormat/>
    <w:rsid w:val="009E4CF2"/>
    <w:rPr>
      <w:sz w:val="24"/>
      <w:szCs w:val="24"/>
    </w:rPr>
  </w:style>
  <w:style w:type="character" w:customStyle="1" w:styleId="FAtableheaderChar">
    <w:name w:val="FA table header Char"/>
    <w:basedOn w:val="Tablehead10Char"/>
    <w:link w:val="FAtableheader"/>
    <w:rsid w:val="009E4CF2"/>
    <w:rPr>
      <w:rFonts w:asciiTheme="majorHAnsi" w:eastAsiaTheme="minorEastAsia" w:hAnsiTheme="majorHAnsi" w:cstheme="minorHAnsi"/>
      <w:b/>
      <w:bCs/>
      <w:color w:val="009D70" w:themeColor="accent2"/>
      <w:sz w:val="24"/>
      <w:szCs w:val="24"/>
      <w:lang w:eastAsia="en-AU"/>
    </w:rPr>
  </w:style>
  <w:style w:type="paragraph" w:customStyle="1" w:styleId="pf0">
    <w:name w:val="pf0"/>
    <w:basedOn w:val="Normal"/>
    <w:rsid w:val="009E4CF2"/>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Header2lined">
    <w:name w:val="Header 2 lined"/>
    <w:basedOn w:val="Heading2"/>
    <w:link w:val="Header2linedChar"/>
    <w:qFormat/>
    <w:rsid w:val="009E4CF2"/>
    <w:pPr>
      <w:pBdr>
        <w:top w:val="single" w:sz="4" w:space="1" w:color="auto"/>
        <w:bottom w:val="single" w:sz="4" w:space="1" w:color="auto"/>
      </w:pBdr>
      <w:spacing w:after="100" w:line="240" w:lineRule="auto"/>
      <w:contextualSpacing w:val="0"/>
    </w:pPr>
    <w:rPr>
      <w:rFonts w:asciiTheme="majorHAnsi" w:hAnsiTheme="majorHAnsi"/>
      <w:bCs/>
      <w:color w:val="61932E" w:themeColor="accent1" w:themeShade="BF"/>
      <w:sz w:val="34"/>
      <w:szCs w:val="34"/>
      <w:lang w:eastAsia="en-AU"/>
    </w:rPr>
  </w:style>
  <w:style w:type="character" w:customStyle="1" w:styleId="Header2linedChar">
    <w:name w:val="Header 2 lined Char"/>
    <w:basedOn w:val="Heading2Char"/>
    <w:link w:val="Header2lined"/>
    <w:rsid w:val="009E4CF2"/>
    <w:rPr>
      <w:rFonts w:asciiTheme="majorHAnsi" w:eastAsiaTheme="majorEastAsia" w:hAnsiTheme="majorHAnsi" w:cstheme="majorBidi"/>
      <w:b/>
      <w:bCs/>
      <w:color w:val="61932E" w:themeColor="accent1" w:themeShade="BF"/>
      <w:sz w:val="34"/>
      <w:szCs w:val="34"/>
      <w:lang w:eastAsia="en-AU"/>
    </w:rPr>
  </w:style>
  <w:style w:type="paragraph" w:customStyle="1" w:styleId="TableheadingleftTables">
    <w:name w:val="Table heading_left (Tables)"/>
    <w:basedOn w:val="NoParagraphStyle"/>
    <w:uiPriority w:val="99"/>
    <w:rsid w:val="009E4CF2"/>
    <w:pPr>
      <w:keepNext/>
      <w:widowControl/>
      <w:suppressAutoHyphens/>
      <w:spacing w:before="60" w:after="60" w:line="260" w:lineRule="atLeast"/>
    </w:pPr>
    <w:rPr>
      <w:rFonts w:ascii="Arial" w:eastAsiaTheme="minorEastAsia" w:hAnsi="Arial" w:cs="VIC SemiBold"/>
      <w:b/>
      <w:bCs/>
      <w:color w:val="auto"/>
      <w:sz w:val="22"/>
      <w:szCs w:val="18"/>
      <w:lang w:eastAsia="en-AU"/>
    </w:rPr>
  </w:style>
  <w:style w:type="character" w:customStyle="1" w:styleId="findhit">
    <w:name w:val="findhit"/>
    <w:basedOn w:val="DefaultParagraphFont"/>
    <w:rsid w:val="009E4CF2"/>
  </w:style>
  <w:style w:type="paragraph" w:customStyle="1" w:styleId="TablebodyleftTables">
    <w:name w:val="Table body_left (Tables)"/>
    <w:basedOn w:val="NoParagraphStyle"/>
    <w:uiPriority w:val="99"/>
    <w:rsid w:val="009E4CF2"/>
    <w:pPr>
      <w:widowControl/>
      <w:suppressAutoHyphens/>
      <w:spacing w:before="60" w:after="60" w:line="260" w:lineRule="atLeast"/>
    </w:pPr>
    <w:rPr>
      <w:rFonts w:ascii="Arial" w:eastAsiaTheme="minorEastAsia" w:hAnsi="Arial" w:cs="VIC Light"/>
      <w:color w:val="auto"/>
      <w:sz w:val="22"/>
      <w:szCs w:val="16"/>
      <w:lang w:val="en-AU" w:eastAsia="en-AU"/>
    </w:rPr>
  </w:style>
  <w:style w:type="paragraph" w:customStyle="1" w:styleId="TabletitleTables">
    <w:name w:val="Table title (Tables)"/>
    <w:basedOn w:val="NoParagraphStyle"/>
    <w:uiPriority w:val="99"/>
    <w:rsid w:val="009E4CF2"/>
    <w:pPr>
      <w:keepNext/>
      <w:widowControl/>
      <w:suppressAutoHyphens/>
      <w:spacing w:before="57" w:after="113" w:line="240" w:lineRule="atLeast"/>
    </w:pPr>
    <w:rPr>
      <w:rFonts w:ascii="Arial" w:eastAsiaTheme="minorEastAsia" w:hAnsi="Arial" w:cs="VIC SemiBold"/>
      <w:b/>
      <w:bCs/>
      <w:color w:val="auto"/>
      <w:sz w:val="22"/>
      <w:szCs w:val="20"/>
      <w:lang w:val="en-US" w:eastAsia="en-AU"/>
    </w:rPr>
  </w:style>
  <w:style w:type="paragraph" w:customStyle="1" w:styleId="SourceNote">
    <w:name w:val="Source/Note"/>
    <w:basedOn w:val="Normal"/>
    <w:uiPriority w:val="99"/>
    <w:qFormat/>
    <w:rsid w:val="009E4CF2"/>
    <w:pPr>
      <w:suppressAutoHyphens/>
      <w:autoSpaceDE w:val="0"/>
      <w:autoSpaceDN w:val="0"/>
      <w:adjustRightInd w:val="0"/>
      <w:spacing w:after="200" w:line="220" w:lineRule="atLeast"/>
      <w:textAlignment w:val="center"/>
    </w:pPr>
    <w:rPr>
      <w:rFonts w:asciiTheme="minorHAnsi" w:eastAsiaTheme="minorEastAsia" w:hAnsiTheme="minorHAnsi" w:cstheme="minorHAnsi"/>
      <w:i/>
      <w:color w:val="000000"/>
      <w:sz w:val="16"/>
      <w:szCs w:val="16"/>
      <w:lang w:eastAsia="en-AU"/>
    </w:rPr>
  </w:style>
  <w:style w:type="character" w:customStyle="1" w:styleId="A2">
    <w:name w:val="A2"/>
    <w:uiPriority w:val="99"/>
    <w:rsid w:val="009B4A82"/>
    <w:rPr>
      <w:rFonts w:cs="DIN Next LT Pro Medium"/>
      <w:color w:val="000000"/>
      <w:sz w:val="20"/>
      <w:szCs w:val="20"/>
    </w:rPr>
  </w:style>
  <w:style w:type="character" w:customStyle="1" w:styleId="A15">
    <w:name w:val="A15"/>
    <w:uiPriority w:val="99"/>
    <w:rsid w:val="009B4A82"/>
    <w:rPr>
      <w:rFonts w:cs="DIN Next LT Pro Light"/>
      <w:color w:val="000000"/>
      <w:sz w:val="11"/>
      <w:szCs w:val="11"/>
    </w:rPr>
  </w:style>
  <w:style w:type="paragraph" w:customStyle="1" w:styleId="Sub-sectionheader">
    <w:name w:val="Sub-section header"/>
    <w:basedOn w:val="Body"/>
    <w:link w:val="Sub-sectionheaderChar"/>
    <w:autoRedefine/>
    <w:qFormat/>
    <w:rsid w:val="00C5609F"/>
    <w:rPr>
      <w:rFonts w:cs="DIN Next LT Pro Light"/>
      <w:b/>
      <w:bCs/>
    </w:rPr>
  </w:style>
  <w:style w:type="character" w:customStyle="1" w:styleId="Sub-sectionheaderChar">
    <w:name w:val="Sub-section header Char"/>
    <w:basedOn w:val="BodyChar"/>
    <w:link w:val="Sub-sectionheader"/>
    <w:rsid w:val="007D178A"/>
    <w:rPr>
      <w:rFonts w:eastAsiaTheme="minorEastAsia" w:cs="DIN Next LT Pro Light"/>
      <w:b/>
      <w:bCs/>
      <w:color w:val="auto"/>
      <w:sz w:val="20"/>
      <w:szCs w:val="20"/>
      <w:lang w:eastAsia="en-AU"/>
    </w:rPr>
  </w:style>
  <w:style w:type="paragraph" w:customStyle="1" w:styleId="pf1">
    <w:name w:val="pf1"/>
    <w:basedOn w:val="Normal"/>
    <w:rsid w:val="00E8517B"/>
    <w:pPr>
      <w:spacing w:before="100" w:beforeAutospacing="1" w:after="100" w:afterAutospacing="1" w:line="240" w:lineRule="auto"/>
      <w:ind w:left="300"/>
    </w:pPr>
    <w:rPr>
      <w:rFonts w:ascii="Times New Roman" w:eastAsia="Times New Roman" w:hAnsi="Times New Roman" w:cs="Times New Roman"/>
      <w:color w:val="auto"/>
      <w:sz w:val="24"/>
      <w:szCs w:val="24"/>
      <w:lang w:eastAsia="en-AU"/>
    </w:rPr>
  </w:style>
  <w:style w:type="numbering" w:customStyle="1" w:styleId="NoList1">
    <w:name w:val="No List1"/>
    <w:next w:val="NoList"/>
    <w:uiPriority w:val="99"/>
    <w:semiHidden/>
    <w:unhideWhenUsed/>
    <w:rsid w:val="005C5CED"/>
  </w:style>
  <w:style w:type="numbering" w:customStyle="1" w:styleId="Bullets1">
    <w:name w:val="Bullets1"/>
    <w:uiPriority w:val="99"/>
    <w:rsid w:val="005C5CED"/>
    <w:pPr>
      <w:numPr>
        <w:numId w:val="4"/>
      </w:numPr>
    </w:pPr>
  </w:style>
  <w:style w:type="table" w:customStyle="1" w:styleId="PlainTable41">
    <w:name w:val="Plain Table 41"/>
    <w:basedOn w:val="TableNormal"/>
    <w:next w:val="PlainTable4"/>
    <w:uiPriority w:val="44"/>
    <w:rsid w:val="005C5CED"/>
    <w:pPr>
      <w:spacing w:after="0" w:line="240" w:lineRule="auto"/>
    </w:pPr>
    <w:rPr>
      <w:rFonts w:eastAsia="Yu Mincho"/>
      <w:color w:val="auto"/>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TFTextTable1">
    <w:name w:val="DTF Text Table1"/>
    <w:basedOn w:val="PlainTable4"/>
    <w:uiPriority w:val="99"/>
    <w:rsid w:val="005C5CED"/>
    <w:pPr>
      <w:spacing w:before="60" w:after="60"/>
    </w:pPr>
    <w:rPr>
      <w:color w:val="auto"/>
      <w:sz w:val="18"/>
      <w:szCs w:val="18"/>
      <w:lang w:val="en-US" w:eastAsia="en-AU"/>
    </w:rPr>
    <w:tblPr>
      <w:tblBorders>
        <w:bottom w:val="single" w:sz="12" w:space="0" w:color="auto"/>
      </w:tblBorders>
    </w:tblPr>
    <w:tblStylePr w:type="firstRow">
      <w:pPr>
        <w:jc w:val="left"/>
      </w:pPr>
      <w:rPr>
        <w:b w:val="0"/>
        <w:bCs/>
        <w:i/>
      </w:rPr>
      <w:tblPr/>
      <w:tcPr>
        <w:shd w:val="clear" w:color="auto" w:fill="000000"/>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style>
  <w:style w:type="table" w:customStyle="1" w:styleId="GridTable1Light1">
    <w:name w:val="Grid Table 1 Light1"/>
    <w:basedOn w:val="TableNormal"/>
    <w:next w:val="GridTable1Light"/>
    <w:uiPriority w:val="46"/>
    <w:rsid w:val="005C5CED"/>
    <w:pPr>
      <w:spacing w:after="0" w:line="240" w:lineRule="auto"/>
    </w:pPr>
    <w:rPr>
      <w:rFonts w:eastAsia="Yu Mincho"/>
      <w:color w:val="auto"/>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1">
    <w:name w:val="Light List1"/>
    <w:basedOn w:val="TableNormal"/>
    <w:next w:val="LightList"/>
    <w:uiPriority w:val="61"/>
    <w:rsid w:val="005C5CED"/>
    <w:pPr>
      <w:spacing w:after="120" w:line="264" w:lineRule="auto"/>
    </w:pPr>
    <w:rPr>
      <w:rFonts w:ascii="Arial" w:eastAsia="Yu Mincho" w:hAnsi="Arial"/>
      <w:color w:val="auto"/>
      <w:sz w:val="18"/>
      <w:szCs w:val="20"/>
    </w:rPr>
    <w:tblPr>
      <w:tblStyleRowBandSize w:val="1"/>
      <w:tblStyleColBandSize w:val="1"/>
      <w:tblInd w:w="85" w:type="dxa"/>
      <w:tblBorders>
        <w:top w:val="single" w:sz="8" w:space="0" w:color="000000"/>
        <w:left w:val="single" w:sz="8" w:space="0" w:color="000000"/>
        <w:bottom w:val="single" w:sz="8" w:space="0" w:color="000000"/>
        <w:right w:val="single" w:sz="8" w:space="0" w:color="000000"/>
      </w:tblBorders>
      <w:tblCellMar>
        <w:top w:w="85" w:type="dxa"/>
        <w:left w:w="85" w:type="dxa"/>
        <w:bottom w:w="85" w:type="dxa"/>
        <w:right w:w="85"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5C5CED"/>
    <w:pPr>
      <w:spacing w:after="120" w:line="264" w:lineRule="auto"/>
    </w:pPr>
    <w:rPr>
      <w:rFonts w:ascii="Arial" w:eastAsia="Yu Mincho" w:hAnsi="Arial"/>
      <w:color w:val="auto"/>
      <w:sz w:val="18"/>
      <w:szCs w:val="20"/>
    </w:rPr>
    <w:tblPr>
      <w:tblStyleRowBandSize w:val="1"/>
      <w:tblStyleColBandSize w:val="1"/>
      <w:tblInd w:w="85" w:type="dxa"/>
      <w:tblBorders>
        <w:top w:val="single" w:sz="8" w:space="0" w:color="4472C4"/>
        <w:left w:val="single" w:sz="8" w:space="0" w:color="4472C4"/>
        <w:bottom w:val="single" w:sz="8" w:space="0" w:color="4472C4"/>
        <w:right w:val="single" w:sz="8" w:space="0" w:color="4472C4"/>
      </w:tblBorders>
      <w:tblCellMar>
        <w:top w:w="85" w:type="dxa"/>
        <w:left w:w="85" w:type="dxa"/>
        <w:bottom w:w="85" w:type="dxa"/>
        <w:right w:w="85" w:type="dxa"/>
      </w:tblCellMar>
    </w:tblPr>
    <w:tblStylePr w:type="firstRow">
      <w:pPr>
        <w:spacing w:before="0" w:after="0" w:line="240" w:lineRule="auto"/>
      </w:pPr>
      <w:rPr>
        <w:b/>
        <w:bCs/>
        <w:color w:val="000000"/>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1">
    <w:name w:val="Light List - Accent 21"/>
    <w:basedOn w:val="TableNormal"/>
    <w:next w:val="LightList-Accent2"/>
    <w:uiPriority w:val="61"/>
    <w:rsid w:val="005C5CED"/>
    <w:pPr>
      <w:spacing w:after="120" w:line="264" w:lineRule="auto"/>
    </w:pPr>
    <w:rPr>
      <w:rFonts w:ascii="Arial" w:eastAsia="Yu Mincho" w:hAnsi="Arial"/>
      <w:color w:val="auto"/>
      <w:sz w:val="18"/>
      <w:szCs w:val="20"/>
    </w:rPr>
    <w:tblPr>
      <w:tblStyleRowBandSize w:val="1"/>
      <w:tblStyleColBandSize w:val="1"/>
      <w:tblInd w:w="85" w:type="dxa"/>
      <w:tblBorders>
        <w:top w:val="single" w:sz="8" w:space="0" w:color="EDECEC"/>
        <w:left w:val="single" w:sz="8" w:space="0" w:color="EDECEC"/>
        <w:bottom w:val="single" w:sz="8" w:space="0" w:color="EDECEC"/>
        <w:right w:val="single" w:sz="8" w:space="0" w:color="EDECEC"/>
        <w:insideH w:val="single" w:sz="8" w:space="0" w:color="EDECEC"/>
      </w:tblBorders>
      <w:tblCellMar>
        <w:top w:w="85" w:type="dxa"/>
        <w:left w:w="85" w:type="dxa"/>
        <w:bottom w:w="85" w:type="dxa"/>
        <w:right w:w="85" w:type="dxa"/>
      </w:tblCellMar>
    </w:tblPr>
    <w:tblStylePr w:type="firstRow">
      <w:pPr>
        <w:spacing w:before="0" w:after="0" w:line="240" w:lineRule="auto"/>
      </w:pPr>
      <w:rPr>
        <w:b/>
        <w:bCs/>
        <w:color w:val="FFFFFF"/>
      </w:rPr>
      <w:tblPr/>
      <w:tcPr>
        <w:shd w:val="clear" w:color="auto" w:fill="EDECEC"/>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ECEC"/>
          <w:left w:val="single" w:sz="8" w:space="0" w:color="EDECEC"/>
          <w:bottom w:val="single" w:sz="8" w:space="0" w:color="EDECEC"/>
          <w:right w:val="single" w:sz="8" w:space="0" w:color="EDECEC"/>
          <w:insideH w:val="nil"/>
          <w:insideV w:val="nil"/>
          <w:tl2br w:val="nil"/>
          <w:tr2bl w:val="nil"/>
        </w:tcBorders>
      </w:tcPr>
    </w:tblStylePr>
  </w:style>
  <w:style w:type="table" w:customStyle="1" w:styleId="LightList-Accent31">
    <w:name w:val="Light List - Accent 31"/>
    <w:basedOn w:val="TableNormal"/>
    <w:next w:val="LightList-Accent3"/>
    <w:uiPriority w:val="61"/>
    <w:rsid w:val="005C5CED"/>
    <w:pPr>
      <w:spacing w:after="120" w:line="264" w:lineRule="auto"/>
    </w:pPr>
    <w:rPr>
      <w:rFonts w:ascii="Arial" w:eastAsia="Yu Mincho" w:hAnsi="Arial"/>
      <w:color w:val="auto"/>
      <w:sz w:val="18"/>
      <w:szCs w:val="20"/>
    </w:rPr>
    <w:tblPr>
      <w:tblStyleRowBandSize w:val="1"/>
      <w:tblStyleColBandSize w:val="1"/>
      <w:tblInd w:w="85" w:type="dxa"/>
      <w:tblBorders>
        <w:top w:val="single" w:sz="8" w:space="0" w:color="A5A5A5"/>
        <w:left w:val="single" w:sz="8" w:space="0" w:color="A5A5A5"/>
        <w:bottom w:val="single" w:sz="8" w:space="0" w:color="A5A5A5"/>
        <w:right w:val="single" w:sz="8" w:space="0" w:color="A5A5A5"/>
      </w:tblBorders>
      <w:tblCellMar>
        <w:top w:w="85" w:type="dxa"/>
        <w:left w:w="85" w:type="dxa"/>
        <w:bottom w:w="85" w:type="dxa"/>
        <w:right w:w="85"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rsid w:val="005C5CED"/>
    <w:pPr>
      <w:spacing w:after="120" w:line="264" w:lineRule="auto"/>
    </w:pPr>
    <w:rPr>
      <w:rFonts w:ascii="Arial" w:eastAsia="Yu Mincho" w:hAnsi="Arial"/>
      <w:color w:val="auto"/>
      <w:sz w:val="18"/>
      <w:szCs w:val="20"/>
    </w:rPr>
    <w:tblPr>
      <w:tblStyleRowBandSize w:val="1"/>
      <w:tblStyleColBandSize w:val="1"/>
      <w:tblInd w:w="85" w:type="dxa"/>
      <w:tblBorders>
        <w:top w:val="single" w:sz="8" w:space="0" w:color="FFC000"/>
        <w:left w:val="single" w:sz="8" w:space="0" w:color="FFC000"/>
        <w:bottom w:val="single" w:sz="8" w:space="0" w:color="FFC000"/>
        <w:right w:val="single" w:sz="8" w:space="0" w:color="FFC000"/>
      </w:tblBorders>
      <w:tblCellMar>
        <w:top w:w="85" w:type="dxa"/>
        <w:left w:w="85" w:type="dxa"/>
        <w:bottom w:w="85" w:type="dxa"/>
        <w:right w:w="85"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rsid w:val="005C5CED"/>
    <w:pPr>
      <w:spacing w:after="120" w:line="264" w:lineRule="auto"/>
    </w:pPr>
    <w:rPr>
      <w:rFonts w:ascii="Arial" w:eastAsia="Yu Mincho" w:hAnsi="Arial"/>
      <w:color w:val="auto"/>
      <w:sz w:val="18"/>
      <w:szCs w:val="20"/>
    </w:rPr>
    <w:tblPr>
      <w:tblStyleRowBandSize w:val="1"/>
      <w:tblStyleColBandSize w:val="1"/>
      <w:tblInd w:w="85" w:type="dxa"/>
      <w:tblBorders>
        <w:top w:val="single" w:sz="8" w:space="0" w:color="5B9BD5"/>
        <w:left w:val="single" w:sz="8" w:space="0" w:color="5B9BD5"/>
        <w:bottom w:val="single" w:sz="8" w:space="0" w:color="5B9BD5"/>
        <w:right w:val="single" w:sz="8" w:space="0" w:color="5B9BD5"/>
      </w:tblBorders>
      <w:tblCellMar>
        <w:top w:w="85" w:type="dxa"/>
        <w:left w:w="85" w:type="dxa"/>
        <w:bottom w:w="85" w:type="dxa"/>
        <w:right w:w="85"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1">
    <w:name w:val="Light List - Accent 61"/>
    <w:basedOn w:val="TableNormal"/>
    <w:next w:val="LightList-Accent6"/>
    <w:uiPriority w:val="61"/>
    <w:rsid w:val="005C5CED"/>
    <w:pPr>
      <w:spacing w:after="120" w:line="264" w:lineRule="auto"/>
    </w:pPr>
    <w:rPr>
      <w:rFonts w:ascii="Arial" w:eastAsia="Yu Mincho" w:hAnsi="Arial"/>
      <w:color w:val="auto"/>
      <w:sz w:val="18"/>
      <w:szCs w:val="20"/>
    </w:rPr>
    <w:tblPr>
      <w:tblStyleRowBandSize w:val="1"/>
      <w:tblStyleColBandSize w:val="1"/>
      <w:tblInd w:w="85" w:type="dxa"/>
      <w:tblBorders>
        <w:top w:val="single" w:sz="8" w:space="0" w:color="70AD47"/>
        <w:left w:val="single" w:sz="8" w:space="0" w:color="70AD47"/>
        <w:bottom w:val="single" w:sz="8" w:space="0" w:color="70AD47"/>
        <w:right w:val="single" w:sz="8" w:space="0" w:color="70AD47"/>
      </w:tblBorders>
      <w:tblCellMar>
        <w:top w:w="85" w:type="dxa"/>
        <w:left w:w="85" w:type="dxa"/>
        <w:bottom w:w="85" w:type="dxa"/>
        <w:right w:w="85" w:type="dxa"/>
      </w:tblCellMar>
    </w:tblPr>
    <w:tblStylePr w:type="firstRow">
      <w:pPr>
        <w:spacing w:before="0" w:after="0" w:line="240" w:lineRule="auto"/>
      </w:pPr>
      <w:rPr>
        <w:b/>
        <w:bCs/>
        <w:color w:val="E7E6E6"/>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numbering" w:customStyle="1" w:styleId="ListNumbers1">
    <w:name w:val="List Numbers1"/>
    <w:uiPriority w:val="99"/>
    <w:rsid w:val="005C5CED"/>
    <w:pPr>
      <w:numPr>
        <w:numId w:val="32"/>
      </w:numPr>
    </w:pPr>
  </w:style>
  <w:style w:type="table" w:customStyle="1" w:styleId="MediumGrid2-Accent11">
    <w:name w:val="Medium Grid 2 - Accent 11"/>
    <w:basedOn w:val="TableNormal"/>
    <w:next w:val="MediumGrid2-Accent1"/>
    <w:uiPriority w:val="68"/>
    <w:rsid w:val="005C5CED"/>
    <w:pPr>
      <w:spacing w:after="120" w:line="264" w:lineRule="auto"/>
    </w:pPr>
    <w:rPr>
      <w:rFonts w:ascii="Arial" w:eastAsia="Yu Gothic Light" w:hAnsi="Arial" w:cs="Times New Roman"/>
      <w:color w:val="000000"/>
      <w:sz w:val="18"/>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shd w:val="clear" w:color="auto" w:fill="3D4B5F"/>
      </w:tcPr>
    </w:tblStylePr>
    <w:tblStylePr w:type="band2Horz">
      <w:tblPr/>
      <w:tcPr>
        <w:shd w:val="clear" w:color="auto" w:fill="44546A"/>
      </w:tcPr>
    </w:tblStylePr>
    <w:tblStylePr w:type="nwCell">
      <w:tblPr/>
      <w:tcPr>
        <w:shd w:val="clear" w:color="auto" w:fill="FFFFFF"/>
      </w:tcPr>
    </w:tblStylePr>
  </w:style>
  <w:style w:type="table" w:customStyle="1" w:styleId="MediumShading1-Accent11">
    <w:name w:val="Medium Shading 1 - Accent 11"/>
    <w:basedOn w:val="TableNormal"/>
    <w:next w:val="MediumShading1-Accent1"/>
    <w:uiPriority w:val="63"/>
    <w:rsid w:val="005C5CED"/>
    <w:pPr>
      <w:spacing w:after="120" w:line="264" w:lineRule="auto"/>
    </w:pPr>
    <w:rPr>
      <w:rFonts w:ascii="Arial" w:eastAsia="Yu Mincho" w:hAnsi="Arial"/>
      <w:color w:val="auto"/>
      <w:sz w:val="18"/>
      <w:szCs w:val="20"/>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rPr>
      <w:tblPr/>
      <w:tcPr>
        <w:tcBorders>
          <w:top w:val="nil"/>
          <w:left w:val="nil"/>
          <w:bottom w:val="nil"/>
          <w:right w:val="nil"/>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umberedHeadings1">
    <w:name w:val="Numbered Headings1"/>
    <w:uiPriority w:val="99"/>
    <w:rsid w:val="005C5CED"/>
    <w:pPr>
      <w:numPr>
        <w:numId w:val="33"/>
      </w:numPr>
    </w:pPr>
  </w:style>
  <w:style w:type="table" w:customStyle="1" w:styleId="PlainTable21">
    <w:name w:val="Plain Table 21"/>
    <w:basedOn w:val="TableNormal"/>
    <w:next w:val="PlainTable2"/>
    <w:uiPriority w:val="42"/>
    <w:rsid w:val="005C5CED"/>
    <w:pPr>
      <w:spacing w:after="120" w:line="264" w:lineRule="auto"/>
    </w:pPr>
    <w:rPr>
      <w:rFonts w:eastAsia="Times New Roman"/>
      <w:color w:val="auto"/>
      <w:sz w:val="20"/>
      <w:szCs w:val="20"/>
      <w:lang w:eastAsia="en-AU"/>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VTable1">
    <w:name w:val="SV Table1"/>
    <w:basedOn w:val="TableNormal"/>
    <w:uiPriority w:val="99"/>
    <w:rsid w:val="005C5CED"/>
    <w:pPr>
      <w:spacing w:after="120" w:line="264" w:lineRule="auto"/>
    </w:pPr>
    <w:rPr>
      <w:rFonts w:eastAsia="Yu Mincho"/>
      <w:color w:val="auto"/>
      <w:sz w:val="20"/>
      <w:szCs w:val="20"/>
    </w:rPr>
    <w:tblPr>
      <w:tblBorders>
        <w:top w:val="single" w:sz="2" w:space="0" w:color="FFFFFF"/>
        <w:bottom w:val="single" w:sz="2" w:space="0" w:color="FFFFFF"/>
        <w:insideH w:val="single" w:sz="4" w:space="0" w:color="FFFFFF"/>
      </w:tblBorders>
    </w:tblPr>
    <w:tblStylePr w:type="firstRow">
      <w:rPr>
        <w:color w:val="FFFFFF"/>
      </w:rPr>
      <w:tblPr/>
      <w:trPr>
        <w:tblHeader/>
      </w:trPr>
      <w:tcPr>
        <w:shd w:val="clear" w:color="auto" w:fill="FFFFFF"/>
      </w:tcPr>
    </w:tblStylePr>
    <w:tblStylePr w:type="lastRow">
      <w:rPr>
        <w:b/>
      </w:rPr>
      <w:tblPr/>
      <w:tcPr>
        <w:tcBorders>
          <w:top w:val="single" w:sz="2" w:space="0" w:color="FFFFFF"/>
          <w:left w:val="nil"/>
          <w:bottom w:val="single" w:sz="6" w:space="0" w:color="FFFFFF"/>
          <w:right w:val="nil"/>
          <w:insideH w:val="nil"/>
          <w:insideV w:val="nil"/>
          <w:tl2br w:val="nil"/>
          <w:tr2bl w:val="nil"/>
        </w:tcBorders>
        <w:shd w:val="clear" w:color="auto" w:fill="F0F5E4"/>
      </w:tcPr>
    </w:tblStylePr>
  </w:style>
  <w:style w:type="table" w:customStyle="1" w:styleId="TableGrid20">
    <w:name w:val="Table Grid2"/>
    <w:basedOn w:val="TableNormal"/>
    <w:next w:val="TableGrid"/>
    <w:uiPriority w:val="39"/>
    <w:rsid w:val="005C5CED"/>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5C5CED"/>
    <w:pPr>
      <w:spacing w:after="120" w:line="264" w:lineRule="auto"/>
    </w:pPr>
    <w:rPr>
      <w:rFonts w:eastAsia="Yu Mincho"/>
      <w:color w:val="auto"/>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10083">
      <w:bodyDiv w:val="1"/>
      <w:marLeft w:val="0"/>
      <w:marRight w:val="0"/>
      <w:marTop w:val="0"/>
      <w:marBottom w:val="0"/>
      <w:divBdr>
        <w:top w:val="none" w:sz="0" w:space="0" w:color="auto"/>
        <w:left w:val="none" w:sz="0" w:space="0" w:color="auto"/>
        <w:bottom w:val="none" w:sz="0" w:space="0" w:color="auto"/>
        <w:right w:val="none" w:sz="0" w:space="0" w:color="auto"/>
      </w:divBdr>
    </w:div>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123930406">
      <w:bodyDiv w:val="1"/>
      <w:marLeft w:val="0"/>
      <w:marRight w:val="0"/>
      <w:marTop w:val="0"/>
      <w:marBottom w:val="0"/>
      <w:divBdr>
        <w:top w:val="none" w:sz="0" w:space="0" w:color="auto"/>
        <w:left w:val="none" w:sz="0" w:space="0" w:color="auto"/>
        <w:bottom w:val="none" w:sz="0" w:space="0" w:color="auto"/>
        <w:right w:val="none" w:sz="0" w:space="0" w:color="auto"/>
      </w:divBdr>
      <w:divsChild>
        <w:div w:id="882443953">
          <w:marLeft w:val="0"/>
          <w:marRight w:val="0"/>
          <w:marTop w:val="0"/>
          <w:marBottom w:val="0"/>
          <w:divBdr>
            <w:top w:val="none" w:sz="0" w:space="0" w:color="auto"/>
            <w:left w:val="none" w:sz="0" w:space="0" w:color="auto"/>
            <w:bottom w:val="none" w:sz="0" w:space="0" w:color="auto"/>
            <w:right w:val="none" w:sz="0" w:space="0" w:color="auto"/>
          </w:divBdr>
          <w:divsChild>
            <w:div w:id="1344283775">
              <w:marLeft w:val="0"/>
              <w:marRight w:val="0"/>
              <w:marTop w:val="0"/>
              <w:marBottom w:val="0"/>
              <w:divBdr>
                <w:top w:val="none" w:sz="0" w:space="0" w:color="auto"/>
                <w:left w:val="none" w:sz="0" w:space="0" w:color="auto"/>
                <w:bottom w:val="none" w:sz="0" w:space="0" w:color="auto"/>
                <w:right w:val="none" w:sz="0" w:space="0" w:color="auto"/>
              </w:divBdr>
              <w:divsChild>
                <w:div w:id="347683733">
                  <w:marLeft w:val="0"/>
                  <w:marRight w:val="0"/>
                  <w:marTop w:val="0"/>
                  <w:marBottom w:val="0"/>
                  <w:divBdr>
                    <w:top w:val="none" w:sz="0" w:space="0" w:color="auto"/>
                    <w:left w:val="none" w:sz="0" w:space="0" w:color="auto"/>
                    <w:bottom w:val="none" w:sz="0" w:space="0" w:color="auto"/>
                    <w:right w:val="none" w:sz="0" w:space="0" w:color="auto"/>
                  </w:divBdr>
                  <w:divsChild>
                    <w:div w:id="1291978773">
                      <w:marLeft w:val="0"/>
                      <w:marRight w:val="0"/>
                      <w:marTop w:val="0"/>
                      <w:marBottom w:val="0"/>
                      <w:divBdr>
                        <w:top w:val="none" w:sz="0" w:space="0" w:color="auto"/>
                        <w:left w:val="none" w:sz="0" w:space="0" w:color="auto"/>
                        <w:bottom w:val="none" w:sz="0" w:space="0" w:color="auto"/>
                        <w:right w:val="none" w:sz="0" w:space="0" w:color="auto"/>
                      </w:divBdr>
                      <w:divsChild>
                        <w:div w:id="1366638745">
                          <w:marLeft w:val="0"/>
                          <w:marRight w:val="0"/>
                          <w:marTop w:val="0"/>
                          <w:marBottom w:val="0"/>
                          <w:divBdr>
                            <w:top w:val="none" w:sz="0" w:space="0" w:color="auto"/>
                            <w:left w:val="none" w:sz="0" w:space="0" w:color="auto"/>
                            <w:bottom w:val="none" w:sz="0" w:space="0" w:color="auto"/>
                            <w:right w:val="none" w:sz="0" w:space="0" w:color="auto"/>
                          </w:divBdr>
                          <w:divsChild>
                            <w:div w:id="117260917">
                              <w:marLeft w:val="0"/>
                              <w:marRight w:val="0"/>
                              <w:marTop w:val="0"/>
                              <w:marBottom w:val="0"/>
                              <w:divBdr>
                                <w:top w:val="none" w:sz="0" w:space="0" w:color="auto"/>
                                <w:left w:val="none" w:sz="0" w:space="0" w:color="auto"/>
                                <w:bottom w:val="none" w:sz="0" w:space="0" w:color="auto"/>
                                <w:right w:val="none" w:sz="0" w:space="0" w:color="auto"/>
                              </w:divBdr>
                            </w:div>
                            <w:div w:id="171527495">
                              <w:marLeft w:val="0"/>
                              <w:marRight w:val="0"/>
                              <w:marTop w:val="0"/>
                              <w:marBottom w:val="0"/>
                              <w:divBdr>
                                <w:top w:val="none" w:sz="0" w:space="0" w:color="auto"/>
                                <w:left w:val="none" w:sz="0" w:space="0" w:color="auto"/>
                                <w:bottom w:val="none" w:sz="0" w:space="0" w:color="auto"/>
                                <w:right w:val="none" w:sz="0" w:space="0" w:color="auto"/>
                              </w:divBdr>
                            </w:div>
                            <w:div w:id="240531615">
                              <w:marLeft w:val="0"/>
                              <w:marRight w:val="0"/>
                              <w:marTop w:val="0"/>
                              <w:marBottom w:val="0"/>
                              <w:divBdr>
                                <w:top w:val="none" w:sz="0" w:space="0" w:color="auto"/>
                                <w:left w:val="none" w:sz="0" w:space="0" w:color="auto"/>
                                <w:bottom w:val="none" w:sz="0" w:space="0" w:color="auto"/>
                                <w:right w:val="none" w:sz="0" w:space="0" w:color="auto"/>
                              </w:divBdr>
                            </w:div>
                            <w:div w:id="502016753">
                              <w:marLeft w:val="0"/>
                              <w:marRight w:val="0"/>
                              <w:marTop w:val="0"/>
                              <w:marBottom w:val="0"/>
                              <w:divBdr>
                                <w:top w:val="none" w:sz="0" w:space="0" w:color="auto"/>
                                <w:left w:val="none" w:sz="0" w:space="0" w:color="auto"/>
                                <w:bottom w:val="none" w:sz="0" w:space="0" w:color="auto"/>
                                <w:right w:val="none" w:sz="0" w:space="0" w:color="auto"/>
                              </w:divBdr>
                            </w:div>
                            <w:div w:id="531311259">
                              <w:marLeft w:val="0"/>
                              <w:marRight w:val="0"/>
                              <w:marTop w:val="0"/>
                              <w:marBottom w:val="0"/>
                              <w:divBdr>
                                <w:top w:val="none" w:sz="0" w:space="0" w:color="auto"/>
                                <w:left w:val="none" w:sz="0" w:space="0" w:color="auto"/>
                                <w:bottom w:val="none" w:sz="0" w:space="0" w:color="auto"/>
                                <w:right w:val="none" w:sz="0" w:space="0" w:color="auto"/>
                              </w:divBdr>
                            </w:div>
                            <w:div w:id="1119646435">
                              <w:marLeft w:val="0"/>
                              <w:marRight w:val="0"/>
                              <w:marTop w:val="0"/>
                              <w:marBottom w:val="0"/>
                              <w:divBdr>
                                <w:top w:val="none" w:sz="0" w:space="0" w:color="auto"/>
                                <w:left w:val="none" w:sz="0" w:space="0" w:color="auto"/>
                                <w:bottom w:val="none" w:sz="0" w:space="0" w:color="auto"/>
                                <w:right w:val="none" w:sz="0" w:space="0" w:color="auto"/>
                              </w:divBdr>
                            </w:div>
                            <w:div w:id="1417899335">
                              <w:marLeft w:val="0"/>
                              <w:marRight w:val="0"/>
                              <w:marTop w:val="0"/>
                              <w:marBottom w:val="0"/>
                              <w:divBdr>
                                <w:top w:val="none" w:sz="0" w:space="0" w:color="auto"/>
                                <w:left w:val="none" w:sz="0" w:space="0" w:color="auto"/>
                                <w:bottom w:val="none" w:sz="0" w:space="0" w:color="auto"/>
                                <w:right w:val="none" w:sz="0" w:space="0" w:color="auto"/>
                              </w:divBdr>
                            </w:div>
                            <w:div w:id="1690446613">
                              <w:marLeft w:val="0"/>
                              <w:marRight w:val="0"/>
                              <w:marTop w:val="0"/>
                              <w:marBottom w:val="0"/>
                              <w:divBdr>
                                <w:top w:val="none" w:sz="0" w:space="0" w:color="auto"/>
                                <w:left w:val="none" w:sz="0" w:space="0" w:color="auto"/>
                                <w:bottom w:val="none" w:sz="0" w:space="0" w:color="auto"/>
                                <w:right w:val="none" w:sz="0" w:space="0" w:color="auto"/>
                              </w:divBdr>
                            </w:div>
                            <w:div w:id="1752121859">
                              <w:marLeft w:val="0"/>
                              <w:marRight w:val="0"/>
                              <w:marTop w:val="0"/>
                              <w:marBottom w:val="0"/>
                              <w:divBdr>
                                <w:top w:val="none" w:sz="0" w:space="0" w:color="auto"/>
                                <w:left w:val="none" w:sz="0" w:space="0" w:color="auto"/>
                                <w:bottom w:val="none" w:sz="0" w:space="0" w:color="auto"/>
                                <w:right w:val="none" w:sz="0" w:space="0" w:color="auto"/>
                              </w:divBdr>
                            </w:div>
                            <w:div w:id="18268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196756">
          <w:marLeft w:val="0"/>
          <w:marRight w:val="0"/>
          <w:marTop w:val="0"/>
          <w:marBottom w:val="0"/>
          <w:divBdr>
            <w:top w:val="none" w:sz="0" w:space="0" w:color="auto"/>
            <w:left w:val="none" w:sz="0" w:space="0" w:color="auto"/>
            <w:bottom w:val="none" w:sz="0" w:space="0" w:color="auto"/>
            <w:right w:val="none" w:sz="0" w:space="0" w:color="auto"/>
          </w:divBdr>
          <w:divsChild>
            <w:div w:id="919751898">
              <w:marLeft w:val="0"/>
              <w:marRight w:val="0"/>
              <w:marTop w:val="0"/>
              <w:marBottom w:val="0"/>
              <w:divBdr>
                <w:top w:val="none" w:sz="0" w:space="0" w:color="auto"/>
                <w:left w:val="none" w:sz="0" w:space="0" w:color="auto"/>
                <w:bottom w:val="none" w:sz="0" w:space="0" w:color="auto"/>
                <w:right w:val="none" w:sz="0" w:space="0" w:color="auto"/>
              </w:divBdr>
              <w:divsChild>
                <w:div w:id="256252751">
                  <w:marLeft w:val="0"/>
                  <w:marRight w:val="0"/>
                  <w:marTop w:val="600"/>
                  <w:marBottom w:val="0"/>
                  <w:divBdr>
                    <w:top w:val="none" w:sz="0" w:space="0" w:color="auto"/>
                    <w:left w:val="none" w:sz="0" w:space="0" w:color="auto"/>
                    <w:bottom w:val="none" w:sz="0" w:space="0" w:color="auto"/>
                    <w:right w:val="none" w:sz="0" w:space="0" w:color="auto"/>
                  </w:divBdr>
                  <w:divsChild>
                    <w:div w:id="36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82597">
      <w:bodyDiv w:val="1"/>
      <w:marLeft w:val="0"/>
      <w:marRight w:val="0"/>
      <w:marTop w:val="0"/>
      <w:marBottom w:val="0"/>
      <w:divBdr>
        <w:top w:val="none" w:sz="0" w:space="0" w:color="auto"/>
        <w:left w:val="none" w:sz="0" w:space="0" w:color="auto"/>
        <w:bottom w:val="none" w:sz="0" w:space="0" w:color="auto"/>
        <w:right w:val="none" w:sz="0" w:space="0" w:color="auto"/>
      </w:divBdr>
    </w:div>
    <w:div w:id="170729103">
      <w:bodyDiv w:val="1"/>
      <w:marLeft w:val="0"/>
      <w:marRight w:val="0"/>
      <w:marTop w:val="0"/>
      <w:marBottom w:val="0"/>
      <w:divBdr>
        <w:top w:val="none" w:sz="0" w:space="0" w:color="auto"/>
        <w:left w:val="none" w:sz="0" w:space="0" w:color="auto"/>
        <w:bottom w:val="none" w:sz="0" w:space="0" w:color="auto"/>
        <w:right w:val="none" w:sz="0" w:space="0" w:color="auto"/>
      </w:divBdr>
    </w:div>
    <w:div w:id="175270112">
      <w:bodyDiv w:val="1"/>
      <w:marLeft w:val="0"/>
      <w:marRight w:val="0"/>
      <w:marTop w:val="0"/>
      <w:marBottom w:val="0"/>
      <w:divBdr>
        <w:top w:val="none" w:sz="0" w:space="0" w:color="auto"/>
        <w:left w:val="none" w:sz="0" w:space="0" w:color="auto"/>
        <w:bottom w:val="none" w:sz="0" w:space="0" w:color="auto"/>
        <w:right w:val="none" w:sz="0" w:space="0" w:color="auto"/>
      </w:divBdr>
      <w:divsChild>
        <w:div w:id="1085540129">
          <w:marLeft w:val="274"/>
          <w:marRight w:val="0"/>
          <w:marTop w:val="0"/>
          <w:marBottom w:val="0"/>
          <w:divBdr>
            <w:top w:val="none" w:sz="0" w:space="0" w:color="auto"/>
            <w:left w:val="none" w:sz="0" w:space="0" w:color="auto"/>
            <w:bottom w:val="none" w:sz="0" w:space="0" w:color="auto"/>
            <w:right w:val="none" w:sz="0" w:space="0" w:color="auto"/>
          </w:divBdr>
        </w:div>
      </w:divsChild>
    </w:div>
    <w:div w:id="191454809">
      <w:bodyDiv w:val="1"/>
      <w:marLeft w:val="0"/>
      <w:marRight w:val="0"/>
      <w:marTop w:val="0"/>
      <w:marBottom w:val="0"/>
      <w:divBdr>
        <w:top w:val="none" w:sz="0" w:space="0" w:color="auto"/>
        <w:left w:val="none" w:sz="0" w:space="0" w:color="auto"/>
        <w:bottom w:val="none" w:sz="0" w:space="0" w:color="auto"/>
        <w:right w:val="none" w:sz="0" w:space="0" w:color="auto"/>
      </w:divBdr>
      <w:divsChild>
        <w:div w:id="911963632">
          <w:marLeft w:val="0"/>
          <w:marRight w:val="0"/>
          <w:marTop w:val="600"/>
          <w:marBottom w:val="600"/>
          <w:divBdr>
            <w:top w:val="none" w:sz="0" w:space="0" w:color="auto"/>
            <w:left w:val="none" w:sz="0" w:space="0" w:color="auto"/>
            <w:bottom w:val="none" w:sz="0" w:space="0" w:color="auto"/>
            <w:right w:val="none" w:sz="0" w:space="0" w:color="auto"/>
          </w:divBdr>
          <w:divsChild>
            <w:div w:id="710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7112">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329909205">
      <w:bodyDiv w:val="1"/>
      <w:marLeft w:val="0"/>
      <w:marRight w:val="0"/>
      <w:marTop w:val="0"/>
      <w:marBottom w:val="0"/>
      <w:divBdr>
        <w:top w:val="none" w:sz="0" w:space="0" w:color="auto"/>
        <w:left w:val="none" w:sz="0" w:space="0" w:color="auto"/>
        <w:bottom w:val="none" w:sz="0" w:space="0" w:color="auto"/>
        <w:right w:val="none" w:sz="0" w:space="0" w:color="auto"/>
      </w:divBdr>
      <w:divsChild>
        <w:div w:id="600457272">
          <w:marLeft w:val="0"/>
          <w:marRight w:val="0"/>
          <w:marTop w:val="0"/>
          <w:marBottom w:val="0"/>
          <w:divBdr>
            <w:top w:val="none" w:sz="0" w:space="0" w:color="auto"/>
            <w:left w:val="none" w:sz="0" w:space="0" w:color="auto"/>
            <w:bottom w:val="none" w:sz="0" w:space="0" w:color="auto"/>
            <w:right w:val="none" w:sz="0" w:space="0" w:color="auto"/>
          </w:divBdr>
          <w:divsChild>
            <w:div w:id="435098856">
              <w:marLeft w:val="0"/>
              <w:marRight w:val="0"/>
              <w:marTop w:val="0"/>
              <w:marBottom w:val="0"/>
              <w:divBdr>
                <w:top w:val="none" w:sz="0" w:space="0" w:color="auto"/>
                <w:left w:val="none" w:sz="0" w:space="0" w:color="auto"/>
                <w:bottom w:val="none" w:sz="0" w:space="0" w:color="auto"/>
                <w:right w:val="none" w:sz="0" w:space="0" w:color="auto"/>
              </w:divBdr>
              <w:divsChild>
                <w:div w:id="1061370154">
                  <w:marLeft w:val="0"/>
                  <w:marRight w:val="0"/>
                  <w:marTop w:val="0"/>
                  <w:marBottom w:val="0"/>
                  <w:divBdr>
                    <w:top w:val="none" w:sz="0" w:space="0" w:color="auto"/>
                    <w:left w:val="none" w:sz="0" w:space="0" w:color="auto"/>
                    <w:bottom w:val="none" w:sz="0" w:space="0" w:color="auto"/>
                    <w:right w:val="none" w:sz="0" w:space="0" w:color="auto"/>
                  </w:divBdr>
                  <w:divsChild>
                    <w:div w:id="15578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36777">
          <w:marLeft w:val="0"/>
          <w:marRight w:val="0"/>
          <w:marTop w:val="0"/>
          <w:marBottom w:val="0"/>
          <w:divBdr>
            <w:top w:val="none" w:sz="0" w:space="0" w:color="auto"/>
            <w:left w:val="none" w:sz="0" w:space="0" w:color="auto"/>
            <w:bottom w:val="none" w:sz="0" w:space="0" w:color="auto"/>
            <w:right w:val="none" w:sz="0" w:space="0" w:color="auto"/>
          </w:divBdr>
          <w:divsChild>
            <w:div w:id="376588387">
              <w:marLeft w:val="0"/>
              <w:marRight w:val="0"/>
              <w:marTop w:val="0"/>
              <w:marBottom w:val="0"/>
              <w:divBdr>
                <w:top w:val="none" w:sz="0" w:space="0" w:color="auto"/>
                <w:left w:val="none" w:sz="0" w:space="0" w:color="auto"/>
                <w:bottom w:val="none" w:sz="0" w:space="0" w:color="auto"/>
                <w:right w:val="none" w:sz="0" w:space="0" w:color="auto"/>
              </w:divBdr>
              <w:divsChild>
                <w:div w:id="761536738">
                  <w:marLeft w:val="0"/>
                  <w:marRight w:val="0"/>
                  <w:marTop w:val="0"/>
                  <w:marBottom w:val="0"/>
                  <w:divBdr>
                    <w:top w:val="none" w:sz="0" w:space="0" w:color="auto"/>
                    <w:left w:val="none" w:sz="0" w:space="0" w:color="auto"/>
                    <w:bottom w:val="none" w:sz="0" w:space="0" w:color="auto"/>
                    <w:right w:val="none" w:sz="0" w:space="0" w:color="auto"/>
                  </w:divBdr>
                  <w:divsChild>
                    <w:div w:id="12800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42704">
      <w:bodyDiv w:val="1"/>
      <w:marLeft w:val="0"/>
      <w:marRight w:val="0"/>
      <w:marTop w:val="0"/>
      <w:marBottom w:val="0"/>
      <w:divBdr>
        <w:top w:val="none" w:sz="0" w:space="0" w:color="auto"/>
        <w:left w:val="none" w:sz="0" w:space="0" w:color="auto"/>
        <w:bottom w:val="none" w:sz="0" w:space="0" w:color="auto"/>
        <w:right w:val="none" w:sz="0" w:space="0" w:color="auto"/>
      </w:divBdr>
    </w:div>
    <w:div w:id="341981445">
      <w:bodyDiv w:val="1"/>
      <w:marLeft w:val="0"/>
      <w:marRight w:val="0"/>
      <w:marTop w:val="0"/>
      <w:marBottom w:val="0"/>
      <w:divBdr>
        <w:top w:val="none" w:sz="0" w:space="0" w:color="auto"/>
        <w:left w:val="none" w:sz="0" w:space="0" w:color="auto"/>
        <w:bottom w:val="none" w:sz="0" w:space="0" w:color="auto"/>
        <w:right w:val="none" w:sz="0" w:space="0" w:color="auto"/>
      </w:divBdr>
    </w:div>
    <w:div w:id="365258396">
      <w:bodyDiv w:val="1"/>
      <w:marLeft w:val="0"/>
      <w:marRight w:val="0"/>
      <w:marTop w:val="0"/>
      <w:marBottom w:val="0"/>
      <w:divBdr>
        <w:top w:val="none" w:sz="0" w:space="0" w:color="auto"/>
        <w:left w:val="none" w:sz="0" w:space="0" w:color="auto"/>
        <w:bottom w:val="none" w:sz="0" w:space="0" w:color="auto"/>
        <w:right w:val="none" w:sz="0" w:space="0" w:color="auto"/>
      </w:divBdr>
    </w:div>
    <w:div w:id="399210623">
      <w:bodyDiv w:val="1"/>
      <w:marLeft w:val="0"/>
      <w:marRight w:val="0"/>
      <w:marTop w:val="0"/>
      <w:marBottom w:val="0"/>
      <w:divBdr>
        <w:top w:val="none" w:sz="0" w:space="0" w:color="auto"/>
        <w:left w:val="none" w:sz="0" w:space="0" w:color="auto"/>
        <w:bottom w:val="none" w:sz="0" w:space="0" w:color="auto"/>
        <w:right w:val="none" w:sz="0" w:space="0" w:color="auto"/>
      </w:divBdr>
    </w:div>
    <w:div w:id="399980088">
      <w:bodyDiv w:val="1"/>
      <w:marLeft w:val="0"/>
      <w:marRight w:val="0"/>
      <w:marTop w:val="0"/>
      <w:marBottom w:val="0"/>
      <w:divBdr>
        <w:top w:val="none" w:sz="0" w:space="0" w:color="auto"/>
        <w:left w:val="none" w:sz="0" w:space="0" w:color="auto"/>
        <w:bottom w:val="none" w:sz="0" w:space="0" w:color="auto"/>
        <w:right w:val="none" w:sz="0" w:space="0" w:color="auto"/>
      </w:divBdr>
    </w:div>
    <w:div w:id="436682465">
      <w:bodyDiv w:val="1"/>
      <w:marLeft w:val="0"/>
      <w:marRight w:val="0"/>
      <w:marTop w:val="0"/>
      <w:marBottom w:val="0"/>
      <w:divBdr>
        <w:top w:val="none" w:sz="0" w:space="0" w:color="auto"/>
        <w:left w:val="none" w:sz="0" w:space="0" w:color="auto"/>
        <w:bottom w:val="none" w:sz="0" w:space="0" w:color="auto"/>
        <w:right w:val="none" w:sz="0" w:space="0" w:color="auto"/>
      </w:divBdr>
      <w:divsChild>
        <w:div w:id="92556394">
          <w:marLeft w:val="0"/>
          <w:marRight w:val="0"/>
          <w:marTop w:val="0"/>
          <w:marBottom w:val="600"/>
          <w:divBdr>
            <w:top w:val="none" w:sz="0" w:space="0" w:color="auto"/>
            <w:left w:val="none" w:sz="0" w:space="0" w:color="auto"/>
            <w:bottom w:val="none" w:sz="0" w:space="0" w:color="auto"/>
            <w:right w:val="none" w:sz="0" w:space="0" w:color="auto"/>
          </w:divBdr>
          <w:divsChild>
            <w:div w:id="16204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7838">
      <w:bodyDiv w:val="1"/>
      <w:marLeft w:val="0"/>
      <w:marRight w:val="0"/>
      <w:marTop w:val="0"/>
      <w:marBottom w:val="0"/>
      <w:divBdr>
        <w:top w:val="none" w:sz="0" w:space="0" w:color="auto"/>
        <w:left w:val="none" w:sz="0" w:space="0" w:color="auto"/>
        <w:bottom w:val="none" w:sz="0" w:space="0" w:color="auto"/>
        <w:right w:val="none" w:sz="0" w:space="0" w:color="auto"/>
      </w:divBdr>
    </w:div>
    <w:div w:id="508712329">
      <w:bodyDiv w:val="1"/>
      <w:marLeft w:val="0"/>
      <w:marRight w:val="0"/>
      <w:marTop w:val="0"/>
      <w:marBottom w:val="0"/>
      <w:divBdr>
        <w:top w:val="none" w:sz="0" w:space="0" w:color="auto"/>
        <w:left w:val="none" w:sz="0" w:space="0" w:color="auto"/>
        <w:bottom w:val="none" w:sz="0" w:space="0" w:color="auto"/>
        <w:right w:val="none" w:sz="0" w:space="0" w:color="auto"/>
      </w:divBdr>
      <w:divsChild>
        <w:div w:id="1011570992">
          <w:marLeft w:val="0"/>
          <w:marRight w:val="0"/>
          <w:marTop w:val="0"/>
          <w:marBottom w:val="0"/>
          <w:divBdr>
            <w:top w:val="none" w:sz="0" w:space="0" w:color="auto"/>
            <w:left w:val="none" w:sz="0" w:space="0" w:color="auto"/>
            <w:bottom w:val="none" w:sz="0" w:space="0" w:color="auto"/>
            <w:right w:val="none" w:sz="0" w:space="0" w:color="auto"/>
          </w:divBdr>
        </w:div>
      </w:divsChild>
    </w:div>
    <w:div w:id="599721608">
      <w:bodyDiv w:val="1"/>
      <w:marLeft w:val="0"/>
      <w:marRight w:val="0"/>
      <w:marTop w:val="0"/>
      <w:marBottom w:val="0"/>
      <w:divBdr>
        <w:top w:val="none" w:sz="0" w:space="0" w:color="auto"/>
        <w:left w:val="none" w:sz="0" w:space="0" w:color="auto"/>
        <w:bottom w:val="none" w:sz="0" w:space="0" w:color="auto"/>
        <w:right w:val="none" w:sz="0" w:space="0" w:color="auto"/>
      </w:divBdr>
    </w:div>
    <w:div w:id="603925465">
      <w:bodyDiv w:val="1"/>
      <w:marLeft w:val="0"/>
      <w:marRight w:val="0"/>
      <w:marTop w:val="0"/>
      <w:marBottom w:val="0"/>
      <w:divBdr>
        <w:top w:val="none" w:sz="0" w:space="0" w:color="auto"/>
        <w:left w:val="none" w:sz="0" w:space="0" w:color="auto"/>
        <w:bottom w:val="none" w:sz="0" w:space="0" w:color="auto"/>
        <w:right w:val="none" w:sz="0" w:space="0" w:color="auto"/>
      </w:divBdr>
    </w:div>
    <w:div w:id="629634319">
      <w:bodyDiv w:val="1"/>
      <w:marLeft w:val="0"/>
      <w:marRight w:val="0"/>
      <w:marTop w:val="0"/>
      <w:marBottom w:val="0"/>
      <w:divBdr>
        <w:top w:val="none" w:sz="0" w:space="0" w:color="auto"/>
        <w:left w:val="none" w:sz="0" w:space="0" w:color="auto"/>
        <w:bottom w:val="none" w:sz="0" w:space="0" w:color="auto"/>
        <w:right w:val="none" w:sz="0" w:space="0" w:color="auto"/>
      </w:divBdr>
      <w:divsChild>
        <w:div w:id="481585113">
          <w:marLeft w:val="0"/>
          <w:marRight w:val="0"/>
          <w:marTop w:val="0"/>
          <w:marBottom w:val="0"/>
          <w:divBdr>
            <w:top w:val="none" w:sz="0" w:space="0" w:color="auto"/>
            <w:left w:val="none" w:sz="0" w:space="0" w:color="auto"/>
            <w:bottom w:val="none" w:sz="0" w:space="0" w:color="auto"/>
            <w:right w:val="none" w:sz="0" w:space="0" w:color="auto"/>
          </w:divBdr>
          <w:divsChild>
            <w:div w:id="1663898479">
              <w:marLeft w:val="0"/>
              <w:marRight w:val="0"/>
              <w:marTop w:val="0"/>
              <w:marBottom w:val="0"/>
              <w:divBdr>
                <w:top w:val="none" w:sz="0" w:space="0" w:color="auto"/>
                <w:left w:val="none" w:sz="0" w:space="0" w:color="auto"/>
                <w:bottom w:val="none" w:sz="0" w:space="0" w:color="auto"/>
                <w:right w:val="none" w:sz="0" w:space="0" w:color="auto"/>
              </w:divBdr>
              <w:divsChild>
                <w:div w:id="1012730630">
                  <w:marLeft w:val="0"/>
                  <w:marRight w:val="0"/>
                  <w:marTop w:val="0"/>
                  <w:marBottom w:val="0"/>
                  <w:divBdr>
                    <w:top w:val="none" w:sz="0" w:space="0" w:color="auto"/>
                    <w:left w:val="none" w:sz="0" w:space="0" w:color="auto"/>
                    <w:bottom w:val="none" w:sz="0" w:space="0" w:color="auto"/>
                    <w:right w:val="none" w:sz="0" w:space="0" w:color="auto"/>
                  </w:divBdr>
                  <w:divsChild>
                    <w:div w:id="1703283774">
                      <w:marLeft w:val="0"/>
                      <w:marRight w:val="0"/>
                      <w:marTop w:val="0"/>
                      <w:marBottom w:val="0"/>
                      <w:divBdr>
                        <w:top w:val="none" w:sz="0" w:space="0" w:color="auto"/>
                        <w:left w:val="none" w:sz="0" w:space="0" w:color="auto"/>
                        <w:bottom w:val="none" w:sz="0" w:space="0" w:color="auto"/>
                        <w:right w:val="none" w:sz="0" w:space="0" w:color="auto"/>
                      </w:divBdr>
                      <w:divsChild>
                        <w:div w:id="906495342">
                          <w:marLeft w:val="0"/>
                          <w:marRight w:val="0"/>
                          <w:marTop w:val="0"/>
                          <w:marBottom w:val="0"/>
                          <w:divBdr>
                            <w:top w:val="none" w:sz="0" w:space="0" w:color="auto"/>
                            <w:left w:val="none" w:sz="0" w:space="0" w:color="auto"/>
                            <w:bottom w:val="none" w:sz="0" w:space="0" w:color="auto"/>
                            <w:right w:val="none" w:sz="0" w:space="0" w:color="auto"/>
                          </w:divBdr>
                          <w:divsChild>
                            <w:div w:id="17145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592188">
      <w:bodyDiv w:val="1"/>
      <w:marLeft w:val="0"/>
      <w:marRight w:val="0"/>
      <w:marTop w:val="0"/>
      <w:marBottom w:val="0"/>
      <w:divBdr>
        <w:top w:val="none" w:sz="0" w:space="0" w:color="auto"/>
        <w:left w:val="none" w:sz="0" w:space="0" w:color="auto"/>
        <w:bottom w:val="none" w:sz="0" w:space="0" w:color="auto"/>
        <w:right w:val="none" w:sz="0" w:space="0" w:color="auto"/>
      </w:divBdr>
    </w:div>
    <w:div w:id="687369030">
      <w:bodyDiv w:val="1"/>
      <w:marLeft w:val="0"/>
      <w:marRight w:val="0"/>
      <w:marTop w:val="0"/>
      <w:marBottom w:val="0"/>
      <w:divBdr>
        <w:top w:val="none" w:sz="0" w:space="0" w:color="auto"/>
        <w:left w:val="none" w:sz="0" w:space="0" w:color="auto"/>
        <w:bottom w:val="none" w:sz="0" w:space="0" w:color="auto"/>
        <w:right w:val="none" w:sz="0" w:space="0" w:color="auto"/>
      </w:divBdr>
    </w:div>
    <w:div w:id="708072005">
      <w:bodyDiv w:val="1"/>
      <w:marLeft w:val="0"/>
      <w:marRight w:val="0"/>
      <w:marTop w:val="0"/>
      <w:marBottom w:val="0"/>
      <w:divBdr>
        <w:top w:val="none" w:sz="0" w:space="0" w:color="auto"/>
        <w:left w:val="none" w:sz="0" w:space="0" w:color="auto"/>
        <w:bottom w:val="none" w:sz="0" w:space="0" w:color="auto"/>
        <w:right w:val="none" w:sz="0" w:space="0" w:color="auto"/>
      </w:divBdr>
    </w:div>
    <w:div w:id="718823680">
      <w:bodyDiv w:val="1"/>
      <w:marLeft w:val="0"/>
      <w:marRight w:val="0"/>
      <w:marTop w:val="0"/>
      <w:marBottom w:val="0"/>
      <w:divBdr>
        <w:top w:val="none" w:sz="0" w:space="0" w:color="auto"/>
        <w:left w:val="none" w:sz="0" w:space="0" w:color="auto"/>
        <w:bottom w:val="none" w:sz="0" w:space="0" w:color="auto"/>
        <w:right w:val="none" w:sz="0" w:space="0" w:color="auto"/>
      </w:divBdr>
    </w:div>
    <w:div w:id="719404622">
      <w:bodyDiv w:val="1"/>
      <w:marLeft w:val="0"/>
      <w:marRight w:val="0"/>
      <w:marTop w:val="0"/>
      <w:marBottom w:val="0"/>
      <w:divBdr>
        <w:top w:val="none" w:sz="0" w:space="0" w:color="auto"/>
        <w:left w:val="none" w:sz="0" w:space="0" w:color="auto"/>
        <w:bottom w:val="none" w:sz="0" w:space="0" w:color="auto"/>
        <w:right w:val="none" w:sz="0" w:space="0" w:color="auto"/>
      </w:divBdr>
      <w:divsChild>
        <w:div w:id="291791504">
          <w:marLeft w:val="0"/>
          <w:marRight w:val="0"/>
          <w:marTop w:val="600"/>
          <w:marBottom w:val="600"/>
          <w:divBdr>
            <w:top w:val="none" w:sz="0" w:space="0" w:color="auto"/>
            <w:left w:val="none" w:sz="0" w:space="0" w:color="auto"/>
            <w:bottom w:val="none" w:sz="0" w:space="0" w:color="auto"/>
            <w:right w:val="none" w:sz="0" w:space="0" w:color="auto"/>
          </w:divBdr>
          <w:divsChild>
            <w:div w:id="1275400400">
              <w:blockQuote w:val="1"/>
              <w:marLeft w:val="0"/>
              <w:marRight w:val="0"/>
              <w:marTop w:val="0"/>
              <w:marBottom w:val="0"/>
              <w:divBdr>
                <w:top w:val="none" w:sz="0" w:space="0" w:color="auto"/>
                <w:left w:val="none" w:sz="0" w:space="0" w:color="auto"/>
                <w:bottom w:val="none" w:sz="0" w:space="0" w:color="auto"/>
                <w:right w:val="none" w:sz="0" w:space="0" w:color="auto"/>
              </w:divBdr>
              <w:divsChild>
                <w:div w:id="662196966">
                  <w:marLeft w:val="0"/>
                  <w:marRight w:val="0"/>
                  <w:marTop w:val="0"/>
                  <w:marBottom w:val="0"/>
                  <w:divBdr>
                    <w:top w:val="none" w:sz="0" w:space="0" w:color="auto"/>
                    <w:left w:val="none" w:sz="0" w:space="0" w:color="auto"/>
                    <w:bottom w:val="none" w:sz="0" w:space="0" w:color="auto"/>
                    <w:right w:val="none" w:sz="0" w:space="0" w:color="auto"/>
                  </w:divBdr>
                </w:div>
                <w:div w:id="15646808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31355423">
          <w:marLeft w:val="0"/>
          <w:marRight w:val="0"/>
          <w:marTop w:val="600"/>
          <w:marBottom w:val="0"/>
          <w:divBdr>
            <w:top w:val="none" w:sz="0" w:space="0" w:color="auto"/>
            <w:left w:val="none" w:sz="0" w:space="0" w:color="auto"/>
            <w:bottom w:val="none" w:sz="0" w:space="0" w:color="auto"/>
            <w:right w:val="none" w:sz="0" w:space="0" w:color="auto"/>
          </w:divBdr>
          <w:divsChild>
            <w:div w:id="15754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6883">
      <w:bodyDiv w:val="1"/>
      <w:marLeft w:val="0"/>
      <w:marRight w:val="0"/>
      <w:marTop w:val="0"/>
      <w:marBottom w:val="0"/>
      <w:divBdr>
        <w:top w:val="none" w:sz="0" w:space="0" w:color="auto"/>
        <w:left w:val="none" w:sz="0" w:space="0" w:color="auto"/>
        <w:bottom w:val="none" w:sz="0" w:space="0" w:color="auto"/>
        <w:right w:val="none" w:sz="0" w:space="0" w:color="auto"/>
      </w:divBdr>
    </w:div>
    <w:div w:id="786046023">
      <w:bodyDiv w:val="1"/>
      <w:marLeft w:val="0"/>
      <w:marRight w:val="0"/>
      <w:marTop w:val="0"/>
      <w:marBottom w:val="0"/>
      <w:divBdr>
        <w:top w:val="none" w:sz="0" w:space="0" w:color="auto"/>
        <w:left w:val="none" w:sz="0" w:space="0" w:color="auto"/>
        <w:bottom w:val="none" w:sz="0" w:space="0" w:color="auto"/>
        <w:right w:val="none" w:sz="0" w:space="0" w:color="auto"/>
      </w:divBdr>
      <w:divsChild>
        <w:div w:id="265579764">
          <w:marLeft w:val="0"/>
          <w:marRight w:val="0"/>
          <w:marTop w:val="0"/>
          <w:marBottom w:val="0"/>
          <w:divBdr>
            <w:top w:val="none" w:sz="0" w:space="0" w:color="auto"/>
            <w:left w:val="none" w:sz="0" w:space="0" w:color="auto"/>
            <w:bottom w:val="none" w:sz="0" w:space="0" w:color="auto"/>
            <w:right w:val="none" w:sz="0" w:space="0" w:color="auto"/>
          </w:divBdr>
          <w:divsChild>
            <w:div w:id="1868058643">
              <w:marLeft w:val="0"/>
              <w:marRight w:val="0"/>
              <w:marTop w:val="0"/>
              <w:marBottom w:val="0"/>
              <w:divBdr>
                <w:top w:val="none" w:sz="0" w:space="0" w:color="auto"/>
                <w:left w:val="none" w:sz="0" w:space="0" w:color="auto"/>
                <w:bottom w:val="none" w:sz="0" w:space="0" w:color="auto"/>
                <w:right w:val="none" w:sz="0" w:space="0" w:color="auto"/>
              </w:divBdr>
              <w:divsChild>
                <w:div w:id="654995917">
                  <w:marLeft w:val="0"/>
                  <w:marRight w:val="0"/>
                  <w:marTop w:val="0"/>
                  <w:marBottom w:val="0"/>
                  <w:divBdr>
                    <w:top w:val="none" w:sz="0" w:space="0" w:color="auto"/>
                    <w:left w:val="none" w:sz="0" w:space="0" w:color="auto"/>
                    <w:bottom w:val="none" w:sz="0" w:space="0" w:color="auto"/>
                    <w:right w:val="none" w:sz="0" w:space="0" w:color="auto"/>
                  </w:divBdr>
                  <w:divsChild>
                    <w:div w:id="10417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569">
          <w:marLeft w:val="0"/>
          <w:marRight w:val="0"/>
          <w:marTop w:val="0"/>
          <w:marBottom w:val="0"/>
          <w:divBdr>
            <w:top w:val="none" w:sz="0" w:space="0" w:color="auto"/>
            <w:left w:val="none" w:sz="0" w:space="0" w:color="auto"/>
            <w:bottom w:val="none" w:sz="0" w:space="0" w:color="auto"/>
            <w:right w:val="none" w:sz="0" w:space="0" w:color="auto"/>
          </w:divBdr>
          <w:divsChild>
            <w:div w:id="238760344">
              <w:marLeft w:val="0"/>
              <w:marRight w:val="0"/>
              <w:marTop w:val="0"/>
              <w:marBottom w:val="0"/>
              <w:divBdr>
                <w:top w:val="none" w:sz="0" w:space="0" w:color="auto"/>
                <w:left w:val="none" w:sz="0" w:space="0" w:color="auto"/>
                <w:bottom w:val="none" w:sz="0" w:space="0" w:color="auto"/>
                <w:right w:val="none" w:sz="0" w:space="0" w:color="auto"/>
              </w:divBdr>
              <w:divsChild>
                <w:div w:id="1466660042">
                  <w:marLeft w:val="0"/>
                  <w:marRight w:val="0"/>
                  <w:marTop w:val="0"/>
                  <w:marBottom w:val="0"/>
                  <w:divBdr>
                    <w:top w:val="none" w:sz="0" w:space="0" w:color="auto"/>
                    <w:left w:val="none" w:sz="0" w:space="0" w:color="auto"/>
                    <w:bottom w:val="none" w:sz="0" w:space="0" w:color="auto"/>
                    <w:right w:val="none" w:sz="0" w:space="0" w:color="auto"/>
                  </w:divBdr>
                  <w:divsChild>
                    <w:div w:id="20114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08705">
      <w:bodyDiv w:val="1"/>
      <w:marLeft w:val="0"/>
      <w:marRight w:val="0"/>
      <w:marTop w:val="0"/>
      <w:marBottom w:val="0"/>
      <w:divBdr>
        <w:top w:val="none" w:sz="0" w:space="0" w:color="auto"/>
        <w:left w:val="none" w:sz="0" w:space="0" w:color="auto"/>
        <w:bottom w:val="none" w:sz="0" w:space="0" w:color="auto"/>
        <w:right w:val="none" w:sz="0" w:space="0" w:color="auto"/>
      </w:divBdr>
    </w:div>
    <w:div w:id="814567932">
      <w:bodyDiv w:val="1"/>
      <w:marLeft w:val="0"/>
      <w:marRight w:val="0"/>
      <w:marTop w:val="0"/>
      <w:marBottom w:val="0"/>
      <w:divBdr>
        <w:top w:val="none" w:sz="0" w:space="0" w:color="auto"/>
        <w:left w:val="none" w:sz="0" w:space="0" w:color="auto"/>
        <w:bottom w:val="none" w:sz="0" w:space="0" w:color="auto"/>
        <w:right w:val="none" w:sz="0" w:space="0" w:color="auto"/>
      </w:divBdr>
    </w:div>
    <w:div w:id="845218633">
      <w:bodyDiv w:val="1"/>
      <w:marLeft w:val="0"/>
      <w:marRight w:val="0"/>
      <w:marTop w:val="0"/>
      <w:marBottom w:val="0"/>
      <w:divBdr>
        <w:top w:val="none" w:sz="0" w:space="0" w:color="auto"/>
        <w:left w:val="none" w:sz="0" w:space="0" w:color="auto"/>
        <w:bottom w:val="none" w:sz="0" w:space="0" w:color="auto"/>
        <w:right w:val="none" w:sz="0" w:space="0" w:color="auto"/>
      </w:divBdr>
      <w:divsChild>
        <w:div w:id="1875189850">
          <w:marLeft w:val="0"/>
          <w:marRight w:val="0"/>
          <w:marTop w:val="0"/>
          <w:marBottom w:val="600"/>
          <w:divBdr>
            <w:top w:val="none" w:sz="0" w:space="0" w:color="auto"/>
            <w:left w:val="none" w:sz="0" w:space="0" w:color="auto"/>
            <w:bottom w:val="none" w:sz="0" w:space="0" w:color="auto"/>
            <w:right w:val="none" w:sz="0" w:space="0" w:color="auto"/>
          </w:divBdr>
          <w:divsChild>
            <w:div w:id="6070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6375">
      <w:bodyDiv w:val="1"/>
      <w:marLeft w:val="0"/>
      <w:marRight w:val="0"/>
      <w:marTop w:val="0"/>
      <w:marBottom w:val="0"/>
      <w:divBdr>
        <w:top w:val="none" w:sz="0" w:space="0" w:color="auto"/>
        <w:left w:val="none" w:sz="0" w:space="0" w:color="auto"/>
        <w:bottom w:val="none" w:sz="0" w:space="0" w:color="auto"/>
        <w:right w:val="none" w:sz="0" w:space="0" w:color="auto"/>
      </w:divBdr>
      <w:divsChild>
        <w:div w:id="104690260">
          <w:marLeft w:val="0"/>
          <w:marRight w:val="0"/>
          <w:marTop w:val="0"/>
          <w:marBottom w:val="0"/>
          <w:divBdr>
            <w:top w:val="none" w:sz="0" w:space="0" w:color="auto"/>
            <w:left w:val="none" w:sz="0" w:space="0" w:color="auto"/>
            <w:bottom w:val="none" w:sz="0" w:space="0" w:color="auto"/>
            <w:right w:val="none" w:sz="0" w:space="0" w:color="auto"/>
          </w:divBdr>
          <w:divsChild>
            <w:div w:id="852885557">
              <w:marLeft w:val="0"/>
              <w:marRight w:val="0"/>
              <w:marTop w:val="0"/>
              <w:marBottom w:val="0"/>
              <w:divBdr>
                <w:top w:val="none" w:sz="0" w:space="0" w:color="auto"/>
                <w:left w:val="none" w:sz="0" w:space="0" w:color="auto"/>
                <w:bottom w:val="none" w:sz="0" w:space="0" w:color="auto"/>
                <w:right w:val="none" w:sz="0" w:space="0" w:color="auto"/>
              </w:divBdr>
              <w:divsChild>
                <w:div w:id="877397864">
                  <w:marLeft w:val="0"/>
                  <w:marRight w:val="0"/>
                  <w:marTop w:val="0"/>
                  <w:marBottom w:val="0"/>
                  <w:divBdr>
                    <w:top w:val="none" w:sz="0" w:space="0" w:color="auto"/>
                    <w:left w:val="none" w:sz="0" w:space="0" w:color="auto"/>
                    <w:bottom w:val="none" w:sz="0" w:space="0" w:color="auto"/>
                    <w:right w:val="none" w:sz="0" w:space="0" w:color="auto"/>
                  </w:divBdr>
                  <w:divsChild>
                    <w:div w:id="1291857090">
                      <w:marLeft w:val="0"/>
                      <w:marRight w:val="0"/>
                      <w:marTop w:val="0"/>
                      <w:marBottom w:val="0"/>
                      <w:divBdr>
                        <w:top w:val="none" w:sz="0" w:space="0" w:color="auto"/>
                        <w:left w:val="none" w:sz="0" w:space="0" w:color="auto"/>
                        <w:bottom w:val="none" w:sz="0" w:space="0" w:color="auto"/>
                        <w:right w:val="none" w:sz="0" w:space="0" w:color="auto"/>
                      </w:divBdr>
                      <w:divsChild>
                        <w:div w:id="393435207">
                          <w:marLeft w:val="0"/>
                          <w:marRight w:val="0"/>
                          <w:marTop w:val="0"/>
                          <w:marBottom w:val="0"/>
                          <w:divBdr>
                            <w:top w:val="none" w:sz="0" w:space="0" w:color="auto"/>
                            <w:left w:val="none" w:sz="0" w:space="0" w:color="auto"/>
                            <w:bottom w:val="none" w:sz="0" w:space="0" w:color="auto"/>
                            <w:right w:val="none" w:sz="0" w:space="0" w:color="auto"/>
                          </w:divBdr>
                          <w:divsChild>
                            <w:div w:id="12677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5937">
      <w:bodyDiv w:val="1"/>
      <w:marLeft w:val="0"/>
      <w:marRight w:val="0"/>
      <w:marTop w:val="0"/>
      <w:marBottom w:val="0"/>
      <w:divBdr>
        <w:top w:val="none" w:sz="0" w:space="0" w:color="auto"/>
        <w:left w:val="none" w:sz="0" w:space="0" w:color="auto"/>
        <w:bottom w:val="none" w:sz="0" w:space="0" w:color="auto"/>
        <w:right w:val="none" w:sz="0" w:space="0" w:color="auto"/>
      </w:divBdr>
      <w:divsChild>
        <w:div w:id="984089591">
          <w:marLeft w:val="0"/>
          <w:marRight w:val="0"/>
          <w:marTop w:val="600"/>
          <w:marBottom w:val="600"/>
          <w:divBdr>
            <w:top w:val="none" w:sz="0" w:space="0" w:color="auto"/>
            <w:left w:val="none" w:sz="0" w:space="0" w:color="auto"/>
            <w:bottom w:val="none" w:sz="0" w:space="0" w:color="auto"/>
            <w:right w:val="none" w:sz="0" w:space="0" w:color="auto"/>
          </w:divBdr>
          <w:divsChild>
            <w:div w:id="1860926501">
              <w:marLeft w:val="0"/>
              <w:marRight w:val="0"/>
              <w:marTop w:val="0"/>
              <w:marBottom w:val="0"/>
              <w:divBdr>
                <w:top w:val="none" w:sz="0" w:space="0" w:color="auto"/>
                <w:left w:val="none" w:sz="0" w:space="0" w:color="auto"/>
                <w:bottom w:val="none" w:sz="0" w:space="0" w:color="auto"/>
                <w:right w:val="none" w:sz="0" w:space="0" w:color="auto"/>
              </w:divBdr>
            </w:div>
          </w:divsChild>
        </w:div>
        <w:div w:id="1171334218">
          <w:marLeft w:val="0"/>
          <w:marRight w:val="0"/>
          <w:marTop w:val="600"/>
          <w:marBottom w:val="600"/>
          <w:divBdr>
            <w:top w:val="none" w:sz="0" w:space="0" w:color="auto"/>
            <w:left w:val="none" w:sz="0" w:space="0" w:color="auto"/>
            <w:bottom w:val="none" w:sz="0" w:space="0" w:color="auto"/>
            <w:right w:val="none" w:sz="0" w:space="0" w:color="auto"/>
          </w:divBdr>
          <w:divsChild>
            <w:div w:id="1096561593">
              <w:marLeft w:val="0"/>
              <w:marRight w:val="0"/>
              <w:marTop w:val="0"/>
              <w:marBottom w:val="0"/>
              <w:divBdr>
                <w:top w:val="none" w:sz="0" w:space="0" w:color="auto"/>
                <w:left w:val="none" w:sz="0" w:space="0" w:color="auto"/>
                <w:bottom w:val="none" w:sz="0" w:space="0" w:color="auto"/>
                <w:right w:val="none" w:sz="0" w:space="0" w:color="auto"/>
              </w:divBdr>
            </w:div>
          </w:divsChild>
        </w:div>
        <w:div w:id="2058704400">
          <w:marLeft w:val="0"/>
          <w:marRight w:val="0"/>
          <w:marTop w:val="600"/>
          <w:marBottom w:val="600"/>
          <w:divBdr>
            <w:top w:val="none" w:sz="0" w:space="0" w:color="auto"/>
            <w:left w:val="none" w:sz="0" w:space="0" w:color="auto"/>
            <w:bottom w:val="none" w:sz="0" w:space="0" w:color="auto"/>
            <w:right w:val="none" w:sz="0" w:space="0" w:color="auto"/>
          </w:divBdr>
          <w:divsChild>
            <w:div w:id="1903102246">
              <w:blockQuote w:val="1"/>
              <w:marLeft w:val="0"/>
              <w:marRight w:val="0"/>
              <w:marTop w:val="0"/>
              <w:marBottom w:val="0"/>
              <w:divBdr>
                <w:top w:val="none" w:sz="0" w:space="0" w:color="auto"/>
                <w:left w:val="none" w:sz="0" w:space="0" w:color="auto"/>
                <w:bottom w:val="none" w:sz="0" w:space="0" w:color="auto"/>
                <w:right w:val="none" w:sz="0" w:space="0" w:color="auto"/>
              </w:divBdr>
              <w:divsChild>
                <w:div w:id="424885655">
                  <w:marLeft w:val="0"/>
                  <w:marRight w:val="0"/>
                  <w:marTop w:val="360"/>
                  <w:marBottom w:val="0"/>
                  <w:divBdr>
                    <w:top w:val="none" w:sz="0" w:space="0" w:color="auto"/>
                    <w:left w:val="none" w:sz="0" w:space="0" w:color="auto"/>
                    <w:bottom w:val="none" w:sz="0" w:space="0" w:color="auto"/>
                    <w:right w:val="none" w:sz="0" w:space="0" w:color="auto"/>
                  </w:divBdr>
                </w:div>
                <w:div w:id="6761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5006">
      <w:bodyDiv w:val="1"/>
      <w:marLeft w:val="0"/>
      <w:marRight w:val="0"/>
      <w:marTop w:val="0"/>
      <w:marBottom w:val="0"/>
      <w:divBdr>
        <w:top w:val="none" w:sz="0" w:space="0" w:color="auto"/>
        <w:left w:val="none" w:sz="0" w:space="0" w:color="auto"/>
        <w:bottom w:val="none" w:sz="0" w:space="0" w:color="auto"/>
        <w:right w:val="none" w:sz="0" w:space="0" w:color="auto"/>
      </w:divBdr>
    </w:div>
    <w:div w:id="999045773">
      <w:bodyDiv w:val="1"/>
      <w:marLeft w:val="0"/>
      <w:marRight w:val="0"/>
      <w:marTop w:val="0"/>
      <w:marBottom w:val="0"/>
      <w:divBdr>
        <w:top w:val="none" w:sz="0" w:space="0" w:color="auto"/>
        <w:left w:val="none" w:sz="0" w:space="0" w:color="auto"/>
        <w:bottom w:val="none" w:sz="0" w:space="0" w:color="auto"/>
        <w:right w:val="none" w:sz="0" w:space="0" w:color="auto"/>
      </w:divBdr>
    </w:div>
    <w:div w:id="1046220589">
      <w:bodyDiv w:val="1"/>
      <w:marLeft w:val="0"/>
      <w:marRight w:val="0"/>
      <w:marTop w:val="0"/>
      <w:marBottom w:val="0"/>
      <w:divBdr>
        <w:top w:val="none" w:sz="0" w:space="0" w:color="auto"/>
        <w:left w:val="none" w:sz="0" w:space="0" w:color="auto"/>
        <w:bottom w:val="none" w:sz="0" w:space="0" w:color="auto"/>
        <w:right w:val="none" w:sz="0" w:space="0" w:color="auto"/>
      </w:divBdr>
      <w:divsChild>
        <w:div w:id="1303997272">
          <w:marLeft w:val="0"/>
          <w:marRight w:val="0"/>
          <w:marTop w:val="0"/>
          <w:marBottom w:val="600"/>
          <w:divBdr>
            <w:top w:val="none" w:sz="0" w:space="0" w:color="auto"/>
            <w:left w:val="none" w:sz="0" w:space="0" w:color="auto"/>
            <w:bottom w:val="none" w:sz="0" w:space="0" w:color="auto"/>
            <w:right w:val="none" w:sz="0" w:space="0" w:color="auto"/>
          </w:divBdr>
          <w:divsChild>
            <w:div w:id="2221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7174">
      <w:bodyDiv w:val="1"/>
      <w:marLeft w:val="0"/>
      <w:marRight w:val="0"/>
      <w:marTop w:val="0"/>
      <w:marBottom w:val="0"/>
      <w:divBdr>
        <w:top w:val="none" w:sz="0" w:space="0" w:color="auto"/>
        <w:left w:val="none" w:sz="0" w:space="0" w:color="auto"/>
        <w:bottom w:val="none" w:sz="0" w:space="0" w:color="auto"/>
        <w:right w:val="none" w:sz="0" w:space="0" w:color="auto"/>
      </w:divBdr>
    </w:div>
    <w:div w:id="1096099969">
      <w:bodyDiv w:val="1"/>
      <w:marLeft w:val="0"/>
      <w:marRight w:val="0"/>
      <w:marTop w:val="0"/>
      <w:marBottom w:val="0"/>
      <w:divBdr>
        <w:top w:val="none" w:sz="0" w:space="0" w:color="auto"/>
        <w:left w:val="none" w:sz="0" w:space="0" w:color="auto"/>
        <w:bottom w:val="none" w:sz="0" w:space="0" w:color="auto"/>
        <w:right w:val="none" w:sz="0" w:space="0" w:color="auto"/>
      </w:divBdr>
    </w:div>
    <w:div w:id="1108162478">
      <w:bodyDiv w:val="1"/>
      <w:marLeft w:val="0"/>
      <w:marRight w:val="0"/>
      <w:marTop w:val="0"/>
      <w:marBottom w:val="0"/>
      <w:divBdr>
        <w:top w:val="none" w:sz="0" w:space="0" w:color="auto"/>
        <w:left w:val="none" w:sz="0" w:space="0" w:color="auto"/>
        <w:bottom w:val="none" w:sz="0" w:space="0" w:color="auto"/>
        <w:right w:val="none" w:sz="0" w:space="0" w:color="auto"/>
      </w:divBdr>
      <w:divsChild>
        <w:div w:id="38867327">
          <w:marLeft w:val="0"/>
          <w:marRight w:val="0"/>
          <w:marTop w:val="0"/>
          <w:marBottom w:val="600"/>
          <w:divBdr>
            <w:top w:val="none" w:sz="0" w:space="0" w:color="auto"/>
            <w:left w:val="none" w:sz="0" w:space="0" w:color="auto"/>
            <w:bottom w:val="none" w:sz="0" w:space="0" w:color="auto"/>
            <w:right w:val="none" w:sz="0" w:space="0" w:color="auto"/>
          </w:divBdr>
          <w:divsChild>
            <w:div w:id="11218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48103">
      <w:bodyDiv w:val="1"/>
      <w:marLeft w:val="0"/>
      <w:marRight w:val="0"/>
      <w:marTop w:val="0"/>
      <w:marBottom w:val="0"/>
      <w:divBdr>
        <w:top w:val="none" w:sz="0" w:space="0" w:color="auto"/>
        <w:left w:val="none" w:sz="0" w:space="0" w:color="auto"/>
        <w:bottom w:val="none" w:sz="0" w:space="0" w:color="auto"/>
        <w:right w:val="none" w:sz="0" w:space="0" w:color="auto"/>
      </w:divBdr>
    </w:div>
    <w:div w:id="1146623426">
      <w:bodyDiv w:val="1"/>
      <w:marLeft w:val="0"/>
      <w:marRight w:val="0"/>
      <w:marTop w:val="0"/>
      <w:marBottom w:val="0"/>
      <w:divBdr>
        <w:top w:val="none" w:sz="0" w:space="0" w:color="auto"/>
        <w:left w:val="none" w:sz="0" w:space="0" w:color="auto"/>
        <w:bottom w:val="none" w:sz="0" w:space="0" w:color="auto"/>
        <w:right w:val="none" w:sz="0" w:space="0" w:color="auto"/>
      </w:divBdr>
    </w:div>
    <w:div w:id="1177304785">
      <w:bodyDiv w:val="1"/>
      <w:marLeft w:val="0"/>
      <w:marRight w:val="0"/>
      <w:marTop w:val="0"/>
      <w:marBottom w:val="0"/>
      <w:divBdr>
        <w:top w:val="none" w:sz="0" w:space="0" w:color="auto"/>
        <w:left w:val="none" w:sz="0" w:space="0" w:color="auto"/>
        <w:bottom w:val="none" w:sz="0" w:space="0" w:color="auto"/>
        <w:right w:val="none" w:sz="0" w:space="0" w:color="auto"/>
      </w:divBdr>
    </w:div>
    <w:div w:id="1200821693">
      <w:bodyDiv w:val="1"/>
      <w:marLeft w:val="0"/>
      <w:marRight w:val="0"/>
      <w:marTop w:val="0"/>
      <w:marBottom w:val="0"/>
      <w:divBdr>
        <w:top w:val="none" w:sz="0" w:space="0" w:color="auto"/>
        <w:left w:val="none" w:sz="0" w:space="0" w:color="auto"/>
        <w:bottom w:val="none" w:sz="0" w:space="0" w:color="auto"/>
        <w:right w:val="none" w:sz="0" w:space="0" w:color="auto"/>
      </w:divBdr>
    </w:div>
    <w:div w:id="1253591714">
      <w:bodyDiv w:val="1"/>
      <w:marLeft w:val="0"/>
      <w:marRight w:val="0"/>
      <w:marTop w:val="0"/>
      <w:marBottom w:val="0"/>
      <w:divBdr>
        <w:top w:val="none" w:sz="0" w:space="0" w:color="auto"/>
        <w:left w:val="none" w:sz="0" w:space="0" w:color="auto"/>
        <w:bottom w:val="none" w:sz="0" w:space="0" w:color="auto"/>
        <w:right w:val="none" w:sz="0" w:space="0" w:color="auto"/>
      </w:divBdr>
    </w:div>
    <w:div w:id="1282152746">
      <w:bodyDiv w:val="1"/>
      <w:marLeft w:val="0"/>
      <w:marRight w:val="0"/>
      <w:marTop w:val="0"/>
      <w:marBottom w:val="0"/>
      <w:divBdr>
        <w:top w:val="none" w:sz="0" w:space="0" w:color="auto"/>
        <w:left w:val="none" w:sz="0" w:space="0" w:color="auto"/>
        <w:bottom w:val="none" w:sz="0" w:space="0" w:color="auto"/>
        <w:right w:val="none" w:sz="0" w:space="0" w:color="auto"/>
      </w:divBdr>
    </w:div>
    <w:div w:id="1316377674">
      <w:bodyDiv w:val="1"/>
      <w:marLeft w:val="0"/>
      <w:marRight w:val="0"/>
      <w:marTop w:val="0"/>
      <w:marBottom w:val="0"/>
      <w:divBdr>
        <w:top w:val="none" w:sz="0" w:space="0" w:color="auto"/>
        <w:left w:val="none" w:sz="0" w:space="0" w:color="auto"/>
        <w:bottom w:val="none" w:sz="0" w:space="0" w:color="auto"/>
        <w:right w:val="none" w:sz="0" w:space="0" w:color="auto"/>
      </w:divBdr>
    </w:div>
    <w:div w:id="1371567834">
      <w:bodyDiv w:val="1"/>
      <w:marLeft w:val="0"/>
      <w:marRight w:val="0"/>
      <w:marTop w:val="0"/>
      <w:marBottom w:val="0"/>
      <w:divBdr>
        <w:top w:val="none" w:sz="0" w:space="0" w:color="auto"/>
        <w:left w:val="none" w:sz="0" w:space="0" w:color="auto"/>
        <w:bottom w:val="none" w:sz="0" w:space="0" w:color="auto"/>
        <w:right w:val="none" w:sz="0" w:space="0" w:color="auto"/>
      </w:divBdr>
    </w:div>
    <w:div w:id="1394816308">
      <w:bodyDiv w:val="1"/>
      <w:marLeft w:val="0"/>
      <w:marRight w:val="0"/>
      <w:marTop w:val="0"/>
      <w:marBottom w:val="0"/>
      <w:divBdr>
        <w:top w:val="none" w:sz="0" w:space="0" w:color="auto"/>
        <w:left w:val="none" w:sz="0" w:space="0" w:color="auto"/>
        <w:bottom w:val="none" w:sz="0" w:space="0" w:color="auto"/>
        <w:right w:val="none" w:sz="0" w:space="0" w:color="auto"/>
      </w:divBdr>
    </w:div>
    <w:div w:id="1403603019">
      <w:bodyDiv w:val="1"/>
      <w:marLeft w:val="0"/>
      <w:marRight w:val="0"/>
      <w:marTop w:val="0"/>
      <w:marBottom w:val="0"/>
      <w:divBdr>
        <w:top w:val="none" w:sz="0" w:space="0" w:color="auto"/>
        <w:left w:val="none" w:sz="0" w:space="0" w:color="auto"/>
        <w:bottom w:val="none" w:sz="0" w:space="0" w:color="auto"/>
        <w:right w:val="none" w:sz="0" w:space="0" w:color="auto"/>
      </w:divBdr>
      <w:divsChild>
        <w:div w:id="306977401">
          <w:marLeft w:val="274"/>
          <w:marRight w:val="0"/>
          <w:marTop w:val="0"/>
          <w:marBottom w:val="0"/>
          <w:divBdr>
            <w:top w:val="none" w:sz="0" w:space="0" w:color="auto"/>
            <w:left w:val="none" w:sz="0" w:space="0" w:color="auto"/>
            <w:bottom w:val="none" w:sz="0" w:space="0" w:color="auto"/>
            <w:right w:val="none" w:sz="0" w:space="0" w:color="auto"/>
          </w:divBdr>
        </w:div>
        <w:div w:id="424350300">
          <w:marLeft w:val="274"/>
          <w:marRight w:val="0"/>
          <w:marTop w:val="0"/>
          <w:marBottom w:val="0"/>
          <w:divBdr>
            <w:top w:val="none" w:sz="0" w:space="0" w:color="auto"/>
            <w:left w:val="none" w:sz="0" w:space="0" w:color="auto"/>
            <w:bottom w:val="none" w:sz="0" w:space="0" w:color="auto"/>
            <w:right w:val="none" w:sz="0" w:space="0" w:color="auto"/>
          </w:divBdr>
        </w:div>
        <w:div w:id="732893153">
          <w:marLeft w:val="274"/>
          <w:marRight w:val="0"/>
          <w:marTop w:val="0"/>
          <w:marBottom w:val="0"/>
          <w:divBdr>
            <w:top w:val="none" w:sz="0" w:space="0" w:color="auto"/>
            <w:left w:val="none" w:sz="0" w:space="0" w:color="auto"/>
            <w:bottom w:val="none" w:sz="0" w:space="0" w:color="auto"/>
            <w:right w:val="none" w:sz="0" w:space="0" w:color="auto"/>
          </w:divBdr>
        </w:div>
      </w:divsChild>
    </w:div>
    <w:div w:id="1408728854">
      <w:bodyDiv w:val="1"/>
      <w:marLeft w:val="0"/>
      <w:marRight w:val="0"/>
      <w:marTop w:val="0"/>
      <w:marBottom w:val="0"/>
      <w:divBdr>
        <w:top w:val="none" w:sz="0" w:space="0" w:color="auto"/>
        <w:left w:val="none" w:sz="0" w:space="0" w:color="auto"/>
        <w:bottom w:val="none" w:sz="0" w:space="0" w:color="auto"/>
        <w:right w:val="none" w:sz="0" w:space="0" w:color="auto"/>
      </w:divBdr>
    </w:div>
    <w:div w:id="1413546219">
      <w:bodyDiv w:val="1"/>
      <w:marLeft w:val="0"/>
      <w:marRight w:val="0"/>
      <w:marTop w:val="0"/>
      <w:marBottom w:val="0"/>
      <w:divBdr>
        <w:top w:val="none" w:sz="0" w:space="0" w:color="auto"/>
        <w:left w:val="none" w:sz="0" w:space="0" w:color="auto"/>
        <w:bottom w:val="none" w:sz="0" w:space="0" w:color="auto"/>
        <w:right w:val="none" w:sz="0" w:space="0" w:color="auto"/>
      </w:divBdr>
    </w:div>
    <w:div w:id="1419474521">
      <w:bodyDiv w:val="1"/>
      <w:marLeft w:val="0"/>
      <w:marRight w:val="0"/>
      <w:marTop w:val="0"/>
      <w:marBottom w:val="0"/>
      <w:divBdr>
        <w:top w:val="none" w:sz="0" w:space="0" w:color="auto"/>
        <w:left w:val="none" w:sz="0" w:space="0" w:color="auto"/>
        <w:bottom w:val="none" w:sz="0" w:space="0" w:color="auto"/>
        <w:right w:val="none" w:sz="0" w:space="0" w:color="auto"/>
      </w:divBdr>
    </w:div>
    <w:div w:id="1426536539">
      <w:bodyDiv w:val="1"/>
      <w:marLeft w:val="0"/>
      <w:marRight w:val="0"/>
      <w:marTop w:val="0"/>
      <w:marBottom w:val="0"/>
      <w:divBdr>
        <w:top w:val="none" w:sz="0" w:space="0" w:color="auto"/>
        <w:left w:val="none" w:sz="0" w:space="0" w:color="auto"/>
        <w:bottom w:val="none" w:sz="0" w:space="0" w:color="auto"/>
        <w:right w:val="none" w:sz="0" w:space="0" w:color="auto"/>
      </w:divBdr>
    </w:div>
    <w:div w:id="1456828367">
      <w:bodyDiv w:val="1"/>
      <w:marLeft w:val="0"/>
      <w:marRight w:val="0"/>
      <w:marTop w:val="0"/>
      <w:marBottom w:val="0"/>
      <w:divBdr>
        <w:top w:val="none" w:sz="0" w:space="0" w:color="auto"/>
        <w:left w:val="none" w:sz="0" w:space="0" w:color="auto"/>
        <w:bottom w:val="none" w:sz="0" w:space="0" w:color="auto"/>
        <w:right w:val="none" w:sz="0" w:space="0" w:color="auto"/>
      </w:divBdr>
      <w:divsChild>
        <w:div w:id="1485119514">
          <w:marLeft w:val="0"/>
          <w:marRight w:val="0"/>
          <w:marTop w:val="0"/>
          <w:marBottom w:val="0"/>
          <w:divBdr>
            <w:top w:val="none" w:sz="0" w:space="0" w:color="auto"/>
            <w:left w:val="none" w:sz="0" w:space="0" w:color="auto"/>
            <w:bottom w:val="none" w:sz="0" w:space="0" w:color="auto"/>
            <w:right w:val="none" w:sz="0" w:space="0" w:color="auto"/>
          </w:divBdr>
          <w:divsChild>
            <w:div w:id="624698192">
              <w:marLeft w:val="0"/>
              <w:marRight w:val="0"/>
              <w:marTop w:val="0"/>
              <w:marBottom w:val="0"/>
              <w:divBdr>
                <w:top w:val="none" w:sz="0" w:space="0" w:color="auto"/>
                <w:left w:val="none" w:sz="0" w:space="0" w:color="auto"/>
                <w:bottom w:val="none" w:sz="0" w:space="0" w:color="auto"/>
                <w:right w:val="none" w:sz="0" w:space="0" w:color="auto"/>
              </w:divBdr>
              <w:divsChild>
                <w:div w:id="1348866664">
                  <w:marLeft w:val="0"/>
                  <w:marRight w:val="0"/>
                  <w:marTop w:val="0"/>
                  <w:marBottom w:val="0"/>
                  <w:divBdr>
                    <w:top w:val="none" w:sz="0" w:space="0" w:color="auto"/>
                    <w:left w:val="none" w:sz="0" w:space="0" w:color="auto"/>
                    <w:bottom w:val="none" w:sz="0" w:space="0" w:color="auto"/>
                    <w:right w:val="none" w:sz="0" w:space="0" w:color="auto"/>
                  </w:divBdr>
                  <w:divsChild>
                    <w:div w:id="2102531169">
                      <w:marLeft w:val="0"/>
                      <w:marRight w:val="0"/>
                      <w:marTop w:val="0"/>
                      <w:marBottom w:val="0"/>
                      <w:divBdr>
                        <w:top w:val="none" w:sz="0" w:space="0" w:color="auto"/>
                        <w:left w:val="none" w:sz="0" w:space="0" w:color="auto"/>
                        <w:bottom w:val="none" w:sz="0" w:space="0" w:color="auto"/>
                        <w:right w:val="none" w:sz="0" w:space="0" w:color="auto"/>
                      </w:divBdr>
                      <w:divsChild>
                        <w:div w:id="1051004672">
                          <w:marLeft w:val="0"/>
                          <w:marRight w:val="0"/>
                          <w:marTop w:val="0"/>
                          <w:marBottom w:val="0"/>
                          <w:divBdr>
                            <w:top w:val="none" w:sz="0" w:space="0" w:color="auto"/>
                            <w:left w:val="none" w:sz="0" w:space="0" w:color="auto"/>
                            <w:bottom w:val="none" w:sz="0" w:space="0" w:color="auto"/>
                            <w:right w:val="none" w:sz="0" w:space="0" w:color="auto"/>
                          </w:divBdr>
                          <w:divsChild>
                            <w:div w:id="303969223">
                              <w:marLeft w:val="0"/>
                              <w:marRight w:val="0"/>
                              <w:marTop w:val="0"/>
                              <w:marBottom w:val="0"/>
                              <w:divBdr>
                                <w:top w:val="none" w:sz="0" w:space="0" w:color="auto"/>
                                <w:left w:val="none" w:sz="0" w:space="0" w:color="auto"/>
                                <w:bottom w:val="none" w:sz="0" w:space="0" w:color="auto"/>
                                <w:right w:val="none" w:sz="0" w:space="0" w:color="auto"/>
                              </w:divBdr>
                            </w:div>
                            <w:div w:id="311564392">
                              <w:marLeft w:val="0"/>
                              <w:marRight w:val="0"/>
                              <w:marTop w:val="0"/>
                              <w:marBottom w:val="0"/>
                              <w:divBdr>
                                <w:top w:val="none" w:sz="0" w:space="0" w:color="auto"/>
                                <w:left w:val="none" w:sz="0" w:space="0" w:color="auto"/>
                                <w:bottom w:val="none" w:sz="0" w:space="0" w:color="auto"/>
                                <w:right w:val="none" w:sz="0" w:space="0" w:color="auto"/>
                              </w:divBdr>
                            </w:div>
                            <w:div w:id="839000336">
                              <w:marLeft w:val="0"/>
                              <w:marRight w:val="0"/>
                              <w:marTop w:val="0"/>
                              <w:marBottom w:val="0"/>
                              <w:divBdr>
                                <w:top w:val="none" w:sz="0" w:space="0" w:color="auto"/>
                                <w:left w:val="none" w:sz="0" w:space="0" w:color="auto"/>
                                <w:bottom w:val="none" w:sz="0" w:space="0" w:color="auto"/>
                                <w:right w:val="none" w:sz="0" w:space="0" w:color="auto"/>
                              </w:divBdr>
                            </w:div>
                            <w:div w:id="933365221">
                              <w:marLeft w:val="0"/>
                              <w:marRight w:val="0"/>
                              <w:marTop w:val="0"/>
                              <w:marBottom w:val="0"/>
                              <w:divBdr>
                                <w:top w:val="none" w:sz="0" w:space="0" w:color="auto"/>
                                <w:left w:val="none" w:sz="0" w:space="0" w:color="auto"/>
                                <w:bottom w:val="none" w:sz="0" w:space="0" w:color="auto"/>
                                <w:right w:val="none" w:sz="0" w:space="0" w:color="auto"/>
                              </w:divBdr>
                            </w:div>
                            <w:div w:id="952633932">
                              <w:marLeft w:val="0"/>
                              <w:marRight w:val="0"/>
                              <w:marTop w:val="0"/>
                              <w:marBottom w:val="0"/>
                              <w:divBdr>
                                <w:top w:val="none" w:sz="0" w:space="0" w:color="auto"/>
                                <w:left w:val="none" w:sz="0" w:space="0" w:color="auto"/>
                                <w:bottom w:val="none" w:sz="0" w:space="0" w:color="auto"/>
                                <w:right w:val="none" w:sz="0" w:space="0" w:color="auto"/>
                              </w:divBdr>
                            </w:div>
                            <w:div w:id="1235386020">
                              <w:marLeft w:val="0"/>
                              <w:marRight w:val="0"/>
                              <w:marTop w:val="0"/>
                              <w:marBottom w:val="0"/>
                              <w:divBdr>
                                <w:top w:val="none" w:sz="0" w:space="0" w:color="auto"/>
                                <w:left w:val="none" w:sz="0" w:space="0" w:color="auto"/>
                                <w:bottom w:val="none" w:sz="0" w:space="0" w:color="auto"/>
                                <w:right w:val="none" w:sz="0" w:space="0" w:color="auto"/>
                              </w:divBdr>
                            </w:div>
                            <w:div w:id="1487746435">
                              <w:marLeft w:val="0"/>
                              <w:marRight w:val="0"/>
                              <w:marTop w:val="0"/>
                              <w:marBottom w:val="0"/>
                              <w:divBdr>
                                <w:top w:val="none" w:sz="0" w:space="0" w:color="auto"/>
                                <w:left w:val="none" w:sz="0" w:space="0" w:color="auto"/>
                                <w:bottom w:val="none" w:sz="0" w:space="0" w:color="auto"/>
                                <w:right w:val="none" w:sz="0" w:space="0" w:color="auto"/>
                              </w:divBdr>
                            </w:div>
                            <w:div w:id="1943952499">
                              <w:marLeft w:val="0"/>
                              <w:marRight w:val="0"/>
                              <w:marTop w:val="0"/>
                              <w:marBottom w:val="0"/>
                              <w:divBdr>
                                <w:top w:val="none" w:sz="0" w:space="0" w:color="auto"/>
                                <w:left w:val="none" w:sz="0" w:space="0" w:color="auto"/>
                                <w:bottom w:val="none" w:sz="0" w:space="0" w:color="auto"/>
                                <w:right w:val="none" w:sz="0" w:space="0" w:color="auto"/>
                              </w:divBdr>
                            </w:div>
                            <w:div w:id="1974215474">
                              <w:marLeft w:val="0"/>
                              <w:marRight w:val="0"/>
                              <w:marTop w:val="0"/>
                              <w:marBottom w:val="0"/>
                              <w:divBdr>
                                <w:top w:val="none" w:sz="0" w:space="0" w:color="auto"/>
                                <w:left w:val="none" w:sz="0" w:space="0" w:color="auto"/>
                                <w:bottom w:val="none" w:sz="0" w:space="0" w:color="auto"/>
                                <w:right w:val="none" w:sz="0" w:space="0" w:color="auto"/>
                              </w:divBdr>
                            </w:div>
                            <w:div w:id="20393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3445">
          <w:marLeft w:val="0"/>
          <w:marRight w:val="0"/>
          <w:marTop w:val="0"/>
          <w:marBottom w:val="0"/>
          <w:divBdr>
            <w:top w:val="none" w:sz="0" w:space="0" w:color="auto"/>
            <w:left w:val="none" w:sz="0" w:space="0" w:color="auto"/>
            <w:bottom w:val="none" w:sz="0" w:space="0" w:color="auto"/>
            <w:right w:val="none" w:sz="0" w:space="0" w:color="auto"/>
          </w:divBdr>
          <w:divsChild>
            <w:div w:id="954290849">
              <w:marLeft w:val="0"/>
              <w:marRight w:val="0"/>
              <w:marTop w:val="0"/>
              <w:marBottom w:val="0"/>
              <w:divBdr>
                <w:top w:val="none" w:sz="0" w:space="0" w:color="auto"/>
                <w:left w:val="none" w:sz="0" w:space="0" w:color="auto"/>
                <w:bottom w:val="none" w:sz="0" w:space="0" w:color="auto"/>
                <w:right w:val="none" w:sz="0" w:space="0" w:color="auto"/>
              </w:divBdr>
              <w:divsChild>
                <w:div w:id="2062247841">
                  <w:marLeft w:val="0"/>
                  <w:marRight w:val="0"/>
                  <w:marTop w:val="600"/>
                  <w:marBottom w:val="0"/>
                  <w:divBdr>
                    <w:top w:val="none" w:sz="0" w:space="0" w:color="auto"/>
                    <w:left w:val="none" w:sz="0" w:space="0" w:color="auto"/>
                    <w:bottom w:val="none" w:sz="0" w:space="0" w:color="auto"/>
                    <w:right w:val="none" w:sz="0" w:space="0" w:color="auto"/>
                  </w:divBdr>
                  <w:divsChild>
                    <w:div w:id="6395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732151">
      <w:bodyDiv w:val="1"/>
      <w:marLeft w:val="0"/>
      <w:marRight w:val="0"/>
      <w:marTop w:val="0"/>
      <w:marBottom w:val="0"/>
      <w:divBdr>
        <w:top w:val="none" w:sz="0" w:space="0" w:color="auto"/>
        <w:left w:val="none" w:sz="0" w:space="0" w:color="auto"/>
        <w:bottom w:val="none" w:sz="0" w:space="0" w:color="auto"/>
        <w:right w:val="none" w:sz="0" w:space="0" w:color="auto"/>
      </w:divBdr>
    </w:div>
    <w:div w:id="1474055204">
      <w:bodyDiv w:val="1"/>
      <w:marLeft w:val="0"/>
      <w:marRight w:val="0"/>
      <w:marTop w:val="0"/>
      <w:marBottom w:val="0"/>
      <w:divBdr>
        <w:top w:val="none" w:sz="0" w:space="0" w:color="auto"/>
        <w:left w:val="none" w:sz="0" w:space="0" w:color="auto"/>
        <w:bottom w:val="none" w:sz="0" w:space="0" w:color="auto"/>
        <w:right w:val="none" w:sz="0" w:space="0" w:color="auto"/>
      </w:divBdr>
    </w:div>
    <w:div w:id="1500925821">
      <w:bodyDiv w:val="1"/>
      <w:marLeft w:val="0"/>
      <w:marRight w:val="0"/>
      <w:marTop w:val="0"/>
      <w:marBottom w:val="0"/>
      <w:divBdr>
        <w:top w:val="none" w:sz="0" w:space="0" w:color="auto"/>
        <w:left w:val="none" w:sz="0" w:space="0" w:color="auto"/>
        <w:bottom w:val="none" w:sz="0" w:space="0" w:color="auto"/>
        <w:right w:val="none" w:sz="0" w:space="0" w:color="auto"/>
      </w:divBdr>
    </w:div>
    <w:div w:id="1540434589">
      <w:bodyDiv w:val="1"/>
      <w:marLeft w:val="0"/>
      <w:marRight w:val="0"/>
      <w:marTop w:val="0"/>
      <w:marBottom w:val="0"/>
      <w:divBdr>
        <w:top w:val="none" w:sz="0" w:space="0" w:color="auto"/>
        <w:left w:val="none" w:sz="0" w:space="0" w:color="auto"/>
        <w:bottom w:val="none" w:sz="0" w:space="0" w:color="auto"/>
        <w:right w:val="none" w:sz="0" w:space="0" w:color="auto"/>
      </w:divBdr>
      <w:divsChild>
        <w:div w:id="719671591">
          <w:marLeft w:val="0"/>
          <w:marRight w:val="0"/>
          <w:marTop w:val="600"/>
          <w:marBottom w:val="600"/>
          <w:divBdr>
            <w:top w:val="none" w:sz="0" w:space="0" w:color="auto"/>
            <w:left w:val="none" w:sz="0" w:space="0" w:color="auto"/>
            <w:bottom w:val="none" w:sz="0" w:space="0" w:color="auto"/>
            <w:right w:val="none" w:sz="0" w:space="0" w:color="auto"/>
          </w:divBdr>
          <w:divsChild>
            <w:div w:id="577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7837">
      <w:bodyDiv w:val="1"/>
      <w:marLeft w:val="0"/>
      <w:marRight w:val="0"/>
      <w:marTop w:val="0"/>
      <w:marBottom w:val="0"/>
      <w:divBdr>
        <w:top w:val="none" w:sz="0" w:space="0" w:color="auto"/>
        <w:left w:val="none" w:sz="0" w:space="0" w:color="auto"/>
        <w:bottom w:val="none" w:sz="0" w:space="0" w:color="auto"/>
        <w:right w:val="none" w:sz="0" w:space="0" w:color="auto"/>
      </w:divBdr>
    </w:div>
    <w:div w:id="1639990009">
      <w:bodyDiv w:val="1"/>
      <w:marLeft w:val="0"/>
      <w:marRight w:val="0"/>
      <w:marTop w:val="0"/>
      <w:marBottom w:val="0"/>
      <w:divBdr>
        <w:top w:val="none" w:sz="0" w:space="0" w:color="auto"/>
        <w:left w:val="none" w:sz="0" w:space="0" w:color="auto"/>
        <w:bottom w:val="none" w:sz="0" w:space="0" w:color="auto"/>
        <w:right w:val="none" w:sz="0" w:space="0" w:color="auto"/>
      </w:divBdr>
      <w:divsChild>
        <w:div w:id="231086442">
          <w:marLeft w:val="0"/>
          <w:marRight w:val="0"/>
          <w:marTop w:val="600"/>
          <w:marBottom w:val="600"/>
          <w:divBdr>
            <w:top w:val="none" w:sz="0" w:space="0" w:color="auto"/>
            <w:left w:val="none" w:sz="0" w:space="0" w:color="auto"/>
            <w:bottom w:val="none" w:sz="0" w:space="0" w:color="auto"/>
            <w:right w:val="none" w:sz="0" w:space="0" w:color="auto"/>
          </w:divBdr>
          <w:divsChild>
            <w:div w:id="1887063910">
              <w:marLeft w:val="0"/>
              <w:marRight w:val="0"/>
              <w:marTop w:val="0"/>
              <w:marBottom w:val="0"/>
              <w:divBdr>
                <w:top w:val="none" w:sz="0" w:space="0" w:color="auto"/>
                <w:left w:val="none" w:sz="0" w:space="0" w:color="auto"/>
                <w:bottom w:val="none" w:sz="0" w:space="0" w:color="auto"/>
                <w:right w:val="none" w:sz="0" w:space="0" w:color="auto"/>
              </w:divBdr>
            </w:div>
          </w:divsChild>
        </w:div>
        <w:div w:id="624117378">
          <w:marLeft w:val="0"/>
          <w:marRight w:val="0"/>
          <w:marTop w:val="600"/>
          <w:marBottom w:val="600"/>
          <w:divBdr>
            <w:top w:val="none" w:sz="0" w:space="0" w:color="auto"/>
            <w:left w:val="none" w:sz="0" w:space="0" w:color="auto"/>
            <w:bottom w:val="none" w:sz="0" w:space="0" w:color="auto"/>
            <w:right w:val="none" w:sz="0" w:space="0" w:color="auto"/>
          </w:divBdr>
          <w:divsChild>
            <w:div w:id="595289730">
              <w:blockQuote w:val="1"/>
              <w:marLeft w:val="0"/>
              <w:marRight w:val="0"/>
              <w:marTop w:val="0"/>
              <w:marBottom w:val="0"/>
              <w:divBdr>
                <w:top w:val="none" w:sz="0" w:space="0" w:color="auto"/>
                <w:left w:val="none" w:sz="0" w:space="0" w:color="auto"/>
                <w:bottom w:val="none" w:sz="0" w:space="0" w:color="auto"/>
                <w:right w:val="none" w:sz="0" w:space="0" w:color="auto"/>
              </w:divBdr>
              <w:divsChild>
                <w:div w:id="1434472911">
                  <w:marLeft w:val="0"/>
                  <w:marRight w:val="0"/>
                  <w:marTop w:val="360"/>
                  <w:marBottom w:val="0"/>
                  <w:divBdr>
                    <w:top w:val="none" w:sz="0" w:space="0" w:color="auto"/>
                    <w:left w:val="none" w:sz="0" w:space="0" w:color="auto"/>
                    <w:bottom w:val="none" w:sz="0" w:space="0" w:color="auto"/>
                    <w:right w:val="none" w:sz="0" w:space="0" w:color="auto"/>
                  </w:divBdr>
                </w:div>
                <w:div w:id="20542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5017">
          <w:marLeft w:val="0"/>
          <w:marRight w:val="0"/>
          <w:marTop w:val="600"/>
          <w:marBottom w:val="600"/>
          <w:divBdr>
            <w:top w:val="none" w:sz="0" w:space="0" w:color="auto"/>
            <w:left w:val="none" w:sz="0" w:space="0" w:color="auto"/>
            <w:bottom w:val="none" w:sz="0" w:space="0" w:color="auto"/>
            <w:right w:val="none" w:sz="0" w:space="0" w:color="auto"/>
          </w:divBdr>
          <w:divsChild>
            <w:div w:id="20849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4127">
      <w:bodyDiv w:val="1"/>
      <w:marLeft w:val="0"/>
      <w:marRight w:val="0"/>
      <w:marTop w:val="0"/>
      <w:marBottom w:val="0"/>
      <w:divBdr>
        <w:top w:val="none" w:sz="0" w:space="0" w:color="auto"/>
        <w:left w:val="none" w:sz="0" w:space="0" w:color="auto"/>
        <w:bottom w:val="none" w:sz="0" w:space="0" w:color="auto"/>
        <w:right w:val="none" w:sz="0" w:space="0" w:color="auto"/>
      </w:divBdr>
    </w:div>
    <w:div w:id="1675450037">
      <w:bodyDiv w:val="1"/>
      <w:marLeft w:val="0"/>
      <w:marRight w:val="0"/>
      <w:marTop w:val="0"/>
      <w:marBottom w:val="0"/>
      <w:divBdr>
        <w:top w:val="none" w:sz="0" w:space="0" w:color="auto"/>
        <w:left w:val="none" w:sz="0" w:space="0" w:color="auto"/>
        <w:bottom w:val="none" w:sz="0" w:space="0" w:color="auto"/>
        <w:right w:val="none" w:sz="0" w:space="0" w:color="auto"/>
      </w:divBdr>
    </w:div>
    <w:div w:id="1711151824">
      <w:bodyDiv w:val="1"/>
      <w:marLeft w:val="0"/>
      <w:marRight w:val="0"/>
      <w:marTop w:val="0"/>
      <w:marBottom w:val="0"/>
      <w:divBdr>
        <w:top w:val="none" w:sz="0" w:space="0" w:color="auto"/>
        <w:left w:val="none" w:sz="0" w:space="0" w:color="auto"/>
        <w:bottom w:val="none" w:sz="0" w:space="0" w:color="auto"/>
        <w:right w:val="none" w:sz="0" w:space="0" w:color="auto"/>
      </w:divBdr>
    </w:div>
    <w:div w:id="1741248364">
      <w:bodyDiv w:val="1"/>
      <w:marLeft w:val="0"/>
      <w:marRight w:val="0"/>
      <w:marTop w:val="0"/>
      <w:marBottom w:val="0"/>
      <w:divBdr>
        <w:top w:val="none" w:sz="0" w:space="0" w:color="auto"/>
        <w:left w:val="none" w:sz="0" w:space="0" w:color="auto"/>
        <w:bottom w:val="none" w:sz="0" w:space="0" w:color="auto"/>
        <w:right w:val="none" w:sz="0" w:space="0" w:color="auto"/>
      </w:divBdr>
      <w:divsChild>
        <w:div w:id="1638141377">
          <w:marLeft w:val="0"/>
          <w:marRight w:val="0"/>
          <w:marTop w:val="0"/>
          <w:marBottom w:val="0"/>
          <w:divBdr>
            <w:top w:val="none" w:sz="0" w:space="0" w:color="auto"/>
            <w:left w:val="none" w:sz="0" w:space="0" w:color="auto"/>
            <w:bottom w:val="none" w:sz="0" w:space="0" w:color="auto"/>
            <w:right w:val="none" w:sz="0" w:space="0" w:color="auto"/>
          </w:divBdr>
        </w:div>
      </w:divsChild>
    </w:div>
    <w:div w:id="1796753433">
      <w:bodyDiv w:val="1"/>
      <w:marLeft w:val="0"/>
      <w:marRight w:val="0"/>
      <w:marTop w:val="0"/>
      <w:marBottom w:val="0"/>
      <w:divBdr>
        <w:top w:val="none" w:sz="0" w:space="0" w:color="auto"/>
        <w:left w:val="none" w:sz="0" w:space="0" w:color="auto"/>
        <w:bottom w:val="none" w:sz="0" w:space="0" w:color="auto"/>
        <w:right w:val="none" w:sz="0" w:space="0" w:color="auto"/>
      </w:divBdr>
    </w:div>
    <w:div w:id="1803766129">
      <w:bodyDiv w:val="1"/>
      <w:marLeft w:val="0"/>
      <w:marRight w:val="0"/>
      <w:marTop w:val="0"/>
      <w:marBottom w:val="0"/>
      <w:divBdr>
        <w:top w:val="none" w:sz="0" w:space="0" w:color="auto"/>
        <w:left w:val="none" w:sz="0" w:space="0" w:color="auto"/>
        <w:bottom w:val="none" w:sz="0" w:space="0" w:color="auto"/>
        <w:right w:val="none" w:sz="0" w:space="0" w:color="auto"/>
      </w:divBdr>
    </w:div>
    <w:div w:id="1826235680">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 w:id="1861509663">
      <w:bodyDiv w:val="1"/>
      <w:marLeft w:val="0"/>
      <w:marRight w:val="0"/>
      <w:marTop w:val="0"/>
      <w:marBottom w:val="0"/>
      <w:divBdr>
        <w:top w:val="none" w:sz="0" w:space="0" w:color="auto"/>
        <w:left w:val="none" w:sz="0" w:space="0" w:color="auto"/>
        <w:bottom w:val="none" w:sz="0" w:space="0" w:color="auto"/>
        <w:right w:val="none" w:sz="0" w:space="0" w:color="auto"/>
      </w:divBdr>
    </w:div>
    <w:div w:id="1905330070">
      <w:bodyDiv w:val="1"/>
      <w:marLeft w:val="0"/>
      <w:marRight w:val="0"/>
      <w:marTop w:val="0"/>
      <w:marBottom w:val="0"/>
      <w:divBdr>
        <w:top w:val="none" w:sz="0" w:space="0" w:color="auto"/>
        <w:left w:val="none" w:sz="0" w:space="0" w:color="auto"/>
        <w:bottom w:val="none" w:sz="0" w:space="0" w:color="auto"/>
        <w:right w:val="none" w:sz="0" w:space="0" w:color="auto"/>
      </w:divBdr>
    </w:div>
    <w:div w:id="1914122103">
      <w:bodyDiv w:val="1"/>
      <w:marLeft w:val="0"/>
      <w:marRight w:val="0"/>
      <w:marTop w:val="0"/>
      <w:marBottom w:val="0"/>
      <w:divBdr>
        <w:top w:val="none" w:sz="0" w:space="0" w:color="auto"/>
        <w:left w:val="none" w:sz="0" w:space="0" w:color="auto"/>
        <w:bottom w:val="none" w:sz="0" w:space="0" w:color="auto"/>
        <w:right w:val="none" w:sz="0" w:space="0" w:color="auto"/>
      </w:divBdr>
    </w:div>
    <w:div w:id="2081709058">
      <w:bodyDiv w:val="1"/>
      <w:marLeft w:val="0"/>
      <w:marRight w:val="0"/>
      <w:marTop w:val="0"/>
      <w:marBottom w:val="0"/>
      <w:divBdr>
        <w:top w:val="none" w:sz="0" w:space="0" w:color="auto"/>
        <w:left w:val="none" w:sz="0" w:space="0" w:color="auto"/>
        <w:bottom w:val="none" w:sz="0" w:space="0" w:color="auto"/>
        <w:right w:val="none" w:sz="0" w:space="0" w:color="auto"/>
      </w:divBdr>
    </w:div>
    <w:div w:id="2097315770">
      <w:bodyDiv w:val="1"/>
      <w:marLeft w:val="0"/>
      <w:marRight w:val="0"/>
      <w:marTop w:val="0"/>
      <w:marBottom w:val="0"/>
      <w:divBdr>
        <w:top w:val="none" w:sz="0" w:space="0" w:color="auto"/>
        <w:left w:val="none" w:sz="0" w:space="0" w:color="auto"/>
        <w:bottom w:val="none" w:sz="0" w:space="0" w:color="auto"/>
        <w:right w:val="none" w:sz="0" w:space="0" w:color="auto"/>
      </w:divBdr>
    </w:div>
    <w:div w:id="2125465405">
      <w:bodyDiv w:val="1"/>
      <w:marLeft w:val="0"/>
      <w:marRight w:val="0"/>
      <w:marTop w:val="0"/>
      <w:marBottom w:val="0"/>
      <w:divBdr>
        <w:top w:val="none" w:sz="0" w:space="0" w:color="auto"/>
        <w:left w:val="none" w:sz="0" w:space="0" w:color="auto"/>
        <w:bottom w:val="none" w:sz="0" w:space="0" w:color="auto"/>
        <w:right w:val="none" w:sz="0" w:space="0" w:color="auto"/>
      </w:divBdr>
      <w:divsChild>
        <w:div w:id="152532626">
          <w:marLeft w:val="547"/>
          <w:marRight w:val="0"/>
          <w:marTop w:val="0"/>
          <w:marBottom w:val="0"/>
          <w:divBdr>
            <w:top w:val="none" w:sz="0" w:space="0" w:color="auto"/>
            <w:left w:val="none" w:sz="0" w:space="0" w:color="auto"/>
            <w:bottom w:val="none" w:sz="0" w:space="0" w:color="auto"/>
            <w:right w:val="none" w:sz="0" w:space="0" w:color="auto"/>
          </w:divBdr>
        </w:div>
        <w:div w:id="1213738327">
          <w:marLeft w:val="547"/>
          <w:marRight w:val="0"/>
          <w:marTop w:val="0"/>
          <w:marBottom w:val="0"/>
          <w:divBdr>
            <w:top w:val="none" w:sz="0" w:space="0" w:color="auto"/>
            <w:left w:val="none" w:sz="0" w:space="0" w:color="auto"/>
            <w:bottom w:val="none" w:sz="0" w:space="0" w:color="auto"/>
            <w:right w:val="none" w:sz="0" w:space="0" w:color="auto"/>
          </w:divBdr>
        </w:div>
        <w:div w:id="1295477939">
          <w:marLeft w:val="547"/>
          <w:marRight w:val="0"/>
          <w:marTop w:val="0"/>
          <w:marBottom w:val="0"/>
          <w:divBdr>
            <w:top w:val="none" w:sz="0" w:space="0" w:color="auto"/>
            <w:left w:val="none" w:sz="0" w:space="0" w:color="auto"/>
            <w:bottom w:val="none" w:sz="0" w:space="0" w:color="auto"/>
            <w:right w:val="none" w:sz="0" w:space="0" w:color="auto"/>
          </w:divBdr>
        </w:div>
        <w:div w:id="15197313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in-force/acts/sustainability-victoria-act-2005/006" TargetMode="External"/><Relationship Id="rId21" Type="http://schemas.openxmlformats.org/officeDocument/2006/relationships/header" Target="header3.xml"/><Relationship Id="rId34" Type="http://schemas.openxmlformats.org/officeDocument/2006/relationships/image" Target="media/image10.jpg"/><Relationship Id="rId42" Type="http://schemas.openxmlformats.org/officeDocument/2006/relationships/footer" Target="footer7.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footer" Target="footer12.xml"/><Relationship Id="rId63"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stainability.vic.gov.au/" TargetMode="External"/><Relationship Id="rId29" Type="http://schemas.openxmlformats.org/officeDocument/2006/relationships/hyperlink" Target="https://www.sustainability.vic.gov.au/recycling-and-reducing-waste/for-councils-and-other-waste-recycling-operators/buy-recycled-service" TargetMode="Externa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hyperlink" Target="https://www.sustainability.vic.gov.au/recycling-and-reducing-waste/at-home/small-acts-big-impact/small-acts-languages/punjabi-small-acts/eat-leftovers-punjabi" TargetMode="External"/><Relationship Id="rId40" Type="http://schemas.openxmlformats.org/officeDocument/2006/relationships/image" Target="media/image13.jpeg"/><Relationship Id="rId45" Type="http://schemas.openxmlformats.org/officeDocument/2006/relationships/footer" Target="footer9.xml"/><Relationship Id="rId53" Type="http://schemas.openxmlformats.org/officeDocument/2006/relationships/footer" Target="footer10.xml"/><Relationship Id="rId58" Type="http://schemas.openxmlformats.org/officeDocument/2006/relationships/hyperlink" Target="mailto:FOI@sustainability.vic.gov.au"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ustainability.vic.gov.au/about-us/legal-and-policies/public-interest-disclosure-policy" TargetMode="External"/><Relationship Id="rId1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vic.gov.au/transforming-recycling-victoria" TargetMode="External"/><Relationship Id="rId30" Type="http://schemas.openxmlformats.org/officeDocument/2006/relationships/hyperlink" Target="https://www.sustainability.vic.gov.au/grants-funding-and-investment/funded-grants/circular-economy-recycling-modernisation-fund-funded-projects" TargetMode="External"/><Relationship Id="rId35" Type="http://schemas.openxmlformats.org/officeDocument/2006/relationships/hyperlink" Target="https://www.sustainability.vic.gov.au/about-us/awards-we-administer/resourcesmart-schools-awards/resourcesmart-schools-awards-2024-winners-and-finalists" TargetMode="External"/><Relationship Id="rId43" Type="http://schemas.openxmlformats.org/officeDocument/2006/relationships/footer" Target="footer8.xml"/><Relationship Id="rId48" Type="http://schemas.openxmlformats.org/officeDocument/2006/relationships/image" Target="media/image17.png"/><Relationship Id="rId56" Type="http://schemas.openxmlformats.org/officeDocument/2006/relationships/hyperlink" Target="https://www.sustainability.vic.gov.au/research-data-and-insights/research/state-of-sustainability-report-2023" TargetMode="External"/><Relationship Id="rId64"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s://www.vmia.vic.gov.au/tools-and-insights/risk-maturity-benchmar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image" Target="media/image6.png"/><Relationship Id="rId33" Type="http://schemas.openxmlformats.org/officeDocument/2006/relationships/hyperlink" Target="https://ausfashioncouncil.com/wp-content/uploads/2023/05/AFC-NCPSS-Data-Report.pdf" TargetMode="External"/><Relationship Id="rId38" Type="http://schemas.openxmlformats.org/officeDocument/2006/relationships/hyperlink" Target="https://www.sustainability.vic.gov.au/recycling-and-reducing-waste/at-home/small-acts-big-impact/small-acts-languages/punjabi-small-acts/eat-leftovers-punjabi" TargetMode="External"/><Relationship Id="rId46" Type="http://schemas.openxmlformats.org/officeDocument/2006/relationships/image" Target="media/image15.png"/><Relationship Id="rId59" Type="http://schemas.openxmlformats.org/officeDocument/2006/relationships/hyperlink" Target="http://www.ovic.vic.gov.au" TargetMode="External"/><Relationship Id="rId67" Type="http://schemas.microsoft.com/office/2019/05/relationships/documenttasks" Target="documenttasks/documenttasks1.xml"/><Relationship Id="rId20" Type="http://schemas.openxmlformats.org/officeDocument/2006/relationships/image" Target="media/image5.jpeg"/><Relationship Id="rId41" Type="http://schemas.openxmlformats.org/officeDocument/2006/relationships/image" Target="media/image14.png"/><Relationship Id="rId54" Type="http://schemas.openxmlformats.org/officeDocument/2006/relationships/footer" Target="footer11.xml"/><Relationship Id="rId62" Type="http://schemas.openxmlformats.org/officeDocument/2006/relationships/hyperlink" Target="http://www.data.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1.jpg"/><Relationship Id="rId49" Type="http://schemas.openxmlformats.org/officeDocument/2006/relationships/image" Target="media/image18.png"/><Relationship Id="rId57" Type="http://schemas.openxmlformats.org/officeDocument/2006/relationships/hyperlink" Target="https://ovic.vic.gov.au/" TargetMode="External"/><Relationship Id="rId10" Type="http://schemas.openxmlformats.org/officeDocument/2006/relationships/endnotes" Target="endnotes.xml"/><Relationship Id="rId31" Type="http://schemas.openxmlformats.org/officeDocument/2006/relationships/image" Target="media/image8.jpg"/><Relationship Id="rId44" Type="http://schemas.openxmlformats.org/officeDocument/2006/relationships/header" Target="header4.xml"/><Relationship Id="rId52" Type="http://schemas.openxmlformats.org/officeDocument/2006/relationships/header" Target="header5.xml"/><Relationship Id="rId60" Type="http://schemas.openxmlformats.org/officeDocument/2006/relationships/hyperlink" Target="https://sustainvic-my.sharepoint.com/personal/genevieve_kay_sustainability_vic_gov_au/Documents/Microsoft%20Teams%20Chat%20Files/www.ibac.vic.gov.au"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9" Type="http://schemas.openxmlformats.org/officeDocument/2006/relationships/image" Target="media/image1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D48CEC81-3923-4B6B-8993-BF3D675088F9}">
    <t:Anchor>
      <t:Comment id="111745096"/>
    </t:Anchor>
    <t:History>
      <t:Event id="{48A86ACC-A5D5-414C-A962-D0231C8B9407}" time="2024-05-29T03:45:12.437Z">
        <t:Attribution userId="S::Gemma.Kelly@sustainability.vic.gov.au::ed8d270c-2396-4397-84b9-89b22c75c992" userProvider="AD" userName="Gemma Kelly"/>
        <t:Anchor>
          <t:Comment id="111745096"/>
        </t:Anchor>
        <t:Create/>
      </t:Event>
      <t:Event id="{772D64D8-F175-41B0-9C47-4BC665C9B15D}" time="2024-05-29T03:45:12.437Z">
        <t:Attribution userId="S::Gemma.Kelly@sustainability.vic.gov.au::ed8d270c-2396-4397-84b9-89b22c75c992" userProvider="AD" userName="Gemma Kelly"/>
        <t:Anchor>
          <t:Comment id="111745096"/>
        </t:Anchor>
        <t:Assign userId="S::Tracy.Jackson@sustainability.vic.gov.au::a361ffb8-ca3d-4c94-ac41-0141bcb912ee" userProvider="AD" userName="Tracy Jackson"/>
      </t:Event>
      <t:Event id="{3ED25D90-392C-46E7-8DF3-DFFB7594C8B3}" time="2024-05-29T03:45:12.437Z">
        <t:Attribution userId="S::Gemma.Kelly@sustainability.vic.gov.au::ed8d270c-2396-4397-84b9-89b22c75c992" userProvider="AD" userName="Gemma Kelly"/>
        <t:Anchor>
          <t:Comment id="111745096"/>
        </t:Anchor>
        <t:SetTitle title="@Tracy Jackson how many specifically?"/>
      </t:Event>
      <t:Event id="{9A218DBD-2876-4359-AAF4-A22B42345457}" time="2024-05-30T06:37:50.63Z">
        <t:Attribution userId="S::Tony.Luo@sustainability.vic.gov.au::a1f6da3f-b943-4b91-9f54-8d3a194831a7" userProvider="AD" userName="Tony Luo"/>
        <t:Progress percentComplete="100"/>
      </t:Event>
    </t:History>
  </t:Task>
  <t:Task id="{4D9C025D-EBDB-43C6-8BAF-89ACBA2D80A8}">
    <t:Anchor>
      <t:Comment id="255547610"/>
    </t:Anchor>
    <t:History>
      <t:Event id="{4B7D51A4-BDA4-4E4D-A8F8-9283FA045082}" time="2024-05-29T03:56:35.588Z">
        <t:Attribution userId="S::Gemma.Kelly@sustainability.vic.gov.au::ed8d270c-2396-4397-84b9-89b22c75c992" userProvider="AD" userName="Gemma Kelly"/>
        <t:Anchor>
          <t:Comment id="451705430"/>
        </t:Anchor>
        <t:Create/>
      </t:Event>
      <t:Event id="{A9AA59A5-435B-43C3-B97D-31D94B42F993}" time="2024-05-29T03:56:35.588Z">
        <t:Attribution userId="S::Gemma.Kelly@sustainability.vic.gov.au::ed8d270c-2396-4397-84b9-89b22c75c992" userProvider="AD" userName="Gemma Kelly"/>
        <t:Anchor>
          <t:Comment id="451705430"/>
        </t:Anchor>
        <t:Assign userId="S::Renee.Prime@sustainability.vic.gov.au::4404db52-1ad2-4fed-bb11-437885b225be" userProvider="AD" userName="Renee Prime"/>
      </t:Event>
      <t:Event id="{9B6EA4DC-B2BE-4799-9E16-A54D7175B803}" time="2024-05-29T03:56:35.588Z">
        <t:Attribution userId="S::Gemma.Kelly@sustainability.vic.gov.au::ed8d270c-2396-4397-84b9-89b22c75c992" userProvider="AD" userName="Gemma Kelly"/>
        <t:Anchor>
          <t:Comment id="451705430"/>
        </t:Anchor>
        <t:SetTitle title="Hi @Renee Prime can you have a look over this info and questions from Keelie. Keen to remove anything not 23-24 specific"/>
      </t:Event>
      <t:Event id="{E6FC0F13-6625-4A89-8221-699DFABD08A6}" time="2024-05-29T04:05:39.341Z">
        <t:Attribution userId="S::renee.prime@sustainability.vic.gov.au::4404db52-1ad2-4fed-bb11-437885b225be" userProvider="AD" userName="Renee Prime"/>
        <t:Anchor>
          <t:Comment id="1552712965"/>
        </t:Anchor>
        <t:UnassignAll/>
      </t:Event>
      <t:Event id="{37B7B94F-953A-43A7-99A9-1C865EC2BA5C}" time="2024-05-29T04:05:39.341Z">
        <t:Attribution userId="S::renee.prime@sustainability.vic.gov.au::4404db52-1ad2-4fed-bb11-437885b225be" userProvider="AD" userName="Renee Prime"/>
        <t:Anchor>
          <t:Comment id="1552712965"/>
        </t:Anchor>
        <t:Assign userId="S::Gemma.Kelly@sustainability.vic.gov.au::ed8d270c-2396-4397-84b9-89b22c75c992" userProvider="AD" userName="Gemma Kelly"/>
      </t:Event>
      <t:Event id="{88EEA48D-9A13-4CCD-85BC-9F61E896D16C}" time="2024-05-31T01:34:34.146Z">
        <t:Attribution userId="S::Tony.Luo@sustainability.vic.gov.au::a1f6da3f-b943-4b91-9f54-8d3a194831a7" userProvider="AD" userName="Tony Luo"/>
        <t:Progress percentComplete="100"/>
      </t:Event>
    </t:History>
  </t:Task>
  <t:Task id="{7438CEEC-94D5-478C-99D6-E27DB92BE1EA}">
    <t:Anchor>
      <t:Comment id="1696603721"/>
    </t:Anchor>
    <t:History>
      <t:Event id="{C4A63E47-E31B-4ADF-BDD0-236CDE33DB4E}" time="2024-06-04T23:19:48.985Z">
        <t:Attribution userId="S::Gemma.Kelly@sustainability.vic.gov.au::ed8d270c-2396-4397-84b9-89b22c75c992" userProvider="AD" userName="Gemma Kelly"/>
        <t:Anchor>
          <t:Comment id="1696603721"/>
        </t:Anchor>
        <t:Create/>
      </t:Event>
      <t:Event id="{28BA5062-486C-4030-B6F2-AEA561E8C03F}" time="2024-06-04T23:19:48.985Z">
        <t:Attribution userId="S::Gemma.Kelly@sustainability.vic.gov.au::ed8d270c-2396-4397-84b9-89b22c75c992" userProvider="AD" userName="Gemma Kelly"/>
        <t:Anchor>
          <t:Comment id="1696603721"/>
        </t:Anchor>
        <t:Assign userId="S::Elijah.Lyons@sustainability.vic.gov.au::964e6d58-e7b9-4dcf-afd7-0441aa192793" userProvider="AD" userName="Elijah Lyons"/>
      </t:Event>
      <t:Event id="{E8020703-34BA-4178-81DB-EE45A2655CC9}" time="2024-06-04T23:19:48.985Z">
        <t:Attribution userId="S::Gemma.Kelly@sustainability.vic.gov.au::ed8d270c-2396-4397-84b9-89b22c75c992" userProvider="AD" userName="Gemma Kelly"/>
        <t:Anchor>
          <t:Comment id="1696603721"/>
        </t:Anchor>
        <t:SetTitle title="Hi @Elijah Lyons do you have anything you can link me to so I can write a case study on this? Would be a nice story to include. Unless it is this? https://www.sustainability.vic.gov.au/news/news-articles/multicultural-community-leaders-inspire-others-to…"/>
      </t:Event>
      <t:Event id="{3B0DFA1D-A886-46DC-9A38-40AE6548BAA9}" time="2024-06-04T23:46:18.86Z">
        <t:Attribution userId="S::elijah.lyons@sustainability.vic.gov.au::964e6d58-e7b9-4dcf-afd7-0441aa192793" userProvider="AD" userName="Elijah Lyons"/>
        <t:Anchor>
          <t:Comment id="592903246"/>
        </t:Anchor>
        <t:UnassignAll/>
      </t:Event>
      <t:Event id="{C4A2EE73-D9C0-4E09-B94F-0DA17F575A4A}" time="2024-06-04T23:46:18.86Z">
        <t:Attribution userId="S::elijah.lyons@sustainability.vic.gov.au::964e6d58-e7b9-4dcf-afd7-0441aa192793" userProvider="AD" userName="Elijah Lyons"/>
        <t:Anchor>
          <t:Comment id="592903246"/>
        </t:Anchor>
        <t:Assign userId="S::Gemma.Kelly@sustainability.vic.gov.au::ed8d270c-2396-4397-84b9-89b22c75c992" userProvider="AD" userName="Gemma Kelly"/>
      </t:Event>
      <t:Event id="{5A01D4E4-761B-4122-89E3-3E3885D4337E}" time="2024-06-05T01:48:02.285Z">
        <t:Attribution userId="S::Gemma.Kelly@sustainability.vic.gov.au::ed8d270c-2396-4397-84b9-89b22c75c992" userProvider="AD" userName="Gemma Kelly"/>
        <t:Anchor>
          <t:Comment id="2011116972"/>
        </t:Anchor>
        <t:UnassignAll/>
      </t:Event>
      <t:Event id="{686A1FF7-A05C-4336-BD5C-4CF64EEA5441}" time="2024-06-05T01:48:02.285Z">
        <t:Attribution userId="S::Gemma.Kelly@sustainability.vic.gov.au::ed8d270c-2396-4397-84b9-89b22c75c992" userProvider="AD" userName="Gemma Kelly"/>
        <t:Anchor>
          <t:Comment id="2011116972"/>
        </t:Anchor>
        <t:Assign userId="S::Nuni.Markito-Russen@sustainability.vic.gov.au::def63cef-ecb6-4963-ae03-daf49a281902" userProvider="AD" userName="Nuni Markito-Russen"/>
      </t:Event>
      <t:Event id="{9253BB5A-3F84-480A-B113-46D3C1E3F7B5}" time="2024-06-05T07:03:53.205Z">
        <t:Attribution userId="S::Tony.Luo@sustainability.vic.gov.au::a1f6da3f-b943-4b91-9f54-8d3a194831a7" userProvider="AD" userName="Tony Luo"/>
        <t:Progress percentComplete="100"/>
      </t:Event>
    </t:History>
  </t:Task>
  <t:Task id="{3CF420CA-3BBB-4A18-BAAF-2DB39C5D129F}">
    <t:Anchor>
      <t:Comment id="1874250330"/>
    </t:Anchor>
    <t:History>
      <t:Event id="{677B8B51-0F9B-472C-B16A-184849D0CC57}" time="2024-06-03T06:39:38.009Z">
        <t:Attribution userId="S::renee.prime@sustainability.vic.gov.au::4404db52-1ad2-4fed-bb11-437885b225be" userProvider="AD" userName="Renee Prime"/>
        <t:Anchor>
          <t:Comment id="46581018"/>
        </t:Anchor>
        <t:Create/>
      </t:Event>
      <t:Event id="{2E7F6564-C1F4-4387-921D-57450166323B}" time="2024-06-03T06:39:38.009Z">
        <t:Attribution userId="S::renee.prime@sustainability.vic.gov.au::4404db52-1ad2-4fed-bb11-437885b225be" userProvider="AD" userName="Renee Prime"/>
        <t:Anchor>
          <t:Comment id="46581018"/>
        </t:Anchor>
        <t:Assign userId="S::Justin.Lichtblau@sustainability.vic.gov.au::2d8f70fe-850a-445b-b37d-30dd61a66021" userProvider="AD" userName="Justin Lichtblau"/>
      </t:Event>
      <t:Event id="{4B0A22C0-8F9D-48B9-AE7A-53C3E33B0EF7}" time="2024-06-03T06:39:38.009Z">
        <t:Attribution userId="S::renee.prime@sustainability.vic.gov.au::4404db52-1ad2-4fed-bb11-437885b225be" userProvider="AD" userName="Renee Prime"/>
        <t:Anchor>
          <t:Comment id="46581018"/>
        </t:Anchor>
        <t:SetTitle title="@Justin Lichtblau - do you want to include this?"/>
      </t:Event>
      <t:Event id="{A5D79643-E329-407E-9C9D-1CDCEB41F863}" time="2024-06-05T07:03:22.163Z">
        <t:Attribution userId="S::Tony.Luo@sustainability.vic.gov.au::a1f6da3f-b943-4b91-9f54-8d3a194831a7" userProvider="AD" userName="Tony Luo"/>
        <t:Progress percentComplete="100"/>
      </t:Event>
    </t:History>
  </t:Task>
  <t:Task id="{8860BE6F-63BF-4B65-8B17-19FA87A46F32}">
    <t:Anchor>
      <t:Comment id="1528665518"/>
    </t:Anchor>
    <t:History>
      <t:Event id="{DB71E61F-3F26-4E5B-A49E-2618C3E45C1D}" time="2024-07-09T01:31:14.277Z">
        <t:Attribution userId="S::dionne.eagleson@sustainability.vic.gov.au::f009b65a-d7fd-4892-a243-9b4f194b13bd" userProvider="AD" userName="Dionne Eagleson"/>
        <t:Anchor>
          <t:Comment id="1528665518"/>
        </t:Anchor>
        <t:Create/>
      </t:Event>
      <t:Event id="{24755E7D-D6CD-49D1-AC0E-073A5C6FD683}" time="2024-07-09T01:31:14.277Z">
        <t:Attribution userId="S::dionne.eagleson@sustainability.vic.gov.au::f009b65a-d7fd-4892-a243-9b4f194b13bd" userProvider="AD" userName="Dionne Eagleson"/>
        <t:Anchor>
          <t:Comment id="1528665518"/>
        </t:Anchor>
        <t:Assign userId="S::Dung.Nguyen@sustainability.vic.gov.au::5f4cfd8d-68f0-448c-906f-9adb6266a3ec" userProvider="AD" userName="Dung Nguyen"/>
      </t:Event>
      <t:Event id="{5F1B30D0-83CA-4BC0-B192-4A91E0B00FF1}" time="2024-07-09T01:31:14.277Z">
        <t:Attribution userId="S::dionne.eagleson@sustainability.vic.gov.au::f009b65a-d7fd-4892-a243-9b4f194b13bd" userProvider="AD" userName="Dionne Eagleson"/>
        <t:Anchor>
          <t:Comment id="1528665518"/>
        </t:Anchor>
        <t:SetTitle title="@Dung Nguyen and @Tony Luo - I’ve removed this as only the ARFC is required under legislation and well covered in the descriptor below. "/>
      </t:Event>
      <t:Event id="{6B34DE54-4A0D-405D-B36A-4045DA9995C7}" time="2024-07-31T06:00:23.819Z">
        <t:Attribution userId="S::Tony.Luo@sustainability.vic.gov.au::a1f6da3f-b943-4b91-9f54-8d3a194831a7" userProvider="AD" userName="Tony Luo"/>
        <t:Progress percentComplete="100"/>
      </t:Event>
    </t:History>
  </t:Task>
  <t:Task id="{F05C6EF3-90D7-43D6-B756-5E5D37DD3CAD}">
    <t:Anchor>
      <t:Comment id="1288265019"/>
    </t:Anchor>
    <t:History>
      <t:Event id="{304401B9-758D-49E3-9E53-0E1CAE2329AF}" time="2024-06-04T06:26:39.522Z">
        <t:Attribution userId="S::kate.noble@sustainability.vic.gov.au::f1918c98-cc53-470c-91f6-65c00e303bef" userProvider="AD" userName="Kate Noble"/>
        <t:Anchor>
          <t:Comment id="947352486"/>
        </t:Anchor>
        <t:Create/>
      </t:Event>
      <t:Event id="{8E3025B6-B4DA-49A9-9446-ABF15A401124}" time="2024-06-04T06:26:39.522Z">
        <t:Attribution userId="S::kate.noble@sustainability.vic.gov.au::f1918c98-cc53-470c-91f6-65c00e303bef" userProvider="AD" userName="Kate Noble"/>
        <t:Anchor>
          <t:Comment id="947352486"/>
        </t:Anchor>
        <t:Assign userId="S::Tony.Luo@sustainability.vic.gov.au::a1f6da3f-b943-4b91-9f54-8d3a194831a7" userProvider="AD" userName="Tony Luo"/>
      </t:Event>
      <t:Event id="{E7AC32B2-8B05-498E-961F-085914F1BCC7}" time="2024-06-04T06:26:39.522Z">
        <t:Attribution userId="S::kate.noble@sustainability.vic.gov.au::f1918c98-cc53-470c-91f6-65c00e303bef" userProvider="AD" userName="Kate Noble"/>
        <t:Anchor>
          <t:Comment id="947352486"/>
        </t:Anchor>
        <t:SetTitle title="@Emily Dunstan @Tony Luo I have re-written this section so that it focusses on the value SV delivers to the government and the community. Including tangible examples of partnerships and research projects."/>
      </t:Event>
      <t:Event id="{5213DF35-EE4B-4ED7-9798-F8A9411190DE}" time="2024-06-05T07:04:09.533Z">
        <t:Attribution userId="S::Tony.Luo@sustainability.vic.gov.au::a1f6da3f-b943-4b91-9f54-8d3a194831a7" userProvider="AD" userName="Tony Luo"/>
        <t:Progress percentComplete="100"/>
      </t:Event>
    </t:History>
  </t:Task>
  <t:Task id="{21DFADBF-8C4A-4D7D-AE64-20517AF8A3E4}">
    <t:Anchor>
      <t:Comment id="969546256"/>
    </t:Anchor>
    <t:History>
      <t:Event id="{D7464A90-9E10-4083-8E32-7DD0410B7556}" time="2024-09-10T03:50:50.06Z">
        <t:Attribution userId="S::Tony.Luo@sustainability.vic.gov.au::a1f6da3f-b943-4b91-9f54-8d3a194831a7" userProvider="AD" userName="Tony Luo"/>
        <t:Anchor>
          <t:Comment id="969546256"/>
        </t:Anchor>
        <t:Create/>
      </t:Event>
      <t:Event id="{AF92DAED-49A2-4D86-B1E9-2367CBA68968}" time="2024-09-10T03:50:50.06Z">
        <t:Attribution userId="S::Tony.Luo@sustainability.vic.gov.au::a1f6da3f-b943-4b91-9f54-8d3a194831a7" userProvider="AD" userName="Tony Luo"/>
        <t:Anchor>
          <t:Comment id="969546256"/>
        </t:Anchor>
        <t:Assign userId="S::penelope.heilbronn@sustainability.vic.gov.au::aeb2645c-b676-40c9-8e07-d932fc7c9993" userProvider="AD" userName="Penelope Heilbronn"/>
      </t:Event>
      <t:Event id="{8697785E-34AB-4B99-A849-E32FF3C8D526}" time="2024-09-10T03:50:50.06Z">
        <t:Attribution userId="S::Tony.Luo@sustainability.vic.gov.au::a1f6da3f-b943-4b91-9f54-8d3a194831a7" userProvider="AD" userName="Tony Luo"/>
        <t:Anchor>
          <t:Comment id="969546256"/>
        </t:Anchor>
        <t:SetTitle title="@Penelope Heilbronn "/>
      </t:Event>
      <t:Event id="{5C0DA1B3-AB0F-4EB7-A73A-6DF364D6C1F5}" time="2024-10-10T05:00:05.682Z">
        <t:Attribution userId="S::Tony.Luo@sustainability.vic.gov.au::a1f6da3f-b943-4b91-9f54-8d3a194831a7" userProvider="AD" userName="Tony Luo"/>
        <t:Progress percentComplete="100"/>
      </t:Event>
    </t:History>
  </t:Task>
</t:Task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e75932-c60b-42da-b52b-ae79902f6da7">
      <Terms xmlns="http://schemas.microsoft.com/office/infopath/2007/PartnerControls"/>
    </lcf76f155ced4ddcb4097134ff3c332f>
    <TaxCatchAll xmlns="15e823f9-312a-4492-9c64-b74532480e2a" xsi:nil="true"/>
    <Folderdescription xmlns="b2e75932-c60b-42da-b52b-ae79902f6da7" xsi:nil="true"/>
    <SharedWithUsers xmlns="15e823f9-312a-4492-9c64-b74532480e2a">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9A8EE48D188E40978C7E15E9CBF16A" ma:contentTypeVersion="18" ma:contentTypeDescription="Create a new document." ma:contentTypeScope="" ma:versionID="4a24cd02374f102c4aef40748ccba00a">
  <xsd:schema xmlns:xsd="http://www.w3.org/2001/XMLSchema" xmlns:xs="http://www.w3.org/2001/XMLSchema" xmlns:p="http://schemas.microsoft.com/office/2006/metadata/properties" xmlns:ns2="b2e75932-c60b-42da-b52b-ae79902f6da7" xmlns:ns3="15e823f9-312a-4492-9c64-b74532480e2a" targetNamespace="http://schemas.microsoft.com/office/2006/metadata/properties" ma:root="true" ma:fieldsID="d45338e2cd744a9999e698d2622fd1da" ns2:_="" ns3:_="">
    <xsd:import namespace="b2e75932-c60b-42da-b52b-ae79902f6da7"/>
    <xsd:import namespace="15e823f9-312a-4492-9c64-b74532480e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Folderdescrip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75932-c60b-42da-b52b-ae79902f6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Folderdescription" ma:index="22" nillable="true" ma:displayName="Folder description" ma:format="Dropdown" ma:internalName="Folderdescription">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e823f9-312a-4492-9c64-b74532480e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ac9f7e6-b6f6-4b8e-8cf3-13deb0e701fd}" ma:internalName="TaxCatchAll" ma:showField="CatchAllData" ma:web="15e823f9-312a-4492-9c64-b74532480e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421037-69D9-4D33-8CE8-2AC27E9D954E}">
  <ds:schemaRefs>
    <ds:schemaRef ds:uri="http://purl.org/dc/dcmitype/"/>
    <ds:schemaRef ds:uri="http://purl.org/dc/elements/1.1/"/>
    <ds:schemaRef ds:uri="b2e75932-c60b-42da-b52b-ae79902f6da7"/>
    <ds:schemaRef ds:uri="http://schemas.microsoft.com/office/infopath/2007/PartnerControls"/>
    <ds:schemaRef ds:uri="15e823f9-312a-4492-9c64-b74532480e2a"/>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3.xml><?xml version="1.0" encoding="utf-8"?>
<ds:datastoreItem xmlns:ds="http://schemas.openxmlformats.org/officeDocument/2006/customXml" ds:itemID="{89BD7DE8-2A5D-4031-A101-BE98DE4E8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e75932-c60b-42da-b52b-ae79902f6da7"/>
    <ds:schemaRef ds:uri="15e823f9-312a-4492-9c64-b74532480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31C28-9352-4142-A8F9-9777E79E70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41922</Words>
  <Characters>238956</Characters>
  <Application>Microsoft Office Word</Application>
  <DocSecurity>0</DocSecurity>
  <PresentationFormat/>
  <Lines>1991</Lines>
  <Paragraphs>560</Paragraphs>
  <Slides>0</Slides>
  <Notes>0</Notes>
  <HiddenSlides>0</HiddenSlides>
  <MMClips>0</MMClips>
  <ScaleCrop>false</ScaleCrop>
  <Manager/>
  <Company/>
  <LinksUpToDate>false</LinksUpToDate>
  <CharactersWithSpaces>280318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Ryan</dc:creator>
  <cp:keywords/>
  <dc:description/>
  <cp:lastModifiedBy>Sam Ryan</cp:lastModifiedBy>
  <cp:revision>2</cp:revision>
  <cp:lastPrinted>1900-01-02T22:00:00Z</cp:lastPrinted>
  <dcterms:created xsi:type="dcterms:W3CDTF">2025-01-14T22:05:00Z</dcterms:created>
  <dcterms:modified xsi:type="dcterms:W3CDTF">2025-01-14T22:05:00Z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ContentTypeId">
    <vt:lpwstr>0x010100639A8EE48D188E40978C7E15E9CBF16A</vt:lpwstr>
  </property>
  <property fmtid="{D5CDD505-2E9C-101B-9397-08002B2CF9AE}" pid="11" name="ClassificationContentMarkingFooterShapeIds">
    <vt:lpwstr>31a73691,5468749d,6b3b8fd7,537f6226,296c9751,5060d331,747a0643,72530f4,279a4cd0,56cac91c,48269f58,8df504d</vt:lpwstr>
  </property>
  <property fmtid="{D5CDD505-2E9C-101B-9397-08002B2CF9AE}" pid="12" name="ClassificationContentMarkingFooterFontProps">
    <vt:lpwstr>#ff0000,10,Calibri</vt:lpwstr>
  </property>
  <property fmtid="{D5CDD505-2E9C-101B-9397-08002B2CF9AE}" pid="13" name="ClassificationContentMarkingFooterText">
    <vt:lpwstr>OFFICIAL</vt:lpwstr>
  </property>
  <property fmtid="{D5CDD505-2E9C-101B-9397-08002B2CF9AE}" pid="14" name="MSIP_Label_3f3ac5bd-667f-4729-bae4-9cad4f1d410e_Enabled">
    <vt:lpwstr>true</vt:lpwstr>
  </property>
  <property fmtid="{D5CDD505-2E9C-101B-9397-08002B2CF9AE}" pid="15" name="MSIP_Label_3f3ac5bd-667f-4729-bae4-9cad4f1d410e_SetDate">
    <vt:lpwstr>2024-07-24T23:19:42Z</vt:lpwstr>
  </property>
  <property fmtid="{D5CDD505-2E9C-101B-9397-08002B2CF9AE}" pid="16" name="MSIP_Label_3f3ac5bd-667f-4729-bae4-9cad4f1d410e_Method">
    <vt:lpwstr>Standard</vt:lpwstr>
  </property>
  <property fmtid="{D5CDD505-2E9C-101B-9397-08002B2CF9AE}" pid="17" name="MSIP_Label_3f3ac5bd-667f-4729-bae4-9cad4f1d410e_Name">
    <vt:lpwstr>3f3ac5bd-667f-4729-bae4-9cad4f1d410e</vt:lpwstr>
  </property>
  <property fmtid="{D5CDD505-2E9C-101B-9397-08002B2CF9AE}" pid="18" name="MSIP_Label_3f3ac5bd-667f-4729-bae4-9cad4f1d410e_SiteId">
    <vt:lpwstr>b076ce60-ca2a-4185-9041-851d1b7bc01a</vt:lpwstr>
  </property>
  <property fmtid="{D5CDD505-2E9C-101B-9397-08002B2CF9AE}" pid="19" name="MSIP_Label_3f3ac5bd-667f-4729-bae4-9cad4f1d410e_ActionId">
    <vt:lpwstr>e965d9b5-2f9d-44d3-bca2-3d019101167f</vt:lpwstr>
  </property>
  <property fmtid="{D5CDD505-2E9C-101B-9397-08002B2CF9AE}" pid="20" name="MSIP_Label_3f3ac5bd-667f-4729-bae4-9cad4f1d410e_ContentBits">
    <vt:lpwstr>3</vt:lpwstr>
  </property>
</Properties>
</file>