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C1BE" w14:textId="7D54E5CA" w:rsidR="00EB323D" w:rsidRPr="00F138D1" w:rsidRDefault="00F138D1" w:rsidP="009A37D5">
      <w:pPr>
        <w:pStyle w:val="Title"/>
        <w:rPr>
          <w:rFonts w:cs="Times New Roman (Headings CS)"/>
          <w:bCs/>
          <w:spacing w:val="8"/>
          <w:lang w:val="en-GB"/>
        </w:rPr>
      </w:pPr>
      <w:r w:rsidRPr="00F138D1">
        <w:rPr>
          <w:rFonts w:cs="Times New Roman (Headings CS)"/>
          <w:bCs/>
          <w:spacing w:val="8"/>
          <w:lang w:val="en-GB"/>
        </w:rPr>
        <w:t>Forestry Business</w:t>
      </w:r>
      <w:r>
        <w:rPr>
          <w:rFonts w:cs="Times New Roman (Headings CS)"/>
          <w:bCs/>
          <w:spacing w:val="8"/>
          <w:lang w:val="en-GB"/>
        </w:rPr>
        <w:t xml:space="preserve"> </w:t>
      </w:r>
      <w:r w:rsidRPr="00F138D1">
        <w:rPr>
          <w:rFonts w:cs="Times New Roman (Headings CS)"/>
          <w:bCs/>
          <w:spacing w:val="8"/>
          <w:lang w:val="en-GB"/>
        </w:rPr>
        <w:t>Support Package</w:t>
      </w:r>
    </w:p>
    <w:p w14:paraId="239F2E81" w14:textId="1C7E84A0" w:rsidR="009A37D5" w:rsidRPr="00F138D1" w:rsidRDefault="00F138D1" w:rsidP="00E924AC">
      <w:pPr>
        <w:pStyle w:val="Subtitle"/>
        <w:spacing w:after="480"/>
        <w:rPr>
          <w:lang w:val="en-GB"/>
        </w:rPr>
      </w:pPr>
      <w:r w:rsidRPr="00F138D1">
        <w:rPr>
          <w:lang w:val="en-GB"/>
        </w:rPr>
        <w:t xml:space="preserve">Application </w:t>
      </w:r>
      <w:r>
        <w:rPr>
          <w:lang w:val="en-GB"/>
        </w:rPr>
        <w:t>G</w:t>
      </w:r>
      <w:r w:rsidRPr="00F138D1">
        <w:rPr>
          <w:lang w:val="en-GB"/>
        </w:rPr>
        <w:t>uidelines</w:t>
      </w:r>
    </w:p>
    <w:sdt>
      <w:sdtPr>
        <w:rPr>
          <w:rFonts w:asciiTheme="minorHAnsi" w:eastAsiaTheme="minorEastAsia" w:hAnsiTheme="minorHAnsi" w:cstheme="minorBidi"/>
          <w:b w:val="0"/>
          <w:color w:val="auto"/>
          <w:sz w:val="24"/>
          <w:szCs w:val="22"/>
        </w:rPr>
        <w:id w:val="1364408367"/>
        <w:docPartObj>
          <w:docPartGallery w:val="Table of Contents"/>
          <w:docPartUnique/>
        </w:docPartObj>
      </w:sdtPr>
      <w:sdtEndPr>
        <w:rPr>
          <w:bCs/>
          <w:noProof/>
        </w:rPr>
      </w:sdtEndPr>
      <w:sdtContent>
        <w:p w14:paraId="77D56242" w14:textId="22FEEBD4" w:rsidR="00E924AC" w:rsidRDefault="00E924AC">
          <w:pPr>
            <w:pStyle w:val="TOCHeading"/>
          </w:pPr>
          <w:r>
            <w:t>Table of Contents</w:t>
          </w:r>
        </w:p>
        <w:p w14:paraId="71E094E5" w14:textId="278A7A02" w:rsidR="00BC579A" w:rsidRDefault="00E924AC">
          <w:pPr>
            <w:pStyle w:val="TOC1"/>
            <w:tabs>
              <w:tab w:val="right" w:leader="dot" w:pos="9628"/>
            </w:tabs>
            <w:rPr>
              <w:rFonts w:cstheme="minorBidi"/>
              <w:b w:val="0"/>
              <w:bCs w:val="0"/>
              <w:iCs w:val="0"/>
              <w:noProof/>
              <w:kern w:val="2"/>
              <w:lang w:eastAsia="en-GB"/>
              <w14:ligatures w14:val="standardContextual"/>
            </w:rPr>
          </w:pPr>
          <w:r>
            <w:rPr>
              <w:iCs w:val="0"/>
            </w:rPr>
            <w:fldChar w:fldCharType="begin"/>
          </w:r>
          <w:r>
            <w:rPr>
              <w:iCs w:val="0"/>
            </w:rPr>
            <w:instrText xml:space="preserve"> TOC \o "1-2" \h \z \u </w:instrText>
          </w:r>
          <w:r>
            <w:rPr>
              <w:iCs w:val="0"/>
            </w:rPr>
            <w:fldChar w:fldCharType="separate"/>
          </w:r>
          <w:hyperlink w:anchor="_Toc152945454" w:history="1">
            <w:r w:rsidR="00BC579A" w:rsidRPr="000F790D">
              <w:rPr>
                <w:rStyle w:val="Hyperlink"/>
                <w:noProof/>
                <w:lang w:val="en-US"/>
              </w:rPr>
              <w:t>1. Overview of the Forestry Business Support Package</w:t>
            </w:r>
            <w:r w:rsidR="00BC579A">
              <w:rPr>
                <w:noProof/>
                <w:webHidden/>
              </w:rPr>
              <w:tab/>
            </w:r>
            <w:r w:rsidR="00BC579A">
              <w:rPr>
                <w:noProof/>
                <w:webHidden/>
              </w:rPr>
              <w:fldChar w:fldCharType="begin"/>
            </w:r>
            <w:r w:rsidR="00BC579A">
              <w:rPr>
                <w:noProof/>
                <w:webHidden/>
              </w:rPr>
              <w:instrText xml:space="preserve"> PAGEREF _Toc152945454 \h </w:instrText>
            </w:r>
            <w:r w:rsidR="00BC579A">
              <w:rPr>
                <w:noProof/>
                <w:webHidden/>
              </w:rPr>
            </w:r>
            <w:r w:rsidR="00BC579A">
              <w:rPr>
                <w:noProof/>
                <w:webHidden/>
              </w:rPr>
              <w:fldChar w:fldCharType="separate"/>
            </w:r>
            <w:r w:rsidR="00BC579A">
              <w:rPr>
                <w:noProof/>
                <w:webHidden/>
              </w:rPr>
              <w:t>2</w:t>
            </w:r>
            <w:r w:rsidR="00BC579A">
              <w:rPr>
                <w:noProof/>
                <w:webHidden/>
              </w:rPr>
              <w:fldChar w:fldCharType="end"/>
            </w:r>
          </w:hyperlink>
        </w:p>
        <w:p w14:paraId="4FBCF879" w14:textId="261F0BE8" w:rsidR="00BC579A" w:rsidRDefault="002D7EF6">
          <w:pPr>
            <w:pStyle w:val="TOC1"/>
            <w:tabs>
              <w:tab w:val="right" w:leader="dot" w:pos="9628"/>
            </w:tabs>
            <w:rPr>
              <w:rFonts w:cstheme="minorBidi"/>
              <w:b w:val="0"/>
              <w:bCs w:val="0"/>
              <w:iCs w:val="0"/>
              <w:noProof/>
              <w:kern w:val="2"/>
              <w:lang w:eastAsia="en-GB"/>
              <w14:ligatures w14:val="standardContextual"/>
            </w:rPr>
          </w:pPr>
          <w:hyperlink w:anchor="_Toc152945455" w:history="1">
            <w:r w:rsidR="00BC579A" w:rsidRPr="000F790D">
              <w:rPr>
                <w:rStyle w:val="Hyperlink"/>
                <w:noProof/>
              </w:rPr>
              <w:t>2. Who can apply?</w:t>
            </w:r>
            <w:r w:rsidR="00BC579A">
              <w:rPr>
                <w:noProof/>
                <w:webHidden/>
              </w:rPr>
              <w:tab/>
            </w:r>
            <w:r w:rsidR="00BC579A">
              <w:rPr>
                <w:noProof/>
                <w:webHidden/>
              </w:rPr>
              <w:fldChar w:fldCharType="begin"/>
            </w:r>
            <w:r w:rsidR="00BC579A">
              <w:rPr>
                <w:noProof/>
                <w:webHidden/>
              </w:rPr>
              <w:instrText xml:space="preserve"> PAGEREF _Toc152945455 \h </w:instrText>
            </w:r>
            <w:r w:rsidR="00BC579A">
              <w:rPr>
                <w:noProof/>
                <w:webHidden/>
              </w:rPr>
            </w:r>
            <w:r w:rsidR="00BC579A">
              <w:rPr>
                <w:noProof/>
                <w:webHidden/>
              </w:rPr>
              <w:fldChar w:fldCharType="separate"/>
            </w:r>
            <w:r w:rsidR="00BC579A">
              <w:rPr>
                <w:noProof/>
                <w:webHidden/>
              </w:rPr>
              <w:t>3</w:t>
            </w:r>
            <w:r w:rsidR="00BC579A">
              <w:rPr>
                <w:noProof/>
                <w:webHidden/>
              </w:rPr>
              <w:fldChar w:fldCharType="end"/>
            </w:r>
          </w:hyperlink>
        </w:p>
        <w:p w14:paraId="1F95075C" w14:textId="7EF06116" w:rsidR="00BC579A" w:rsidRDefault="002D7EF6">
          <w:pPr>
            <w:pStyle w:val="TOC2"/>
            <w:tabs>
              <w:tab w:val="right" w:leader="dot" w:pos="9628"/>
            </w:tabs>
            <w:rPr>
              <w:rFonts w:cstheme="minorBidi"/>
              <w:bCs w:val="0"/>
              <w:noProof/>
              <w:kern w:val="2"/>
              <w:szCs w:val="24"/>
              <w:lang w:eastAsia="en-GB"/>
              <w14:ligatures w14:val="standardContextual"/>
            </w:rPr>
          </w:pPr>
          <w:hyperlink w:anchor="_Toc152945456" w:history="1">
            <w:r w:rsidR="00BC579A" w:rsidRPr="000F790D">
              <w:rPr>
                <w:rStyle w:val="Hyperlink"/>
                <w:noProof/>
              </w:rPr>
              <w:t>What are the funding details?</w:t>
            </w:r>
            <w:r w:rsidR="00BC579A">
              <w:rPr>
                <w:noProof/>
                <w:webHidden/>
              </w:rPr>
              <w:tab/>
            </w:r>
            <w:r w:rsidR="00BC579A">
              <w:rPr>
                <w:noProof/>
                <w:webHidden/>
              </w:rPr>
              <w:fldChar w:fldCharType="begin"/>
            </w:r>
            <w:r w:rsidR="00BC579A">
              <w:rPr>
                <w:noProof/>
                <w:webHidden/>
              </w:rPr>
              <w:instrText xml:space="preserve"> PAGEREF _Toc152945456 \h </w:instrText>
            </w:r>
            <w:r w:rsidR="00BC579A">
              <w:rPr>
                <w:noProof/>
                <w:webHidden/>
              </w:rPr>
            </w:r>
            <w:r w:rsidR="00BC579A">
              <w:rPr>
                <w:noProof/>
                <w:webHidden/>
              </w:rPr>
              <w:fldChar w:fldCharType="separate"/>
            </w:r>
            <w:r w:rsidR="00BC579A">
              <w:rPr>
                <w:noProof/>
                <w:webHidden/>
              </w:rPr>
              <w:t>4</w:t>
            </w:r>
            <w:r w:rsidR="00BC579A">
              <w:rPr>
                <w:noProof/>
                <w:webHidden/>
              </w:rPr>
              <w:fldChar w:fldCharType="end"/>
            </w:r>
          </w:hyperlink>
        </w:p>
        <w:p w14:paraId="33482040" w14:textId="309EF569" w:rsidR="00BC579A" w:rsidRDefault="002D7EF6">
          <w:pPr>
            <w:pStyle w:val="TOC2"/>
            <w:tabs>
              <w:tab w:val="right" w:leader="dot" w:pos="9628"/>
            </w:tabs>
            <w:rPr>
              <w:rFonts w:cstheme="minorBidi"/>
              <w:bCs w:val="0"/>
              <w:noProof/>
              <w:kern w:val="2"/>
              <w:szCs w:val="24"/>
              <w:lang w:eastAsia="en-GB"/>
              <w14:ligatures w14:val="standardContextual"/>
            </w:rPr>
          </w:pPr>
          <w:hyperlink w:anchor="_Toc152945457" w:history="1">
            <w:r w:rsidR="00BC579A" w:rsidRPr="000F790D">
              <w:rPr>
                <w:rStyle w:val="Hyperlink"/>
                <w:noProof/>
              </w:rPr>
              <w:t>Component 1: Plant and equipment compensation</w:t>
            </w:r>
            <w:r w:rsidR="00BC579A">
              <w:rPr>
                <w:noProof/>
                <w:webHidden/>
              </w:rPr>
              <w:tab/>
            </w:r>
            <w:r w:rsidR="00BC579A">
              <w:rPr>
                <w:noProof/>
                <w:webHidden/>
              </w:rPr>
              <w:fldChar w:fldCharType="begin"/>
            </w:r>
            <w:r w:rsidR="00BC579A">
              <w:rPr>
                <w:noProof/>
                <w:webHidden/>
              </w:rPr>
              <w:instrText xml:space="preserve"> PAGEREF _Toc152945457 \h </w:instrText>
            </w:r>
            <w:r w:rsidR="00BC579A">
              <w:rPr>
                <w:noProof/>
                <w:webHidden/>
              </w:rPr>
            </w:r>
            <w:r w:rsidR="00BC579A">
              <w:rPr>
                <w:noProof/>
                <w:webHidden/>
              </w:rPr>
              <w:fldChar w:fldCharType="separate"/>
            </w:r>
            <w:r w:rsidR="00BC579A">
              <w:rPr>
                <w:noProof/>
                <w:webHidden/>
              </w:rPr>
              <w:t>4</w:t>
            </w:r>
            <w:r w:rsidR="00BC579A">
              <w:rPr>
                <w:noProof/>
                <w:webHidden/>
              </w:rPr>
              <w:fldChar w:fldCharType="end"/>
            </w:r>
          </w:hyperlink>
        </w:p>
        <w:p w14:paraId="710A0A31" w14:textId="4683C7B9" w:rsidR="00BC579A" w:rsidRDefault="002D7EF6">
          <w:pPr>
            <w:pStyle w:val="TOC2"/>
            <w:tabs>
              <w:tab w:val="right" w:leader="dot" w:pos="9628"/>
            </w:tabs>
            <w:rPr>
              <w:rFonts w:cstheme="minorBidi"/>
              <w:bCs w:val="0"/>
              <w:noProof/>
              <w:kern w:val="2"/>
              <w:szCs w:val="24"/>
              <w:lang w:eastAsia="en-GB"/>
              <w14:ligatures w14:val="standardContextual"/>
            </w:rPr>
          </w:pPr>
          <w:hyperlink w:anchor="_Toc152945458" w:history="1">
            <w:r w:rsidR="00BC579A" w:rsidRPr="000F790D">
              <w:rPr>
                <w:rStyle w:val="Hyperlink"/>
                <w:noProof/>
              </w:rPr>
              <w:t>Component 2: Reimbursement of employee statutory redundancy payments</w:t>
            </w:r>
            <w:r w:rsidR="00BC579A">
              <w:rPr>
                <w:noProof/>
                <w:webHidden/>
              </w:rPr>
              <w:tab/>
            </w:r>
            <w:r w:rsidR="00BC579A">
              <w:rPr>
                <w:noProof/>
                <w:webHidden/>
              </w:rPr>
              <w:fldChar w:fldCharType="begin"/>
            </w:r>
            <w:r w:rsidR="00BC579A">
              <w:rPr>
                <w:noProof/>
                <w:webHidden/>
              </w:rPr>
              <w:instrText xml:space="preserve"> PAGEREF _Toc152945458 \h </w:instrText>
            </w:r>
            <w:r w:rsidR="00BC579A">
              <w:rPr>
                <w:noProof/>
                <w:webHidden/>
              </w:rPr>
            </w:r>
            <w:r w:rsidR="00BC579A">
              <w:rPr>
                <w:noProof/>
                <w:webHidden/>
              </w:rPr>
              <w:fldChar w:fldCharType="separate"/>
            </w:r>
            <w:r w:rsidR="00BC579A">
              <w:rPr>
                <w:noProof/>
                <w:webHidden/>
              </w:rPr>
              <w:t>5</w:t>
            </w:r>
            <w:r w:rsidR="00BC579A">
              <w:rPr>
                <w:noProof/>
                <w:webHidden/>
              </w:rPr>
              <w:fldChar w:fldCharType="end"/>
            </w:r>
          </w:hyperlink>
        </w:p>
        <w:p w14:paraId="2935FCED" w14:textId="1574A28A" w:rsidR="00BC579A" w:rsidRDefault="002D7EF6">
          <w:pPr>
            <w:pStyle w:val="TOC1"/>
            <w:tabs>
              <w:tab w:val="right" w:leader="dot" w:pos="9628"/>
            </w:tabs>
            <w:rPr>
              <w:rFonts w:cstheme="minorBidi"/>
              <w:b w:val="0"/>
              <w:bCs w:val="0"/>
              <w:iCs w:val="0"/>
              <w:noProof/>
              <w:kern w:val="2"/>
              <w:lang w:eastAsia="en-GB"/>
              <w14:ligatures w14:val="standardContextual"/>
            </w:rPr>
          </w:pPr>
          <w:hyperlink w:anchor="_Toc152945459" w:history="1">
            <w:r w:rsidR="00BC579A" w:rsidRPr="000F790D">
              <w:rPr>
                <w:rStyle w:val="Hyperlink"/>
                <w:noProof/>
                <w:lang w:val="en-US"/>
              </w:rPr>
              <w:t>3. What are the funding conditions?</w:t>
            </w:r>
            <w:r w:rsidR="00BC579A">
              <w:rPr>
                <w:noProof/>
                <w:webHidden/>
              </w:rPr>
              <w:tab/>
            </w:r>
            <w:r w:rsidR="00BC579A">
              <w:rPr>
                <w:noProof/>
                <w:webHidden/>
              </w:rPr>
              <w:fldChar w:fldCharType="begin"/>
            </w:r>
            <w:r w:rsidR="00BC579A">
              <w:rPr>
                <w:noProof/>
                <w:webHidden/>
              </w:rPr>
              <w:instrText xml:space="preserve"> PAGEREF _Toc152945459 \h </w:instrText>
            </w:r>
            <w:r w:rsidR="00BC579A">
              <w:rPr>
                <w:noProof/>
                <w:webHidden/>
              </w:rPr>
            </w:r>
            <w:r w:rsidR="00BC579A">
              <w:rPr>
                <w:noProof/>
                <w:webHidden/>
              </w:rPr>
              <w:fldChar w:fldCharType="separate"/>
            </w:r>
            <w:r w:rsidR="00BC579A">
              <w:rPr>
                <w:noProof/>
                <w:webHidden/>
              </w:rPr>
              <w:t>6</w:t>
            </w:r>
            <w:r w:rsidR="00BC579A">
              <w:rPr>
                <w:noProof/>
                <w:webHidden/>
              </w:rPr>
              <w:fldChar w:fldCharType="end"/>
            </w:r>
          </w:hyperlink>
        </w:p>
        <w:p w14:paraId="1734E4FF" w14:textId="27065FE3" w:rsidR="00BC579A" w:rsidRDefault="002D7EF6">
          <w:pPr>
            <w:pStyle w:val="TOC2"/>
            <w:tabs>
              <w:tab w:val="right" w:leader="dot" w:pos="9628"/>
            </w:tabs>
            <w:rPr>
              <w:rFonts w:cstheme="minorBidi"/>
              <w:bCs w:val="0"/>
              <w:noProof/>
              <w:kern w:val="2"/>
              <w:szCs w:val="24"/>
              <w:lang w:eastAsia="en-GB"/>
              <w14:ligatures w14:val="standardContextual"/>
            </w:rPr>
          </w:pPr>
          <w:hyperlink w:anchor="_Toc152945460" w:history="1">
            <w:r w:rsidR="00BC579A" w:rsidRPr="000F790D">
              <w:rPr>
                <w:rStyle w:val="Hyperlink"/>
                <w:noProof/>
              </w:rPr>
              <w:t>Approval of funding</w:t>
            </w:r>
            <w:r w:rsidR="00BC579A">
              <w:rPr>
                <w:noProof/>
                <w:webHidden/>
              </w:rPr>
              <w:tab/>
            </w:r>
            <w:r w:rsidR="00BC579A">
              <w:rPr>
                <w:noProof/>
                <w:webHidden/>
              </w:rPr>
              <w:fldChar w:fldCharType="begin"/>
            </w:r>
            <w:r w:rsidR="00BC579A">
              <w:rPr>
                <w:noProof/>
                <w:webHidden/>
              </w:rPr>
              <w:instrText xml:space="preserve"> PAGEREF _Toc152945460 \h </w:instrText>
            </w:r>
            <w:r w:rsidR="00BC579A">
              <w:rPr>
                <w:noProof/>
                <w:webHidden/>
              </w:rPr>
            </w:r>
            <w:r w:rsidR="00BC579A">
              <w:rPr>
                <w:noProof/>
                <w:webHidden/>
              </w:rPr>
              <w:fldChar w:fldCharType="separate"/>
            </w:r>
            <w:r w:rsidR="00BC579A">
              <w:rPr>
                <w:noProof/>
                <w:webHidden/>
              </w:rPr>
              <w:t>6</w:t>
            </w:r>
            <w:r w:rsidR="00BC579A">
              <w:rPr>
                <w:noProof/>
                <w:webHidden/>
              </w:rPr>
              <w:fldChar w:fldCharType="end"/>
            </w:r>
          </w:hyperlink>
        </w:p>
        <w:p w14:paraId="6341B665" w14:textId="77A153A3" w:rsidR="00BC579A" w:rsidRDefault="002D7EF6">
          <w:pPr>
            <w:pStyle w:val="TOC2"/>
            <w:tabs>
              <w:tab w:val="right" w:leader="dot" w:pos="9628"/>
            </w:tabs>
            <w:rPr>
              <w:rFonts w:cstheme="minorBidi"/>
              <w:bCs w:val="0"/>
              <w:noProof/>
              <w:kern w:val="2"/>
              <w:szCs w:val="24"/>
              <w:lang w:eastAsia="en-GB"/>
              <w14:ligatures w14:val="standardContextual"/>
            </w:rPr>
          </w:pPr>
          <w:hyperlink w:anchor="_Toc152945461" w:history="1">
            <w:r w:rsidR="00BC579A" w:rsidRPr="000F790D">
              <w:rPr>
                <w:rStyle w:val="Hyperlink"/>
                <w:noProof/>
              </w:rPr>
              <w:t>Offer of a grant under the Package</w:t>
            </w:r>
            <w:r w:rsidR="00BC579A">
              <w:rPr>
                <w:noProof/>
                <w:webHidden/>
              </w:rPr>
              <w:tab/>
            </w:r>
            <w:r w:rsidR="00BC579A">
              <w:rPr>
                <w:noProof/>
                <w:webHidden/>
              </w:rPr>
              <w:fldChar w:fldCharType="begin"/>
            </w:r>
            <w:r w:rsidR="00BC579A">
              <w:rPr>
                <w:noProof/>
                <w:webHidden/>
              </w:rPr>
              <w:instrText xml:space="preserve"> PAGEREF _Toc152945461 \h </w:instrText>
            </w:r>
            <w:r w:rsidR="00BC579A">
              <w:rPr>
                <w:noProof/>
                <w:webHidden/>
              </w:rPr>
            </w:r>
            <w:r w:rsidR="00BC579A">
              <w:rPr>
                <w:noProof/>
                <w:webHidden/>
              </w:rPr>
              <w:fldChar w:fldCharType="separate"/>
            </w:r>
            <w:r w:rsidR="00BC579A">
              <w:rPr>
                <w:noProof/>
                <w:webHidden/>
              </w:rPr>
              <w:t>6</w:t>
            </w:r>
            <w:r w:rsidR="00BC579A">
              <w:rPr>
                <w:noProof/>
                <w:webHidden/>
              </w:rPr>
              <w:fldChar w:fldCharType="end"/>
            </w:r>
          </w:hyperlink>
        </w:p>
        <w:p w14:paraId="6AFF1D86" w14:textId="6F8A7B7D" w:rsidR="00BC579A" w:rsidRDefault="002D7EF6">
          <w:pPr>
            <w:pStyle w:val="TOC2"/>
            <w:tabs>
              <w:tab w:val="right" w:leader="dot" w:pos="9628"/>
            </w:tabs>
            <w:rPr>
              <w:rFonts w:cstheme="minorBidi"/>
              <w:bCs w:val="0"/>
              <w:noProof/>
              <w:kern w:val="2"/>
              <w:szCs w:val="24"/>
              <w:lang w:eastAsia="en-GB"/>
              <w14:ligatures w14:val="standardContextual"/>
            </w:rPr>
          </w:pPr>
          <w:hyperlink w:anchor="_Toc152945462" w:history="1">
            <w:r w:rsidR="00BC579A" w:rsidRPr="000F790D">
              <w:rPr>
                <w:rStyle w:val="Hyperlink"/>
                <w:noProof/>
              </w:rPr>
              <w:t>Funding agreements</w:t>
            </w:r>
            <w:r w:rsidR="00BC579A">
              <w:rPr>
                <w:noProof/>
                <w:webHidden/>
              </w:rPr>
              <w:tab/>
            </w:r>
            <w:r w:rsidR="00BC579A">
              <w:rPr>
                <w:noProof/>
                <w:webHidden/>
              </w:rPr>
              <w:fldChar w:fldCharType="begin"/>
            </w:r>
            <w:r w:rsidR="00BC579A">
              <w:rPr>
                <w:noProof/>
                <w:webHidden/>
              </w:rPr>
              <w:instrText xml:space="preserve"> PAGEREF _Toc152945462 \h </w:instrText>
            </w:r>
            <w:r w:rsidR="00BC579A">
              <w:rPr>
                <w:noProof/>
                <w:webHidden/>
              </w:rPr>
            </w:r>
            <w:r w:rsidR="00BC579A">
              <w:rPr>
                <w:noProof/>
                <w:webHidden/>
              </w:rPr>
              <w:fldChar w:fldCharType="separate"/>
            </w:r>
            <w:r w:rsidR="00BC579A">
              <w:rPr>
                <w:noProof/>
                <w:webHidden/>
              </w:rPr>
              <w:t>6</w:t>
            </w:r>
            <w:r w:rsidR="00BC579A">
              <w:rPr>
                <w:noProof/>
                <w:webHidden/>
              </w:rPr>
              <w:fldChar w:fldCharType="end"/>
            </w:r>
          </w:hyperlink>
        </w:p>
        <w:p w14:paraId="581C9FE7" w14:textId="2E254E8B" w:rsidR="00BC579A" w:rsidRDefault="002D7EF6">
          <w:pPr>
            <w:pStyle w:val="TOC2"/>
            <w:tabs>
              <w:tab w:val="right" w:leader="dot" w:pos="9628"/>
            </w:tabs>
            <w:rPr>
              <w:rFonts w:cstheme="minorBidi"/>
              <w:bCs w:val="0"/>
              <w:noProof/>
              <w:kern w:val="2"/>
              <w:szCs w:val="24"/>
              <w:lang w:eastAsia="en-GB"/>
              <w14:ligatures w14:val="standardContextual"/>
            </w:rPr>
          </w:pPr>
          <w:hyperlink w:anchor="_Toc152945463" w:history="1">
            <w:r w:rsidR="00BC579A" w:rsidRPr="000F790D">
              <w:rPr>
                <w:rStyle w:val="Hyperlink"/>
                <w:noProof/>
              </w:rPr>
              <w:t>Absolute discretion</w:t>
            </w:r>
            <w:r w:rsidR="00BC579A">
              <w:rPr>
                <w:noProof/>
                <w:webHidden/>
              </w:rPr>
              <w:tab/>
            </w:r>
            <w:r w:rsidR="00BC579A">
              <w:rPr>
                <w:noProof/>
                <w:webHidden/>
              </w:rPr>
              <w:fldChar w:fldCharType="begin"/>
            </w:r>
            <w:r w:rsidR="00BC579A">
              <w:rPr>
                <w:noProof/>
                <w:webHidden/>
              </w:rPr>
              <w:instrText xml:space="preserve"> PAGEREF _Toc152945463 \h </w:instrText>
            </w:r>
            <w:r w:rsidR="00BC579A">
              <w:rPr>
                <w:noProof/>
                <w:webHidden/>
              </w:rPr>
            </w:r>
            <w:r w:rsidR="00BC579A">
              <w:rPr>
                <w:noProof/>
                <w:webHidden/>
              </w:rPr>
              <w:fldChar w:fldCharType="separate"/>
            </w:r>
            <w:r w:rsidR="00BC579A">
              <w:rPr>
                <w:noProof/>
                <w:webHidden/>
              </w:rPr>
              <w:t>8</w:t>
            </w:r>
            <w:r w:rsidR="00BC579A">
              <w:rPr>
                <w:noProof/>
                <w:webHidden/>
              </w:rPr>
              <w:fldChar w:fldCharType="end"/>
            </w:r>
          </w:hyperlink>
        </w:p>
        <w:p w14:paraId="5D2F5548" w14:textId="5697AF01" w:rsidR="00BC579A" w:rsidRDefault="002D7EF6">
          <w:pPr>
            <w:pStyle w:val="TOC2"/>
            <w:tabs>
              <w:tab w:val="right" w:leader="dot" w:pos="9628"/>
            </w:tabs>
            <w:rPr>
              <w:rFonts w:cstheme="minorBidi"/>
              <w:bCs w:val="0"/>
              <w:noProof/>
              <w:kern w:val="2"/>
              <w:szCs w:val="24"/>
              <w:lang w:eastAsia="en-GB"/>
              <w14:ligatures w14:val="standardContextual"/>
            </w:rPr>
          </w:pPr>
          <w:hyperlink w:anchor="_Toc152945464" w:history="1">
            <w:r w:rsidR="00BC579A" w:rsidRPr="000F790D">
              <w:rPr>
                <w:rStyle w:val="Hyperlink"/>
                <w:noProof/>
              </w:rPr>
              <w:t>Legislative and regulatory requirements</w:t>
            </w:r>
            <w:r w:rsidR="00BC579A">
              <w:rPr>
                <w:noProof/>
                <w:webHidden/>
              </w:rPr>
              <w:tab/>
            </w:r>
            <w:r w:rsidR="00BC579A">
              <w:rPr>
                <w:noProof/>
                <w:webHidden/>
              </w:rPr>
              <w:fldChar w:fldCharType="begin"/>
            </w:r>
            <w:r w:rsidR="00BC579A">
              <w:rPr>
                <w:noProof/>
                <w:webHidden/>
              </w:rPr>
              <w:instrText xml:space="preserve"> PAGEREF _Toc152945464 \h </w:instrText>
            </w:r>
            <w:r w:rsidR="00BC579A">
              <w:rPr>
                <w:noProof/>
                <w:webHidden/>
              </w:rPr>
            </w:r>
            <w:r w:rsidR="00BC579A">
              <w:rPr>
                <w:noProof/>
                <w:webHidden/>
              </w:rPr>
              <w:fldChar w:fldCharType="separate"/>
            </w:r>
            <w:r w:rsidR="00BC579A">
              <w:rPr>
                <w:noProof/>
                <w:webHidden/>
              </w:rPr>
              <w:t>8</w:t>
            </w:r>
            <w:r w:rsidR="00BC579A">
              <w:rPr>
                <w:noProof/>
                <w:webHidden/>
              </w:rPr>
              <w:fldChar w:fldCharType="end"/>
            </w:r>
          </w:hyperlink>
        </w:p>
        <w:p w14:paraId="7BE7885D" w14:textId="000F7ECC" w:rsidR="00BC579A" w:rsidRDefault="002D7EF6">
          <w:pPr>
            <w:pStyle w:val="TOC2"/>
            <w:tabs>
              <w:tab w:val="right" w:leader="dot" w:pos="9628"/>
            </w:tabs>
            <w:rPr>
              <w:rFonts w:cstheme="minorBidi"/>
              <w:bCs w:val="0"/>
              <w:noProof/>
              <w:kern w:val="2"/>
              <w:szCs w:val="24"/>
              <w:lang w:eastAsia="en-GB"/>
              <w14:ligatures w14:val="standardContextual"/>
            </w:rPr>
          </w:pPr>
          <w:hyperlink w:anchor="_Toc152945465" w:history="1">
            <w:r w:rsidR="00BC579A" w:rsidRPr="000F790D">
              <w:rPr>
                <w:rStyle w:val="Hyperlink"/>
                <w:noProof/>
              </w:rPr>
              <w:t>Tax implications</w:t>
            </w:r>
            <w:r w:rsidR="00BC579A">
              <w:rPr>
                <w:noProof/>
                <w:webHidden/>
              </w:rPr>
              <w:tab/>
            </w:r>
            <w:r w:rsidR="00BC579A">
              <w:rPr>
                <w:noProof/>
                <w:webHidden/>
              </w:rPr>
              <w:fldChar w:fldCharType="begin"/>
            </w:r>
            <w:r w:rsidR="00BC579A">
              <w:rPr>
                <w:noProof/>
                <w:webHidden/>
              </w:rPr>
              <w:instrText xml:space="preserve"> PAGEREF _Toc152945465 \h </w:instrText>
            </w:r>
            <w:r w:rsidR="00BC579A">
              <w:rPr>
                <w:noProof/>
                <w:webHidden/>
              </w:rPr>
            </w:r>
            <w:r w:rsidR="00BC579A">
              <w:rPr>
                <w:noProof/>
                <w:webHidden/>
              </w:rPr>
              <w:fldChar w:fldCharType="separate"/>
            </w:r>
            <w:r w:rsidR="00BC579A">
              <w:rPr>
                <w:noProof/>
                <w:webHidden/>
              </w:rPr>
              <w:t>8</w:t>
            </w:r>
            <w:r w:rsidR="00BC579A">
              <w:rPr>
                <w:noProof/>
                <w:webHidden/>
              </w:rPr>
              <w:fldChar w:fldCharType="end"/>
            </w:r>
          </w:hyperlink>
        </w:p>
        <w:p w14:paraId="7C67567C" w14:textId="23B0DEA3" w:rsidR="00BC579A" w:rsidRDefault="002D7EF6">
          <w:pPr>
            <w:pStyle w:val="TOC2"/>
            <w:tabs>
              <w:tab w:val="right" w:leader="dot" w:pos="9628"/>
            </w:tabs>
            <w:rPr>
              <w:rFonts w:cstheme="minorBidi"/>
              <w:bCs w:val="0"/>
              <w:noProof/>
              <w:kern w:val="2"/>
              <w:szCs w:val="24"/>
              <w:lang w:eastAsia="en-GB"/>
              <w14:ligatures w14:val="standardContextual"/>
            </w:rPr>
          </w:pPr>
          <w:hyperlink w:anchor="_Toc152945466" w:history="1">
            <w:r w:rsidR="00BC579A" w:rsidRPr="000F790D">
              <w:rPr>
                <w:rStyle w:val="Hyperlink"/>
                <w:noProof/>
              </w:rPr>
              <w:t>Payments</w:t>
            </w:r>
            <w:r w:rsidR="00BC579A">
              <w:rPr>
                <w:noProof/>
                <w:webHidden/>
              </w:rPr>
              <w:tab/>
            </w:r>
            <w:r w:rsidR="00BC579A">
              <w:rPr>
                <w:noProof/>
                <w:webHidden/>
              </w:rPr>
              <w:fldChar w:fldCharType="begin"/>
            </w:r>
            <w:r w:rsidR="00BC579A">
              <w:rPr>
                <w:noProof/>
                <w:webHidden/>
              </w:rPr>
              <w:instrText xml:space="preserve"> PAGEREF _Toc152945466 \h </w:instrText>
            </w:r>
            <w:r w:rsidR="00BC579A">
              <w:rPr>
                <w:noProof/>
                <w:webHidden/>
              </w:rPr>
            </w:r>
            <w:r w:rsidR="00BC579A">
              <w:rPr>
                <w:noProof/>
                <w:webHidden/>
              </w:rPr>
              <w:fldChar w:fldCharType="separate"/>
            </w:r>
            <w:r w:rsidR="00BC579A">
              <w:rPr>
                <w:noProof/>
                <w:webHidden/>
              </w:rPr>
              <w:t>8</w:t>
            </w:r>
            <w:r w:rsidR="00BC579A">
              <w:rPr>
                <w:noProof/>
                <w:webHidden/>
              </w:rPr>
              <w:fldChar w:fldCharType="end"/>
            </w:r>
          </w:hyperlink>
        </w:p>
        <w:p w14:paraId="236DD93F" w14:textId="7924E13C" w:rsidR="00BC579A" w:rsidRDefault="002D7EF6">
          <w:pPr>
            <w:pStyle w:val="TOC2"/>
            <w:tabs>
              <w:tab w:val="right" w:leader="dot" w:pos="9628"/>
            </w:tabs>
            <w:rPr>
              <w:rFonts w:cstheme="minorBidi"/>
              <w:bCs w:val="0"/>
              <w:noProof/>
              <w:kern w:val="2"/>
              <w:szCs w:val="24"/>
              <w:lang w:eastAsia="en-GB"/>
              <w14:ligatures w14:val="standardContextual"/>
            </w:rPr>
          </w:pPr>
          <w:hyperlink w:anchor="_Toc152945467" w:history="1">
            <w:r w:rsidR="00BC579A" w:rsidRPr="000F790D">
              <w:rPr>
                <w:rStyle w:val="Hyperlink"/>
                <w:noProof/>
              </w:rPr>
              <w:t>Privacy</w:t>
            </w:r>
            <w:r w:rsidR="00BC579A">
              <w:rPr>
                <w:noProof/>
                <w:webHidden/>
              </w:rPr>
              <w:tab/>
            </w:r>
            <w:r w:rsidR="00BC579A">
              <w:rPr>
                <w:noProof/>
                <w:webHidden/>
              </w:rPr>
              <w:fldChar w:fldCharType="begin"/>
            </w:r>
            <w:r w:rsidR="00BC579A">
              <w:rPr>
                <w:noProof/>
                <w:webHidden/>
              </w:rPr>
              <w:instrText xml:space="preserve"> PAGEREF _Toc152945467 \h </w:instrText>
            </w:r>
            <w:r w:rsidR="00BC579A">
              <w:rPr>
                <w:noProof/>
                <w:webHidden/>
              </w:rPr>
            </w:r>
            <w:r w:rsidR="00BC579A">
              <w:rPr>
                <w:noProof/>
                <w:webHidden/>
              </w:rPr>
              <w:fldChar w:fldCharType="separate"/>
            </w:r>
            <w:r w:rsidR="00BC579A">
              <w:rPr>
                <w:noProof/>
                <w:webHidden/>
              </w:rPr>
              <w:t>8</w:t>
            </w:r>
            <w:r w:rsidR="00BC579A">
              <w:rPr>
                <w:noProof/>
                <w:webHidden/>
              </w:rPr>
              <w:fldChar w:fldCharType="end"/>
            </w:r>
          </w:hyperlink>
        </w:p>
        <w:p w14:paraId="483405A7" w14:textId="47E262A7" w:rsidR="00BC579A" w:rsidRDefault="002D7EF6">
          <w:pPr>
            <w:pStyle w:val="TOC1"/>
            <w:tabs>
              <w:tab w:val="right" w:leader="dot" w:pos="9628"/>
            </w:tabs>
            <w:rPr>
              <w:rFonts w:cstheme="minorBidi"/>
              <w:b w:val="0"/>
              <w:bCs w:val="0"/>
              <w:iCs w:val="0"/>
              <w:noProof/>
              <w:kern w:val="2"/>
              <w:lang w:eastAsia="en-GB"/>
              <w14:ligatures w14:val="standardContextual"/>
            </w:rPr>
          </w:pPr>
          <w:hyperlink w:anchor="_Toc152945468" w:history="1">
            <w:r w:rsidR="00BC579A" w:rsidRPr="000F790D">
              <w:rPr>
                <w:rStyle w:val="Hyperlink"/>
                <w:noProof/>
                <w:lang w:val="en-US"/>
              </w:rPr>
              <w:t>4. What are the assessment criteria?</w:t>
            </w:r>
            <w:r w:rsidR="00BC579A">
              <w:rPr>
                <w:noProof/>
                <w:webHidden/>
              </w:rPr>
              <w:tab/>
            </w:r>
            <w:r w:rsidR="00BC579A">
              <w:rPr>
                <w:noProof/>
                <w:webHidden/>
              </w:rPr>
              <w:fldChar w:fldCharType="begin"/>
            </w:r>
            <w:r w:rsidR="00BC579A">
              <w:rPr>
                <w:noProof/>
                <w:webHidden/>
              </w:rPr>
              <w:instrText xml:space="preserve"> PAGEREF _Toc152945468 \h </w:instrText>
            </w:r>
            <w:r w:rsidR="00BC579A">
              <w:rPr>
                <w:noProof/>
                <w:webHidden/>
              </w:rPr>
            </w:r>
            <w:r w:rsidR="00BC579A">
              <w:rPr>
                <w:noProof/>
                <w:webHidden/>
              </w:rPr>
              <w:fldChar w:fldCharType="separate"/>
            </w:r>
            <w:r w:rsidR="00BC579A">
              <w:rPr>
                <w:noProof/>
                <w:webHidden/>
              </w:rPr>
              <w:t>9</w:t>
            </w:r>
            <w:r w:rsidR="00BC579A">
              <w:rPr>
                <w:noProof/>
                <w:webHidden/>
              </w:rPr>
              <w:fldChar w:fldCharType="end"/>
            </w:r>
          </w:hyperlink>
        </w:p>
        <w:p w14:paraId="0EC9A140" w14:textId="46498870" w:rsidR="00BC579A" w:rsidRDefault="002D7EF6">
          <w:pPr>
            <w:pStyle w:val="TOC2"/>
            <w:tabs>
              <w:tab w:val="right" w:leader="dot" w:pos="9628"/>
            </w:tabs>
            <w:rPr>
              <w:rFonts w:cstheme="minorBidi"/>
              <w:bCs w:val="0"/>
              <w:noProof/>
              <w:kern w:val="2"/>
              <w:szCs w:val="24"/>
              <w:lang w:eastAsia="en-GB"/>
              <w14:ligatures w14:val="standardContextual"/>
            </w:rPr>
          </w:pPr>
          <w:hyperlink w:anchor="_Toc152945469" w:history="1">
            <w:r w:rsidR="00BC579A" w:rsidRPr="000F790D">
              <w:rPr>
                <w:rStyle w:val="Hyperlink"/>
                <w:noProof/>
              </w:rPr>
              <w:t>Eligibility check</w:t>
            </w:r>
            <w:r w:rsidR="00BC579A">
              <w:rPr>
                <w:noProof/>
                <w:webHidden/>
              </w:rPr>
              <w:tab/>
            </w:r>
            <w:r w:rsidR="00BC579A">
              <w:rPr>
                <w:noProof/>
                <w:webHidden/>
              </w:rPr>
              <w:fldChar w:fldCharType="begin"/>
            </w:r>
            <w:r w:rsidR="00BC579A">
              <w:rPr>
                <w:noProof/>
                <w:webHidden/>
              </w:rPr>
              <w:instrText xml:space="preserve"> PAGEREF _Toc152945469 \h </w:instrText>
            </w:r>
            <w:r w:rsidR="00BC579A">
              <w:rPr>
                <w:noProof/>
                <w:webHidden/>
              </w:rPr>
            </w:r>
            <w:r w:rsidR="00BC579A">
              <w:rPr>
                <w:noProof/>
                <w:webHidden/>
              </w:rPr>
              <w:fldChar w:fldCharType="separate"/>
            </w:r>
            <w:r w:rsidR="00BC579A">
              <w:rPr>
                <w:noProof/>
                <w:webHidden/>
              </w:rPr>
              <w:t>9</w:t>
            </w:r>
            <w:r w:rsidR="00BC579A">
              <w:rPr>
                <w:noProof/>
                <w:webHidden/>
              </w:rPr>
              <w:fldChar w:fldCharType="end"/>
            </w:r>
          </w:hyperlink>
        </w:p>
        <w:p w14:paraId="683BD5F6" w14:textId="097A0654" w:rsidR="00BC579A" w:rsidRDefault="002D7EF6">
          <w:pPr>
            <w:pStyle w:val="TOC2"/>
            <w:tabs>
              <w:tab w:val="right" w:leader="dot" w:pos="9628"/>
            </w:tabs>
            <w:rPr>
              <w:rFonts w:cstheme="minorBidi"/>
              <w:bCs w:val="0"/>
              <w:noProof/>
              <w:kern w:val="2"/>
              <w:szCs w:val="24"/>
              <w:lang w:eastAsia="en-GB"/>
              <w14:ligatures w14:val="standardContextual"/>
            </w:rPr>
          </w:pPr>
          <w:hyperlink w:anchor="_Toc152945470" w:history="1">
            <w:r w:rsidR="00BC579A" w:rsidRPr="000F790D">
              <w:rPr>
                <w:rStyle w:val="Hyperlink"/>
                <w:noProof/>
              </w:rPr>
              <w:t>Plant and equipment valuation</w:t>
            </w:r>
            <w:r w:rsidR="00BC579A">
              <w:rPr>
                <w:noProof/>
                <w:webHidden/>
              </w:rPr>
              <w:tab/>
            </w:r>
            <w:r w:rsidR="00BC579A">
              <w:rPr>
                <w:noProof/>
                <w:webHidden/>
              </w:rPr>
              <w:fldChar w:fldCharType="begin"/>
            </w:r>
            <w:r w:rsidR="00BC579A">
              <w:rPr>
                <w:noProof/>
                <w:webHidden/>
              </w:rPr>
              <w:instrText xml:space="preserve"> PAGEREF _Toc152945470 \h </w:instrText>
            </w:r>
            <w:r w:rsidR="00BC579A">
              <w:rPr>
                <w:noProof/>
                <w:webHidden/>
              </w:rPr>
            </w:r>
            <w:r w:rsidR="00BC579A">
              <w:rPr>
                <w:noProof/>
                <w:webHidden/>
              </w:rPr>
              <w:fldChar w:fldCharType="separate"/>
            </w:r>
            <w:r w:rsidR="00BC579A">
              <w:rPr>
                <w:noProof/>
                <w:webHidden/>
              </w:rPr>
              <w:t>9</w:t>
            </w:r>
            <w:r w:rsidR="00BC579A">
              <w:rPr>
                <w:noProof/>
                <w:webHidden/>
              </w:rPr>
              <w:fldChar w:fldCharType="end"/>
            </w:r>
          </w:hyperlink>
        </w:p>
        <w:p w14:paraId="5A8C23AB" w14:textId="4126E088" w:rsidR="00BC579A" w:rsidRDefault="002D7EF6">
          <w:pPr>
            <w:pStyle w:val="TOC1"/>
            <w:tabs>
              <w:tab w:val="right" w:leader="dot" w:pos="9628"/>
            </w:tabs>
            <w:rPr>
              <w:rFonts w:cstheme="minorBidi"/>
              <w:b w:val="0"/>
              <w:bCs w:val="0"/>
              <w:iCs w:val="0"/>
              <w:noProof/>
              <w:kern w:val="2"/>
              <w:lang w:eastAsia="en-GB"/>
              <w14:ligatures w14:val="standardContextual"/>
            </w:rPr>
          </w:pPr>
          <w:hyperlink w:anchor="_Toc152945471" w:history="1">
            <w:r w:rsidR="00BC579A" w:rsidRPr="000F790D">
              <w:rPr>
                <w:rStyle w:val="Hyperlink"/>
                <w:noProof/>
                <w:lang w:val="en-US"/>
              </w:rPr>
              <w:t>5. What is the application process?</w:t>
            </w:r>
            <w:r w:rsidR="00BC579A">
              <w:rPr>
                <w:noProof/>
                <w:webHidden/>
              </w:rPr>
              <w:tab/>
            </w:r>
            <w:r w:rsidR="00BC579A">
              <w:rPr>
                <w:noProof/>
                <w:webHidden/>
              </w:rPr>
              <w:fldChar w:fldCharType="begin"/>
            </w:r>
            <w:r w:rsidR="00BC579A">
              <w:rPr>
                <w:noProof/>
                <w:webHidden/>
              </w:rPr>
              <w:instrText xml:space="preserve"> PAGEREF _Toc152945471 \h </w:instrText>
            </w:r>
            <w:r w:rsidR="00BC579A">
              <w:rPr>
                <w:noProof/>
                <w:webHidden/>
              </w:rPr>
            </w:r>
            <w:r w:rsidR="00BC579A">
              <w:rPr>
                <w:noProof/>
                <w:webHidden/>
              </w:rPr>
              <w:fldChar w:fldCharType="separate"/>
            </w:r>
            <w:r w:rsidR="00BC579A">
              <w:rPr>
                <w:noProof/>
                <w:webHidden/>
              </w:rPr>
              <w:t>10</w:t>
            </w:r>
            <w:r w:rsidR="00BC579A">
              <w:rPr>
                <w:noProof/>
                <w:webHidden/>
              </w:rPr>
              <w:fldChar w:fldCharType="end"/>
            </w:r>
          </w:hyperlink>
        </w:p>
        <w:p w14:paraId="4D414723" w14:textId="3A703B61" w:rsidR="00BC579A" w:rsidRDefault="002D7EF6">
          <w:pPr>
            <w:pStyle w:val="TOC2"/>
            <w:tabs>
              <w:tab w:val="right" w:leader="dot" w:pos="9628"/>
            </w:tabs>
            <w:rPr>
              <w:rFonts w:cstheme="minorBidi"/>
              <w:bCs w:val="0"/>
              <w:noProof/>
              <w:kern w:val="2"/>
              <w:szCs w:val="24"/>
              <w:lang w:eastAsia="en-GB"/>
              <w14:ligatures w14:val="standardContextual"/>
            </w:rPr>
          </w:pPr>
          <w:hyperlink w:anchor="_Toc152945472" w:history="1">
            <w:r w:rsidR="00BC579A" w:rsidRPr="000F790D">
              <w:rPr>
                <w:rStyle w:val="Hyperlink"/>
                <w:noProof/>
              </w:rPr>
              <w:t>What supporting documents will need to be provided?</w:t>
            </w:r>
            <w:r w:rsidR="00BC579A">
              <w:rPr>
                <w:noProof/>
                <w:webHidden/>
              </w:rPr>
              <w:tab/>
            </w:r>
            <w:r w:rsidR="00BC579A">
              <w:rPr>
                <w:noProof/>
                <w:webHidden/>
              </w:rPr>
              <w:fldChar w:fldCharType="begin"/>
            </w:r>
            <w:r w:rsidR="00BC579A">
              <w:rPr>
                <w:noProof/>
                <w:webHidden/>
              </w:rPr>
              <w:instrText xml:space="preserve"> PAGEREF _Toc152945472 \h </w:instrText>
            </w:r>
            <w:r w:rsidR="00BC579A">
              <w:rPr>
                <w:noProof/>
                <w:webHidden/>
              </w:rPr>
            </w:r>
            <w:r w:rsidR="00BC579A">
              <w:rPr>
                <w:noProof/>
                <w:webHidden/>
              </w:rPr>
              <w:fldChar w:fldCharType="separate"/>
            </w:r>
            <w:r w:rsidR="00BC579A">
              <w:rPr>
                <w:noProof/>
                <w:webHidden/>
              </w:rPr>
              <w:t>10</w:t>
            </w:r>
            <w:r w:rsidR="00BC579A">
              <w:rPr>
                <w:noProof/>
                <w:webHidden/>
              </w:rPr>
              <w:fldChar w:fldCharType="end"/>
            </w:r>
          </w:hyperlink>
        </w:p>
        <w:p w14:paraId="5C52F8C2" w14:textId="35C618C1" w:rsidR="00BC579A" w:rsidRDefault="002D7EF6">
          <w:pPr>
            <w:pStyle w:val="TOC2"/>
            <w:tabs>
              <w:tab w:val="right" w:leader="dot" w:pos="9628"/>
            </w:tabs>
            <w:rPr>
              <w:rFonts w:cstheme="minorBidi"/>
              <w:bCs w:val="0"/>
              <w:noProof/>
              <w:kern w:val="2"/>
              <w:szCs w:val="24"/>
              <w:lang w:eastAsia="en-GB"/>
              <w14:ligatures w14:val="standardContextual"/>
            </w:rPr>
          </w:pPr>
          <w:hyperlink w:anchor="_Toc152945473" w:history="1">
            <w:r w:rsidR="00BC579A" w:rsidRPr="000F790D">
              <w:rPr>
                <w:rStyle w:val="Hyperlink"/>
                <w:noProof/>
              </w:rPr>
              <w:t>Key dates</w:t>
            </w:r>
            <w:r w:rsidR="00BC579A">
              <w:rPr>
                <w:noProof/>
                <w:webHidden/>
              </w:rPr>
              <w:tab/>
            </w:r>
            <w:r w:rsidR="00BC579A">
              <w:rPr>
                <w:noProof/>
                <w:webHidden/>
              </w:rPr>
              <w:fldChar w:fldCharType="begin"/>
            </w:r>
            <w:r w:rsidR="00BC579A">
              <w:rPr>
                <w:noProof/>
                <w:webHidden/>
              </w:rPr>
              <w:instrText xml:space="preserve"> PAGEREF _Toc152945473 \h </w:instrText>
            </w:r>
            <w:r w:rsidR="00BC579A">
              <w:rPr>
                <w:noProof/>
                <w:webHidden/>
              </w:rPr>
            </w:r>
            <w:r w:rsidR="00BC579A">
              <w:rPr>
                <w:noProof/>
                <w:webHidden/>
              </w:rPr>
              <w:fldChar w:fldCharType="separate"/>
            </w:r>
            <w:r w:rsidR="00BC579A">
              <w:rPr>
                <w:noProof/>
                <w:webHidden/>
              </w:rPr>
              <w:t>11</w:t>
            </w:r>
            <w:r w:rsidR="00BC579A">
              <w:rPr>
                <w:noProof/>
                <w:webHidden/>
              </w:rPr>
              <w:fldChar w:fldCharType="end"/>
            </w:r>
          </w:hyperlink>
        </w:p>
        <w:p w14:paraId="761E0BA8" w14:textId="7BB6FF57" w:rsidR="00BC579A" w:rsidRDefault="002D7EF6">
          <w:pPr>
            <w:pStyle w:val="TOC1"/>
            <w:tabs>
              <w:tab w:val="right" w:leader="dot" w:pos="9628"/>
            </w:tabs>
            <w:rPr>
              <w:rFonts w:cstheme="minorBidi"/>
              <w:b w:val="0"/>
              <w:bCs w:val="0"/>
              <w:iCs w:val="0"/>
              <w:noProof/>
              <w:kern w:val="2"/>
              <w:lang w:eastAsia="en-GB"/>
              <w14:ligatures w14:val="standardContextual"/>
            </w:rPr>
          </w:pPr>
          <w:hyperlink w:anchor="_Toc152945474" w:history="1">
            <w:r w:rsidR="00BC579A" w:rsidRPr="000F790D">
              <w:rPr>
                <w:rStyle w:val="Hyperlink"/>
                <w:noProof/>
                <w:lang w:val="en-US"/>
              </w:rPr>
              <w:t>6. Additional information</w:t>
            </w:r>
            <w:r w:rsidR="00BC579A">
              <w:rPr>
                <w:noProof/>
                <w:webHidden/>
              </w:rPr>
              <w:tab/>
            </w:r>
            <w:r w:rsidR="00BC579A">
              <w:rPr>
                <w:noProof/>
                <w:webHidden/>
              </w:rPr>
              <w:fldChar w:fldCharType="begin"/>
            </w:r>
            <w:r w:rsidR="00BC579A">
              <w:rPr>
                <w:noProof/>
                <w:webHidden/>
              </w:rPr>
              <w:instrText xml:space="preserve"> PAGEREF _Toc152945474 \h </w:instrText>
            </w:r>
            <w:r w:rsidR="00BC579A">
              <w:rPr>
                <w:noProof/>
                <w:webHidden/>
              </w:rPr>
            </w:r>
            <w:r w:rsidR="00BC579A">
              <w:rPr>
                <w:noProof/>
                <w:webHidden/>
              </w:rPr>
              <w:fldChar w:fldCharType="separate"/>
            </w:r>
            <w:r w:rsidR="00BC579A">
              <w:rPr>
                <w:noProof/>
                <w:webHidden/>
              </w:rPr>
              <w:t>11</w:t>
            </w:r>
            <w:r w:rsidR="00BC579A">
              <w:rPr>
                <w:noProof/>
                <w:webHidden/>
              </w:rPr>
              <w:fldChar w:fldCharType="end"/>
            </w:r>
          </w:hyperlink>
        </w:p>
        <w:p w14:paraId="79B21C6C" w14:textId="2480E2AD" w:rsidR="00BC579A" w:rsidRDefault="002D7EF6">
          <w:pPr>
            <w:pStyle w:val="TOC2"/>
            <w:tabs>
              <w:tab w:val="right" w:leader="dot" w:pos="9628"/>
            </w:tabs>
            <w:rPr>
              <w:rFonts w:cstheme="minorBidi"/>
              <w:bCs w:val="0"/>
              <w:noProof/>
              <w:kern w:val="2"/>
              <w:szCs w:val="24"/>
              <w:lang w:eastAsia="en-GB"/>
              <w14:ligatures w14:val="standardContextual"/>
            </w:rPr>
          </w:pPr>
          <w:hyperlink w:anchor="_Toc152945475" w:history="1">
            <w:r w:rsidR="00BC579A" w:rsidRPr="000F790D">
              <w:rPr>
                <w:rStyle w:val="Hyperlink"/>
                <w:noProof/>
              </w:rPr>
              <w:t>Checklist</w:t>
            </w:r>
            <w:r w:rsidR="00BC579A">
              <w:rPr>
                <w:noProof/>
                <w:webHidden/>
              </w:rPr>
              <w:tab/>
            </w:r>
            <w:r w:rsidR="00BC579A">
              <w:rPr>
                <w:noProof/>
                <w:webHidden/>
              </w:rPr>
              <w:fldChar w:fldCharType="begin"/>
            </w:r>
            <w:r w:rsidR="00BC579A">
              <w:rPr>
                <w:noProof/>
                <w:webHidden/>
              </w:rPr>
              <w:instrText xml:space="preserve"> PAGEREF _Toc152945475 \h </w:instrText>
            </w:r>
            <w:r w:rsidR="00BC579A">
              <w:rPr>
                <w:noProof/>
                <w:webHidden/>
              </w:rPr>
            </w:r>
            <w:r w:rsidR="00BC579A">
              <w:rPr>
                <w:noProof/>
                <w:webHidden/>
              </w:rPr>
              <w:fldChar w:fldCharType="separate"/>
            </w:r>
            <w:r w:rsidR="00BC579A">
              <w:rPr>
                <w:noProof/>
                <w:webHidden/>
              </w:rPr>
              <w:t>12</w:t>
            </w:r>
            <w:r w:rsidR="00BC579A">
              <w:rPr>
                <w:noProof/>
                <w:webHidden/>
              </w:rPr>
              <w:fldChar w:fldCharType="end"/>
            </w:r>
          </w:hyperlink>
        </w:p>
        <w:p w14:paraId="40F946C2" w14:textId="2721980C" w:rsidR="00BC579A" w:rsidRDefault="002D7EF6">
          <w:pPr>
            <w:pStyle w:val="TOC2"/>
            <w:tabs>
              <w:tab w:val="right" w:leader="dot" w:pos="9628"/>
            </w:tabs>
            <w:rPr>
              <w:rFonts w:cstheme="minorBidi"/>
              <w:bCs w:val="0"/>
              <w:noProof/>
              <w:kern w:val="2"/>
              <w:szCs w:val="24"/>
              <w:lang w:eastAsia="en-GB"/>
              <w14:ligatures w14:val="standardContextual"/>
            </w:rPr>
          </w:pPr>
          <w:hyperlink w:anchor="_Toc152945476" w:history="1">
            <w:r w:rsidR="00BC579A" w:rsidRPr="000F790D">
              <w:rPr>
                <w:rStyle w:val="Hyperlink"/>
                <w:noProof/>
              </w:rPr>
              <w:t>No representation</w:t>
            </w:r>
            <w:r w:rsidR="00BC579A">
              <w:rPr>
                <w:noProof/>
                <w:webHidden/>
              </w:rPr>
              <w:tab/>
            </w:r>
            <w:r w:rsidR="00BC579A">
              <w:rPr>
                <w:noProof/>
                <w:webHidden/>
              </w:rPr>
              <w:fldChar w:fldCharType="begin"/>
            </w:r>
            <w:r w:rsidR="00BC579A">
              <w:rPr>
                <w:noProof/>
                <w:webHidden/>
              </w:rPr>
              <w:instrText xml:space="preserve"> PAGEREF _Toc152945476 \h </w:instrText>
            </w:r>
            <w:r w:rsidR="00BC579A">
              <w:rPr>
                <w:noProof/>
                <w:webHidden/>
              </w:rPr>
            </w:r>
            <w:r w:rsidR="00BC579A">
              <w:rPr>
                <w:noProof/>
                <w:webHidden/>
              </w:rPr>
              <w:fldChar w:fldCharType="separate"/>
            </w:r>
            <w:r w:rsidR="00BC579A">
              <w:rPr>
                <w:noProof/>
                <w:webHidden/>
              </w:rPr>
              <w:t>12</w:t>
            </w:r>
            <w:r w:rsidR="00BC579A">
              <w:rPr>
                <w:noProof/>
                <w:webHidden/>
              </w:rPr>
              <w:fldChar w:fldCharType="end"/>
            </w:r>
          </w:hyperlink>
        </w:p>
        <w:p w14:paraId="361C4D21" w14:textId="350C21DC" w:rsidR="00BC579A" w:rsidRDefault="002D7EF6">
          <w:pPr>
            <w:pStyle w:val="TOC1"/>
            <w:tabs>
              <w:tab w:val="right" w:leader="dot" w:pos="9628"/>
            </w:tabs>
            <w:rPr>
              <w:rFonts w:cstheme="minorBidi"/>
              <w:b w:val="0"/>
              <w:bCs w:val="0"/>
              <w:iCs w:val="0"/>
              <w:noProof/>
              <w:kern w:val="2"/>
              <w:lang w:eastAsia="en-GB"/>
              <w14:ligatures w14:val="standardContextual"/>
            </w:rPr>
          </w:pPr>
          <w:hyperlink w:anchor="_Toc152945477" w:history="1">
            <w:r w:rsidR="00BC579A" w:rsidRPr="000F790D">
              <w:rPr>
                <w:rStyle w:val="Hyperlink"/>
                <w:noProof/>
                <w:lang w:val="en-US"/>
              </w:rPr>
              <w:t>7. Other Forestry Transition assistance available</w:t>
            </w:r>
            <w:r w:rsidR="00BC579A">
              <w:rPr>
                <w:noProof/>
                <w:webHidden/>
              </w:rPr>
              <w:tab/>
            </w:r>
            <w:r w:rsidR="00BC579A">
              <w:rPr>
                <w:noProof/>
                <w:webHidden/>
              </w:rPr>
              <w:fldChar w:fldCharType="begin"/>
            </w:r>
            <w:r w:rsidR="00BC579A">
              <w:rPr>
                <w:noProof/>
                <w:webHidden/>
              </w:rPr>
              <w:instrText xml:space="preserve"> PAGEREF _Toc152945477 \h </w:instrText>
            </w:r>
            <w:r w:rsidR="00BC579A">
              <w:rPr>
                <w:noProof/>
                <w:webHidden/>
              </w:rPr>
            </w:r>
            <w:r w:rsidR="00BC579A">
              <w:rPr>
                <w:noProof/>
                <w:webHidden/>
              </w:rPr>
              <w:fldChar w:fldCharType="separate"/>
            </w:r>
            <w:r w:rsidR="00BC579A">
              <w:rPr>
                <w:noProof/>
                <w:webHidden/>
              </w:rPr>
              <w:t>12</w:t>
            </w:r>
            <w:r w:rsidR="00BC579A">
              <w:rPr>
                <w:noProof/>
                <w:webHidden/>
              </w:rPr>
              <w:fldChar w:fldCharType="end"/>
            </w:r>
          </w:hyperlink>
        </w:p>
        <w:p w14:paraId="50278752" w14:textId="76C7BDDB" w:rsidR="00E924AC" w:rsidRDefault="00E924AC">
          <w:r>
            <w:rPr>
              <w:rFonts w:cstheme="minorHAnsi"/>
              <w:iCs/>
              <w:szCs w:val="24"/>
            </w:rPr>
            <w:fldChar w:fldCharType="end"/>
          </w:r>
        </w:p>
      </w:sdtContent>
    </w:sdt>
    <w:p w14:paraId="0108F986" w14:textId="2A272C0A" w:rsidR="00F138D1" w:rsidRPr="00F138D1" w:rsidRDefault="00F138D1" w:rsidP="00F138D1">
      <w:pPr>
        <w:pStyle w:val="Heading1"/>
        <w:rPr>
          <w:lang w:val="en-US"/>
        </w:rPr>
      </w:pPr>
      <w:bookmarkStart w:id="0" w:name="_Toc152945454"/>
      <w:r>
        <w:rPr>
          <w:lang w:val="en-US"/>
        </w:rPr>
        <w:lastRenderedPageBreak/>
        <w:t xml:space="preserve">1. </w:t>
      </w:r>
      <w:r w:rsidRPr="00F138D1">
        <w:rPr>
          <w:lang w:val="en-US"/>
        </w:rPr>
        <w:t>Overview of the Forestry Business Support Package</w:t>
      </w:r>
      <w:bookmarkEnd w:id="0"/>
    </w:p>
    <w:p w14:paraId="50594579" w14:textId="77777777" w:rsidR="00F138D1" w:rsidRPr="00F138D1" w:rsidRDefault="00F138D1" w:rsidP="00F138D1">
      <w:pPr>
        <w:pStyle w:val="BodyText"/>
        <w:rPr>
          <w:lang w:val="en-GB"/>
        </w:rPr>
      </w:pPr>
      <w:r w:rsidRPr="00F138D1">
        <w:rPr>
          <w:lang w:val="en-GB"/>
        </w:rPr>
        <w:t>In May 2023 the Victorian Government announced the cessation of commercial native timber harvesting in State forests by 1 January 2024.</w:t>
      </w:r>
    </w:p>
    <w:p w14:paraId="0BCB0ADA" w14:textId="77777777" w:rsidR="00F138D1" w:rsidRPr="00F138D1" w:rsidRDefault="00F138D1" w:rsidP="00F138D1">
      <w:pPr>
        <w:pStyle w:val="BodyText"/>
        <w:rPr>
          <w:lang w:val="en-GB"/>
        </w:rPr>
      </w:pPr>
      <w:r w:rsidRPr="00F138D1">
        <w:rPr>
          <w:lang w:val="en-GB"/>
        </w:rPr>
        <w:t>The Victorian Government’s Forestry Transition Program aims to maintain as many regional jobs as possible as the timber industry transitions away from native timber harvesting.</w:t>
      </w:r>
    </w:p>
    <w:p w14:paraId="076C0E9D" w14:textId="77777777" w:rsidR="00F138D1" w:rsidRPr="00F138D1" w:rsidRDefault="00F138D1" w:rsidP="00F138D1">
      <w:pPr>
        <w:pStyle w:val="BodyText"/>
        <w:rPr>
          <w:lang w:val="en-GB"/>
        </w:rPr>
      </w:pPr>
      <w:r w:rsidRPr="00F138D1">
        <w:rPr>
          <w:lang w:val="en-GB"/>
        </w:rPr>
        <w:t>The Forestry Business Support Package (the Package) is part of a suite of programs on offer by the Victorian Government to support sawmill businesses, harvest and/or haulage contractors, community forestry operators and other forest-based businesses impacted by the native forestry industry transition.</w:t>
      </w:r>
    </w:p>
    <w:p w14:paraId="5779401A" w14:textId="77777777" w:rsidR="00F138D1" w:rsidRPr="00F138D1" w:rsidRDefault="00F138D1" w:rsidP="00F138D1">
      <w:pPr>
        <w:pStyle w:val="BodyText"/>
        <w:rPr>
          <w:lang w:val="en-GB"/>
        </w:rPr>
      </w:pPr>
      <w:r w:rsidRPr="00F138D1">
        <w:rPr>
          <w:lang w:val="en-GB"/>
        </w:rPr>
        <w:t>Through the Package, the Victorian Government will make a payment to compensate the loss of value of plant and equipment previously used to support the commercial harvest or haulage of native timber from Victorian State forests and reimburse any employee statutory redundancy payments made to employees made redundant due to the forestry transition.</w:t>
      </w:r>
    </w:p>
    <w:p w14:paraId="619CFF95" w14:textId="77777777" w:rsidR="00F138D1" w:rsidRPr="00F138D1" w:rsidRDefault="00F138D1" w:rsidP="00F138D1">
      <w:pPr>
        <w:pStyle w:val="BodyText"/>
        <w:rPr>
          <w:lang w:val="en-GB"/>
        </w:rPr>
      </w:pPr>
      <w:r w:rsidRPr="00F138D1">
        <w:rPr>
          <w:lang w:val="en-GB"/>
        </w:rPr>
        <w:t>Eligible businesses can access the application form on the Forestry Transition Program website.</w:t>
      </w:r>
    </w:p>
    <w:p w14:paraId="002289C2" w14:textId="3BD13793" w:rsidR="00F138D1" w:rsidRPr="00F138D1" w:rsidRDefault="00F138D1" w:rsidP="00F138D1">
      <w:pPr>
        <w:pStyle w:val="BodyText"/>
        <w:rPr>
          <w:lang w:val="en-GB"/>
        </w:rPr>
      </w:pPr>
      <w:r w:rsidRPr="00F138D1">
        <w:rPr>
          <w:lang w:val="en-GB"/>
        </w:rPr>
        <w:t>The Package is administered by the Department of Energy, Environment and Climate Action (DEECA, the Department).</w:t>
      </w:r>
    </w:p>
    <w:p w14:paraId="7E4A14AE" w14:textId="77777777" w:rsidR="005554F3" w:rsidRDefault="005554F3">
      <w:pPr>
        <w:suppressAutoHyphens w:val="0"/>
        <w:spacing w:after="160"/>
        <w:rPr>
          <w:rFonts w:asciiTheme="majorHAnsi" w:eastAsiaTheme="majorEastAsia" w:hAnsiTheme="majorHAnsi" w:cs="Times New Roman (Headings CS)"/>
          <w:b/>
          <w:bCs/>
          <w:sz w:val="40"/>
          <w:szCs w:val="36"/>
        </w:rPr>
      </w:pPr>
      <w:r>
        <w:br w:type="page"/>
      </w:r>
    </w:p>
    <w:p w14:paraId="480B80D6" w14:textId="3DD3B817" w:rsidR="00F138D1" w:rsidRPr="00F138D1" w:rsidRDefault="00F138D1" w:rsidP="00515813">
      <w:pPr>
        <w:pStyle w:val="Heading1"/>
      </w:pPr>
      <w:bookmarkStart w:id="1" w:name="_Toc152945455"/>
      <w:r w:rsidRPr="00F138D1">
        <w:lastRenderedPageBreak/>
        <w:t>2. Who can apply?</w:t>
      </w:r>
      <w:bookmarkEnd w:id="1"/>
    </w:p>
    <w:p w14:paraId="7C5A75C5" w14:textId="77777777" w:rsidR="00F138D1" w:rsidRPr="00F138D1" w:rsidRDefault="00F138D1" w:rsidP="00F138D1">
      <w:pPr>
        <w:pStyle w:val="BodyText"/>
        <w:rPr>
          <w:lang w:val="en-GB"/>
        </w:rPr>
      </w:pPr>
      <w:r w:rsidRPr="00F138D1">
        <w:rPr>
          <w:lang w:val="en-GB"/>
        </w:rPr>
        <w:t xml:space="preserve">To be eligible to apply for the Package, </w:t>
      </w:r>
      <w:r w:rsidRPr="005554F3">
        <w:rPr>
          <w:b/>
          <w:bCs/>
          <w:lang w:val="en-GB"/>
        </w:rPr>
        <w:t>an applicant business must</w:t>
      </w:r>
      <w:r w:rsidRPr="00F138D1">
        <w:rPr>
          <w:lang w:val="en-GB"/>
        </w:rPr>
        <w:t>:</w:t>
      </w:r>
    </w:p>
    <w:p w14:paraId="3565019A" w14:textId="3F8CA63B" w:rsidR="00F138D1" w:rsidRPr="00F138D1" w:rsidRDefault="00515813" w:rsidP="00515813">
      <w:pPr>
        <w:pStyle w:val="Listparagrapha"/>
        <w:numPr>
          <w:ilvl w:val="0"/>
          <w:numId w:val="0"/>
        </w:numPr>
        <w:tabs>
          <w:tab w:val="left" w:pos="426"/>
        </w:tabs>
        <w:rPr>
          <w:lang w:val="en-GB"/>
        </w:rPr>
      </w:pPr>
      <w:r>
        <w:rPr>
          <w:lang w:val="en-GB"/>
        </w:rPr>
        <w:t>a.</w:t>
      </w:r>
      <w:r w:rsidR="005554F3">
        <w:rPr>
          <w:lang w:val="en-GB"/>
        </w:rPr>
        <w:tab/>
      </w:r>
      <w:r w:rsidR="00F138D1" w:rsidRPr="00F138D1">
        <w:rPr>
          <w:lang w:val="en-GB"/>
        </w:rPr>
        <w:t>be one of the following:</w:t>
      </w:r>
    </w:p>
    <w:p w14:paraId="7EFB2E29" w14:textId="52A17EFF" w:rsidR="00F138D1" w:rsidRPr="00F138D1" w:rsidRDefault="00515813" w:rsidP="005554F3">
      <w:pPr>
        <w:pStyle w:val="BodyText"/>
        <w:tabs>
          <w:tab w:val="left" w:pos="1134"/>
        </w:tabs>
        <w:ind w:left="738" w:hanging="284"/>
        <w:rPr>
          <w:lang w:val="en-GB"/>
        </w:rPr>
      </w:pPr>
      <w:proofErr w:type="spellStart"/>
      <w:r>
        <w:rPr>
          <w:lang w:val="en-GB"/>
        </w:rPr>
        <w:t>i</w:t>
      </w:r>
      <w:proofErr w:type="spellEnd"/>
      <w:r>
        <w:rPr>
          <w:lang w:val="en-GB"/>
        </w:rPr>
        <w:t>.</w:t>
      </w:r>
      <w:r>
        <w:rPr>
          <w:lang w:val="en-GB"/>
        </w:rPr>
        <w:tab/>
      </w:r>
      <w:r w:rsidR="00F138D1" w:rsidRPr="00F138D1">
        <w:rPr>
          <w:lang w:val="en-GB"/>
        </w:rPr>
        <w:t>a haulage sub-contractor who:</w:t>
      </w:r>
    </w:p>
    <w:p w14:paraId="0526C419" w14:textId="49C46A2F" w:rsidR="00F138D1" w:rsidRPr="00F138D1" w:rsidRDefault="00515813" w:rsidP="00A639B8">
      <w:pPr>
        <w:pStyle w:val="BodyText"/>
        <w:ind w:left="1134" w:hanging="397"/>
        <w:rPr>
          <w:lang w:val="en-GB"/>
        </w:rPr>
      </w:pPr>
      <w:r>
        <w:rPr>
          <w:lang w:val="en-GB"/>
        </w:rPr>
        <w:t>1.</w:t>
      </w:r>
      <w:r>
        <w:rPr>
          <w:lang w:val="en-GB"/>
        </w:rPr>
        <w:tab/>
      </w:r>
      <w:r w:rsidR="00F138D1" w:rsidRPr="00F138D1">
        <w:rPr>
          <w:lang w:val="en-GB"/>
        </w:rPr>
        <w:t xml:space="preserve">has contracted since 1 July 2020 to a business with a current </w:t>
      </w:r>
      <w:proofErr w:type="spellStart"/>
      <w:r w:rsidR="00F138D1" w:rsidRPr="00F138D1">
        <w:rPr>
          <w:lang w:val="en-GB"/>
        </w:rPr>
        <w:t>VicForests</w:t>
      </w:r>
      <w:proofErr w:type="spellEnd"/>
      <w:r w:rsidR="00F138D1" w:rsidRPr="00F138D1">
        <w:rPr>
          <w:lang w:val="en-GB"/>
        </w:rPr>
        <w:t xml:space="preserve"> harvest and/or haulage contract, and</w:t>
      </w:r>
    </w:p>
    <w:p w14:paraId="3B3DA775" w14:textId="1D236747" w:rsidR="00F138D1" w:rsidRPr="00F138D1" w:rsidRDefault="00F138D1" w:rsidP="005554F3">
      <w:pPr>
        <w:pStyle w:val="BodyText"/>
        <w:ind w:left="1134" w:hanging="397"/>
        <w:rPr>
          <w:lang w:val="en-GB"/>
        </w:rPr>
      </w:pPr>
      <w:r w:rsidRPr="00F138D1">
        <w:rPr>
          <w:lang w:val="en-GB"/>
        </w:rPr>
        <w:t>2.</w:t>
      </w:r>
      <w:r w:rsidR="00515813">
        <w:rPr>
          <w:lang w:val="en-GB"/>
        </w:rPr>
        <w:tab/>
      </w:r>
      <w:r w:rsidRPr="00F138D1">
        <w:rPr>
          <w:lang w:val="en-GB"/>
        </w:rPr>
        <w:t xml:space="preserve">has at least 50% of annual revenue derived from the business with the </w:t>
      </w:r>
      <w:proofErr w:type="spellStart"/>
      <w:r w:rsidRPr="00F138D1">
        <w:rPr>
          <w:lang w:val="en-GB"/>
        </w:rPr>
        <w:t>VicForests</w:t>
      </w:r>
      <w:proofErr w:type="spellEnd"/>
      <w:r w:rsidRPr="00F138D1">
        <w:rPr>
          <w:lang w:val="en-GB"/>
        </w:rPr>
        <w:t xml:space="preserve"> contract based on an average of the last 3 financial years; or</w:t>
      </w:r>
    </w:p>
    <w:p w14:paraId="474E0C12" w14:textId="723DDF30" w:rsidR="00F138D1" w:rsidRPr="00F138D1" w:rsidRDefault="00F138D1" w:rsidP="005554F3">
      <w:pPr>
        <w:pStyle w:val="BodyText"/>
        <w:tabs>
          <w:tab w:val="left" w:pos="1134"/>
        </w:tabs>
        <w:ind w:left="738" w:hanging="284"/>
        <w:rPr>
          <w:lang w:val="en-GB"/>
        </w:rPr>
      </w:pPr>
      <w:r w:rsidRPr="00F138D1">
        <w:rPr>
          <w:lang w:val="en-GB"/>
        </w:rPr>
        <w:t>ii.</w:t>
      </w:r>
      <w:r w:rsidRPr="00F138D1">
        <w:rPr>
          <w:lang w:val="en-GB"/>
        </w:rPr>
        <w:tab/>
        <w:t>a wood chip truck operator who:</w:t>
      </w:r>
    </w:p>
    <w:p w14:paraId="1831DCD8" w14:textId="4EF0D45C" w:rsidR="00F138D1" w:rsidRPr="00F138D1" w:rsidRDefault="00F138D1" w:rsidP="00A639B8">
      <w:pPr>
        <w:pStyle w:val="BodyText"/>
        <w:ind w:left="1134" w:hanging="397"/>
        <w:rPr>
          <w:lang w:val="en-GB"/>
        </w:rPr>
      </w:pPr>
      <w:r w:rsidRPr="00F138D1">
        <w:rPr>
          <w:lang w:val="en-GB"/>
        </w:rPr>
        <w:t>1.</w:t>
      </w:r>
      <w:r w:rsidR="005554F3">
        <w:rPr>
          <w:lang w:val="en-GB"/>
        </w:rPr>
        <w:tab/>
      </w:r>
      <w:r w:rsidRPr="00F138D1">
        <w:rPr>
          <w:lang w:val="en-GB"/>
        </w:rPr>
        <w:t xml:space="preserve">has transported hardwood woodchips from sawmills that had a Timber Sale </w:t>
      </w:r>
      <w:proofErr w:type="gramStart"/>
      <w:r w:rsidRPr="00F138D1">
        <w:rPr>
          <w:lang w:val="en-GB"/>
        </w:rPr>
        <w:t>Agreement</w:t>
      </w:r>
      <w:proofErr w:type="gramEnd"/>
      <w:r w:rsidRPr="00F138D1">
        <w:rPr>
          <w:lang w:val="en-GB"/>
        </w:rPr>
        <w:t xml:space="preserve"> or a Forest Product Licence issued by </w:t>
      </w:r>
      <w:proofErr w:type="spellStart"/>
      <w:r w:rsidRPr="00F138D1">
        <w:rPr>
          <w:lang w:val="en-GB"/>
        </w:rPr>
        <w:t>VicForests</w:t>
      </w:r>
      <w:proofErr w:type="spellEnd"/>
      <w:r w:rsidRPr="00F138D1">
        <w:rPr>
          <w:lang w:val="en-GB"/>
        </w:rPr>
        <w:t xml:space="preserve"> since 1 July 2020, and</w:t>
      </w:r>
    </w:p>
    <w:p w14:paraId="4BF1F6D3" w14:textId="080FBAD2" w:rsidR="00F138D1" w:rsidRPr="00F138D1" w:rsidRDefault="00F138D1" w:rsidP="00A639B8">
      <w:pPr>
        <w:pStyle w:val="BodyText"/>
        <w:ind w:left="1134" w:hanging="397"/>
        <w:rPr>
          <w:lang w:val="en-GB"/>
        </w:rPr>
      </w:pPr>
      <w:r w:rsidRPr="00F138D1">
        <w:rPr>
          <w:lang w:val="en-GB"/>
        </w:rPr>
        <w:t>2.</w:t>
      </w:r>
      <w:r w:rsidR="005554F3">
        <w:rPr>
          <w:lang w:val="en-GB"/>
        </w:rPr>
        <w:tab/>
      </w:r>
      <w:r w:rsidRPr="00F138D1">
        <w:rPr>
          <w:lang w:val="en-GB"/>
        </w:rPr>
        <w:t>has at least 50% of annual revenue derived from transporting hardwood woodchips from those mills based on an average of the last 3 financial years; or</w:t>
      </w:r>
    </w:p>
    <w:p w14:paraId="1C96EAE0" w14:textId="62D0DBFD" w:rsidR="00F138D1" w:rsidRPr="00F138D1" w:rsidRDefault="00F138D1" w:rsidP="00285B57">
      <w:pPr>
        <w:pStyle w:val="BodyText"/>
        <w:tabs>
          <w:tab w:val="left" w:pos="1134"/>
        </w:tabs>
        <w:ind w:left="851" w:hanging="397"/>
        <w:rPr>
          <w:lang w:val="en-GB"/>
        </w:rPr>
      </w:pPr>
      <w:r w:rsidRPr="00F138D1">
        <w:rPr>
          <w:lang w:val="en-GB"/>
        </w:rPr>
        <w:t>iii.</w:t>
      </w:r>
      <w:r w:rsidR="005554F3">
        <w:rPr>
          <w:lang w:val="en-GB"/>
        </w:rPr>
        <w:tab/>
      </w:r>
      <w:r w:rsidRPr="00F138D1">
        <w:rPr>
          <w:lang w:val="en-GB"/>
        </w:rPr>
        <w:t>a road contractor who:</w:t>
      </w:r>
    </w:p>
    <w:p w14:paraId="64BD4E44" w14:textId="1727566C" w:rsidR="00F138D1" w:rsidRPr="00F138D1" w:rsidRDefault="00F138D1" w:rsidP="00A639B8">
      <w:pPr>
        <w:pStyle w:val="BodyText"/>
        <w:ind w:left="1134" w:hanging="397"/>
        <w:rPr>
          <w:lang w:val="en-GB"/>
        </w:rPr>
      </w:pPr>
      <w:r w:rsidRPr="00F138D1">
        <w:rPr>
          <w:lang w:val="en-GB"/>
        </w:rPr>
        <w:t>1.</w:t>
      </w:r>
      <w:r w:rsidR="00A639B8">
        <w:rPr>
          <w:lang w:val="en-GB"/>
        </w:rPr>
        <w:tab/>
      </w:r>
      <w:r w:rsidRPr="00F138D1">
        <w:rPr>
          <w:lang w:val="en-GB"/>
        </w:rPr>
        <w:t xml:space="preserve">has had a contract with </w:t>
      </w:r>
      <w:proofErr w:type="spellStart"/>
      <w:r w:rsidRPr="00F138D1">
        <w:rPr>
          <w:lang w:val="en-GB"/>
        </w:rPr>
        <w:t>VicForests</w:t>
      </w:r>
      <w:proofErr w:type="spellEnd"/>
      <w:r w:rsidRPr="00F138D1">
        <w:rPr>
          <w:lang w:val="en-GB"/>
        </w:rPr>
        <w:t xml:space="preserve"> since 1 July 2020, and</w:t>
      </w:r>
    </w:p>
    <w:p w14:paraId="4D707E10" w14:textId="5B2B2FB2" w:rsidR="00F138D1" w:rsidRPr="00F138D1" w:rsidRDefault="00F138D1" w:rsidP="00A639B8">
      <w:pPr>
        <w:pStyle w:val="BodyText"/>
        <w:ind w:left="1134" w:hanging="397"/>
        <w:rPr>
          <w:lang w:val="en-GB"/>
        </w:rPr>
      </w:pPr>
      <w:r w:rsidRPr="00F138D1">
        <w:rPr>
          <w:lang w:val="en-GB"/>
        </w:rPr>
        <w:t>2.</w:t>
      </w:r>
      <w:r w:rsidR="00A639B8">
        <w:rPr>
          <w:lang w:val="en-GB"/>
        </w:rPr>
        <w:tab/>
      </w:r>
      <w:r w:rsidRPr="00F138D1">
        <w:rPr>
          <w:lang w:val="en-GB"/>
        </w:rPr>
        <w:t xml:space="preserve">has at least 50% of annual revenue derived from the </w:t>
      </w:r>
      <w:proofErr w:type="spellStart"/>
      <w:r w:rsidRPr="00F138D1">
        <w:rPr>
          <w:lang w:val="en-GB"/>
        </w:rPr>
        <w:t>VicForests</w:t>
      </w:r>
      <w:proofErr w:type="spellEnd"/>
      <w:r w:rsidRPr="00F138D1">
        <w:rPr>
          <w:lang w:val="en-GB"/>
        </w:rPr>
        <w:t xml:space="preserve"> contract based on an average of the last 3 financial years; or</w:t>
      </w:r>
    </w:p>
    <w:p w14:paraId="6FA11336" w14:textId="6EF93925" w:rsidR="00F138D1" w:rsidRPr="00F138D1" w:rsidRDefault="00F138D1" w:rsidP="00285B57">
      <w:pPr>
        <w:pStyle w:val="BodyText"/>
        <w:ind w:left="851" w:hanging="397"/>
        <w:rPr>
          <w:lang w:val="en-GB"/>
        </w:rPr>
      </w:pPr>
      <w:r w:rsidRPr="00F138D1">
        <w:rPr>
          <w:lang w:val="en-GB"/>
        </w:rPr>
        <w:t>iv.</w:t>
      </w:r>
      <w:r w:rsidR="00285B57">
        <w:rPr>
          <w:lang w:val="en-GB"/>
        </w:rPr>
        <w:tab/>
      </w:r>
      <w:r w:rsidRPr="00F138D1">
        <w:rPr>
          <w:lang w:val="en-GB"/>
        </w:rPr>
        <w:t xml:space="preserve">a seed-collector who has at least 50% of annual revenue derived from the </w:t>
      </w:r>
      <w:proofErr w:type="spellStart"/>
      <w:r w:rsidRPr="00F138D1">
        <w:rPr>
          <w:lang w:val="en-GB"/>
        </w:rPr>
        <w:t>VicForests</w:t>
      </w:r>
      <w:proofErr w:type="spellEnd"/>
      <w:r w:rsidRPr="00F138D1">
        <w:rPr>
          <w:lang w:val="en-GB"/>
        </w:rPr>
        <w:t xml:space="preserve"> contract based on an average of the last 3 financial years; or</w:t>
      </w:r>
    </w:p>
    <w:p w14:paraId="116AF1EF" w14:textId="6A122418" w:rsidR="00F138D1" w:rsidRPr="00F138D1" w:rsidRDefault="00F138D1" w:rsidP="00285B57">
      <w:pPr>
        <w:pStyle w:val="BodyText"/>
        <w:ind w:left="851" w:hanging="397"/>
        <w:rPr>
          <w:lang w:val="en-GB"/>
        </w:rPr>
      </w:pPr>
      <w:r w:rsidRPr="00F138D1">
        <w:rPr>
          <w:lang w:val="en-GB"/>
        </w:rPr>
        <w:t>v.</w:t>
      </w:r>
      <w:r w:rsidR="00285B57">
        <w:rPr>
          <w:lang w:val="en-GB"/>
        </w:rPr>
        <w:tab/>
      </w:r>
      <w:r w:rsidRPr="00F138D1">
        <w:rPr>
          <w:lang w:val="en-GB"/>
        </w:rPr>
        <w:t xml:space="preserve">a business undertaking forest-based activities which has had at least 50% of annual revenue derived from a </w:t>
      </w:r>
      <w:proofErr w:type="spellStart"/>
      <w:r w:rsidRPr="00F138D1">
        <w:rPr>
          <w:lang w:val="en-GB"/>
        </w:rPr>
        <w:t>VicForests</w:t>
      </w:r>
      <w:proofErr w:type="spellEnd"/>
      <w:r w:rsidRPr="00F138D1">
        <w:rPr>
          <w:lang w:val="en-GB"/>
        </w:rPr>
        <w:t xml:space="preserve"> contract based on an average of the last 3 financial years.</w:t>
      </w:r>
    </w:p>
    <w:p w14:paraId="4ED02648" w14:textId="1BD2F381" w:rsidR="00F138D1" w:rsidRPr="00515813" w:rsidRDefault="00F138D1" w:rsidP="009815F4">
      <w:pPr>
        <w:pStyle w:val="Listparagrapha"/>
        <w:numPr>
          <w:ilvl w:val="0"/>
          <w:numId w:val="18"/>
        </w:numPr>
        <w:rPr>
          <w:lang w:val="en-GB"/>
        </w:rPr>
      </w:pPr>
      <w:r w:rsidRPr="00515813">
        <w:rPr>
          <w:lang w:val="en-GB"/>
        </w:rPr>
        <w:t>hold a current registered Australian Business Number (ABN); and</w:t>
      </w:r>
    </w:p>
    <w:p w14:paraId="2259646F" w14:textId="06D46E10" w:rsidR="00F138D1" w:rsidRPr="00F138D1" w:rsidRDefault="00F138D1" w:rsidP="00F138D1">
      <w:pPr>
        <w:pStyle w:val="Listparagrapha"/>
        <w:rPr>
          <w:lang w:val="en-GB"/>
        </w:rPr>
      </w:pPr>
      <w:r w:rsidRPr="00F138D1">
        <w:rPr>
          <w:lang w:val="en-GB"/>
        </w:rPr>
        <w:t>be conducting business operations within Victoria; and</w:t>
      </w:r>
    </w:p>
    <w:p w14:paraId="67B072E0" w14:textId="18935857" w:rsidR="00F138D1" w:rsidRPr="00515813" w:rsidRDefault="00F138D1" w:rsidP="00F138D1">
      <w:pPr>
        <w:pStyle w:val="Listparagrapha"/>
        <w:rPr>
          <w:lang w:val="en-GB"/>
        </w:rPr>
      </w:pPr>
      <w:r w:rsidRPr="00F138D1">
        <w:rPr>
          <w:lang w:val="en-GB"/>
        </w:rPr>
        <w:t>provide a statutory declaration that they will meet all industrial relations obligations as an employer in accordance with the National Employment Standards under the Fair Work Act 2009 (</w:t>
      </w:r>
      <w:proofErr w:type="spellStart"/>
      <w:r w:rsidRPr="00F138D1">
        <w:rPr>
          <w:lang w:val="en-GB"/>
        </w:rPr>
        <w:t>Cth</w:t>
      </w:r>
      <w:proofErr w:type="spellEnd"/>
      <w:r w:rsidRPr="00F138D1">
        <w:rPr>
          <w:lang w:val="en-GB"/>
        </w:rPr>
        <w:t>) and the applicable Award, such as the Timber Industry Award.</w:t>
      </w:r>
    </w:p>
    <w:p w14:paraId="7733F8E0" w14:textId="77777777" w:rsidR="00F138D1" w:rsidRPr="00F138D1" w:rsidRDefault="00F138D1" w:rsidP="00F138D1">
      <w:pPr>
        <w:pStyle w:val="BodyText"/>
        <w:rPr>
          <w:lang w:val="en-GB"/>
        </w:rPr>
      </w:pPr>
      <w:r w:rsidRPr="00F138D1">
        <w:rPr>
          <w:lang w:val="en-GB"/>
        </w:rPr>
        <w:lastRenderedPageBreak/>
        <w:t xml:space="preserve">If a haulage sub-contractor, wood chip truck operator, road contractor, seed collector, or other impacted business cannot demonstrate the 50 per cent revenue condition of their eligibility criterion due to the structure of their business, they can submit a statutory declaration that declares that the relevant portion of the business has at least 50 per cent of annual revenue derived from a contract with </w:t>
      </w:r>
      <w:proofErr w:type="spellStart"/>
      <w:r w:rsidRPr="00F138D1">
        <w:rPr>
          <w:lang w:val="en-GB"/>
        </w:rPr>
        <w:t>VicForests</w:t>
      </w:r>
      <w:proofErr w:type="spellEnd"/>
      <w:r w:rsidRPr="00F138D1">
        <w:rPr>
          <w:lang w:val="en-GB"/>
        </w:rPr>
        <w:t xml:space="preserve"> or a business with a contract with </w:t>
      </w:r>
      <w:proofErr w:type="spellStart"/>
      <w:r w:rsidRPr="00F138D1">
        <w:rPr>
          <w:lang w:val="en-GB"/>
        </w:rPr>
        <w:t>VicForests</w:t>
      </w:r>
      <w:proofErr w:type="spellEnd"/>
      <w:r w:rsidRPr="00F138D1">
        <w:rPr>
          <w:lang w:val="en-GB"/>
        </w:rPr>
        <w:t>.</w:t>
      </w:r>
    </w:p>
    <w:p w14:paraId="1FDFB318" w14:textId="77777777" w:rsidR="00F138D1" w:rsidRPr="00F138D1" w:rsidRDefault="00F138D1" w:rsidP="00285B57">
      <w:pPr>
        <w:pStyle w:val="Heading2"/>
      </w:pPr>
      <w:bookmarkStart w:id="2" w:name="_Toc152945456"/>
      <w:r w:rsidRPr="00F138D1">
        <w:t>What are the funding details?</w:t>
      </w:r>
      <w:bookmarkEnd w:id="2"/>
    </w:p>
    <w:p w14:paraId="63E67403" w14:textId="77777777" w:rsidR="00F138D1" w:rsidRPr="00F138D1" w:rsidRDefault="00F138D1" w:rsidP="00F138D1">
      <w:pPr>
        <w:pStyle w:val="BodyText"/>
        <w:rPr>
          <w:lang w:val="en-GB"/>
        </w:rPr>
      </w:pPr>
      <w:r w:rsidRPr="00F138D1">
        <w:rPr>
          <w:lang w:val="en-GB"/>
        </w:rPr>
        <w:t>The Package comprises two components:</w:t>
      </w:r>
    </w:p>
    <w:p w14:paraId="1AFD7E32" w14:textId="7B719F38" w:rsidR="00F138D1" w:rsidRPr="00F138D1" w:rsidRDefault="004554EA" w:rsidP="004554EA">
      <w:pPr>
        <w:pStyle w:val="ListNumber"/>
        <w:numPr>
          <w:ilvl w:val="0"/>
          <w:numId w:val="0"/>
        </w:numPr>
        <w:ind w:left="357" w:hanging="357"/>
        <w:rPr>
          <w:lang w:val="en-GB"/>
        </w:rPr>
      </w:pPr>
      <w:r w:rsidRPr="004554EA">
        <w:rPr>
          <w:lang w:val="en-GB"/>
        </w:rPr>
        <w:t>1.</w:t>
      </w:r>
      <w:r w:rsidRPr="004554EA">
        <w:rPr>
          <w:lang w:val="en-GB"/>
        </w:rPr>
        <w:tab/>
      </w:r>
      <w:r w:rsidR="00F138D1" w:rsidRPr="00285B57">
        <w:rPr>
          <w:b/>
          <w:bCs/>
          <w:lang w:val="en-GB"/>
        </w:rPr>
        <w:t>Plant and equipment compensation</w:t>
      </w:r>
      <w:r w:rsidR="00F138D1" w:rsidRPr="00F138D1">
        <w:rPr>
          <w:lang w:val="en-GB"/>
        </w:rPr>
        <w:t xml:space="preserve"> – a payment to compensate</w:t>
      </w:r>
      <w:r w:rsidR="00F138D1" w:rsidRPr="00E83CE8">
        <w:rPr>
          <w:lang w:val="en-GB"/>
        </w:rPr>
        <w:t xml:space="preserve"> </w:t>
      </w:r>
      <w:r w:rsidR="009815F4" w:rsidRPr="00E83CE8">
        <w:rPr>
          <w:rStyle w:val="ui-provider"/>
        </w:rPr>
        <w:t xml:space="preserve">the loss of value of plant and equipment used for forest management purposes or the harvest and/or haulage of logs or timber residues </w:t>
      </w:r>
      <w:r w:rsidR="00F138D1" w:rsidRPr="00F138D1">
        <w:rPr>
          <w:lang w:val="en-GB"/>
        </w:rPr>
        <w:t>from Victorian State forests</w:t>
      </w:r>
    </w:p>
    <w:p w14:paraId="09DEF53F" w14:textId="178D21E2" w:rsidR="00F138D1" w:rsidRPr="00F138D1" w:rsidRDefault="004554EA" w:rsidP="004554EA">
      <w:pPr>
        <w:pStyle w:val="ListNumber"/>
        <w:numPr>
          <w:ilvl w:val="0"/>
          <w:numId w:val="0"/>
        </w:numPr>
        <w:ind w:left="357" w:hanging="357"/>
        <w:rPr>
          <w:lang w:val="en-GB"/>
        </w:rPr>
      </w:pPr>
      <w:r w:rsidRPr="004554EA">
        <w:rPr>
          <w:lang w:val="en-GB"/>
        </w:rPr>
        <w:t>2.</w:t>
      </w:r>
      <w:r w:rsidRPr="004554EA">
        <w:rPr>
          <w:lang w:val="en-GB"/>
        </w:rPr>
        <w:tab/>
      </w:r>
      <w:r w:rsidR="00F138D1" w:rsidRPr="00285B57">
        <w:rPr>
          <w:b/>
          <w:bCs/>
          <w:lang w:val="en-GB"/>
        </w:rPr>
        <w:t>Reimbursement of employee statutory redundancy payments</w:t>
      </w:r>
      <w:r w:rsidR="00F138D1" w:rsidRPr="00F138D1">
        <w:rPr>
          <w:lang w:val="en-GB"/>
        </w:rPr>
        <w:t xml:space="preserve"> – a payment to reimburse any employee statutory redundancy payments paid by the business.</w:t>
      </w:r>
    </w:p>
    <w:p w14:paraId="49732463" w14:textId="77777777" w:rsidR="00F138D1" w:rsidRPr="00F138D1" w:rsidRDefault="00F138D1" w:rsidP="00285B57">
      <w:pPr>
        <w:pStyle w:val="Heading2"/>
      </w:pPr>
      <w:bookmarkStart w:id="3" w:name="_Toc152945457"/>
      <w:r w:rsidRPr="00F138D1">
        <w:t xml:space="preserve">Component 1: Plant and </w:t>
      </w:r>
      <w:r w:rsidRPr="00285B57">
        <w:t>equipment</w:t>
      </w:r>
      <w:r w:rsidRPr="00F138D1">
        <w:t xml:space="preserve"> compensation</w:t>
      </w:r>
      <w:bookmarkEnd w:id="3"/>
    </w:p>
    <w:p w14:paraId="6147D423" w14:textId="5415D5EB" w:rsidR="00F138D1" w:rsidRPr="00F138D1" w:rsidRDefault="00F138D1" w:rsidP="00F138D1">
      <w:pPr>
        <w:pStyle w:val="BodyText"/>
        <w:rPr>
          <w:lang w:val="en-GB"/>
        </w:rPr>
      </w:pPr>
      <w:r w:rsidRPr="00F138D1">
        <w:rPr>
          <w:lang w:val="en-GB"/>
        </w:rPr>
        <w:t xml:space="preserve">The Department </w:t>
      </w:r>
      <w:r w:rsidR="009815F4" w:rsidRPr="00E83CE8">
        <w:rPr>
          <w:rStyle w:val="ui-provider"/>
        </w:rPr>
        <w:t>will compensate the business on the loss of value of plant and equipment used for forest management purposes or the harvest and/or haulage of logs or timber residues up to a cap of $1 million.</w:t>
      </w:r>
    </w:p>
    <w:p w14:paraId="1BA22B51" w14:textId="77777777" w:rsidR="00F138D1" w:rsidRPr="00F138D1" w:rsidRDefault="00F138D1" w:rsidP="00F138D1">
      <w:pPr>
        <w:pStyle w:val="BodyText"/>
        <w:rPr>
          <w:lang w:val="en-GB"/>
        </w:rPr>
      </w:pPr>
      <w:r w:rsidRPr="00F138D1">
        <w:rPr>
          <w:lang w:val="en-GB"/>
        </w:rPr>
        <w:t>The Department will engage the Valuer-General Victoria to assess each eligible piece of plant and equipment under two valuation scenarios:</w:t>
      </w:r>
    </w:p>
    <w:p w14:paraId="37648BC8" w14:textId="77777777" w:rsidR="00F138D1" w:rsidRPr="00F138D1" w:rsidRDefault="00F138D1" w:rsidP="004554EA">
      <w:pPr>
        <w:pStyle w:val="ListBullet"/>
        <w:rPr>
          <w:lang w:val="en-GB"/>
        </w:rPr>
      </w:pPr>
      <w:r w:rsidRPr="00F138D1">
        <w:rPr>
          <w:lang w:val="en-GB"/>
        </w:rPr>
        <w:t>Valuation scenario 1 – 2020 assumed market sentiment – that is, the assessed value of the asset based on its current condition (wear and tear) and assuming the market conditions if the decision to cease timber harvesting by 1 January 2024 had not been made (</w:t>
      </w:r>
      <w:proofErr w:type="spellStart"/>
      <w:r w:rsidRPr="00F138D1">
        <w:rPr>
          <w:lang w:val="en-GB"/>
        </w:rPr>
        <w:t>i.e</w:t>
      </w:r>
      <w:proofErr w:type="spellEnd"/>
      <w:r w:rsidRPr="00F138D1">
        <w:rPr>
          <w:lang w:val="en-GB"/>
        </w:rPr>
        <w:t>, assuming a 2030 industry closure)</w:t>
      </w:r>
    </w:p>
    <w:p w14:paraId="27534AD4" w14:textId="77777777" w:rsidR="00F138D1" w:rsidRPr="00F138D1" w:rsidRDefault="00F138D1" w:rsidP="00515813">
      <w:pPr>
        <w:pStyle w:val="ListBullet"/>
        <w:rPr>
          <w:lang w:val="en-GB"/>
        </w:rPr>
      </w:pPr>
      <w:r w:rsidRPr="00F138D1">
        <w:rPr>
          <w:lang w:val="en-GB"/>
        </w:rPr>
        <w:t>Valuation scenario 2 – 2023 market – that is, the value of the asset in today’s market.</w:t>
      </w:r>
    </w:p>
    <w:p w14:paraId="3846DF0E" w14:textId="28EFB61E" w:rsidR="004554EA" w:rsidRDefault="00F138D1" w:rsidP="004554EA">
      <w:pPr>
        <w:pStyle w:val="ListBullet"/>
        <w:rPr>
          <w:lang w:val="en-GB"/>
        </w:rPr>
      </w:pPr>
      <w:r w:rsidRPr="00F138D1">
        <w:rPr>
          <w:lang w:val="en-GB"/>
        </w:rPr>
        <w:t>Subject to this valuation process, for each piece of eligible plant and equipment, the Department will pay the difference between the Valuation Scenario 1 value and the Valuation Scenario 2 value. If the Valuation Scenario 2 value is greater than the Valuation Scenario 1 value for a piece of plant or equipment, the Department will not make a payment.</w:t>
      </w:r>
    </w:p>
    <w:p w14:paraId="0F2A5579" w14:textId="77777777" w:rsidR="004554EA" w:rsidRDefault="004554EA">
      <w:pPr>
        <w:suppressAutoHyphens w:val="0"/>
        <w:spacing w:after="160"/>
        <w:rPr>
          <w:rFonts w:cs="Times New Roman (Body CS)"/>
          <w:kern w:val="24"/>
          <w:lang w:val="en-GB"/>
        </w:rPr>
      </w:pPr>
      <w:r>
        <w:rPr>
          <w:lang w:val="en-GB"/>
        </w:rPr>
        <w:br w:type="page"/>
      </w:r>
    </w:p>
    <w:p w14:paraId="2C9E2909" w14:textId="77777777" w:rsidR="00F138D1" w:rsidRPr="00F138D1" w:rsidRDefault="00F138D1" w:rsidP="00F138D1">
      <w:pPr>
        <w:pStyle w:val="BodyText"/>
        <w:rPr>
          <w:lang w:val="en-GB"/>
        </w:rPr>
      </w:pPr>
      <w:r w:rsidRPr="00F138D1">
        <w:rPr>
          <w:lang w:val="en-GB"/>
        </w:rPr>
        <w:lastRenderedPageBreak/>
        <w:t>For example:</w:t>
      </w:r>
    </w:p>
    <w:p w14:paraId="72A0B2B2" w14:textId="197094EB" w:rsidR="001D3828" w:rsidRDefault="001D3828" w:rsidP="001D3828">
      <w:pPr>
        <w:pStyle w:val="Caption"/>
        <w:keepNext/>
      </w:pPr>
      <w:r>
        <w:t xml:space="preserve">Table </w:t>
      </w:r>
      <w:r w:rsidR="002D7EF6">
        <w:fldChar w:fldCharType="begin"/>
      </w:r>
      <w:r w:rsidR="002D7EF6">
        <w:instrText xml:space="preserve"> SEQ Table \* ARABIC </w:instrText>
      </w:r>
      <w:r w:rsidR="002D7EF6">
        <w:fldChar w:fldCharType="separate"/>
      </w:r>
      <w:r>
        <w:rPr>
          <w:noProof/>
        </w:rPr>
        <w:t>1</w:t>
      </w:r>
      <w:r w:rsidR="002D7EF6">
        <w:rPr>
          <w:noProof/>
        </w:rPr>
        <w:fldChar w:fldCharType="end"/>
      </w:r>
      <w:r>
        <w:t>: Example of p</w:t>
      </w:r>
      <w:r w:rsidRPr="006B4EAC">
        <w:t>lant and equipment compensation</w:t>
      </w:r>
    </w:p>
    <w:tbl>
      <w:tblPr>
        <w:tblStyle w:val="TableGrid"/>
        <w:tblW w:w="9865" w:type="dxa"/>
        <w:tblLayout w:type="fixed"/>
        <w:tblLook w:val="0020" w:firstRow="1" w:lastRow="0" w:firstColumn="0" w:lastColumn="0" w:noHBand="0" w:noVBand="0"/>
      </w:tblPr>
      <w:tblGrid>
        <w:gridCol w:w="1129"/>
        <w:gridCol w:w="2840"/>
        <w:gridCol w:w="2830"/>
        <w:gridCol w:w="1560"/>
        <w:gridCol w:w="1506"/>
      </w:tblGrid>
      <w:tr w:rsidR="00F138D1" w:rsidRPr="00285B57" w14:paraId="497E513F" w14:textId="77777777" w:rsidTr="001D3828">
        <w:trPr>
          <w:trHeight w:val="981"/>
          <w:tblHeader/>
        </w:trPr>
        <w:tc>
          <w:tcPr>
            <w:tcW w:w="1129" w:type="dxa"/>
          </w:tcPr>
          <w:p w14:paraId="4A99108A" w14:textId="77777777" w:rsidR="00F138D1" w:rsidRPr="00285B57" w:rsidRDefault="00F138D1" w:rsidP="00285B57">
            <w:pPr>
              <w:pStyle w:val="Tabletext"/>
            </w:pPr>
          </w:p>
        </w:tc>
        <w:tc>
          <w:tcPr>
            <w:tcW w:w="2840" w:type="dxa"/>
          </w:tcPr>
          <w:p w14:paraId="6D1C68E7" w14:textId="77777777" w:rsidR="00F138D1" w:rsidRPr="00285B57" w:rsidRDefault="00F138D1" w:rsidP="002F0246">
            <w:pPr>
              <w:pStyle w:val="Tabletext"/>
              <w:spacing w:before="80"/>
              <w:rPr>
                <w:b/>
                <w:bCs/>
              </w:rPr>
            </w:pPr>
            <w:r w:rsidRPr="00285B57">
              <w:rPr>
                <w:b/>
                <w:bCs/>
              </w:rPr>
              <w:t>Valuation Scenario 1</w:t>
            </w:r>
            <w:r w:rsidRPr="00285B57">
              <w:rPr>
                <w:b/>
                <w:bCs/>
              </w:rPr>
              <w:br/>
              <w:t>Value assuming 2020 market sentiment</w:t>
            </w:r>
          </w:p>
        </w:tc>
        <w:tc>
          <w:tcPr>
            <w:tcW w:w="2830" w:type="dxa"/>
          </w:tcPr>
          <w:p w14:paraId="75F15FE6" w14:textId="77777777" w:rsidR="00F138D1" w:rsidRPr="00285B57" w:rsidRDefault="00F138D1" w:rsidP="002F0246">
            <w:pPr>
              <w:pStyle w:val="Tabletext"/>
              <w:spacing w:before="80"/>
              <w:rPr>
                <w:b/>
                <w:bCs/>
              </w:rPr>
            </w:pPr>
            <w:r w:rsidRPr="00285B57">
              <w:rPr>
                <w:b/>
                <w:bCs/>
              </w:rPr>
              <w:t>Valuation Scenario 2</w:t>
            </w:r>
            <w:r w:rsidRPr="00285B57">
              <w:rPr>
                <w:b/>
                <w:bCs/>
              </w:rPr>
              <w:br/>
              <w:t>Value in 2023 market</w:t>
            </w:r>
          </w:p>
        </w:tc>
        <w:tc>
          <w:tcPr>
            <w:tcW w:w="1560" w:type="dxa"/>
          </w:tcPr>
          <w:p w14:paraId="47F8EFAB" w14:textId="77777777" w:rsidR="00F138D1" w:rsidRPr="00285B57" w:rsidRDefault="00F138D1" w:rsidP="002F0246">
            <w:pPr>
              <w:pStyle w:val="Tabletext"/>
              <w:spacing w:before="80"/>
              <w:rPr>
                <w:b/>
                <w:bCs/>
              </w:rPr>
            </w:pPr>
            <w:r w:rsidRPr="00285B57">
              <w:rPr>
                <w:b/>
                <w:bCs/>
              </w:rPr>
              <w:t xml:space="preserve">Projected </w:t>
            </w:r>
            <w:r w:rsidRPr="00285B57">
              <w:rPr>
                <w:b/>
                <w:bCs/>
              </w:rPr>
              <w:br/>
              <w:t>loss on sale</w:t>
            </w:r>
          </w:p>
        </w:tc>
        <w:tc>
          <w:tcPr>
            <w:tcW w:w="1506" w:type="dxa"/>
          </w:tcPr>
          <w:p w14:paraId="340F495D" w14:textId="77777777" w:rsidR="00F138D1" w:rsidRPr="00285B57" w:rsidRDefault="00F138D1" w:rsidP="002F0246">
            <w:pPr>
              <w:pStyle w:val="Tabletext"/>
              <w:spacing w:before="80"/>
              <w:rPr>
                <w:b/>
                <w:bCs/>
              </w:rPr>
            </w:pPr>
            <w:r w:rsidRPr="00285B57">
              <w:rPr>
                <w:b/>
                <w:bCs/>
              </w:rPr>
              <w:t>DEECA payment</w:t>
            </w:r>
          </w:p>
        </w:tc>
      </w:tr>
      <w:tr w:rsidR="00F138D1" w:rsidRPr="00285B57" w14:paraId="2600FB5A" w14:textId="77777777" w:rsidTr="00285B57">
        <w:trPr>
          <w:trHeight w:val="510"/>
        </w:trPr>
        <w:tc>
          <w:tcPr>
            <w:tcW w:w="1129" w:type="dxa"/>
            <w:vAlign w:val="center"/>
          </w:tcPr>
          <w:p w14:paraId="0DFFBD46" w14:textId="77777777" w:rsidR="00F138D1" w:rsidRPr="004554EA" w:rsidRDefault="00F138D1" w:rsidP="00285B57">
            <w:pPr>
              <w:pStyle w:val="Tabletext"/>
              <w:rPr>
                <w:b/>
                <w:bCs/>
              </w:rPr>
            </w:pPr>
            <w:r w:rsidRPr="004554EA">
              <w:rPr>
                <w:b/>
                <w:bCs/>
              </w:rPr>
              <w:t>Asset 1</w:t>
            </w:r>
          </w:p>
        </w:tc>
        <w:tc>
          <w:tcPr>
            <w:tcW w:w="2840" w:type="dxa"/>
            <w:vAlign w:val="center"/>
          </w:tcPr>
          <w:p w14:paraId="270CE2AD" w14:textId="77777777" w:rsidR="00F138D1" w:rsidRPr="00285B57" w:rsidRDefault="00F138D1" w:rsidP="00285B57">
            <w:pPr>
              <w:pStyle w:val="Tabletext"/>
            </w:pPr>
            <w:r w:rsidRPr="00285B57">
              <w:t>$250,000</w:t>
            </w:r>
          </w:p>
        </w:tc>
        <w:tc>
          <w:tcPr>
            <w:tcW w:w="2830" w:type="dxa"/>
            <w:vAlign w:val="center"/>
          </w:tcPr>
          <w:p w14:paraId="3460BBD3" w14:textId="77777777" w:rsidR="00F138D1" w:rsidRPr="00285B57" w:rsidRDefault="00F138D1" w:rsidP="00285B57">
            <w:pPr>
              <w:pStyle w:val="Tabletext"/>
            </w:pPr>
            <w:r w:rsidRPr="00285B57">
              <w:t>$20,000</w:t>
            </w:r>
          </w:p>
        </w:tc>
        <w:tc>
          <w:tcPr>
            <w:tcW w:w="1560" w:type="dxa"/>
            <w:vAlign w:val="center"/>
          </w:tcPr>
          <w:p w14:paraId="7E12513C" w14:textId="77777777" w:rsidR="00F138D1" w:rsidRPr="00285B57" w:rsidRDefault="00F138D1" w:rsidP="00285B57">
            <w:pPr>
              <w:pStyle w:val="Tabletext"/>
            </w:pPr>
            <w:r w:rsidRPr="00285B57">
              <w:t>$230,000</w:t>
            </w:r>
          </w:p>
        </w:tc>
        <w:tc>
          <w:tcPr>
            <w:tcW w:w="1506" w:type="dxa"/>
            <w:vAlign w:val="center"/>
          </w:tcPr>
          <w:p w14:paraId="1FC364DB" w14:textId="77777777" w:rsidR="00F138D1" w:rsidRPr="00285B57" w:rsidRDefault="00F138D1" w:rsidP="00285B57">
            <w:pPr>
              <w:pStyle w:val="Tabletext"/>
            </w:pPr>
            <w:r w:rsidRPr="00285B57">
              <w:t>$230,000</w:t>
            </w:r>
          </w:p>
        </w:tc>
      </w:tr>
      <w:tr w:rsidR="00F138D1" w:rsidRPr="00285B57" w14:paraId="330F30BD" w14:textId="77777777" w:rsidTr="00285B57">
        <w:trPr>
          <w:trHeight w:val="510"/>
        </w:trPr>
        <w:tc>
          <w:tcPr>
            <w:tcW w:w="1129" w:type="dxa"/>
            <w:vAlign w:val="center"/>
          </w:tcPr>
          <w:p w14:paraId="0EB784B7" w14:textId="77777777" w:rsidR="00F138D1" w:rsidRPr="004554EA" w:rsidRDefault="00F138D1" w:rsidP="00285B57">
            <w:pPr>
              <w:pStyle w:val="Tabletext"/>
              <w:rPr>
                <w:b/>
                <w:bCs/>
              </w:rPr>
            </w:pPr>
            <w:r w:rsidRPr="004554EA">
              <w:rPr>
                <w:b/>
                <w:bCs/>
              </w:rPr>
              <w:t>Asset 2</w:t>
            </w:r>
          </w:p>
        </w:tc>
        <w:tc>
          <w:tcPr>
            <w:tcW w:w="2840" w:type="dxa"/>
            <w:vAlign w:val="center"/>
          </w:tcPr>
          <w:p w14:paraId="316B0BDD" w14:textId="77777777" w:rsidR="00F138D1" w:rsidRPr="00285B57" w:rsidRDefault="00F138D1" w:rsidP="00285B57">
            <w:pPr>
              <w:pStyle w:val="Tabletext"/>
            </w:pPr>
            <w:r w:rsidRPr="00285B57">
              <w:t>$100,000</w:t>
            </w:r>
          </w:p>
        </w:tc>
        <w:tc>
          <w:tcPr>
            <w:tcW w:w="2830" w:type="dxa"/>
            <w:vAlign w:val="center"/>
          </w:tcPr>
          <w:p w14:paraId="72B2FDA4" w14:textId="77777777" w:rsidR="00F138D1" w:rsidRPr="00285B57" w:rsidRDefault="00F138D1" w:rsidP="00285B57">
            <w:pPr>
              <w:pStyle w:val="Tabletext"/>
            </w:pPr>
            <w:r w:rsidRPr="00285B57">
              <w:t>$80,000</w:t>
            </w:r>
          </w:p>
        </w:tc>
        <w:tc>
          <w:tcPr>
            <w:tcW w:w="1560" w:type="dxa"/>
            <w:vAlign w:val="center"/>
          </w:tcPr>
          <w:p w14:paraId="57B96D0B" w14:textId="77777777" w:rsidR="00F138D1" w:rsidRPr="00285B57" w:rsidRDefault="00F138D1" w:rsidP="00285B57">
            <w:pPr>
              <w:pStyle w:val="Tabletext"/>
            </w:pPr>
            <w:r w:rsidRPr="00285B57">
              <w:t>$20,000</w:t>
            </w:r>
          </w:p>
        </w:tc>
        <w:tc>
          <w:tcPr>
            <w:tcW w:w="1506" w:type="dxa"/>
            <w:vAlign w:val="center"/>
          </w:tcPr>
          <w:p w14:paraId="7F99318F" w14:textId="77777777" w:rsidR="00F138D1" w:rsidRPr="00285B57" w:rsidRDefault="00F138D1" w:rsidP="00285B57">
            <w:pPr>
              <w:pStyle w:val="Tabletext"/>
            </w:pPr>
            <w:r w:rsidRPr="00285B57">
              <w:t>$20,000</w:t>
            </w:r>
          </w:p>
        </w:tc>
      </w:tr>
      <w:tr w:rsidR="00F138D1" w:rsidRPr="00285B57" w14:paraId="035E29AA" w14:textId="77777777" w:rsidTr="00285B57">
        <w:trPr>
          <w:trHeight w:val="510"/>
        </w:trPr>
        <w:tc>
          <w:tcPr>
            <w:tcW w:w="1129" w:type="dxa"/>
            <w:vAlign w:val="center"/>
          </w:tcPr>
          <w:p w14:paraId="68CD8AD0" w14:textId="77777777" w:rsidR="00F138D1" w:rsidRPr="004554EA" w:rsidRDefault="00F138D1" w:rsidP="00285B57">
            <w:pPr>
              <w:pStyle w:val="Tabletext"/>
              <w:rPr>
                <w:b/>
                <w:bCs/>
              </w:rPr>
            </w:pPr>
            <w:r w:rsidRPr="004554EA">
              <w:rPr>
                <w:b/>
                <w:bCs/>
              </w:rPr>
              <w:t>Asset 3</w:t>
            </w:r>
          </w:p>
        </w:tc>
        <w:tc>
          <w:tcPr>
            <w:tcW w:w="2840" w:type="dxa"/>
            <w:vAlign w:val="center"/>
          </w:tcPr>
          <w:p w14:paraId="30534AB2" w14:textId="77777777" w:rsidR="00F138D1" w:rsidRPr="00285B57" w:rsidRDefault="00F138D1" w:rsidP="00285B57">
            <w:pPr>
              <w:pStyle w:val="Tabletext"/>
            </w:pPr>
            <w:r w:rsidRPr="00285B57">
              <w:t>$650,000</w:t>
            </w:r>
          </w:p>
        </w:tc>
        <w:tc>
          <w:tcPr>
            <w:tcW w:w="2830" w:type="dxa"/>
            <w:vAlign w:val="center"/>
          </w:tcPr>
          <w:p w14:paraId="06654F2E" w14:textId="77777777" w:rsidR="00F138D1" w:rsidRPr="00285B57" w:rsidRDefault="00F138D1" w:rsidP="00285B57">
            <w:pPr>
              <w:pStyle w:val="Tabletext"/>
            </w:pPr>
            <w:r w:rsidRPr="00285B57">
              <w:t>$100,000</w:t>
            </w:r>
          </w:p>
        </w:tc>
        <w:tc>
          <w:tcPr>
            <w:tcW w:w="1560" w:type="dxa"/>
            <w:vAlign w:val="center"/>
          </w:tcPr>
          <w:p w14:paraId="779B5A3F" w14:textId="77777777" w:rsidR="00F138D1" w:rsidRPr="00285B57" w:rsidRDefault="00F138D1" w:rsidP="00285B57">
            <w:pPr>
              <w:pStyle w:val="Tabletext"/>
            </w:pPr>
            <w:r w:rsidRPr="00285B57">
              <w:t>$550,000</w:t>
            </w:r>
          </w:p>
        </w:tc>
        <w:tc>
          <w:tcPr>
            <w:tcW w:w="1506" w:type="dxa"/>
            <w:vAlign w:val="center"/>
          </w:tcPr>
          <w:p w14:paraId="1DE2081E" w14:textId="77777777" w:rsidR="00F138D1" w:rsidRPr="00285B57" w:rsidRDefault="00F138D1" w:rsidP="00285B57">
            <w:pPr>
              <w:pStyle w:val="Tabletext"/>
            </w:pPr>
            <w:r w:rsidRPr="00285B57">
              <w:t>$550,000</w:t>
            </w:r>
          </w:p>
        </w:tc>
      </w:tr>
    </w:tbl>
    <w:p w14:paraId="61EC83F1" w14:textId="77777777" w:rsidR="00F138D1" w:rsidRPr="00F138D1" w:rsidRDefault="00F138D1" w:rsidP="001D3828">
      <w:pPr>
        <w:pStyle w:val="BodyText"/>
        <w:spacing w:before="320"/>
        <w:rPr>
          <w:lang w:val="en-GB"/>
        </w:rPr>
      </w:pPr>
      <w:r w:rsidRPr="00F138D1">
        <w:rPr>
          <w:lang w:val="en-GB"/>
        </w:rPr>
        <w:t>To be eligible for the Package, plant and equipment must:</w:t>
      </w:r>
    </w:p>
    <w:p w14:paraId="498EA8D7" w14:textId="264F34E7" w:rsidR="00F138D1" w:rsidRPr="001D3828" w:rsidRDefault="004554EA" w:rsidP="004554EA">
      <w:pPr>
        <w:pStyle w:val="ListNumber"/>
        <w:numPr>
          <w:ilvl w:val="0"/>
          <w:numId w:val="0"/>
        </w:numPr>
        <w:ind w:left="357" w:hanging="357"/>
        <w:rPr>
          <w:lang w:val="en-GB"/>
        </w:rPr>
      </w:pPr>
      <w:r>
        <w:rPr>
          <w:lang w:val="en-GB"/>
        </w:rPr>
        <w:t>1.</w:t>
      </w:r>
      <w:r>
        <w:rPr>
          <w:lang w:val="en-GB"/>
        </w:rPr>
        <w:tab/>
      </w:r>
      <w:r w:rsidR="00F138D1" w:rsidRPr="001D3828">
        <w:rPr>
          <w:lang w:val="en-GB"/>
        </w:rPr>
        <w:t>be listed on the business’s current ATO-compliant depreciation schedule; and</w:t>
      </w:r>
    </w:p>
    <w:p w14:paraId="00F0165A" w14:textId="73417479" w:rsidR="00F138D1" w:rsidRPr="00F138D1" w:rsidRDefault="004554EA" w:rsidP="004554EA">
      <w:pPr>
        <w:pStyle w:val="ListNumber"/>
        <w:numPr>
          <w:ilvl w:val="0"/>
          <w:numId w:val="0"/>
        </w:numPr>
        <w:ind w:left="357" w:hanging="357"/>
        <w:rPr>
          <w:lang w:val="en-GB"/>
        </w:rPr>
      </w:pPr>
      <w:r>
        <w:rPr>
          <w:lang w:val="en-GB"/>
        </w:rPr>
        <w:t>2.</w:t>
      </w:r>
      <w:r>
        <w:rPr>
          <w:lang w:val="en-GB"/>
        </w:rPr>
        <w:tab/>
      </w:r>
      <w:r w:rsidR="00F138D1" w:rsidRPr="00F138D1">
        <w:rPr>
          <w:lang w:val="en-GB"/>
        </w:rPr>
        <w:t>have previously been used to support the commercial harvest or haulage of native timber from Victorian State forests; and</w:t>
      </w:r>
    </w:p>
    <w:p w14:paraId="159630CC" w14:textId="019929B0" w:rsidR="00F138D1" w:rsidRPr="00F138D1" w:rsidRDefault="004554EA" w:rsidP="004554EA">
      <w:pPr>
        <w:pStyle w:val="ListNumber"/>
        <w:numPr>
          <w:ilvl w:val="0"/>
          <w:numId w:val="0"/>
        </w:numPr>
        <w:ind w:left="357" w:hanging="357"/>
        <w:rPr>
          <w:lang w:val="en-GB"/>
        </w:rPr>
      </w:pPr>
      <w:r>
        <w:rPr>
          <w:lang w:val="en-GB"/>
        </w:rPr>
        <w:t>3.</w:t>
      </w:r>
      <w:r>
        <w:rPr>
          <w:lang w:val="en-GB"/>
        </w:rPr>
        <w:tab/>
      </w:r>
      <w:r w:rsidR="00F138D1" w:rsidRPr="00F138D1">
        <w:rPr>
          <w:lang w:val="en-GB"/>
        </w:rPr>
        <w:t>have had a current replacement cost of &gt;$20,000; and</w:t>
      </w:r>
    </w:p>
    <w:p w14:paraId="3DDABB22" w14:textId="2B03B95E" w:rsidR="00F138D1" w:rsidRPr="00F138D1" w:rsidRDefault="004554EA" w:rsidP="004554EA">
      <w:pPr>
        <w:pStyle w:val="ListNumber"/>
        <w:numPr>
          <w:ilvl w:val="0"/>
          <w:numId w:val="0"/>
        </w:numPr>
        <w:ind w:left="357" w:hanging="357"/>
        <w:rPr>
          <w:lang w:val="en-GB"/>
        </w:rPr>
      </w:pPr>
      <w:r>
        <w:rPr>
          <w:lang w:val="en-GB"/>
        </w:rPr>
        <w:t>4.</w:t>
      </w:r>
      <w:r>
        <w:rPr>
          <w:lang w:val="en-GB"/>
        </w:rPr>
        <w:tab/>
      </w:r>
      <w:r w:rsidR="00F138D1" w:rsidRPr="00F138D1">
        <w:rPr>
          <w:lang w:val="en-GB"/>
        </w:rPr>
        <w:t>not be a motor vehicle, IT and office equipment, or infrastructure.</w:t>
      </w:r>
    </w:p>
    <w:p w14:paraId="0B49CF19" w14:textId="77777777" w:rsidR="00F138D1" w:rsidRPr="00F138D1" w:rsidRDefault="00F138D1" w:rsidP="00F138D1">
      <w:pPr>
        <w:pStyle w:val="BodyText"/>
        <w:rPr>
          <w:lang w:val="en-GB"/>
        </w:rPr>
      </w:pPr>
      <w:r w:rsidRPr="00F138D1">
        <w:rPr>
          <w:lang w:val="en-GB"/>
        </w:rPr>
        <w:t>Eligible plant and equipment can be sold or donated after a payment has been made by the Department.</w:t>
      </w:r>
    </w:p>
    <w:p w14:paraId="299AB5BE" w14:textId="77777777" w:rsidR="00F138D1" w:rsidRPr="00F138D1" w:rsidRDefault="00F138D1" w:rsidP="00F138D1">
      <w:pPr>
        <w:pStyle w:val="BodyText"/>
        <w:rPr>
          <w:lang w:val="en-GB"/>
        </w:rPr>
      </w:pPr>
      <w:r w:rsidRPr="00F138D1">
        <w:rPr>
          <w:lang w:val="en-GB"/>
        </w:rPr>
        <w:t>The final sum to be included in the Letter of Offer from the Minister for Agriculture is subject to the complete asset valuation process having been completed.</w:t>
      </w:r>
    </w:p>
    <w:p w14:paraId="2F3B14B0" w14:textId="77777777" w:rsidR="00F138D1" w:rsidRPr="00F138D1" w:rsidRDefault="00F138D1" w:rsidP="001D3828">
      <w:pPr>
        <w:pStyle w:val="Heading2"/>
      </w:pPr>
      <w:bookmarkStart w:id="4" w:name="_Toc152945458"/>
      <w:r w:rsidRPr="00F138D1">
        <w:t>Component 2: Reimbursement of employee statutory redundancy payments</w:t>
      </w:r>
      <w:bookmarkEnd w:id="4"/>
    </w:p>
    <w:p w14:paraId="0895758A" w14:textId="77777777" w:rsidR="00F138D1" w:rsidRPr="00F138D1" w:rsidRDefault="00F138D1" w:rsidP="00F138D1">
      <w:pPr>
        <w:pStyle w:val="BodyText"/>
        <w:rPr>
          <w:lang w:val="en-GB"/>
        </w:rPr>
      </w:pPr>
      <w:r w:rsidRPr="00F138D1">
        <w:rPr>
          <w:lang w:val="en-GB"/>
        </w:rPr>
        <w:t>The Department will reimburse the business for employee statutory redundancy payments made by the business, capped at the maximum rate specified in the applicable Award or National Employment Standards.</w:t>
      </w:r>
    </w:p>
    <w:p w14:paraId="68CADB30" w14:textId="77777777" w:rsidR="00F138D1" w:rsidRPr="00F138D1" w:rsidRDefault="00F138D1" w:rsidP="00F138D1">
      <w:pPr>
        <w:pStyle w:val="BodyText"/>
        <w:rPr>
          <w:lang w:val="en-GB"/>
        </w:rPr>
      </w:pPr>
      <w:r w:rsidRPr="00F138D1">
        <w:rPr>
          <w:lang w:val="en-GB"/>
        </w:rPr>
        <w:t>The reimbursement amount will be based on the evidence of the redundancy payment being made to an employee. Only actual redundancy amounts will be reimbursed.</w:t>
      </w:r>
    </w:p>
    <w:p w14:paraId="4947B926" w14:textId="77777777" w:rsidR="00F138D1" w:rsidRPr="00F138D1" w:rsidRDefault="00F138D1" w:rsidP="00F138D1">
      <w:pPr>
        <w:pStyle w:val="BodyText"/>
        <w:rPr>
          <w:lang w:val="en-GB"/>
        </w:rPr>
      </w:pPr>
      <w:r w:rsidRPr="00F138D1">
        <w:rPr>
          <w:lang w:val="en-GB"/>
        </w:rPr>
        <w:t>The Department will not reimburse the payment of leave entitlements.</w:t>
      </w:r>
    </w:p>
    <w:p w14:paraId="5F96B22E" w14:textId="4F8AF4FB" w:rsidR="00F138D1" w:rsidRPr="00F138D1" w:rsidRDefault="00F138D1" w:rsidP="00F138D1">
      <w:pPr>
        <w:pStyle w:val="BodyText"/>
        <w:rPr>
          <w:lang w:val="en-GB"/>
        </w:rPr>
      </w:pPr>
      <w:r w:rsidRPr="00F138D1">
        <w:rPr>
          <w:lang w:val="en-GB"/>
        </w:rPr>
        <w:t xml:space="preserve">Note that reimbursement of employee redundancy payments will be made </w:t>
      </w:r>
      <w:proofErr w:type="gramStart"/>
      <w:r w:rsidRPr="00F138D1">
        <w:rPr>
          <w:lang w:val="en-GB"/>
        </w:rPr>
        <w:t>on the basis of</w:t>
      </w:r>
      <w:proofErr w:type="gramEnd"/>
      <w:r w:rsidRPr="00F138D1">
        <w:rPr>
          <w:lang w:val="en-GB"/>
        </w:rPr>
        <w:t xml:space="preserve"> a genuine redundancy.</w:t>
      </w:r>
      <w:r w:rsidR="001D3828">
        <w:rPr>
          <w:lang w:val="en-GB"/>
        </w:rPr>
        <w:t xml:space="preserve"> </w:t>
      </w:r>
      <w:r w:rsidRPr="00F138D1">
        <w:rPr>
          <w:lang w:val="en-GB"/>
        </w:rPr>
        <w:t>A genuine redundancy relates to:</w:t>
      </w:r>
    </w:p>
    <w:p w14:paraId="333E8493" w14:textId="77777777" w:rsidR="00F138D1" w:rsidRPr="00F138D1" w:rsidRDefault="00F138D1" w:rsidP="001D3828">
      <w:pPr>
        <w:pStyle w:val="ListBullet"/>
        <w:rPr>
          <w:lang w:val="en-GB"/>
        </w:rPr>
      </w:pPr>
      <w:r w:rsidRPr="00F138D1">
        <w:rPr>
          <w:lang w:val="en-GB"/>
        </w:rPr>
        <w:lastRenderedPageBreak/>
        <w:t xml:space="preserve">a worker’s position that is not required by the employer, in this case due to the consequence of the transition away from harvesting native timber from State </w:t>
      </w:r>
      <w:proofErr w:type="gramStart"/>
      <w:r w:rsidRPr="00F138D1">
        <w:rPr>
          <w:lang w:val="en-GB"/>
        </w:rPr>
        <w:t>forests</w:t>
      </w:r>
      <w:proofErr w:type="gramEnd"/>
    </w:p>
    <w:p w14:paraId="0070CA88" w14:textId="1715104B" w:rsidR="00F138D1" w:rsidRPr="00F138D1" w:rsidRDefault="00F138D1" w:rsidP="001D3828">
      <w:pPr>
        <w:pStyle w:val="ListBullet"/>
        <w:rPr>
          <w:lang w:val="en-GB"/>
        </w:rPr>
      </w:pPr>
      <w:r w:rsidRPr="00F138D1">
        <w:rPr>
          <w:lang w:val="en-GB"/>
        </w:rPr>
        <w:t>The position will be superfluous to each employer’s needs and not to be occupied by anyone. Accordingly, the dismissal is because of the redundancy of the position (and not for any other reason)</w:t>
      </w:r>
    </w:p>
    <w:p w14:paraId="02166FB1" w14:textId="1CE2AA3C" w:rsidR="00F138D1" w:rsidRPr="00F138D1" w:rsidRDefault="00F138D1" w:rsidP="001D3828">
      <w:pPr>
        <w:pStyle w:val="ListBullet"/>
        <w:rPr>
          <w:lang w:val="en-GB"/>
        </w:rPr>
      </w:pPr>
      <w:r w:rsidRPr="00F138D1">
        <w:rPr>
          <w:lang w:val="en-GB"/>
        </w:rPr>
        <w:t>There must be no contrived arrangement (such as promise of another job) or other circumstances which indicate the redundancy is not genuine.</w:t>
      </w:r>
    </w:p>
    <w:p w14:paraId="51731450" w14:textId="3EA98495" w:rsidR="00F138D1" w:rsidRPr="00F138D1" w:rsidRDefault="00F138D1" w:rsidP="00F138D1">
      <w:pPr>
        <w:pStyle w:val="BodyText"/>
        <w:rPr>
          <w:lang w:val="en-GB"/>
        </w:rPr>
      </w:pPr>
      <w:r w:rsidRPr="00F138D1">
        <w:rPr>
          <w:lang w:val="en-GB"/>
        </w:rPr>
        <w:t>Some workers may be categorised as ‘dual capacity’ employees, in that they are engaged by an employing entity, and are also a directing mind or officeholder of that entity. The department will seek to understand the nature of the termination in these circumstances to determine if there is a genuine redundancy.</w:t>
      </w:r>
    </w:p>
    <w:p w14:paraId="46DF2FB2" w14:textId="77777777" w:rsidR="00F138D1" w:rsidRPr="00F138D1" w:rsidRDefault="00F138D1" w:rsidP="001D3828">
      <w:pPr>
        <w:pStyle w:val="Heading1"/>
        <w:rPr>
          <w:lang w:val="en-US"/>
        </w:rPr>
      </w:pPr>
      <w:bookmarkStart w:id="5" w:name="_Toc152945459"/>
      <w:r w:rsidRPr="00F138D1">
        <w:rPr>
          <w:lang w:val="en-US"/>
        </w:rPr>
        <w:t>3. What are the funding conditions?</w:t>
      </w:r>
      <w:bookmarkEnd w:id="5"/>
    </w:p>
    <w:p w14:paraId="7B358DBC" w14:textId="77777777" w:rsidR="00F138D1" w:rsidRPr="00F138D1" w:rsidRDefault="00F138D1" w:rsidP="001D3828">
      <w:pPr>
        <w:pStyle w:val="Heading2"/>
      </w:pPr>
      <w:bookmarkStart w:id="6" w:name="_Toc152945460"/>
      <w:r w:rsidRPr="00F138D1">
        <w:t>Approval of funding</w:t>
      </w:r>
      <w:bookmarkEnd w:id="6"/>
    </w:p>
    <w:p w14:paraId="508B6FD7" w14:textId="77777777" w:rsidR="00F138D1" w:rsidRPr="00F138D1" w:rsidRDefault="00F138D1" w:rsidP="00F138D1">
      <w:pPr>
        <w:pStyle w:val="BodyText"/>
        <w:rPr>
          <w:lang w:val="en-GB"/>
        </w:rPr>
      </w:pPr>
      <w:r w:rsidRPr="00F138D1">
        <w:rPr>
          <w:lang w:val="en-GB"/>
        </w:rPr>
        <w:t>The Minister for Agriculture will consider the recommendations made by the Department when deliberating on approval for a Package for a successful applicant.</w:t>
      </w:r>
    </w:p>
    <w:p w14:paraId="104E5F67" w14:textId="77777777" w:rsidR="00F138D1" w:rsidRPr="00F138D1" w:rsidRDefault="00F138D1" w:rsidP="001D3828">
      <w:pPr>
        <w:pStyle w:val="Heading2"/>
      </w:pPr>
      <w:bookmarkStart w:id="7" w:name="_Toc152945461"/>
      <w:r w:rsidRPr="00F138D1">
        <w:t>Offer of a grant under the Package</w:t>
      </w:r>
      <w:bookmarkEnd w:id="7"/>
    </w:p>
    <w:p w14:paraId="29AEB328" w14:textId="0850183B" w:rsidR="00F138D1" w:rsidRPr="00F138D1" w:rsidRDefault="00F138D1" w:rsidP="00F138D1">
      <w:pPr>
        <w:pStyle w:val="BodyText"/>
        <w:rPr>
          <w:lang w:val="en-GB"/>
        </w:rPr>
      </w:pPr>
      <w:r w:rsidRPr="00F138D1">
        <w:rPr>
          <w:lang w:val="en-GB"/>
        </w:rPr>
        <w:t>Where the Minister for Agriculture approves a grant under the Package for a successful applicant, the Minister will write to the successful applicant with an offer to enter into a grant agreement with the Department.</w:t>
      </w:r>
    </w:p>
    <w:p w14:paraId="2E1BDCF9" w14:textId="77777777" w:rsidR="00F138D1" w:rsidRPr="00F138D1" w:rsidRDefault="00F138D1" w:rsidP="00F138D1">
      <w:pPr>
        <w:pStyle w:val="BodyText"/>
        <w:rPr>
          <w:lang w:val="en-GB"/>
        </w:rPr>
      </w:pPr>
      <w:r w:rsidRPr="00F138D1">
        <w:rPr>
          <w:lang w:val="en-GB"/>
        </w:rPr>
        <w:t>The successful applicant must respond to the Letter of Offer in writing indicating they have accepted it.</w:t>
      </w:r>
    </w:p>
    <w:p w14:paraId="7DF91552" w14:textId="77777777" w:rsidR="00F138D1" w:rsidRPr="00F138D1" w:rsidRDefault="00F138D1" w:rsidP="00F138D1">
      <w:pPr>
        <w:pStyle w:val="BodyText"/>
        <w:rPr>
          <w:lang w:val="en-GB"/>
        </w:rPr>
      </w:pPr>
      <w:r w:rsidRPr="00F138D1">
        <w:rPr>
          <w:lang w:val="en-GB"/>
        </w:rPr>
        <w:t>The letter of offer is a non-binding agreement and will lapse after 20 business days from the date of the letter unless varied by agreement with the Department.</w:t>
      </w:r>
    </w:p>
    <w:p w14:paraId="57B3D4F6" w14:textId="77777777" w:rsidR="00F138D1" w:rsidRPr="00F138D1" w:rsidRDefault="00F138D1" w:rsidP="001D3828">
      <w:pPr>
        <w:pStyle w:val="Heading2"/>
      </w:pPr>
      <w:bookmarkStart w:id="8" w:name="_Toc152945462"/>
      <w:r w:rsidRPr="00F138D1">
        <w:t>Funding agreements</w:t>
      </w:r>
      <w:bookmarkEnd w:id="8"/>
    </w:p>
    <w:p w14:paraId="28FDCA0B" w14:textId="77777777" w:rsidR="00F138D1" w:rsidRPr="00F138D1" w:rsidRDefault="00F138D1" w:rsidP="00F138D1">
      <w:pPr>
        <w:pStyle w:val="BodyText"/>
        <w:rPr>
          <w:lang w:val="en-GB"/>
        </w:rPr>
      </w:pPr>
      <w:r w:rsidRPr="00F138D1">
        <w:rPr>
          <w:lang w:val="en-GB"/>
        </w:rPr>
        <w:t>The Department will issue the successful applicant with a funding agreement if the applicant accepts the letter of offer.</w:t>
      </w:r>
    </w:p>
    <w:p w14:paraId="2B3CD852" w14:textId="77777777" w:rsidR="00F138D1" w:rsidRPr="00F138D1" w:rsidRDefault="00F138D1" w:rsidP="00F138D1">
      <w:pPr>
        <w:pStyle w:val="BodyText"/>
        <w:rPr>
          <w:lang w:val="en-GB"/>
        </w:rPr>
      </w:pPr>
      <w:r w:rsidRPr="00F138D1">
        <w:rPr>
          <w:lang w:val="en-GB"/>
        </w:rPr>
        <w:lastRenderedPageBreak/>
        <w:t>The funding agreement is a legally enforceable document that clearly set out the obligations of both parties. The funding agreement aims to protect the Victorian Government’s interests and to ensure the efficient and effective use of public money.</w:t>
      </w:r>
    </w:p>
    <w:p w14:paraId="584390D6" w14:textId="77777777" w:rsidR="00F138D1" w:rsidRPr="00F138D1" w:rsidRDefault="00F138D1" w:rsidP="00F138D1">
      <w:pPr>
        <w:pStyle w:val="BodyText"/>
        <w:rPr>
          <w:lang w:val="en-GB"/>
        </w:rPr>
      </w:pPr>
      <w:r w:rsidRPr="00F138D1">
        <w:rPr>
          <w:lang w:val="en-GB"/>
        </w:rPr>
        <w:t>The funding agreement will detail all funding obligations and conditions, including without limitation the following conditions:</w:t>
      </w:r>
    </w:p>
    <w:p w14:paraId="331853C9" w14:textId="4101C9B5" w:rsidR="00F138D1" w:rsidRPr="001D3828" w:rsidRDefault="001D3828" w:rsidP="004554EA">
      <w:pPr>
        <w:pStyle w:val="BodyText"/>
        <w:ind w:left="357" w:hanging="357"/>
        <w:rPr>
          <w:lang w:val="en-GB"/>
        </w:rPr>
      </w:pPr>
      <w:r>
        <w:rPr>
          <w:lang w:val="en-GB"/>
        </w:rPr>
        <w:t>1.</w:t>
      </w:r>
      <w:r>
        <w:rPr>
          <w:lang w:val="en-GB"/>
        </w:rPr>
        <w:tab/>
      </w:r>
      <w:r w:rsidR="00F138D1" w:rsidRPr="001D3828">
        <w:rPr>
          <w:lang w:val="en-GB"/>
        </w:rPr>
        <w:t>Where the successful applicant has been the recipient of financial assistance or a grant from the State for which an agreement has been entered into, any obligations of the business to the State arising out of the take-up of a Package payment will require settlement in accordance with the Department’s directions.</w:t>
      </w:r>
    </w:p>
    <w:p w14:paraId="47530B07" w14:textId="36198ACF" w:rsidR="00F138D1" w:rsidRPr="00F138D1" w:rsidRDefault="001D3828" w:rsidP="004554EA">
      <w:pPr>
        <w:pStyle w:val="BodyText"/>
        <w:ind w:left="357" w:hanging="357"/>
        <w:rPr>
          <w:lang w:val="en-GB"/>
        </w:rPr>
      </w:pPr>
      <w:r>
        <w:rPr>
          <w:lang w:val="en-GB"/>
        </w:rPr>
        <w:t>2.</w:t>
      </w:r>
      <w:r>
        <w:rPr>
          <w:lang w:val="en-GB"/>
        </w:rPr>
        <w:tab/>
      </w:r>
      <w:r w:rsidR="00F138D1" w:rsidRPr="00F138D1">
        <w:rPr>
          <w:lang w:val="en-GB"/>
        </w:rPr>
        <w:t xml:space="preserve">The full amount of a Package payment will only be made after evidence has been provided that any required statutory entitlements for employees have been met unless special circumstances can be </w:t>
      </w:r>
      <w:proofErr w:type="gramStart"/>
      <w:r w:rsidR="00F138D1" w:rsidRPr="00F138D1">
        <w:rPr>
          <w:lang w:val="en-GB"/>
        </w:rPr>
        <w:t>demonstrated</w:t>
      </w:r>
      <w:proofErr w:type="gramEnd"/>
      <w:r w:rsidR="00F138D1" w:rsidRPr="00F138D1">
        <w:rPr>
          <w:lang w:val="en-GB"/>
        </w:rPr>
        <w:t xml:space="preserve"> and arrangements settled with the Department in advance.</w:t>
      </w:r>
      <w:r>
        <w:rPr>
          <w:lang w:val="en-GB"/>
        </w:rPr>
        <w:t xml:space="preserve"> </w:t>
      </w:r>
      <w:r w:rsidR="00F138D1" w:rsidRPr="00F138D1">
        <w:rPr>
          <w:lang w:val="en-GB"/>
        </w:rPr>
        <w:t>Noting, that a statutory declaration is required indicating that the business will meet all industrial relations obligations as an employer in accordance with the National Employment Standards under the Fair Work Act 2009 (</w:t>
      </w:r>
      <w:proofErr w:type="spellStart"/>
      <w:r w:rsidR="00F138D1" w:rsidRPr="00F138D1">
        <w:rPr>
          <w:lang w:val="en-GB"/>
        </w:rPr>
        <w:t>Cth</w:t>
      </w:r>
      <w:proofErr w:type="spellEnd"/>
      <w:r w:rsidR="00F138D1" w:rsidRPr="00F138D1">
        <w:rPr>
          <w:lang w:val="en-GB"/>
        </w:rPr>
        <w:t>) and the applicable Award, such as the Timber Industry Award as it relates to this program.</w:t>
      </w:r>
    </w:p>
    <w:p w14:paraId="57DAF08C" w14:textId="112C7100" w:rsidR="00F138D1" w:rsidRPr="00F138D1" w:rsidRDefault="001D3828" w:rsidP="004554EA">
      <w:pPr>
        <w:pStyle w:val="BodyText"/>
        <w:ind w:left="357" w:hanging="357"/>
        <w:rPr>
          <w:lang w:val="en-GB"/>
        </w:rPr>
      </w:pPr>
      <w:r>
        <w:rPr>
          <w:lang w:val="en-GB"/>
        </w:rPr>
        <w:t>3.</w:t>
      </w:r>
      <w:r>
        <w:rPr>
          <w:lang w:val="en-GB"/>
        </w:rPr>
        <w:tab/>
      </w:r>
      <w:r w:rsidR="00F138D1" w:rsidRPr="00F138D1">
        <w:rPr>
          <w:lang w:val="en-GB"/>
        </w:rPr>
        <w:t>The applicant agrees to, and facilitates, reasonable access for the Department-funded Forestry Transition’s Worker Support Program staff to engage with employees regarding the worker support program, with the cost of providing access to employees to be at no cost to the Department or employees.</w:t>
      </w:r>
    </w:p>
    <w:p w14:paraId="054AFF02" w14:textId="001537AB" w:rsidR="00F138D1" w:rsidRPr="00F138D1" w:rsidRDefault="001D3828" w:rsidP="004554EA">
      <w:pPr>
        <w:pStyle w:val="BodyText"/>
        <w:ind w:left="357" w:hanging="357"/>
        <w:rPr>
          <w:lang w:val="en-GB"/>
        </w:rPr>
      </w:pPr>
      <w:r>
        <w:rPr>
          <w:lang w:val="en-GB"/>
        </w:rPr>
        <w:t>4.</w:t>
      </w:r>
      <w:r>
        <w:rPr>
          <w:lang w:val="en-GB"/>
        </w:rPr>
        <w:tab/>
      </w:r>
      <w:r w:rsidR="00F138D1" w:rsidRPr="00F138D1">
        <w:rPr>
          <w:lang w:val="en-GB"/>
        </w:rPr>
        <w:t>The Package payment will be paid in one or more instalments after 1 December 2023 as determined by the Department in consultation with the successful applicant.</w:t>
      </w:r>
    </w:p>
    <w:p w14:paraId="2925A288" w14:textId="38D5EF7E" w:rsidR="00F138D1" w:rsidRPr="00F138D1" w:rsidRDefault="001D3828" w:rsidP="004554EA">
      <w:pPr>
        <w:pStyle w:val="BodyText"/>
        <w:ind w:left="357" w:hanging="357"/>
        <w:rPr>
          <w:lang w:val="en-GB"/>
        </w:rPr>
      </w:pPr>
      <w:r>
        <w:rPr>
          <w:lang w:val="en-GB"/>
        </w:rPr>
        <w:t>5.</w:t>
      </w:r>
      <w:r>
        <w:rPr>
          <w:lang w:val="en-GB"/>
        </w:rPr>
        <w:tab/>
      </w:r>
      <w:r w:rsidR="00F138D1" w:rsidRPr="00F138D1">
        <w:rPr>
          <w:lang w:val="en-GB"/>
        </w:rPr>
        <w:t xml:space="preserve">Successful applicants will be required to indemnify and release the State and its agencies and their officers and agents from and against </w:t>
      </w:r>
      <w:proofErr w:type="gramStart"/>
      <w:r w:rsidR="00F138D1" w:rsidRPr="00F138D1">
        <w:rPr>
          <w:lang w:val="en-GB"/>
        </w:rPr>
        <w:t>any and all</w:t>
      </w:r>
      <w:proofErr w:type="gramEnd"/>
      <w:r w:rsidR="00F138D1" w:rsidRPr="00F138D1">
        <w:rPr>
          <w:lang w:val="en-GB"/>
        </w:rPr>
        <w:t xml:space="preserve"> current and any and all future claims, actions, proceedings, demands, costs and expenses in connection with the Package.</w:t>
      </w:r>
    </w:p>
    <w:p w14:paraId="23D8F4BA" w14:textId="77777777" w:rsidR="00F138D1" w:rsidRPr="00F138D1" w:rsidRDefault="00F138D1" w:rsidP="00F138D1">
      <w:pPr>
        <w:pStyle w:val="BodyText"/>
        <w:rPr>
          <w:lang w:val="en-GB"/>
        </w:rPr>
      </w:pPr>
      <w:r w:rsidRPr="00F138D1">
        <w:rPr>
          <w:lang w:val="en-GB"/>
        </w:rPr>
        <w:t>Successful applicants must agree and sign the funding agreement within 20 business days from the date DEECA provides them with the funding agreement, otherwise the offer will lapse.</w:t>
      </w:r>
    </w:p>
    <w:p w14:paraId="55315BAF" w14:textId="77777777" w:rsidR="00F138D1" w:rsidRPr="00F138D1" w:rsidRDefault="00F138D1" w:rsidP="001D3828">
      <w:pPr>
        <w:pStyle w:val="Heading2"/>
      </w:pPr>
      <w:bookmarkStart w:id="9" w:name="_Toc152945463"/>
      <w:r w:rsidRPr="00F138D1">
        <w:lastRenderedPageBreak/>
        <w:t>Absolute discretion</w:t>
      </w:r>
      <w:bookmarkEnd w:id="9"/>
    </w:p>
    <w:p w14:paraId="619739CA" w14:textId="0CEEEB16" w:rsidR="00F138D1" w:rsidRPr="00F138D1" w:rsidRDefault="00F138D1" w:rsidP="00F138D1">
      <w:pPr>
        <w:pStyle w:val="BodyText"/>
        <w:rPr>
          <w:lang w:val="en-GB"/>
        </w:rPr>
      </w:pPr>
      <w:r w:rsidRPr="00F138D1">
        <w:rPr>
          <w:lang w:val="en-GB"/>
        </w:rPr>
        <w:t>DEECA reserves the right to request the applicant to provide further information should it be deemed necessary. DEECA reserves the right to amend these Guidelines and the application terms at any time as it deems appropriate.</w:t>
      </w:r>
    </w:p>
    <w:p w14:paraId="0190E5D6" w14:textId="77777777" w:rsidR="00F138D1" w:rsidRPr="00F138D1" w:rsidRDefault="00F138D1" w:rsidP="00F138D1">
      <w:pPr>
        <w:pStyle w:val="BodyText"/>
        <w:rPr>
          <w:lang w:val="en-GB"/>
        </w:rPr>
      </w:pPr>
      <w:r w:rsidRPr="00F138D1">
        <w:rPr>
          <w:lang w:val="en-GB"/>
        </w:rPr>
        <w:t>Any changes to the Guidelines will not affect the eligibility of the applicants and Applications made prior to the date of publication of any update.</w:t>
      </w:r>
    </w:p>
    <w:p w14:paraId="2ECDE1FD" w14:textId="77777777" w:rsidR="00F138D1" w:rsidRPr="00F138D1" w:rsidRDefault="00F138D1" w:rsidP="00F138D1">
      <w:pPr>
        <w:pStyle w:val="BodyText"/>
        <w:rPr>
          <w:lang w:val="en-GB"/>
        </w:rPr>
      </w:pPr>
      <w:r w:rsidRPr="00F138D1">
        <w:rPr>
          <w:lang w:val="en-GB"/>
        </w:rPr>
        <w:t>The State makes no representation that a grant of funds will be made to any applicant and reserves the right to make no funds available under the Package.</w:t>
      </w:r>
    </w:p>
    <w:p w14:paraId="2B6376F0" w14:textId="77777777" w:rsidR="00F138D1" w:rsidRPr="00F138D1" w:rsidRDefault="00F138D1" w:rsidP="001D3828">
      <w:pPr>
        <w:pStyle w:val="Heading2"/>
      </w:pPr>
      <w:bookmarkStart w:id="10" w:name="_Toc152945464"/>
      <w:r w:rsidRPr="00F138D1">
        <w:t>Legislative and regulatory requirements</w:t>
      </w:r>
      <w:bookmarkEnd w:id="10"/>
    </w:p>
    <w:p w14:paraId="3FF37019" w14:textId="34953C88" w:rsidR="00F138D1" w:rsidRPr="00F138D1" w:rsidRDefault="00F138D1" w:rsidP="00F138D1">
      <w:pPr>
        <w:pStyle w:val="BodyText"/>
        <w:rPr>
          <w:lang w:val="en-GB"/>
        </w:rPr>
      </w:pPr>
      <w:r w:rsidRPr="00F138D1">
        <w:rPr>
          <w:lang w:val="en-GB"/>
        </w:rPr>
        <w:t>In delivering the activity grant recipients are required to comply with all relevant Commonwealth and state/territory legislations and regulations.</w:t>
      </w:r>
    </w:p>
    <w:p w14:paraId="79203300" w14:textId="77777777" w:rsidR="00F138D1" w:rsidRPr="00F138D1" w:rsidRDefault="00F138D1" w:rsidP="001D3828">
      <w:pPr>
        <w:pStyle w:val="Heading2"/>
      </w:pPr>
      <w:bookmarkStart w:id="11" w:name="_Toc152945465"/>
      <w:r w:rsidRPr="00F138D1">
        <w:t>Tax implications</w:t>
      </w:r>
      <w:bookmarkEnd w:id="11"/>
    </w:p>
    <w:p w14:paraId="63518D45" w14:textId="77777777" w:rsidR="00F138D1" w:rsidRPr="00F138D1" w:rsidRDefault="00F138D1" w:rsidP="00F138D1">
      <w:pPr>
        <w:pStyle w:val="BodyText"/>
        <w:rPr>
          <w:lang w:val="en-GB"/>
        </w:rPr>
      </w:pPr>
      <w:r w:rsidRPr="00F138D1">
        <w:rPr>
          <w:lang w:val="en-GB"/>
        </w:rPr>
        <w:t>Applicants should note that all costs and calculations included in the Application must be exclusive of GST.</w:t>
      </w:r>
    </w:p>
    <w:p w14:paraId="4AA57D16" w14:textId="77777777" w:rsidR="00F138D1" w:rsidRPr="00F138D1" w:rsidRDefault="00F138D1" w:rsidP="00F138D1">
      <w:pPr>
        <w:pStyle w:val="BodyText"/>
        <w:rPr>
          <w:lang w:val="en-GB"/>
        </w:rPr>
      </w:pPr>
      <w:r w:rsidRPr="00F138D1">
        <w:rPr>
          <w:lang w:val="en-GB"/>
        </w:rPr>
        <w:t xml:space="preserve">Applicants should consult the Australian Taxation Office or seek professional advice on any taxation implications that may arise from this grant funding. Tax liabilities (if any) payable or paid </w:t>
      </w:r>
      <w:proofErr w:type="gramStart"/>
      <w:r w:rsidRPr="00F138D1">
        <w:rPr>
          <w:lang w:val="en-GB"/>
        </w:rPr>
        <w:t>as a consequence of</w:t>
      </w:r>
      <w:proofErr w:type="gramEnd"/>
      <w:r w:rsidRPr="00F138D1">
        <w:rPr>
          <w:lang w:val="en-GB"/>
        </w:rPr>
        <w:t xml:space="preserve"> the Package is entirely the responsibility of the applicant and will not be reimbursed.</w:t>
      </w:r>
    </w:p>
    <w:p w14:paraId="49BC99D8" w14:textId="77777777" w:rsidR="00F138D1" w:rsidRPr="00F138D1" w:rsidRDefault="00F138D1" w:rsidP="00F138D1">
      <w:pPr>
        <w:pStyle w:val="BodyText"/>
        <w:rPr>
          <w:lang w:val="en-GB"/>
        </w:rPr>
      </w:pPr>
      <w:r w:rsidRPr="00F138D1">
        <w:rPr>
          <w:lang w:val="en-GB"/>
        </w:rPr>
        <w:t>If a successful applicant is registered for GST, a GST payment will be added to any payments made under the Package.</w:t>
      </w:r>
    </w:p>
    <w:p w14:paraId="6366E00A" w14:textId="77777777" w:rsidR="00F138D1" w:rsidRPr="00F138D1" w:rsidRDefault="00F138D1" w:rsidP="001D3828">
      <w:pPr>
        <w:pStyle w:val="Heading2"/>
      </w:pPr>
      <w:bookmarkStart w:id="12" w:name="_Toc152945466"/>
      <w:r w:rsidRPr="00F138D1">
        <w:t>Payments</w:t>
      </w:r>
      <w:bookmarkEnd w:id="12"/>
    </w:p>
    <w:p w14:paraId="7CADC109" w14:textId="77777777" w:rsidR="00F138D1" w:rsidRPr="00F138D1" w:rsidRDefault="00F138D1" w:rsidP="00F138D1">
      <w:pPr>
        <w:pStyle w:val="BodyText"/>
        <w:rPr>
          <w:lang w:val="en-GB"/>
        </w:rPr>
      </w:pPr>
      <w:r w:rsidRPr="00F138D1">
        <w:rPr>
          <w:lang w:val="en-GB"/>
        </w:rPr>
        <w:t>Payments will be made as long as:</w:t>
      </w:r>
    </w:p>
    <w:p w14:paraId="30D37B91" w14:textId="77777777" w:rsidR="00F138D1" w:rsidRPr="00F138D1" w:rsidRDefault="00F138D1" w:rsidP="001D3828">
      <w:pPr>
        <w:pStyle w:val="ListBullet"/>
        <w:rPr>
          <w:lang w:val="en-GB"/>
        </w:rPr>
      </w:pPr>
      <w:r w:rsidRPr="00F138D1">
        <w:rPr>
          <w:lang w:val="en-GB"/>
        </w:rPr>
        <w:t>the funding agreement has been signed by both </w:t>
      </w:r>
      <w:proofErr w:type="gramStart"/>
      <w:r w:rsidRPr="00F138D1">
        <w:rPr>
          <w:lang w:val="en-GB"/>
        </w:rPr>
        <w:t>parties;</w:t>
      </w:r>
      <w:proofErr w:type="gramEnd"/>
    </w:p>
    <w:p w14:paraId="3C3848E9" w14:textId="77777777" w:rsidR="00F138D1" w:rsidRPr="00F138D1" w:rsidRDefault="00F138D1" w:rsidP="001D3828">
      <w:pPr>
        <w:pStyle w:val="ListBullet"/>
        <w:rPr>
          <w:lang w:val="en-GB"/>
        </w:rPr>
      </w:pPr>
      <w:r w:rsidRPr="00F138D1">
        <w:rPr>
          <w:lang w:val="en-GB"/>
        </w:rPr>
        <w:t>other terms and conditions of funding continue to be met.</w:t>
      </w:r>
    </w:p>
    <w:p w14:paraId="5651E750" w14:textId="77777777" w:rsidR="00F138D1" w:rsidRPr="00F138D1" w:rsidRDefault="00F138D1" w:rsidP="001D3828">
      <w:pPr>
        <w:pStyle w:val="Heading2"/>
      </w:pPr>
      <w:bookmarkStart w:id="13" w:name="_Toc152945467"/>
      <w:r w:rsidRPr="00F138D1">
        <w:t>Privacy</w:t>
      </w:r>
      <w:bookmarkEnd w:id="13"/>
    </w:p>
    <w:p w14:paraId="1F23CBA5" w14:textId="44BD7432" w:rsidR="00F138D1" w:rsidRPr="00F138D1" w:rsidRDefault="00F138D1" w:rsidP="00F138D1">
      <w:pPr>
        <w:pStyle w:val="BodyText"/>
        <w:rPr>
          <w:lang w:val="en-GB"/>
        </w:rPr>
      </w:pPr>
      <w:r w:rsidRPr="00F138D1">
        <w:rPr>
          <w:lang w:val="en-GB"/>
        </w:rPr>
        <w:t xml:space="preserve">Any personal information about you or a third party in your application will be collected by the department for the purposes of administering your grant application and informing </w:t>
      </w:r>
      <w:r w:rsidRPr="00F138D1">
        <w:rPr>
          <w:lang w:val="en-GB"/>
        </w:rPr>
        <w:lastRenderedPageBreak/>
        <w:t>Members of Parliament of successful applications. Personal information may also be disclosed to external experts, such as members of assessment panels, or other Government Departments for assessment, reporting, advice, comment or for discussions regarding alternative or collaborative grant funding opportunities. If you intend to include personal information about third parties in your application, please ensure that they are aware of the contents of this privacy statement.</w:t>
      </w:r>
    </w:p>
    <w:p w14:paraId="3B483BC7" w14:textId="5C8E4562" w:rsidR="00F138D1" w:rsidRPr="00F138D1" w:rsidRDefault="00F138D1" w:rsidP="00F138D1">
      <w:pPr>
        <w:pStyle w:val="BodyText"/>
        <w:rPr>
          <w:lang w:val="en-GB"/>
        </w:rPr>
      </w:pPr>
      <w:r w:rsidRPr="00F138D1">
        <w:rPr>
          <w:lang w:val="en-GB"/>
        </w:rPr>
        <w:t xml:space="preserve">Any personal information about you or a third party in your correspondence will be collected, held, managed, used, </w:t>
      </w:r>
      <w:proofErr w:type="gramStart"/>
      <w:r w:rsidRPr="00F138D1">
        <w:rPr>
          <w:lang w:val="en-GB"/>
        </w:rPr>
        <w:t>disclosed</w:t>
      </w:r>
      <w:proofErr w:type="gramEnd"/>
      <w:r w:rsidRPr="00F138D1">
        <w:rPr>
          <w:lang w:val="en-GB"/>
        </w:rPr>
        <w:t xml:space="preserve"> or transferred in accordance with the provisions of the </w:t>
      </w:r>
      <w:r w:rsidRPr="00F138D1">
        <w:rPr>
          <w:i/>
          <w:iCs/>
          <w:lang w:val="en-GB"/>
        </w:rPr>
        <w:t>Privacy and Data Protection Act 2014</w:t>
      </w:r>
      <w:r w:rsidRPr="00F138D1">
        <w:rPr>
          <w:lang w:val="en-GB"/>
        </w:rPr>
        <w:t xml:space="preserve"> and other applicable laws.</w:t>
      </w:r>
    </w:p>
    <w:p w14:paraId="5D2A1C08" w14:textId="777308B5" w:rsidR="00F138D1" w:rsidRPr="00F138D1" w:rsidRDefault="00F138D1" w:rsidP="00F138D1">
      <w:pPr>
        <w:pStyle w:val="BodyText"/>
        <w:rPr>
          <w:lang w:val="en-GB"/>
        </w:rPr>
      </w:pPr>
      <w:r w:rsidRPr="00F138D1">
        <w:rPr>
          <w:lang w:val="en-GB"/>
        </w:rPr>
        <w:t xml:space="preserve">DEECA is committed to protecting the privacy of personal information. You can find the DEECA Privacy Policy online at </w:t>
      </w:r>
      <w:hyperlink r:id="rId8" w:history="1">
        <w:r w:rsidRPr="001D3828">
          <w:rPr>
            <w:rStyle w:val="Hyperlink"/>
            <w:lang w:val="en-GB"/>
          </w:rPr>
          <w:t>www.delwp.vic.gov.au/privacy</w:t>
        </w:r>
      </w:hyperlink>
      <w:r w:rsidRPr="00F138D1">
        <w:rPr>
          <w:lang w:val="en-GB"/>
        </w:rPr>
        <w:t>.</w:t>
      </w:r>
    </w:p>
    <w:p w14:paraId="2596EB42" w14:textId="1321FA19" w:rsidR="00F138D1" w:rsidRPr="00F138D1" w:rsidRDefault="00F138D1" w:rsidP="00F138D1">
      <w:pPr>
        <w:pStyle w:val="BodyText"/>
        <w:rPr>
          <w:lang w:val="en-GB"/>
        </w:rPr>
      </w:pPr>
      <w:r w:rsidRPr="00F138D1">
        <w:rPr>
          <w:lang w:val="en-GB"/>
        </w:rPr>
        <w:t xml:space="preserve">Requests for access to information about you held by DEECA should be sent to the Manager Privacy, P.O. Box 500 East Melbourne 8002 or contact by emailing </w:t>
      </w:r>
      <w:hyperlink r:id="rId9" w:history="1">
        <w:r w:rsidRPr="001D3828">
          <w:rPr>
            <w:rStyle w:val="Hyperlink"/>
            <w:lang w:val="en-GB"/>
          </w:rPr>
          <w:t>foi.unit@delwp.vic.gov.au</w:t>
        </w:r>
      </w:hyperlink>
      <w:r w:rsidRPr="00F138D1">
        <w:rPr>
          <w:lang w:val="en-GB"/>
        </w:rPr>
        <w:t>.</w:t>
      </w:r>
    </w:p>
    <w:p w14:paraId="29CC15B3" w14:textId="77777777" w:rsidR="00F138D1" w:rsidRPr="00F138D1" w:rsidRDefault="00F138D1" w:rsidP="001D3828">
      <w:pPr>
        <w:pStyle w:val="Heading1"/>
        <w:rPr>
          <w:lang w:val="en-US"/>
        </w:rPr>
      </w:pPr>
      <w:bookmarkStart w:id="14" w:name="_Toc152945468"/>
      <w:r w:rsidRPr="00F138D1">
        <w:rPr>
          <w:lang w:val="en-US"/>
        </w:rPr>
        <w:t>4. What are the assessment criteria?</w:t>
      </w:r>
      <w:bookmarkEnd w:id="14"/>
    </w:p>
    <w:p w14:paraId="15693BE3" w14:textId="5908AEBF" w:rsidR="00F138D1" w:rsidRPr="00F138D1" w:rsidRDefault="00F138D1" w:rsidP="001D3828">
      <w:pPr>
        <w:pStyle w:val="Heading2"/>
      </w:pPr>
      <w:bookmarkStart w:id="15" w:name="_Toc152945469"/>
      <w:r w:rsidRPr="00F138D1">
        <w:t>Eligibility check</w:t>
      </w:r>
      <w:bookmarkEnd w:id="15"/>
    </w:p>
    <w:p w14:paraId="012B2E5D" w14:textId="3D24AFAD" w:rsidR="00F138D1" w:rsidRPr="00F138D1" w:rsidRDefault="00F138D1" w:rsidP="00F138D1">
      <w:pPr>
        <w:pStyle w:val="BodyText"/>
        <w:rPr>
          <w:lang w:val="en-GB"/>
        </w:rPr>
      </w:pPr>
      <w:r w:rsidRPr="00F138D1">
        <w:rPr>
          <w:lang w:val="en-GB"/>
        </w:rPr>
        <w:t xml:space="preserve">All applications will be checked for eligibility to make sure that the applicant is an eligible </w:t>
      </w:r>
      <w:proofErr w:type="gramStart"/>
      <w:r w:rsidRPr="00F138D1">
        <w:rPr>
          <w:lang w:val="en-GB"/>
        </w:rPr>
        <w:t>business</w:t>
      </w:r>
      <w:proofErr w:type="gramEnd"/>
      <w:r w:rsidRPr="00F138D1">
        <w:rPr>
          <w:lang w:val="en-GB"/>
        </w:rPr>
        <w:t xml:space="preserve"> and the plant and equipment is eligible for compensation.</w:t>
      </w:r>
    </w:p>
    <w:p w14:paraId="709E506B" w14:textId="77777777" w:rsidR="00F138D1" w:rsidRPr="00F138D1" w:rsidRDefault="00F138D1" w:rsidP="00577C9B">
      <w:pPr>
        <w:pStyle w:val="Heading2"/>
      </w:pPr>
      <w:bookmarkStart w:id="16" w:name="_Toc152945470"/>
      <w:r w:rsidRPr="00F138D1">
        <w:t>Plant and equipment valuation</w:t>
      </w:r>
      <w:bookmarkEnd w:id="16"/>
    </w:p>
    <w:p w14:paraId="04800047" w14:textId="77777777" w:rsidR="00F138D1" w:rsidRPr="00F138D1" w:rsidRDefault="00F138D1" w:rsidP="00F138D1">
      <w:pPr>
        <w:pStyle w:val="BodyText"/>
        <w:rPr>
          <w:lang w:val="en-GB"/>
        </w:rPr>
      </w:pPr>
      <w:r w:rsidRPr="00F138D1">
        <w:rPr>
          <w:lang w:val="en-GB"/>
        </w:rPr>
        <w:t>To assess for the plant and equipment compensation, DEECA may request the applicant provide clarifying or further information, and access to the business site/s to inspect the identified assets.</w:t>
      </w:r>
    </w:p>
    <w:p w14:paraId="3D9755EC" w14:textId="77777777" w:rsidR="00F138D1" w:rsidRPr="00F138D1" w:rsidRDefault="00F138D1" w:rsidP="00F138D1">
      <w:pPr>
        <w:pStyle w:val="BodyText"/>
        <w:rPr>
          <w:lang w:val="en-GB"/>
        </w:rPr>
      </w:pPr>
      <w:r w:rsidRPr="00F138D1">
        <w:rPr>
          <w:lang w:val="en-GB"/>
        </w:rPr>
        <w:t xml:space="preserve">DEECA will arrange for a valuer from the Valuer-General Victoria to visit the site, accompanied by a Departmental officer, to undertake an independent valuation of all the eligible plant and equipment that has been listed by the applicant in their </w:t>
      </w:r>
      <w:proofErr w:type="gramStart"/>
      <w:r w:rsidRPr="00F138D1">
        <w:rPr>
          <w:lang w:val="en-GB"/>
        </w:rPr>
        <w:t>Application</w:t>
      </w:r>
      <w:proofErr w:type="gramEnd"/>
      <w:r w:rsidRPr="00F138D1">
        <w:rPr>
          <w:lang w:val="en-GB"/>
        </w:rPr>
        <w:t>.</w:t>
      </w:r>
    </w:p>
    <w:p w14:paraId="219D9105" w14:textId="14CFE420" w:rsidR="00F138D1" w:rsidRPr="00F138D1" w:rsidRDefault="00F138D1" w:rsidP="00F138D1">
      <w:pPr>
        <w:pStyle w:val="BodyText"/>
        <w:rPr>
          <w:lang w:val="en-GB"/>
        </w:rPr>
      </w:pPr>
      <w:r w:rsidRPr="00F138D1">
        <w:rPr>
          <w:lang w:val="en-GB"/>
        </w:rPr>
        <w:t>The completed valuation by the Valuer-General Victoria is final and non-negotiable.</w:t>
      </w:r>
    </w:p>
    <w:p w14:paraId="34D13460" w14:textId="77777777" w:rsidR="00F138D1" w:rsidRPr="00F138D1" w:rsidRDefault="00F138D1" w:rsidP="00577C9B">
      <w:pPr>
        <w:pStyle w:val="Heading1"/>
        <w:rPr>
          <w:lang w:val="en-US"/>
        </w:rPr>
      </w:pPr>
      <w:bookmarkStart w:id="17" w:name="_Toc152945471"/>
      <w:r w:rsidRPr="00F138D1">
        <w:rPr>
          <w:lang w:val="en-US"/>
        </w:rPr>
        <w:lastRenderedPageBreak/>
        <w:t>5. What is the application process?</w:t>
      </w:r>
      <w:bookmarkEnd w:id="17"/>
    </w:p>
    <w:p w14:paraId="58D30C42" w14:textId="73307413" w:rsidR="00F138D1" w:rsidRPr="00F138D1" w:rsidRDefault="00F138D1" w:rsidP="00F138D1">
      <w:pPr>
        <w:pStyle w:val="BodyText"/>
        <w:rPr>
          <w:lang w:val="en-GB"/>
        </w:rPr>
      </w:pPr>
      <w:r w:rsidRPr="00F138D1">
        <w:rPr>
          <w:lang w:val="en-GB"/>
        </w:rPr>
        <w:t xml:space="preserve">All potential applicants are encouraged to read these application guidelines carefully to establish the business’ eligibility for the Package and to contact a Forestry Transition Program Business Transition Co-ordinator </w:t>
      </w:r>
      <w:r w:rsidR="00577C9B">
        <w:rPr>
          <w:lang w:val="en-GB"/>
        </w:rPr>
        <w:t>by telephoning</w:t>
      </w:r>
      <w:r w:rsidRPr="00F138D1">
        <w:rPr>
          <w:lang w:val="en-GB"/>
        </w:rPr>
        <w:t xml:space="preserve"> 1800 318 182 or </w:t>
      </w:r>
      <w:r w:rsidR="00577C9B">
        <w:rPr>
          <w:lang w:val="en-GB"/>
        </w:rPr>
        <w:t xml:space="preserve">emailing </w:t>
      </w:r>
      <w:hyperlink r:id="rId10" w:history="1">
        <w:r w:rsidR="00577C9B" w:rsidRPr="00E07EB0">
          <w:rPr>
            <w:rStyle w:val="Hyperlink"/>
            <w:lang w:val="en-GB"/>
          </w:rPr>
          <w:t>forestrytransition@deeca.vic.gov.au</w:t>
        </w:r>
      </w:hyperlink>
      <w:r w:rsidRPr="00F138D1">
        <w:rPr>
          <w:lang w:val="en-GB"/>
        </w:rPr>
        <w:t>.</w:t>
      </w:r>
    </w:p>
    <w:p w14:paraId="338A2176" w14:textId="6C09B69D" w:rsidR="00F138D1" w:rsidRPr="00F138D1" w:rsidRDefault="00F138D1" w:rsidP="00F138D1">
      <w:pPr>
        <w:pStyle w:val="BodyText"/>
        <w:rPr>
          <w:lang w:val="en-GB"/>
        </w:rPr>
      </w:pPr>
      <w:r w:rsidRPr="00F138D1">
        <w:rPr>
          <w:lang w:val="en-GB"/>
        </w:rPr>
        <w:t xml:space="preserve">To participate in the Forestry Business Support Package, potential applicants must complete an </w:t>
      </w:r>
      <w:proofErr w:type="gramStart"/>
      <w:r w:rsidRPr="00F138D1">
        <w:rPr>
          <w:lang w:val="en-GB"/>
        </w:rPr>
        <w:t>Application</w:t>
      </w:r>
      <w:proofErr w:type="gramEnd"/>
      <w:r w:rsidRPr="00F138D1">
        <w:rPr>
          <w:lang w:val="en-GB"/>
        </w:rPr>
        <w:t xml:space="preserve"> form that is available at </w:t>
      </w:r>
      <w:hyperlink r:id="rId11" w:history="1">
        <w:r w:rsidRPr="00577C9B">
          <w:rPr>
            <w:rStyle w:val="Hyperlink"/>
            <w:lang w:val="en-GB"/>
          </w:rPr>
          <w:t>deeca.vic.gov.au/forestry/grants</w:t>
        </w:r>
      </w:hyperlink>
      <w:r w:rsidRPr="00F138D1">
        <w:rPr>
          <w:lang w:val="en-GB"/>
        </w:rPr>
        <w:t>.</w:t>
      </w:r>
    </w:p>
    <w:p w14:paraId="55326B68" w14:textId="77777777" w:rsidR="00F138D1" w:rsidRPr="00F138D1" w:rsidRDefault="00F138D1" w:rsidP="00F138D1">
      <w:pPr>
        <w:pStyle w:val="BodyText"/>
        <w:rPr>
          <w:lang w:val="en-GB"/>
        </w:rPr>
      </w:pPr>
      <w:r w:rsidRPr="00F138D1">
        <w:rPr>
          <w:lang w:val="en-GB"/>
        </w:rPr>
        <w:t xml:space="preserve">To apply the applicant will click on the ‘Start New Application’ button. To return to a saved draft application, click on the ‘Access Saved Application’ button. </w:t>
      </w:r>
    </w:p>
    <w:p w14:paraId="0A4F4FD3" w14:textId="437454F7" w:rsidR="00F138D1" w:rsidRPr="00F138D1" w:rsidRDefault="00F138D1" w:rsidP="00F138D1">
      <w:pPr>
        <w:pStyle w:val="BodyText"/>
        <w:rPr>
          <w:lang w:val="en-GB"/>
        </w:rPr>
      </w:pPr>
      <w:r w:rsidRPr="00F138D1">
        <w:rPr>
          <w:lang w:val="en-GB"/>
        </w:rPr>
        <w:t xml:space="preserve">You will receive an application number when you </w:t>
      </w:r>
      <w:proofErr w:type="gramStart"/>
      <w:r w:rsidRPr="00F138D1">
        <w:rPr>
          <w:lang w:val="en-GB"/>
        </w:rPr>
        <w:t>submit an application</w:t>
      </w:r>
      <w:proofErr w:type="gramEnd"/>
      <w:r w:rsidRPr="00F138D1">
        <w:rPr>
          <w:lang w:val="en-GB"/>
        </w:rPr>
        <w:t xml:space="preserve"> online. Please quote this number in all communications with the department relating to your application.</w:t>
      </w:r>
    </w:p>
    <w:p w14:paraId="232C48F7" w14:textId="4BAF8B16" w:rsidR="00F138D1" w:rsidRPr="00F138D1" w:rsidRDefault="00F138D1" w:rsidP="00F138D1">
      <w:pPr>
        <w:pStyle w:val="BodyText"/>
        <w:rPr>
          <w:lang w:val="en-GB"/>
        </w:rPr>
      </w:pPr>
      <w:r w:rsidRPr="00F138D1">
        <w:rPr>
          <w:lang w:val="en-GB"/>
        </w:rPr>
        <w:t>Applications for the Package must be submitted by 5:00 pm Friday 28 June 2024 (</w:t>
      </w:r>
      <w:r w:rsidRPr="00577C9B">
        <w:rPr>
          <w:b/>
          <w:bCs/>
          <w:lang w:val="en-GB"/>
        </w:rPr>
        <w:t>Application closing date</w:t>
      </w:r>
      <w:r w:rsidRPr="00F138D1">
        <w:rPr>
          <w:lang w:val="en-GB"/>
        </w:rPr>
        <w:t>).</w:t>
      </w:r>
    </w:p>
    <w:p w14:paraId="74F7FFF2" w14:textId="77777777" w:rsidR="00F138D1" w:rsidRPr="00F138D1" w:rsidRDefault="00F138D1" w:rsidP="00E924AC">
      <w:pPr>
        <w:pStyle w:val="Heading2"/>
      </w:pPr>
      <w:bookmarkStart w:id="18" w:name="_Toc152945472"/>
      <w:r w:rsidRPr="00F138D1">
        <w:t>What supporting documents will need to be provided?</w:t>
      </w:r>
      <w:bookmarkEnd w:id="18"/>
    </w:p>
    <w:p w14:paraId="6922ED68" w14:textId="77777777" w:rsidR="00F138D1" w:rsidRPr="00F138D1" w:rsidRDefault="00F138D1" w:rsidP="00F138D1">
      <w:pPr>
        <w:pStyle w:val="BodyText"/>
        <w:rPr>
          <w:lang w:val="en-GB"/>
        </w:rPr>
      </w:pPr>
      <w:r w:rsidRPr="00F138D1">
        <w:rPr>
          <w:lang w:val="en-GB"/>
        </w:rPr>
        <w:t>Please submit the following documents with your application:</w:t>
      </w:r>
    </w:p>
    <w:p w14:paraId="7BFAB0C7" w14:textId="77777777" w:rsidR="00F138D1" w:rsidRPr="00F138D1" w:rsidRDefault="00F138D1" w:rsidP="00577C9B">
      <w:pPr>
        <w:pStyle w:val="ListBullet"/>
        <w:rPr>
          <w:lang w:val="en-GB"/>
        </w:rPr>
      </w:pPr>
      <w:r w:rsidRPr="00F138D1">
        <w:rPr>
          <w:lang w:val="en-GB"/>
        </w:rPr>
        <w:t xml:space="preserve">Evidence of agreement with </w:t>
      </w:r>
      <w:proofErr w:type="spellStart"/>
      <w:r w:rsidRPr="00F138D1">
        <w:rPr>
          <w:lang w:val="en-GB"/>
        </w:rPr>
        <w:t>VicForests</w:t>
      </w:r>
      <w:proofErr w:type="spellEnd"/>
      <w:r w:rsidRPr="00F138D1">
        <w:rPr>
          <w:lang w:val="en-GB"/>
        </w:rPr>
        <w:t xml:space="preserve"> or arrangement with a direct contractor to </w:t>
      </w:r>
      <w:proofErr w:type="spellStart"/>
      <w:r w:rsidRPr="00F138D1">
        <w:rPr>
          <w:lang w:val="en-GB"/>
        </w:rPr>
        <w:t>VicForests</w:t>
      </w:r>
      <w:proofErr w:type="spellEnd"/>
      <w:r w:rsidRPr="00F138D1">
        <w:rPr>
          <w:lang w:val="en-GB"/>
        </w:rPr>
        <w:t>.</w:t>
      </w:r>
    </w:p>
    <w:p w14:paraId="5B5CC81D" w14:textId="77777777" w:rsidR="00F138D1" w:rsidRPr="00F138D1" w:rsidRDefault="00F138D1" w:rsidP="00577C9B">
      <w:pPr>
        <w:pStyle w:val="ListBullet"/>
        <w:rPr>
          <w:lang w:val="en-GB"/>
        </w:rPr>
      </w:pPr>
      <w:r w:rsidRPr="00F138D1">
        <w:rPr>
          <w:lang w:val="en-GB"/>
        </w:rPr>
        <w:t xml:space="preserve">A statutory declaration that the business meets and will meet all industrial relations obligations as an employer in accordance with the National Employment Standards under the </w:t>
      </w:r>
      <w:r w:rsidRPr="00F138D1">
        <w:rPr>
          <w:i/>
          <w:iCs/>
          <w:lang w:val="en-GB"/>
        </w:rPr>
        <w:t>Fair Work Act 2009</w:t>
      </w:r>
      <w:r w:rsidRPr="00F138D1">
        <w:rPr>
          <w:lang w:val="en-GB"/>
        </w:rPr>
        <w:t xml:space="preserve"> (</w:t>
      </w:r>
      <w:proofErr w:type="spellStart"/>
      <w:r w:rsidRPr="00F138D1">
        <w:rPr>
          <w:lang w:val="en-GB"/>
        </w:rPr>
        <w:t>Cth</w:t>
      </w:r>
      <w:proofErr w:type="spellEnd"/>
      <w:r w:rsidRPr="00F138D1">
        <w:rPr>
          <w:lang w:val="en-GB"/>
        </w:rPr>
        <w:t xml:space="preserve">) for the purposes of this </w:t>
      </w:r>
      <w:proofErr w:type="gramStart"/>
      <w:r w:rsidRPr="00F138D1">
        <w:rPr>
          <w:lang w:val="en-GB"/>
        </w:rPr>
        <w:t>package, if</w:t>
      </w:r>
      <w:proofErr w:type="gramEnd"/>
      <w:r w:rsidRPr="00F138D1">
        <w:rPr>
          <w:lang w:val="en-GB"/>
        </w:rPr>
        <w:t> they are an employing business.</w:t>
      </w:r>
    </w:p>
    <w:p w14:paraId="1175EA1D" w14:textId="77777777" w:rsidR="00F138D1" w:rsidRPr="00F138D1" w:rsidRDefault="00F138D1" w:rsidP="00F138D1">
      <w:pPr>
        <w:pStyle w:val="BodyText"/>
        <w:rPr>
          <w:lang w:val="en-GB"/>
        </w:rPr>
      </w:pPr>
      <w:r w:rsidRPr="00F138D1">
        <w:rPr>
          <w:lang w:val="en-GB"/>
        </w:rPr>
        <w:t>Component 1 – Plant and equipment compensation</w:t>
      </w:r>
    </w:p>
    <w:p w14:paraId="73A30B63" w14:textId="77777777" w:rsidR="00F138D1" w:rsidRPr="00F138D1" w:rsidRDefault="00F138D1" w:rsidP="00577C9B">
      <w:pPr>
        <w:pStyle w:val="ListBullet"/>
        <w:rPr>
          <w:lang w:val="en-GB"/>
        </w:rPr>
      </w:pPr>
      <w:r w:rsidRPr="00F138D1">
        <w:rPr>
          <w:lang w:val="en-GB"/>
        </w:rPr>
        <w:t>A copy of the business’s most recent asset depreciation schedule that is Australian Taxation Office compliant.</w:t>
      </w:r>
    </w:p>
    <w:p w14:paraId="50F8BF4A" w14:textId="77777777" w:rsidR="00F138D1" w:rsidRPr="00F138D1" w:rsidRDefault="00F138D1" w:rsidP="00F138D1">
      <w:pPr>
        <w:pStyle w:val="BodyText"/>
        <w:rPr>
          <w:lang w:val="en-GB"/>
        </w:rPr>
      </w:pPr>
      <w:r w:rsidRPr="00F138D1">
        <w:rPr>
          <w:lang w:val="en-GB"/>
        </w:rPr>
        <w:t>Component 2 – Employee statutory redundancy costs</w:t>
      </w:r>
    </w:p>
    <w:p w14:paraId="71CF4A21" w14:textId="77777777" w:rsidR="00F138D1" w:rsidRPr="00F138D1" w:rsidRDefault="00F138D1" w:rsidP="00577C9B">
      <w:pPr>
        <w:pStyle w:val="ListBullet"/>
        <w:rPr>
          <w:lang w:val="en-GB"/>
        </w:rPr>
      </w:pPr>
      <w:r w:rsidRPr="00F138D1">
        <w:rPr>
          <w:lang w:val="en-GB"/>
        </w:rPr>
        <w:t>A spreadsheet detailing the employee statutory redundancy payments to be made to employees who are to be made redundant, including the following information:</w:t>
      </w:r>
    </w:p>
    <w:p w14:paraId="385BC26F" w14:textId="77777777" w:rsidR="00F138D1" w:rsidRPr="00F138D1" w:rsidRDefault="00F138D1" w:rsidP="004554EA">
      <w:pPr>
        <w:pStyle w:val="ListBullet2"/>
        <w:spacing w:after="80"/>
        <w:rPr>
          <w:lang w:val="en-GB"/>
        </w:rPr>
      </w:pPr>
      <w:r w:rsidRPr="00F138D1">
        <w:rPr>
          <w:lang w:val="en-GB"/>
        </w:rPr>
        <w:t>Employee starting date</w:t>
      </w:r>
    </w:p>
    <w:p w14:paraId="333EEC20" w14:textId="77777777" w:rsidR="00F138D1" w:rsidRPr="00F138D1" w:rsidRDefault="00F138D1" w:rsidP="004554EA">
      <w:pPr>
        <w:pStyle w:val="ListBullet2"/>
        <w:spacing w:after="80"/>
        <w:rPr>
          <w:lang w:val="en-GB"/>
        </w:rPr>
      </w:pPr>
      <w:r w:rsidRPr="00F138D1">
        <w:rPr>
          <w:lang w:val="en-GB"/>
        </w:rPr>
        <w:lastRenderedPageBreak/>
        <w:t>Years of service</w:t>
      </w:r>
    </w:p>
    <w:p w14:paraId="0FF54C43" w14:textId="77777777" w:rsidR="00F138D1" w:rsidRPr="00F138D1" w:rsidRDefault="00F138D1" w:rsidP="004554EA">
      <w:pPr>
        <w:pStyle w:val="ListBullet2"/>
        <w:spacing w:after="80"/>
        <w:rPr>
          <w:lang w:val="en-GB"/>
        </w:rPr>
      </w:pPr>
      <w:r w:rsidRPr="00F138D1">
        <w:rPr>
          <w:lang w:val="en-GB"/>
        </w:rPr>
        <w:t>Hourly rate</w:t>
      </w:r>
    </w:p>
    <w:p w14:paraId="507B6880" w14:textId="77777777" w:rsidR="00F138D1" w:rsidRPr="00F138D1" w:rsidRDefault="00F138D1" w:rsidP="004554EA">
      <w:pPr>
        <w:pStyle w:val="ListBullet2"/>
        <w:spacing w:after="80"/>
        <w:rPr>
          <w:lang w:val="en-GB"/>
        </w:rPr>
      </w:pPr>
      <w:r w:rsidRPr="00F138D1">
        <w:rPr>
          <w:lang w:val="en-GB"/>
        </w:rPr>
        <w:t>Award</w:t>
      </w:r>
    </w:p>
    <w:p w14:paraId="2964DF40" w14:textId="77777777" w:rsidR="00F138D1" w:rsidRPr="00F138D1" w:rsidRDefault="00F138D1" w:rsidP="004554EA">
      <w:pPr>
        <w:pStyle w:val="ListBullet2"/>
        <w:spacing w:after="80"/>
        <w:rPr>
          <w:lang w:val="en-GB"/>
        </w:rPr>
      </w:pPr>
      <w:r w:rsidRPr="00F138D1">
        <w:rPr>
          <w:lang w:val="en-GB"/>
        </w:rPr>
        <w:t xml:space="preserve">Redundancy </w:t>
      </w:r>
      <w:proofErr w:type="gramStart"/>
      <w:r w:rsidRPr="00F138D1">
        <w:rPr>
          <w:lang w:val="en-GB"/>
        </w:rPr>
        <w:t>pay</w:t>
      </w:r>
      <w:proofErr w:type="gramEnd"/>
      <w:r w:rsidRPr="00F138D1">
        <w:rPr>
          <w:lang w:val="en-GB"/>
        </w:rPr>
        <w:t xml:space="preserve"> weeks</w:t>
      </w:r>
    </w:p>
    <w:p w14:paraId="1DD5718B" w14:textId="77777777" w:rsidR="00F138D1" w:rsidRPr="00F138D1" w:rsidRDefault="00F138D1" w:rsidP="004554EA">
      <w:pPr>
        <w:pStyle w:val="ListBullet2"/>
        <w:spacing w:after="240"/>
        <w:rPr>
          <w:lang w:val="en-GB"/>
        </w:rPr>
      </w:pPr>
      <w:r w:rsidRPr="00F138D1">
        <w:rPr>
          <w:lang w:val="en-GB"/>
        </w:rPr>
        <w:t>Redundancy pay value.</w:t>
      </w:r>
    </w:p>
    <w:p w14:paraId="2071AC6D" w14:textId="60EC6EC1" w:rsidR="00F138D1" w:rsidRPr="00F138D1" w:rsidRDefault="00F138D1" w:rsidP="00F138D1">
      <w:pPr>
        <w:pStyle w:val="BodyText"/>
        <w:rPr>
          <w:lang w:val="en-GB"/>
        </w:rPr>
      </w:pPr>
      <w:r w:rsidRPr="00F138D1">
        <w:rPr>
          <w:lang w:val="en-GB"/>
        </w:rPr>
        <w:t>Note that the information in the spreadsheet may be de-identified and not include employee names.</w:t>
      </w:r>
    </w:p>
    <w:p w14:paraId="43F09DA6" w14:textId="77777777" w:rsidR="00F138D1" w:rsidRPr="00F138D1" w:rsidRDefault="00F138D1" w:rsidP="00577C9B">
      <w:pPr>
        <w:pStyle w:val="Heading3"/>
      </w:pPr>
      <w:r w:rsidRPr="00F138D1">
        <w:t>Attaching required documents:</w:t>
      </w:r>
    </w:p>
    <w:p w14:paraId="00DCD129" w14:textId="77777777" w:rsidR="00F138D1" w:rsidRPr="00F138D1" w:rsidRDefault="00F138D1" w:rsidP="00F138D1">
      <w:pPr>
        <w:pStyle w:val="BodyText"/>
        <w:rPr>
          <w:lang w:val="en-GB"/>
        </w:rPr>
      </w:pPr>
      <w:r w:rsidRPr="00F138D1">
        <w:rPr>
          <w:lang w:val="en-GB"/>
        </w:rPr>
        <w:t>Supporting documents must be in an acceptable file type, such as Word, Excel, PDF, or JPEG. The maximum file size for each file is 10MB.</w:t>
      </w:r>
    </w:p>
    <w:p w14:paraId="3250BBEE" w14:textId="2B05C93F" w:rsidR="00F138D1" w:rsidRPr="00F138D1" w:rsidRDefault="00F138D1" w:rsidP="00F138D1">
      <w:pPr>
        <w:pStyle w:val="BodyText"/>
        <w:rPr>
          <w:lang w:val="en-GB"/>
        </w:rPr>
      </w:pPr>
      <w:r w:rsidRPr="00F138D1">
        <w:rPr>
          <w:lang w:val="en-GB"/>
        </w:rPr>
        <w:t xml:space="preserve">If you have documents to submit that cannot be attached to your online application you can email them to </w:t>
      </w:r>
      <w:hyperlink r:id="rId12" w:history="1">
        <w:r w:rsidRPr="00F138D1">
          <w:rPr>
            <w:rStyle w:val="Hyperlink"/>
            <w:lang w:val="en-GB"/>
          </w:rPr>
          <w:t>forestry.businessSP@deeca.vic.gov.au</w:t>
        </w:r>
      </w:hyperlink>
      <w:r w:rsidRPr="00F138D1">
        <w:rPr>
          <w:lang w:val="en-GB"/>
        </w:rPr>
        <w:t>, quoting your application number. Attach all documents to one email, zipping the files if required.</w:t>
      </w:r>
    </w:p>
    <w:p w14:paraId="5E466F7A" w14:textId="77777777" w:rsidR="00F138D1" w:rsidRDefault="00F138D1" w:rsidP="00577C9B">
      <w:pPr>
        <w:pStyle w:val="Heading2"/>
      </w:pPr>
      <w:bookmarkStart w:id="19" w:name="_Toc152945473"/>
      <w:r w:rsidRPr="00F138D1">
        <w:t>Key dates</w:t>
      </w:r>
      <w:bookmarkEnd w:id="19"/>
    </w:p>
    <w:p w14:paraId="2DBFE2C4" w14:textId="47DEFEF1" w:rsidR="00577C9B" w:rsidRDefault="00577C9B" w:rsidP="00577C9B">
      <w:pPr>
        <w:rPr>
          <w:b/>
          <w:bCs/>
          <w:lang w:val="en-GB"/>
        </w:rPr>
      </w:pPr>
      <w:r w:rsidRPr="00F138D1">
        <w:rPr>
          <w:b/>
          <w:bCs/>
          <w:lang w:val="en-GB"/>
        </w:rPr>
        <w:t>Applications open:</w:t>
      </w:r>
      <w:r w:rsidRPr="00577C9B">
        <w:rPr>
          <w:b/>
          <w:bCs/>
          <w:lang w:val="en-GB"/>
        </w:rPr>
        <w:t xml:space="preserve"> </w:t>
      </w:r>
      <w:r w:rsidR="005E28CD" w:rsidRPr="005E28CD">
        <w:rPr>
          <w:b/>
          <w:bCs/>
          <w:lang w:val="en-GB"/>
        </w:rPr>
        <w:t>21</w:t>
      </w:r>
      <w:r w:rsidRPr="005E28CD">
        <w:rPr>
          <w:b/>
          <w:bCs/>
          <w:lang w:val="en-GB"/>
        </w:rPr>
        <w:t xml:space="preserve"> December 2023</w:t>
      </w:r>
    </w:p>
    <w:p w14:paraId="6572244F" w14:textId="03F36211" w:rsidR="00577C9B" w:rsidRPr="00577C9B" w:rsidRDefault="00577C9B" w:rsidP="00577C9B">
      <w:pPr>
        <w:rPr>
          <w:lang w:val="en-GB"/>
        </w:rPr>
      </w:pPr>
      <w:r w:rsidRPr="00F138D1">
        <w:rPr>
          <w:b/>
          <w:bCs/>
          <w:lang w:val="en-GB"/>
        </w:rPr>
        <w:t>Applications close:</w:t>
      </w:r>
      <w:r w:rsidRPr="00577C9B">
        <w:rPr>
          <w:b/>
          <w:bCs/>
          <w:lang w:val="en-GB"/>
        </w:rPr>
        <w:t xml:space="preserve"> </w:t>
      </w:r>
      <w:r w:rsidRPr="00F138D1">
        <w:rPr>
          <w:b/>
          <w:bCs/>
          <w:lang w:val="en-GB"/>
        </w:rPr>
        <w:t>28 June 2024</w:t>
      </w:r>
    </w:p>
    <w:p w14:paraId="42E1805D" w14:textId="77777777" w:rsidR="00F138D1" w:rsidRPr="00F138D1" w:rsidRDefault="00F138D1" w:rsidP="005D632D">
      <w:pPr>
        <w:pStyle w:val="Heading1"/>
        <w:spacing w:before="480"/>
        <w:rPr>
          <w:lang w:val="en-US"/>
        </w:rPr>
      </w:pPr>
      <w:bookmarkStart w:id="20" w:name="_Toc152945474"/>
      <w:r w:rsidRPr="00F138D1">
        <w:rPr>
          <w:lang w:val="en-US"/>
        </w:rPr>
        <w:t>6. Additional information</w:t>
      </w:r>
      <w:bookmarkEnd w:id="20"/>
    </w:p>
    <w:p w14:paraId="60063F22" w14:textId="77777777" w:rsidR="00F138D1" w:rsidRPr="00F138D1" w:rsidRDefault="00F138D1" w:rsidP="00577C9B">
      <w:pPr>
        <w:pStyle w:val="Heading3"/>
      </w:pPr>
      <w:r w:rsidRPr="00F138D1">
        <w:t>Forestry Business Support Package contact</w:t>
      </w:r>
    </w:p>
    <w:p w14:paraId="59502A8F" w14:textId="77777777" w:rsidR="00BC579A" w:rsidRDefault="00F138D1" w:rsidP="00BC579A">
      <w:pPr>
        <w:pStyle w:val="BodyText"/>
        <w:spacing w:after="0"/>
        <w:rPr>
          <w:lang w:val="en-GB"/>
        </w:rPr>
      </w:pPr>
      <w:r w:rsidRPr="00577C9B">
        <w:rPr>
          <w:b/>
          <w:bCs/>
          <w:lang w:val="en-GB"/>
        </w:rPr>
        <w:t>Program Manager:</w:t>
      </w:r>
      <w:r w:rsidRPr="00F138D1">
        <w:rPr>
          <w:lang w:val="en-GB"/>
        </w:rPr>
        <w:t xml:space="preserve"> </w:t>
      </w:r>
    </w:p>
    <w:p w14:paraId="6AB0E2E6" w14:textId="596380C7" w:rsidR="00F138D1" w:rsidRPr="00F138D1" w:rsidRDefault="00F138D1" w:rsidP="00F138D1">
      <w:pPr>
        <w:pStyle w:val="BodyText"/>
        <w:rPr>
          <w:lang w:val="en-GB"/>
        </w:rPr>
      </w:pPr>
      <w:r w:rsidRPr="00F138D1">
        <w:rPr>
          <w:lang w:val="en-GB"/>
        </w:rPr>
        <w:t>Andrew van der Kaap, Forestry Transition</w:t>
      </w:r>
    </w:p>
    <w:p w14:paraId="6ED25723" w14:textId="77777777" w:rsidR="00BC579A" w:rsidRDefault="00F138D1" w:rsidP="00BC579A">
      <w:pPr>
        <w:pStyle w:val="BodyText"/>
        <w:spacing w:after="0"/>
        <w:rPr>
          <w:lang w:val="en-GB"/>
        </w:rPr>
      </w:pPr>
      <w:r w:rsidRPr="00577C9B">
        <w:rPr>
          <w:b/>
          <w:bCs/>
          <w:lang w:val="en-GB"/>
        </w:rPr>
        <w:t>Contact details:</w:t>
      </w:r>
      <w:r w:rsidRPr="00F138D1">
        <w:rPr>
          <w:lang w:val="en-GB"/>
        </w:rPr>
        <w:t xml:space="preserve"> </w:t>
      </w:r>
    </w:p>
    <w:p w14:paraId="1EFD92CF" w14:textId="280B4009" w:rsidR="00F138D1" w:rsidRPr="00F138D1" w:rsidRDefault="00F138D1" w:rsidP="00577C9B">
      <w:pPr>
        <w:pStyle w:val="BodyText"/>
        <w:spacing w:after="60"/>
        <w:rPr>
          <w:lang w:val="en-GB"/>
        </w:rPr>
      </w:pPr>
      <w:r w:rsidRPr="00F138D1">
        <w:rPr>
          <w:lang w:val="en-GB"/>
        </w:rPr>
        <w:t>Forestry Business Support Package</w:t>
      </w:r>
      <w:r w:rsidRPr="00F138D1">
        <w:rPr>
          <w:lang w:val="en-GB"/>
        </w:rPr>
        <w:br/>
      </w:r>
      <w:hyperlink r:id="rId13" w:history="1">
        <w:r w:rsidRPr="00577C9B">
          <w:rPr>
            <w:rStyle w:val="Hyperlink"/>
            <w:lang w:val="en-GB"/>
          </w:rPr>
          <w:t>forestry.businessSP@deeca.vic.gov.au</w:t>
        </w:r>
      </w:hyperlink>
    </w:p>
    <w:p w14:paraId="00F5CF58" w14:textId="77777777" w:rsidR="00F138D1" w:rsidRPr="00F138D1" w:rsidRDefault="00F138D1" w:rsidP="00F138D1">
      <w:pPr>
        <w:pStyle w:val="BodyText"/>
        <w:rPr>
          <w:lang w:val="en-GB"/>
        </w:rPr>
      </w:pPr>
      <w:r w:rsidRPr="00F138D1">
        <w:rPr>
          <w:lang w:val="en-GB"/>
        </w:rPr>
        <w:t>Phone: 1800 318 182</w:t>
      </w:r>
    </w:p>
    <w:p w14:paraId="19092ECA" w14:textId="0FCF0DB5" w:rsidR="00F138D1" w:rsidRPr="00F138D1" w:rsidRDefault="00577C9B" w:rsidP="00F138D1">
      <w:pPr>
        <w:pStyle w:val="BodyText"/>
        <w:rPr>
          <w:lang w:val="en-GB"/>
        </w:rPr>
      </w:pPr>
      <w:r w:rsidRPr="00F138D1">
        <w:rPr>
          <w:b/>
          <w:bCs/>
          <w:lang w:val="en-GB"/>
        </w:rPr>
        <w:t xml:space="preserve">If you require assistance submitting your application online, email </w:t>
      </w:r>
      <w:hyperlink r:id="rId14" w:history="1">
        <w:r w:rsidRPr="00577C9B">
          <w:rPr>
            <w:rStyle w:val="Hyperlink"/>
            <w:b/>
            <w:bCs/>
            <w:lang w:val="en-GB"/>
          </w:rPr>
          <w:t>grantsinfo@delwp.vic.gov.au</w:t>
        </w:r>
      </w:hyperlink>
      <w:r w:rsidRPr="00F138D1">
        <w:rPr>
          <w:b/>
          <w:bCs/>
          <w:lang w:val="en-GB"/>
        </w:rPr>
        <w:t>.</w:t>
      </w:r>
    </w:p>
    <w:p w14:paraId="1054B275" w14:textId="77777777" w:rsidR="00F138D1" w:rsidRPr="00F138D1" w:rsidRDefault="00F138D1" w:rsidP="00577C9B">
      <w:pPr>
        <w:pStyle w:val="Heading2"/>
      </w:pPr>
      <w:bookmarkStart w:id="21" w:name="_Toc152945475"/>
      <w:r w:rsidRPr="00F138D1">
        <w:lastRenderedPageBreak/>
        <w:t>Checklist</w:t>
      </w:r>
      <w:bookmarkEnd w:id="21"/>
    </w:p>
    <w:p w14:paraId="1C4EF963" w14:textId="1115BEF2" w:rsidR="00F138D1" w:rsidRPr="00F138D1" w:rsidRDefault="00F138D1" w:rsidP="00F138D1">
      <w:pPr>
        <w:pStyle w:val="BodyText"/>
        <w:rPr>
          <w:lang w:val="en-GB"/>
        </w:rPr>
      </w:pPr>
      <w:r w:rsidRPr="00F138D1">
        <w:rPr>
          <w:lang w:val="en-GB"/>
        </w:rPr>
        <w:t xml:space="preserve">Read these guidelines and the information about this grant program at </w:t>
      </w:r>
      <w:hyperlink r:id="rId15" w:history="1">
        <w:r w:rsidRPr="00577C9B">
          <w:rPr>
            <w:rStyle w:val="Hyperlink"/>
            <w:lang w:val="en-GB"/>
          </w:rPr>
          <w:t>deeca.vic.gov.au/forestry/grants</w:t>
        </w:r>
      </w:hyperlink>
      <w:r w:rsidRPr="00F138D1">
        <w:rPr>
          <w:lang w:val="en-GB"/>
        </w:rPr>
        <w:t xml:space="preserve"> before applying and complete the following checklist.</w:t>
      </w:r>
    </w:p>
    <w:p w14:paraId="1CC21E5D" w14:textId="77777777" w:rsidR="00F138D1" w:rsidRPr="00F138D1" w:rsidRDefault="00F138D1" w:rsidP="00577C9B">
      <w:pPr>
        <w:pStyle w:val="BodyText"/>
        <w:spacing w:after="0"/>
        <w:rPr>
          <w:lang w:val="en-GB"/>
        </w:rPr>
      </w:pPr>
      <w:r w:rsidRPr="00F138D1">
        <w:rPr>
          <w:lang w:val="en-GB"/>
        </w:rPr>
        <w:t>Have you:</w:t>
      </w:r>
    </w:p>
    <w:p w14:paraId="5E138FA1" w14:textId="77777777" w:rsidR="00F138D1" w:rsidRPr="00577C9B" w:rsidRDefault="00F138D1" w:rsidP="00577C9B">
      <w:pPr>
        <w:pStyle w:val="ListBullet"/>
        <w:rPr>
          <w:b/>
          <w:bCs/>
          <w:lang w:val="en-GB"/>
        </w:rPr>
      </w:pPr>
      <w:r w:rsidRPr="00577C9B">
        <w:rPr>
          <w:b/>
          <w:bCs/>
          <w:lang w:val="en-GB"/>
        </w:rPr>
        <w:t>read these guidelines carefully?</w:t>
      </w:r>
    </w:p>
    <w:p w14:paraId="2F79F605" w14:textId="77777777" w:rsidR="00F138D1" w:rsidRPr="00F138D1" w:rsidRDefault="00F138D1" w:rsidP="00577C9B">
      <w:pPr>
        <w:pStyle w:val="ListBullet"/>
        <w:rPr>
          <w:lang w:val="en-GB"/>
        </w:rPr>
      </w:pPr>
      <w:r w:rsidRPr="00F138D1">
        <w:rPr>
          <w:lang w:val="en-GB"/>
        </w:rPr>
        <w:t>checked if your business is eligible for this grant funding?</w:t>
      </w:r>
    </w:p>
    <w:p w14:paraId="74DFF22F" w14:textId="52A46579" w:rsidR="00F138D1" w:rsidRPr="00F138D1" w:rsidRDefault="00F138D1" w:rsidP="00577C9B">
      <w:pPr>
        <w:pStyle w:val="ListBullet"/>
        <w:rPr>
          <w:lang w:val="en-GB"/>
        </w:rPr>
      </w:pPr>
      <w:r w:rsidRPr="00F138D1">
        <w:rPr>
          <w:lang w:val="en-GB"/>
        </w:rPr>
        <w:t>checked that you would be able to comply with all relevant laws and regulations in delivery of your activity?</w:t>
      </w:r>
    </w:p>
    <w:p w14:paraId="4E5AE325" w14:textId="77777777" w:rsidR="00F138D1" w:rsidRPr="00F138D1" w:rsidRDefault="00F138D1" w:rsidP="00577C9B">
      <w:pPr>
        <w:pStyle w:val="ListBullet"/>
        <w:rPr>
          <w:lang w:val="en-GB"/>
        </w:rPr>
      </w:pPr>
      <w:r w:rsidRPr="00F138D1">
        <w:rPr>
          <w:lang w:val="en-GB"/>
        </w:rPr>
        <w:t>prepared the appropriate supporting documents?</w:t>
      </w:r>
    </w:p>
    <w:p w14:paraId="0FC8D5D7" w14:textId="77777777" w:rsidR="00F138D1" w:rsidRPr="00F138D1" w:rsidRDefault="00F138D1" w:rsidP="00577C9B">
      <w:pPr>
        <w:pStyle w:val="Heading2"/>
      </w:pPr>
      <w:bookmarkStart w:id="22" w:name="_Toc152945476"/>
      <w:r w:rsidRPr="00F138D1">
        <w:t>No representation</w:t>
      </w:r>
      <w:bookmarkEnd w:id="22"/>
    </w:p>
    <w:p w14:paraId="26C052F4" w14:textId="77777777" w:rsidR="00F138D1" w:rsidRPr="00F138D1" w:rsidRDefault="00F138D1" w:rsidP="00F138D1">
      <w:pPr>
        <w:pStyle w:val="BodyText"/>
        <w:rPr>
          <w:lang w:val="en-GB"/>
        </w:rPr>
      </w:pPr>
      <w:r w:rsidRPr="00F138D1">
        <w:rPr>
          <w:lang w:val="en-GB"/>
        </w:rPr>
        <w:t>Businesses are solely responsible for obtaining independent, professional legal and financial advice prior to making an application.</w:t>
      </w:r>
    </w:p>
    <w:p w14:paraId="3B3B16CF" w14:textId="77777777" w:rsidR="00F138D1" w:rsidRPr="00F138D1" w:rsidRDefault="00F138D1" w:rsidP="00F138D1">
      <w:pPr>
        <w:pStyle w:val="BodyText"/>
        <w:rPr>
          <w:lang w:val="en-GB"/>
        </w:rPr>
      </w:pPr>
      <w:r w:rsidRPr="00F138D1">
        <w:rPr>
          <w:lang w:val="en-GB"/>
        </w:rPr>
        <w:t>By making an application, the applicant acknowledges that it has not relied on, and will not rely on, any financial or other advice, representation, statement or promise provided or made by or on behalf of the Department in connection with their participation in the Package and exiting future timber supply.</w:t>
      </w:r>
    </w:p>
    <w:p w14:paraId="06E8C3C0" w14:textId="5F6CBEFB" w:rsidR="00F138D1" w:rsidRPr="00F138D1" w:rsidRDefault="00F138D1" w:rsidP="00F138D1">
      <w:pPr>
        <w:pStyle w:val="BodyText"/>
        <w:rPr>
          <w:lang w:val="en-GB"/>
        </w:rPr>
      </w:pPr>
      <w:r w:rsidRPr="00F138D1">
        <w:rPr>
          <w:lang w:val="en-GB"/>
        </w:rPr>
        <w:t>The Department makes no representation that a grant of funds will be made to any applicant and reserves the right to make no funds available under the Package.</w:t>
      </w:r>
    </w:p>
    <w:p w14:paraId="2AAA49B5" w14:textId="77777777" w:rsidR="00F138D1" w:rsidRPr="00F138D1" w:rsidRDefault="00F138D1" w:rsidP="003A6086">
      <w:pPr>
        <w:pStyle w:val="Heading1"/>
        <w:rPr>
          <w:lang w:val="en-US"/>
        </w:rPr>
      </w:pPr>
      <w:bookmarkStart w:id="23" w:name="_Toc152945477"/>
      <w:r w:rsidRPr="00F138D1">
        <w:rPr>
          <w:lang w:val="en-US"/>
        </w:rPr>
        <w:t>7. Other Forestry Transition assistance available</w:t>
      </w:r>
      <w:bookmarkEnd w:id="23"/>
    </w:p>
    <w:p w14:paraId="61DA7DFE" w14:textId="77777777" w:rsidR="00F138D1" w:rsidRPr="00F138D1" w:rsidRDefault="00F138D1" w:rsidP="00F138D1">
      <w:pPr>
        <w:pStyle w:val="BodyText"/>
        <w:rPr>
          <w:lang w:val="en-GB"/>
        </w:rPr>
      </w:pPr>
      <w:r w:rsidRPr="00F138D1">
        <w:rPr>
          <w:lang w:val="en-GB"/>
        </w:rPr>
        <w:t xml:space="preserve">The Forestry Transition Program includes assistance for affected timber businesses, </w:t>
      </w:r>
      <w:proofErr w:type="gramStart"/>
      <w:r w:rsidRPr="00F138D1">
        <w:rPr>
          <w:lang w:val="en-GB"/>
        </w:rPr>
        <w:t>workers</w:t>
      </w:r>
      <w:proofErr w:type="gramEnd"/>
      <w:r w:rsidRPr="00F138D1">
        <w:rPr>
          <w:lang w:val="en-GB"/>
        </w:rPr>
        <w:t xml:space="preserve"> and communities. Successful applicants under the Package remain eligible for other Forestry Transition Program support packages when and if released, subject to meeting the specific requirements.</w:t>
      </w:r>
    </w:p>
    <w:p w14:paraId="16205FEE" w14:textId="77777777" w:rsidR="00F138D1" w:rsidRPr="00F138D1" w:rsidRDefault="00F138D1" w:rsidP="00F138D1">
      <w:pPr>
        <w:pStyle w:val="BodyText"/>
        <w:rPr>
          <w:lang w:val="en-GB"/>
        </w:rPr>
      </w:pPr>
      <w:r w:rsidRPr="00F138D1">
        <w:rPr>
          <w:lang w:val="en-GB"/>
        </w:rPr>
        <w:t>Forestry Transition support includes:</w:t>
      </w:r>
    </w:p>
    <w:p w14:paraId="730CDB17" w14:textId="77777777" w:rsidR="00F138D1" w:rsidRPr="00F138D1" w:rsidRDefault="00F138D1" w:rsidP="003A6086">
      <w:pPr>
        <w:pStyle w:val="ListBullet"/>
        <w:rPr>
          <w:lang w:val="en-GB"/>
        </w:rPr>
      </w:pPr>
      <w:r w:rsidRPr="00F138D1">
        <w:rPr>
          <w:lang w:val="en-GB"/>
        </w:rPr>
        <w:t xml:space="preserve">Victorian Timber Innovation Grants – this program supports businesses to transition from native timber and explore, </w:t>
      </w:r>
      <w:proofErr w:type="gramStart"/>
      <w:r w:rsidRPr="00F138D1">
        <w:rPr>
          <w:lang w:val="en-GB"/>
        </w:rPr>
        <w:t>investigate</w:t>
      </w:r>
      <w:proofErr w:type="gramEnd"/>
      <w:r w:rsidRPr="00F138D1">
        <w:rPr>
          <w:lang w:val="en-GB"/>
        </w:rPr>
        <w:t xml:space="preserve"> and implement business transition opportunities.</w:t>
      </w:r>
    </w:p>
    <w:p w14:paraId="4F3DF2F2" w14:textId="77777777" w:rsidR="00F138D1" w:rsidRPr="00F138D1" w:rsidRDefault="00F138D1" w:rsidP="003A6086">
      <w:pPr>
        <w:pStyle w:val="ListBullet"/>
        <w:rPr>
          <w:lang w:val="en-GB"/>
        </w:rPr>
      </w:pPr>
      <w:r w:rsidRPr="00F138D1">
        <w:rPr>
          <w:lang w:val="en-GB"/>
        </w:rPr>
        <w:lastRenderedPageBreak/>
        <w:t>Worker Support – this program supports affected sawmill workers and those working in harvest and haulage businesses. Support for workers includes:</w:t>
      </w:r>
    </w:p>
    <w:p w14:paraId="169E15D8" w14:textId="77777777" w:rsidR="00F138D1" w:rsidRPr="00F138D1" w:rsidRDefault="00F138D1" w:rsidP="003A6086">
      <w:pPr>
        <w:pStyle w:val="ListBullet2"/>
        <w:rPr>
          <w:lang w:val="en-GB"/>
        </w:rPr>
      </w:pPr>
      <w:r w:rsidRPr="00F138D1">
        <w:rPr>
          <w:lang w:val="en-GB"/>
        </w:rPr>
        <w:t>Training and re-training programs, including a pre-redundancy training program and workplace skills audit (recognition of prior learning process)</w:t>
      </w:r>
    </w:p>
    <w:p w14:paraId="49B8B079" w14:textId="77777777" w:rsidR="00F138D1" w:rsidRPr="00F138D1" w:rsidRDefault="00F138D1" w:rsidP="003A6086">
      <w:pPr>
        <w:pStyle w:val="ListBullet2"/>
        <w:rPr>
          <w:lang w:val="en-GB"/>
        </w:rPr>
      </w:pPr>
      <w:r w:rsidRPr="00F138D1">
        <w:rPr>
          <w:lang w:val="en-GB"/>
        </w:rPr>
        <w:t>Case management, specialist employment and career assistance</w:t>
      </w:r>
    </w:p>
    <w:p w14:paraId="4D56E3DA" w14:textId="77777777" w:rsidR="00F138D1" w:rsidRPr="00F138D1" w:rsidRDefault="00F138D1" w:rsidP="003A6086">
      <w:pPr>
        <w:pStyle w:val="ListBullet2"/>
        <w:rPr>
          <w:lang w:val="en-GB"/>
        </w:rPr>
      </w:pPr>
      <w:r w:rsidRPr="00F138D1">
        <w:rPr>
          <w:lang w:val="en-GB"/>
        </w:rPr>
        <w:t>Relocation support</w:t>
      </w:r>
    </w:p>
    <w:p w14:paraId="1970107E" w14:textId="77777777" w:rsidR="00F138D1" w:rsidRPr="00F138D1" w:rsidRDefault="00F138D1" w:rsidP="003A6086">
      <w:pPr>
        <w:pStyle w:val="ListBullet2"/>
        <w:rPr>
          <w:lang w:val="en-GB"/>
        </w:rPr>
      </w:pPr>
      <w:r w:rsidRPr="00F138D1">
        <w:rPr>
          <w:lang w:val="en-GB"/>
        </w:rPr>
        <w:t>Top-ups to worker redundancy payments</w:t>
      </w:r>
    </w:p>
    <w:p w14:paraId="7B3573A2" w14:textId="77777777" w:rsidR="00F138D1" w:rsidRPr="00F138D1" w:rsidRDefault="00F138D1" w:rsidP="004554EA">
      <w:pPr>
        <w:pStyle w:val="ListBullet2"/>
        <w:spacing w:after="240"/>
        <w:rPr>
          <w:lang w:val="en-GB"/>
        </w:rPr>
      </w:pPr>
      <w:r w:rsidRPr="00F138D1">
        <w:rPr>
          <w:lang w:val="en-GB"/>
        </w:rPr>
        <w:t>Tailored mental health and wellbeing support.</w:t>
      </w:r>
    </w:p>
    <w:p w14:paraId="4CA20117" w14:textId="07D5A263" w:rsidR="00F138D1" w:rsidRPr="00F138D1" w:rsidRDefault="00F138D1" w:rsidP="003A6086">
      <w:pPr>
        <w:pStyle w:val="ListBullet"/>
        <w:rPr>
          <w:lang w:val="en-GB"/>
        </w:rPr>
      </w:pPr>
      <w:r w:rsidRPr="00F138D1">
        <w:rPr>
          <w:lang w:val="en-GB"/>
        </w:rPr>
        <w:t>Transition Fund</w:t>
      </w:r>
    </w:p>
    <w:p w14:paraId="7E10B721" w14:textId="29C351C2" w:rsidR="00F138D1" w:rsidRPr="003A6086" w:rsidRDefault="00F138D1" w:rsidP="003A6086">
      <w:pPr>
        <w:pStyle w:val="ListBullet2"/>
      </w:pPr>
      <w:r w:rsidRPr="003A6086">
        <w:t>This fund supports projects including actions from the Forestry Transition Program local development strategies to grow businesses and create jobs in communities affected by native timber harvesting transition.</w:t>
      </w:r>
    </w:p>
    <w:p w14:paraId="624E5CC8" w14:textId="5C25D460" w:rsidR="003A6086" w:rsidRDefault="00F138D1" w:rsidP="003A6086">
      <w:pPr>
        <w:pStyle w:val="ListBullet2"/>
      </w:pPr>
      <w:r w:rsidRPr="003A6086">
        <w:t>Businesses requiring further information about the Forestry Transition should contact a Forestry Transition representative on 1800 318 182 for further details.</w:t>
      </w:r>
    </w:p>
    <w:p w14:paraId="32515C24" w14:textId="77777777" w:rsidR="003A6086" w:rsidRDefault="003A6086">
      <w:pPr>
        <w:suppressAutoHyphens w:val="0"/>
        <w:spacing w:after="160"/>
        <w:rPr>
          <w:rFonts w:cs="Times New Roman (Body CS)"/>
          <w:kern w:val="24"/>
        </w:rPr>
      </w:pPr>
      <w:r>
        <w:br w:type="page"/>
      </w:r>
    </w:p>
    <w:p w14:paraId="7C73368E" w14:textId="77777777" w:rsidR="003A6086" w:rsidRPr="003A6086" w:rsidRDefault="003A6086" w:rsidP="003A6086">
      <w:pPr>
        <w:pStyle w:val="BodyText"/>
        <w:rPr>
          <w:lang w:val="en-GB"/>
        </w:rPr>
      </w:pPr>
      <w:r w:rsidRPr="003A6086">
        <w:rPr>
          <w:lang w:val="en-GB"/>
        </w:rPr>
        <w:lastRenderedPageBreak/>
        <w:t>Authorised by the Department of Energy, Environment and Climate Action</w:t>
      </w:r>
    </w:p>
    <w:p w14:paraId="047784F5" w14:textId="77777777" w:rsidR="00BC579A" w:rsidRDefault="003A6086" w:rsidP="00BC579A">
      <w:pPr>
        <w:pStyle w:val="BodyText"/>
        <w:spacing w:after="0"/>
        <w:rPr>
          <w:lang w:val="en-GB"/>
        </w:rPr>
      </w:pPr>
      <w:r w:rsidRPr="003A6086">
        <w:rPr>
          <w:lang w:val="en-GB"/>
        </w:rPr>
        <w:t>1 Spring Street Melbourne Victoria 3000</w:t>
      </w:r>
    </w:p>
    <w:p w14:paraId="3F4769D4" w14:textId="77777777" w:rsidR="00BC579A" w:rsidRDefault="003A6086" w:rsidP="00BC579A">
      <w:pPr>
        <w:pStyle w:val="BodyText"/>
        <w:spacing w:after="0"/>
        <w:rPr>
          <w:lang w:val="en-GB"/>
        </w:rPr>
      </w:pPr>
      <w:r w:rsidRPr="003A6086">
        <w:rPr>
          <w:lang w:val="en-GB"/>
        </w:rPr>
        <w:t>Telephone: 1800 318 182</w:t>
      </w:r>
    </w:p>
    <w:p w14:paraId="6B00DE25" w14:textId="0DCE52B4" w:rsidR="003A6086" w:rsidRPr="003A6086" w:rsidRDefault="003A6086" w:rsidP="003A6086">
      <w:pPr>
        <w:pStyle w:val="BodyText"/>
        <w:rPr>
          <w:lang w:val="en-GB"/>
        </w:rPr>
      </w:pPr>
      <w:r w:rsidRPr="003A6086">
        <w:rPr>
          <w:lang w:val="en-GB"/>
        </w:rPr>
        <w:t xml:space="preserve">Email: </w:t>
      </w:r>
      <w:hyperlink r:id="rId16" w:history="1">
        <w:r w:rsidRPr="003A6086">
          <w:rPr>
            <w:rStyle w:val="Hyperlink"/>
            <w:lang w:val="en-GB"/>
          </w:rPr>
          <w:t>forestrytransition@deeca.vic.gov.au</w:t>
        </w:r>
      </w:hyperlink>
      <w:r w:rsidRPr="003A6086">
        <w:rPr>
          <w:lang w:val="en-GB"/>
        </w:rPr>
        <w:t xml:space="preserve"> </w:t>
      </w:r>
    </w:p>
    <w:p w14:paraId="1B571553" w14:textId="61A77129" w:rsidR="003A6086" w:rsidRPr="003A6086" w:rsidRDefault="003A6086" w:rsidP="003A6086">
      <w:pPr>
        <w:pStyle w:val="BodyText"/>
        <w:rPr>
          <w:lang w:val="en-GB"/>
        </w:rPr>
      </w:pPr>
      <w:r>
        <w:rPr>
          <w:lang w:val="en-GB"/>
        </w:rPr>
        <w:t>Telephone</w:t>
      </w:r>
      <w:r w:rsidRPr="003A6086">
        <w:rPr>
          <w:lang w:val="en-GB"/>
        </w:rPr>
        <w:t>: 1800 318 182</w:t>
      </w:r>
    </w:p>
    <w:p w14:paraId="76D9C992" w14:textId="22B392BB" w:rsidR="003A6086" w:rsidRPr="003A6086" w:rsidRDefault="003A6086" w:rsidP="003A6086">
      <w:pPr>
        <w:pStyle w:val="BodyText"/>
        <w:rPr>
          <w:lang w:val="en-GB"/>
        </w:rPr>
      </w:pPr>
      <w:r w:rsidRPr="003A6086">
        <w:rPr>
          <w:lang w:val="en-GB"/>
        </w:rPr>
        <w:t>W</w:t>
      </w:r>
      <w:r>
        <w:rPr>
          <w:lang w:val="en-GB"/>
        </w:rPr>
        <w:t>ebsite</w:t>
      </w:r>
      <w:r w:rsidRPr="003A6086">
        <w:rPr>
          <w:lang w:val="en-GB"/>
        </w:rPr>
        <w:t xml:space="preserve">: </w:t>
      </w:r>
      <w:hyperlink r:id="rId17" w:history="1">
        <w:r w:rsidRPr="003A6086">
          <w:rPr>
            <w:rStyle w:val="Hyperlink"/>
            <w:lang w:val="en-GB"/>
          </w:rPr>
          <w:t>vic.gov.au/forestry</w:t>
        </w:r>
      </w:hyperlink>
    </w:p>
    <w:p w14:paraId="1C16DDA1" w14:textId="77777777" w:rsidR="003A6086" w:rsidRPr="003A6086" w:rsidRDefault="003A6086" w:rsidP="003A6086">
      <w:pPr>
        <w:pStyle w:val="BodyText"/>
        <w:rPr>
          <w:lang w:val="en-GB"/>
        </w:rPr>
      </w:pPr>
      <w:r w:rsidRPr="003A6086">
        <w:rPr>
          <w:lang w:val="en-GB"/>
        </w:rPr>
        <w:t>© Copyright State of Victoria, Department of Energy, Environment and Climate Action, December 2023</w:t>
      </w:r>
    </w:p>
    <w:p w14:paraId="34411912" w14:textId="77777777" w:rsidR="003A6086" w:rsidRPr="003A6086" w:rsidRDefault="003A6086" w:rsidP="003A6086">
      <w:pPr>
        <w:pStyle w:val="HeadingFOUR"/>
      </w:pPr>
      <w:r w:rsidRPr="003A6086">
        <w:t>Creative Commons</w:t>
      </w:r>
    </w:p>
    <w:p w14:paraId="406B8821" w14:textId="42C816E9" w:rsidR="003A6086" w:rsidRPr="003A6086" w:rsidRDefault="003A6086" w:rsidP="003A6086">
      <w:pPr>
        <w:pStyle w:val="BodyText"/>
        <w:rPr>
          <w:lang w:val="en-US"/>
        </w:rPr>
      </w:pPr>
      <w:r w:rsidRPr="003A6086">
        <w:rPr>
          <w:lang w:val="en-US"/>
        </w:rPr>
        <w:t xml:space="preserve">This work is licensed under a Creative Commons Attribution 4.0 International </w:t>
      </w:r>
      <w:proofErr w:type="spellStart"/>
      <w:r w:rsidRPr="003A6086">
        <w:rPr>
          <w:lang w:val="en-US"/>
        </w:rPr>
        <w:t>licence</w:t>
      </w:r>
      <w:proofErr w:type="spellEnd"/>
      <w:r w:rsidRPr="003A6086">
        <w:rPr>
          <w:lang w:val="en-US"/>
        </w:rPr>
        <w:t xml:space="preserve">, visit the </w:t>
      </w:r>
      <w:hyperlink r:id="rId18" w:history="1">
        <w:r w:rsidRPr="003A6086">
          <w:rPr>
            <w:rStyle w:val="Hyperlink"/>
            <w:lang w:val="en-US"/>
          </w:rPr>
          <w:t>Creative Commons website</w:t>
        </w:r>
      </w:hyperlink>
      <w:r w:rsidRPr="003A6086">
        <w:rPr>
          <w:lang w:val="en-US"/>
        </w:rPr>
        <w:t xml:space="preserve"> (http://creativecommons.org/licenses/by/4.0/).</w:t>
      </w:r>
    </w:p>
    <w:p w14:paraId="7852237D" w14:textId="77777777" w:rsidR="003A6086" w:rsidRPr="003A6086" w:rsidRDefault="003A6086" w:rsidP="003A6086">
      <w:pPr>
        <w:pStyle w:val="BodyText"/>
        <w:rPr>
          <w:lang w:val="en-US"/>
        </w:rPr>
      </w:pPr>
      <w:r w:rsidRPr="003A6086">
        <w:rPr>
          <w:lang w:val="en-US"/>
        </w:rPr>
        <w:t xml:space="preserve">You are free to re-use the work under that </w:t>
      </w:r>
      <w:proofErr w:type="spellStart"/>
      <w:r w:rsidRPr="003A6086">
        <w:rPr>
          <w:lang w:val="en-US"/>
        </w:rPr>
        <w:t>licence</w:t>
      </w:r>
      <w:proofErr w:type="spellEnd"/>
      <w:r w:rsidRPr="003A6086">
        <w:rPr>
          <w:lang w:val="en-US"/>
        </w:rPr>
        <w:t xml:space="preserve">, on the condition that you credit the State of Victoria as author. The </w:t>
      </w:r>
      <w:proofErr w:type="spellStart"/>
      <w:r w:rsidRPr="003A6086">
        <w:rPr>
          <w:lang w:val="en-US"/>
        </w:rPr>
        <w:t>licence</w:t>
      </w:r>
      <w:proofErr w:type="spellEnd"/>
      <w:r w:rsidRPr="003A6086">
        <w:rPr>
          <w:lang w:val="en-US"/>
        </w:rPr>
        <w:t xml:space="preserve"> does not apply to any images, </w:t>
      </w:r>
      <w:proofErr w:type="gramStart"/>
      <w:r w:rsidRPr="003A6086">
        <w:rPr>
          <w:lang w:val="en-US"/>
        </w:rPr>
        <w:t>photographs</w:t>
      </w:r>
      <w:proofErr w:type="gramEnd"/>
      <w:r w:rsidRPr="003A6086">
        <w:rPr>
          <w:lang w:val="en-US"/>
        </w:rPr>
        <w:t xml:space="preserve"> or branding, including the Victorian Coat of Arms, and the Victorian Government and Department logos.</w:t>
      </w:r>
    </w:p>
    <w:p w14:paraId="022879E2" w14:textId="77777777" w:rsidR="003A6086" w:rsidRPr="003A6086" w:rsidRDefault="003A6086" w:rsidP="003A6086">
      <w:pPr>
        <w:pStyle w:val="HeadingFOUR"/>
      </w:pPr>
      <w:r w:rsidRPr="003A6086">
        <w:t>Disclaimer</w:t>
      </w:r>
    </w:p>
    <w:p w14:paraId="65D89629" w14:textId="1123C662" w:rsidR="003A6086" w:rsidRPr="003A6086" w:rsidRDefault="003A6086" w:rsidP="003A6086">
      <w:pPr>
        <w:pStyle w:val="BodyText"/>
        <w:rPr>
          <w:lang w:val="en-US"/>
        </w:rPr>
      </w:pPr>
      <w:r w:rsidRPr="003A6086">
        <w:rPr>
          <w:lang w:val="en-US"/>
        </w:rPr>
        <w:t xml:space="preserve">This publication may be of assistance to </w:t>
      </w:r>
      <w:proofErr w:type="gramStart"/>
      <w:r w:rsidRPr="003A6086">
        <w:rPr>
          <w:lang w:val="en-US"/>
        </w:rPr>
        <w:t>you</w:t>
      </w:r>
      <w:proofErr w:type="gramEnd"/>
      <w:r w:rsidRPr="003A6086">
        <w:rPr>
          <w:lang w:val="en-US"/>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105928A" w14:textId="77777777" w:rsidR="003A6086" w:rsidRPr="003A6086" w:rsidRDefault="003A6086" w:rsidP="003A6086">
      <w:pPr>
        <w:pStyle w:val="HeadingFOUR"/>
      </w:pPr>
      <w:r w:rsidRPr="003A6086">
        <w:t>Accessibility</w:t>
      </w:r>
    </w:p>
    <w:p w14:paraId="54F4D41F" w14:textId="5131E801" w:rsidR="00F138D1" w:rsidRPr="00BC579A" w:rsidRDefault="003A6086" w:rsidP="00F138D1">
      <w:pPr>
        <w:pStyle w:val="BodyText"/>
        <w:rPr>
          <w:lang w:val="en-US"/>
        </w:rPr>
      </w:pPr>
      <w:r w:rsidRPr="003A6086">
        <w:rPr>
          <w:lang w:val="en-US"/>
        </w:rPr>
        <w:t xml:space="preserve">To receive this document in an alternative format, phone the Customer Service Centre on 136 186, email </w:t>
      </w:r>
      <w:hyperlink r:id="rId19" w:history="1">
        <w:r w:rsidRPr="003A6086">
          <w:rPr>
            <w:rStyle w:val="Hyperlink"/>
            <w:lang w:val="en-US"/>
          </w:rPr>
          <w:t>customer.service@delwp.vic.gov.au</w:t>
        </w:r>
      </w:hyperlink>
      <w:r>
        <w:rPr>
          <w:lang w:val="en-US"/>
        </w:rPr>
        <w:t xml:space="preserve"> </w:t>
      </w:r>
      <w:r w:rsidRPr="003A6086">
        <w:rPr>
          <w:lang w:val="en-US"/>
        </w:rPr>
        <w:t xml:space="preserve">or contact </w:t>
      </w:r>
      <w:hyperlink r:id="rId20" w:history="1">
        <w:r w:rsidRPr="003A6086">
          <w:rPr>
            <w:rStyle w:val="Hyperlink"/>
            <w:lang w:val="en-US"/>
          </w:rPr>
          <w:t>National Relay Service</w:t>
        </w:r>
      </w:hyperlink>
      <w:r w:rsidR="00BC579A">
        <w:rPr>
          <w:lang w:val="en-US"/>
        </w:rPr>
        <w:t xml:space="preserve"> </w:t>
      </w:r>
      <w:r w:rsidRPr="003A6086">
        <w:rPr>
          <w:lang w:val="en-US"/>
        </w:rPr>
        <w:t>(www.accesshub.gov.au/) on 133 677.</w:t>
      </w:r>
    </w:p>
    <w:sectPr w:rsidR="00F138D1" w:rsidRPr="00BC579A" w:rsidSect="00AE4CCC">
      <w:footerReference w:type="default" r:id="rId21"/>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478F" w14:textId="77777777" w:rsidR="00AE4CCC" w:rsidRDefault="00AE4CCC" w:rsidP="00F2730B">
      <w:pPr>
        <w:spacing w:after="0" w:line="240" w:lineRule="auto"/>
      </w:pPr>
      <w:r>
        <w:separator/>
      </w:r>
    </w:p>
  </w:endnote>
  <w:endnote w:type="continuationSeparator" w:id="0">
    <w:p w14:paraId="6386CCAD" w14:textId="77777777" w:rsidR="00AE4CCC" w:rsidRDefault="00AE4CCC" w:rsidP="00F2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VIC SemiBold">
    <w:panose1 w:val="000007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OTF) Light Italic">
    <w:altName w:val="VIC"/>
    <w:panose1 w:val="00000000000000000000"/>
    <w:charset w:val="4D"/>
    <w:family w:val="auto"/>
    <w:notTrueType/>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OTF) Light">
    <w:altName w:val="VIC"/>
    <w:panose1 w:val="00000000000000000000"/>
    <w:charset w:val="4D"/>
    <w:family w:val="auto"/>
    <w:notTrueType/>
    <w:pitch w:val="variable"/>
    <w:sig w:usb0="00000007" w:usb1="00000000" w:usb2="00000000" w:usb3="00000000" w:csb0="00000093" w:csb1="00000000"/>
  </w:font>
  <w:font w:name="VIC (OTF) SemiBold">
    <w:altName w:val="VIC"/>
    <w:panose1 w:val="00000000000000000000"/>
    <w:charset w:val="4D"/>
    <w:family w:val="auto"/>
    <w:notTrueType/>
    <w:pitch w:val="variable"/>
    <w:sig w:usb0="00000007" w:usb1="00000000" w:usb2="00000000" w:usb3="00000000" w:csb0="00000093"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CDE2" w14:textId="5A20C4A2" w:rsidR="00515813" w:rsidRDefault="00515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1FBC" w14:textId="77777777" w:rsidR="00AE4CCC" w:rsidRDefault="00AE4CCC" w:rsidP="00F2730B">
      <w:pPr>
        <w:spacing w:after="0" w:line="240" w:lineRule="auto"/>
      </w:pPr>
      <w:r>
        <w:separator/>
      </w:r>
    </w:p>
  </w:footnote>
  <w:footnote w:type="continuationSeparator" w:id="0">
    <w:p w14:paraId="634F035B" w14:textId="77777777" w:rsidR="00AE4CCC" w:rsidRDefault="00AE4CCC" w:rsidP="00F2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3F8FD9A"/>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B518F53A"/>
    <w:lvl w:ilvl="0">
      <w:start w:val="1"/>
      <w:numFmt w:val="decimal"/>
      <w:pStyle w:val="ListNumber"/>
      <w:lvlText w:val="%1."/>
      <w:lvlJc w:val="left"/>
      <w:pPr>
        <w:tabs>
          <w:tab w:val="num" w:pos="2345"/>
        </w:tabs>
        <w:ind w:left="2345" w:hanging="360"/>
      </w:pPr>
      <w:rPr>
        <w:rFonts w:hint="default"/>
      </w:rPr>
    </w:lvl>
  </w:abstractNum>
  <w:abstractNum w:abstractNumId="2" w15:restartNumberingAfterBreak="0">
    <w:nsid w:val="FFFFFF89"/>
    <w:multiLevelType w:val="singleLevel"/>
    <w:tmpl w:val="711CA1B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F06B82"/>
    <w:multiLevelType w:val="multilevel"/>
    <w:tmpl w:val="55D8B3A0"/>
    <w:styleLink w:val="CurrentList8"/>
    <w:lvl w:ilvl="0">
      <w:start w:val="4"/>
      <w:numFmt w:val="lowerLetter"/>
      <w:lvlText w:val="%1."/>
      <w:lvlJc w:val="left"/>
      <w:pPr>
        <w:tabs>
          <w:tab w:val="num" w:pos="1049"/>
        </w:tabs>
        <w:ind w:left="1049" w:hanging="34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4" w15:restartNumberingAfterBreak="0">
    <w:nsid w:val="07BC660F"/>
    <w:multiLevelType w:val="multilevel"/>
    <w:tmpl w:val="C518E0AA"/>
    <w:styleLink w:val="CurrentList2"/>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D41628"/>
    <w:multiLevelType w:val="multilevel"/>
    <w:tmpl w:val="0CEE4B10"/>
    <w:styleLink w:val="CurrentList7"/>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7A50B1"/>
    <w:multiLevelType w:val="multilevel"/>
    <w:tmpl w:val="EE1E9434"/>
    <w:styleLink w:val="CurrentList10"/>
    <w:lvl w:ilvl="0">
      <w:start w:val="2"/>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DD3C4D"/>
    <w:multiLevelType w:val="multilevel"/>
    <w:tmpl w:val="0CEE4B10"/>
    <w:styleLink w:val="CurrentList4"/>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EE0F58"/>
    <w:multiLevelType w:val="hybridMultilevel"/>
    <w:tmpl w:val="31F01B80"/>
    <w:lvl w:ilvl="0" w:tplc="7746159C">
      <w:start w:val="1"/>
      <w:numFmt w:val="bullet"/>
      <w:pStyle w:val="Bullet1"/>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BE7834"/>
    <w:multiLevelType w:val="hybridMultilevel"/>
    <w:tmpl w:val="E5F2027C"/>
    <w:lvl w:ilvl="0" w:tplc="DD82739A">
      <w:start w:val="1"/>
      <w:numFmt w:val="lowerRoman"/>
      <w:pStyle w:val="Listparagraphi"/>
      <w:lvlText w:val="%1."/>
      <w:lvlJc w:val="left"/>
      <w:pPr>
        <w:tabs>
          <w:tab w:val="num" w:pos="1049"/>
        </w:tabs>
        <w:ind w:left="1049" w:hanging="34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304E5E27"/>
    <w:multiLevelType w:val="multilevel"/>
    <w:tmpl w:val="A02C5382"/>
    <w:styleLink w:val="CurrentList5"/>
    <w:lvl w:ilvl="0">
      <w:start w:val="1"/>
      <w:numFmt w:val="lowerRoman"/>
      <w:lvlText w:val="%1."/>
      <w:lvlJc w:val="left"/>
      <w:pPr>
        <w:tabs>
          <w:tab w:val="num" w:pos="1049"/>
        </w:tabs>
        <w:ind w:left="1049" w:hanging="34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305E37BC"/>
    <w:multiLevelType w:val="multilevel"/>
    <w:tmpl w:val="4AB455C8"/>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B9A489D"/>
    <w:multiLevelType w:val="multilevel"/>
    <w:tmpl w:val="18E09786"/>
    <w:styleLink w:val="CurrentList9"/>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1F63B2"/>
    <w:multiLevelType w:val="multilevel"/>
    <w:tmpl w:val="2582452E"/>
    <w:styleLink w:val="CurrentList1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D35F88"/>
    <w:multiLevelType w:val="multilevel"/>
    <w:tmpl w:val="6DAE0932"/>
    <w:styleLink w:val="CurrentList3"/>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10099A"/>
    <w:multiLevelType w:val="multilevel"/>
    <w:tmpl w:val="C518E0AA"/>
    <w:styleLink w:val="CurrentList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790C95"/>
    <w:multiLevelType w:val="multilevel"/>
    <w:tmpl w:val="33E43144"/>
    <w:styleLink w:val="CurrentList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CA3B4C"/>
    <w:multiLevelType w:val="hybridMultilevel"/>
    <w:tmpl w:val="2582452E"/>
    <w:lvl w:ilvl="0" w:tplc="0AD25BDC">
      <w:start w:val="1"/>
      <w:numFmt w:val="lowerLetter"/>
      <w:pStyle w:val="Listparagrapha"/>
      <w:lvlText w:val="%1."/>
      <w:lvlJc w:val="left"/>
      <w:pPr>
        <w:tabs>
          <w:tab w:val="num" w:pos="340"/>
        </w:tabs>
        <w:ind w:left="340" w:hanging="3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1D65E9"/>
    <w:multiLevelType w:val="hybridMultilevel"/>
    <w:tmpl w:val="8F425C38"/>
    <w:lvl w:ilvl="0" w:tplc="54303112">
      <w:start w:val="1"/>
      <w:numFmt w:val="bullet"/>
      <w:pStyle w:val="ListBullet2"/>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7CA92CF3"/>
    <w:multiLevelType w:val="hybridMultilevel"/>
    <w:tmpl w:val="86D889D8"/>
    <w:lvl w:ilvl="0" w:tplc="8C9A6612">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9077567">
    <w:abstractNumId w:val="8"/>
  </w:num>
  <w:num w:numId="2" w16cid:durableId="2084981408">
    <w:abstractNumId w:val="11"/>
  </w:num>
  <w:num w:numId="3" w16cid:durableId="601570190">
    <w:abstractNumId w:val="19"/>
  </w:num>
  <w:num w:numId="4" w16cid:durableId="1813522522">
    <w:abstractNumId w:val="2"/>
  </w:num>
  <w:num w:numId="5" w16cid:durableId="533276510">
    <w:abstractNumId w:val="18"/>
  </w:num>
  <w:num w:numId="6" w16cid:durableId="771362055">
    <w:abstractNumId w:val="1"/>
  </w:num>
  <w:num w:numId="7" w16cid:durableId="3823149">
    <w:abstractNumId w:val="15"/>
  </w:num>
  <w:num w:numId="8" w16cid:durableId="338390637">
    <w:abstractNumId w:val="4"/>
  </w:num>
  <w:num w:numId="9" w16cid:durableId="182984412">
    <w:abstractNumId w:val="17"/>
  </w:num>
  <w:num w:numId="10" w16cid:durableId="853954488">
    <w:abstractNumId w:val="14"/>
  </w:num>
  <w:num w:numId="11" w16cid:durableId="307325374">
    <w:abstractNumId w:val="7"/>
  </w:num>
  <w:num w:numId="12" w16cid:durableId="1207567416">
    <w:abstractNumId w:val="10"/>
  </w:num>
  <w:num w:numId="13" w16cid:durableId="1714499310">
    <w:abstractNumId w:val="9"/>
  </w:num>
  <w:num w:numId="14" w16cid:durableId="1557817223">
    <w:abstractNumId w:val="16"/>
  </w:num>
  <w:num w:numId="15" w16cid:durableId="766468131">
    <w:abstractNumId w:val="5"/>
  </w:num>
  <w:num w:numId="16" w16cid:durableId="401634644">
    <w:abstractNumId w:val="3"/>
  </w:num>
  <w:num w:numId="17" w16cid:durableId="2004504209">
    <w:abstractNumId w:val="12"/>
  </w:num>
  <w:num w:numId="18" w16cid:durableId="1904440215">
    <w:abstractNumId w:val="17"/>
    <w:lvlOverride w:ilvl="0">
      <w:startOverride w:val="2"/>
    </w:lvlOverride>
  </w:num>
  <w:num w:numId="19" w16cid:durableId="1333338980">
    <w:abstractNumId w:val="6"/>
  </w:num>
  <w:num w:numId="20" w16cid:durableId="2077896738">
    <w:abstractNumId w:val="13"/>
  </w:num>
  <w:num w:numId="21" w16cid:durableId="31819561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CB"/>
    <w:rsid w:val="00010851"/>
    <w:rsid w:val="00010D69"/>
    <w:rsid w:val="00024EED"/>
    <w:rsid w:val="00033D9B"/>
    <w:rsid w:val="00040921"/>
    <w:rsid w:val="000B0305"/>
    <w:rsid w:val="000B62B5"/>
    <w:rsid w:val="000C4A37"/>
    <w:rsid w:val="000C4B11"/>
    <w:rsid w:val="00101019"/>
    <w:rsid w:val="001073C1"/>
    <w:rsid w:val="00124CDD"/>
    <w:rsid w:val="00125150"/>
    <w:rsid w:val="001273C5"/>
    <w:rsid w:val="00135B36"/>
    <w:rsid w:val="001500AB"/>
    <w:rsid w:val="00151489"/>
    <w:rsid w:val="00175022"/>
    <w:rsid w:val="001A358E"/>
    <w:rsid w:val="001B02D0"/>
    <w:rsid w:val="001B2A51"/>
    <w:rsid w:val="001C10D8"/>
    <w:rsid w:val="001D3828"/>
    <w:rsid w:val="001E3FB4"/>
    <w:rsid w:val="001E4846"/>
    <w:rsid w:val="001E6288"/>
    <w:rsid w:val="001F2925"/>
    <w:rsid w:val="00202A5B"/>
    <w:rsid w:val="00212461"/>
    <w:rsid w:val="002143C5"/>
    <w:rsid w:val="00215E01"/>
    <w:rsid w:val="00236EB6"/>
    <w:rsid w:val="00241796"/>
    <w:rsid w:val="00241E12"/>
    <w:rsid w:val="00244E10"/>
    <w:rsid w:val="0024556C"/>
    <w:rsid w:val="002460FA"/>
    <w:rsid w:val="00252B69"/>
    <w:rsid w:val="002612BF"/>
    <w:rsid w:val="0026182E"/>
    <w:rsid w:val="00266DF9"/>
    <w:rsid w:val="00276F9F"/>
    <w:rsid w:val="00281939"/>
    <w:rsid w:val="00283316"/>
    <w:rsid w:val="002848F0"/>
    <w:rsid w:val="00285B57"/>
    <w:rsid w:val="00287102"/>
    <w:rsid w:val="00295CE3"/>
    <w:rsid w:val="002C3499"/>
    <w:rsid w:val="002C75FC"/>
    <w:rsid w:val="002D2205"/>
    <w:rsid w:val="002D70AB"/>
    <w:rsid w:val="002D7EF6"/>
    <w:rsid w:val="002E4FE6"/>
    <w:rsid w:val="002F0246"/>
    <w:rsid w:val="002F2CD2"/>
    <w:rsid w:val="0031002A"/>
    <w:rsid w:val="003116DC"/>
    <w:rsid w:val="00320E94"/>
    <w:rsid w:val="003226E3"/>
    <w:rsid w:val="003367D8"/>
    <w:rsid w:val="00337320"/>
    <w:rsid w:val="003616B0"/>
    <w:rsid w:val="00365844"/>
    <w:rsid w:val="003815C1"/>
    <w:rsid w:val="00395B17"/>
    <w:rsid w:val="00397BEF"/>
    <w:rsid w:val="003A0ADE"/>
    <w:rsid w:val="003A6086"/>
    <w:rsid w:val="003B25BA"/>
    <w:rsid w:val="003C2291"/>
    <w:rsid w:val="003C7DED"/>
    <w:rsid w:val="003E3C61"/>
    <w:rsid w:val="003F3D0A"/>
    <w:rsid w:val="0040225E"/>
    <w:rsid w:val="00404B9B"/>
    <w:rsid w:val="00404F0E"/>
    <w:rsid w:val="004163B5"/>
    <w:rsid w:val="00451ABC"/>
    <w:rsid w:val="0045371F"/>
    <w:rsid w:val="004554EA"/>
    <w:rsid w:val="00460D9F"/>
    <w:rsid w:val="00463C15"/>
    <w:rsid w:val="0046520A"/>
    <w:rsid w:val="004A0E5A"/>
    <w:rsid w:val="004A68CA"/>
    <w:rsid w:val="004B20C4"/>
    <w:rsid w:val="004B30FB"/>
    <w:rsid w:val="004C5429"/>
    <w:rsid w:val="004E2D9F"/>
    <w:rsid w:val="00506B0D"/>
    <w:rsid w:val="00515813"/>
    <w:rsid w:val="00526FFF"/>
    <w:rsid w:val="0053353B"/>
    <w:rsid w:val="00536DD7"/>
    <w:rsid w:val="005554F3"/>
    <w:rsid w:val="00556105"/>
    <w:rsid w:val="005576D8"/>
    <w:rsid w:val="00561FF9"/>
    <w:rsid w:val="00564079"/>
    <w:rsid w:val="0057561A"/>
    <w:rsid w:val="00576223"/>
    <w:rsid w:val="00577C9B"/>
    <w:rsid w:val="00597962"/>
    <w:rsid w:val="005A6B8F"/>
    <w:rsid w:val="005B0BB4"/>
    <w:rsid w:val="005B593D"/>
    <w:rsid w:val="005C1D42"/>
    <w:rsid w:val="005C4602"/>
    <w:rsid w:val="005C79C1"/>
    <w:rsid w:val="005D1F35"/>
    <w:rsid w:val="005D632D"/>
    <w:rsid w:val="005D72B8"/>
    <w:rsid w:val="005E28CD"/>
    <w:rsid w:val="005E393E"/>
    <w:rsid w:val="005E3F95"/>
    <w:rsid w:val="005F1A1C"/>
    <w:rsid w:val="00605A83"/>
    <w:rsid w:val="00620098"/>
    <w:rsid w:val="0062675C"/>
    <w:rsid w:val="006368F9"/>
    <w:rsid w:val="00645230"/>
    <w:rsid w:val="006466AF"/>
    <w:rsid w:val="00661920"/>
    <w:rsid w:val="00673096"/>
    <w:rsid w:val="0068129E"/>
    <w:rsid w:val="006D30B7"/>
    <w:rsid w:val="006D4F10"/>
    <w:rsid w:val="00700BF1"/>
    <w:rsid w:val="0073229A"/>
    <w:rsid w:val="00733E6C"/>
    <w:rsid w:val="00740461"/>
    <w:rsid w:val="00750D1B"/>
    <w:rsid w:val="00760099"/>
    <w:rsid w:val="00785918"/>
    <w:rsid w:val="007A16FB"/>
    <w:rsid w:val="007A261A"/>
    <w:rsid w:val="007A7ED1"/>
    <w:rsid w:val="007B211D"/>
    <w:rsid w:val="007B509C"/>
    <w:rsid w:val="007B7864"/>
    <w:rsid w:val="007C1E53"/>
    <w:rsid w:val="007D5225"/>
    <w:rsid w:val="007D58CB"/>
    <w:rsid w:val="007F39FA"/>
    <w:rsid w:val="007F6BDB"/>
    <w:rsid w:val="007F748D"/>
    <w:rsid w:val="00803E96"/>
    <w:rsid w:val="00807062"/>
    <w:rsid w:val="008071AB"/>
    <w:rsid w:val="0082692C"/>
    <w:rsid w:val="00827815"/>
    <w:rsid w:val="00840E7A"/>
    <w:rsid w:val="008475CB"/>
    <w:rsid w:val="00880B31"/>
    <w:rsid w:val="00886D42"/>
    <w:rsid w:val="008941D0"/>
    <w:rsid w:val="008A44D0"/>
    <w:rsid w:val="008C3D83"/>
    <w:rsid w:val="008C71C0"/>
    <w:rsid w:val="008D2EAE"/>
    <w:rsid w:val="008E0DEB"/>
    <w:rsid w:val="00904039"/>
    <w:rsid w:val="00910401"/>
    <w:rsid w:val="00912DD1"/>
    <w:rsid w:val="0093403C"/>
    <w:rsid w:val="009746FC"/>
    <w:rsid w:val="009815F4"/>
    <w:rsid w:val="009A37D5"/>
    <w:rsid w:val="009C565D"/>
    <w:rsid w:val="009D1E59"/>
    <w:rsid w:val="009D3FEB"/>
    <w:rsid w:val="009D7B95"/>
    <w:rsid w:val="009E5947"/>
    <w:rsid w:val="009F5E71"/>
    <w:rsid w:val="00A10D57"/>
    <w:rsid w:val="00A32BCC"/>
    <w:rsid w:val="00A3786E"/>
    <w:rsid w:val="00A42F8A"/>
    <w:rsid w:val="00A56B9D"/>
    <w:rsid w:val="00A639B8"/>
    <w:rsid w:val="00A72005"/>
    <w:rsid w:val="00A803C5"/>
    <w:rsid w:val="00A93914"/>
    <w:rsid w:val="00A96FA1"/>
    <w:rsid w:val="00AB025E"/>
    <w:rsid w:val="00AB6104"/>
    <w:rsid w:val="00AB7BD4"/>
    <w:rsid w:val="00AC6D47"/>
    <w:rsid w:val="00AE397A"/>
    <w:rsid w:val="00AE4CCC"/>
    <w:rsid w:val="00B01AE9"/>
    <w:rsid w:val="00B142F1"/>
    <w:rsid w:val="00B14FBE"/>
    <w:rsid w:val="00B437D8"/>
    <w:rsid w:val="00B520CF"/>
    <w:rsid w:val="00B573B1"/>
    <w:rsid w:val="00B66945"/>
    <w:rsid w:val="00B712B3"/>
    <w:rsid w:val="00B75868"/>
    <w:rsid w:val="00B80DD2"/>
    <w:rsid w:val="00B84C3C"/>
    <w:rsid w:val="00B868B3"/>
    <w:rsid w:val="00BA2EE9"/>
    <w:rsid w:val="00BA4CD9"/>
    <w:rsid w:val="00BB7BE8"/>
    <w:rsid w:val="00BC0A72"/>
    <w:rsid w:val="00BC2466"/>
    <w:rsid w:val="00BC579A"/>
    <w:rsid w:val="00BE09DE"/>
    <w:rsid w:val="00BE1D2C"/>
    <w:rsid w:val="00C122AF"/>
    <w:rsid w:val="00C14FE6"/>
    <w:rsid w:val="00C173AC"/>
    <w:rsid w:val="00C20D01"/>
    <w:rsid w:val="00C3751A"/>
    <w:rsid w:val="00C41F25"/>
    <w:rsid w:val="00C6259B"/>
    <w:rsid w:val="00C62E58"/>
    <w:rsid w:val="00C71AEC"/>
    <w:rsid w:val="00CD0AA8"/>
    <w:rsid w:val="00CD2217"/>
    <w:rsid w:val="00D03821"/>
    <w:rsid w:val="00D10395"/>
    <w:rsid w:val="00D26A00"/>
    <w:rsid w:val="00D35365"/>
    <w:rsid w:val="00D44761"/>
    <w:rsid w:val="00D46731"/>
    <w:rsid w:val="00D50B49"/>
    <w:rsid w:val="00D54C6D"/>
    <w:rsid w:val="00D96D80"/>
    <w:rsid w:val="00DC0304"/>
    <w:rsid w:val="00DC3BE3"/>
    <w:rsid w:val="00DF071B"/>
    <w:rsid w:val="00E00C8A"/>
    <w:rsid w:val="00E11A71"/>
    <w:rsid w:val="00E157A5"/>
    <w:rsid w:val="00E602B9"/>
    <w:rsid w:val="00E6081B"/>
    <w:rsid w:val="00E6112B"/>
    <w:rsid w:val="00E65843"/>
    <w:rsid w:val="00E74B07"/>
    <w:rsid w:val="00E819C7"/>
    <w:rsid w:val="00E83CE8"/>
    <w:rsid w:val="00E924AC"/>
    <w:rsid w:val="00E97655"/>
    <w:rsid w:val="00EB323D"/>
    <w:rsid w:val="00EC5782"/>
    <w:rsid w:val="00ED1FD5"/>
    <w:rsid w:val="00EE5012"/>
    <w:rsid w:val="00F138D1"/>
    <w:rsid w:val="00F14FDC"/>
    <w:rsid w:val="00F1500A"/>
    <w:rsid w:val="00F1720B"/>
    <w:rsid w:val="00F21502"/>
    <w:rsid w:val="00F26E05"/>
    <w:rsid w:val="00F2730B"/>
    <w:rsid w:val="00F32C3C"/>
    <w:rsid w:val="00F32F35"/>
    <w:rsid w:val="00F3506F"/>
    <w:rsid w:val="00F41B13"/>
    <w:rsid w:val="00F81B23"/>
    <w:rsid w:val="00F93CBE"/>
    <w:rsid w:val="00FB2E83"/>
    <w:rsid w:val="00FB7831"/>
    <w:rsid w:val="00FC1016"/>
    <w:rsid w:val="00FC10F2"/>
    <w:rsid w:val="00FC4832"/>
    <w:rsid w:val="00FD538C"/>
    <w:rsid w:val="00FE5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7B47C"/>
  <w14:defaultImageDpi w14:val="0"/>
  <w15:docId w15:val="{5A098508-5C06-4A79-9448-521318D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06F"/>
    <w:pPr>
      <w:suppressAutoHyphens/>
      <w:spacing w:after="200"/>
    </w:pPr>
    <w:rPr>
      <w:sz w:val="24"/>
    </w:rPr>
  </w:style>
  <w:style w:type="paragraph" w:styleId="Heading1">
    <w:name w:val="heading 1"/>
    <w:basedOn w:val="Normal"/>
    <w:next w:val="Normal"/>
    <w:link w:val="Heading1Char"/>
    <w:uiPriority w:val="9"/>
    <w:qFormat/>
    <w:rsid w:val="00404F0E"/>
    <w:pPr>
      <w:keepNext/>
      <w:keepLines/>
      <w:spacing w:before="240" w:after="240"/>
      <w:outlineLvl w:val="0"/>
    </w:pPr>
    <w:rPr>
      <w:rFonts w:asciiTheme="majorHAnsi" w:eastAsiaTheme="majorEastAsia" w:hAnsiTheme="majorHAnsi" w:cs="Times New Roman (Headings CS)"/>
      <w:b/>
      <w:bCs/>
      <w:sz w:val="40"/>
      <w:szCs w:val="36"/>
    </w:rPr>
  </w:style>
  <w:style w:type="paragraph" w:styleId="Heading2">
    <w:name w:val="heading 2"/>
    <w:basedOn w:val="Normal"/>
    <w:next w:val="Normal"/>
    <w:link w:val="Heading2Char"/>
    <w:uiPriority w:val="9"/>
    <w:unhideWhenUsed/>
    <w:qFormat/>
    <w:rsid w:val="00285B57"/>
    <w:pPr>
      <w:keepNext/>
      <w:keepLines/>
      <w:spacing w:before="120" w:after="180"/>
      <w:outlineLvl w:val="1"/>
    </w:pPr>
    <w:rPr>
      <w:rFonts w:asciiTheme="majorHAnsi" w:eastAsiaTheme="majorEastAsia" w:hAnsiTheme="majorHAnsi" w:cstheme="majorBidi"/>
      <w:b/>
      <w:bCs/>
      <w:color w:val="000000" w:themeColor="text1"/>
      <w:sz w:val="32"/>
      <w:szCs w:val="30"/>
      <w:lang w:val="en-GB"/>
    </w:rPr>
  </w:style>
  <w:style w:type="paragraph" w:styleId="Heading3">
    <w:name w:val="heading 3"/>
    <w:basedOn w:val="Normal"/>
    <w:next w:val="Normal"/>
    <w:link w:val="Heading3Char"/>
    <w:uiPriority w:val="9"/>
    <w:unhideWhenUsed/>
    <w:qFormat/>
    <w:rsid w:val="008D2EAE"/>
    <w:pPr>
      <w:keepNext/>
      <w:keepLines/>
      <w:spacing w:before="120" w:after="120"/>
      <w:outlineLvl w:val="2"/>
    </w:pPr>
    <w:rPr>
      <w:rFonts w:asciiTheme="majorHAnsi" w:eastAsiaTheme="majorEastAsia" w:hAnsiTheme="majorHAnsi" w:cstheme="majorBidi"/>
      <w:b/>
      <w:bCs/>
      <w:sz w:val="28"/>
      <w:szCs w:val="26"/>
      <w:lang w:val="en-GB"/>
    </w:rPr>
  </w:style>
  <w:style w:type="paragraph" w:styleId="Heading4">
    <w:name w:val="heading 4"/>
    <w:basedOn w:val="Normal"/>
    <w:next w:val="Normal"/>
    <w:link w:val="Heading4Char"/>
    <w:uiPriority w:val="9"/>
    <w:semiHidden/>
    <w:unhideWhenUsed/>
    <w:qFormat/>
    <w:rsid w:val="007D58CB"/>
    <w:pPr>
      <w:keepNext/>
      <w:keepLines/>
      <w:numPr>
        <w:ilvl w:val="3"/>
        <w:numId w:val="2"/>
      </w:num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BE09D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09D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9D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9D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9D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numbering" w:customStyle="1" w:styleId="CurrentList9">
    <w:name w:val="Current List9"/>
    <w:uiPriority w:val="99"/>
    <w:rsid w:val="00F138D1"/>
    <w:pPr>
      <w:numPr>
        <w:numId w:val="17"/>
      </w:numPr>
    </w:pPr>
  </w:style>
  <w:style w:type="character" w:customStyle="1" w:styleId="Bold">
    <w:name w:val="Bold"/>
    <w:uiPriority w:val="99"/>
    <w:rPr>
      <w:b/>
      <w:bCs/>
    </w:rPr>
  </w:style>
  <w:style w:type="paragraph" w:styleId="FootnoteText">
    <w:name w:val="footnote text"/>
    <w:basedOn w:val="Normal"/>
    <w:link w:val="FootnoteTextChar"/>
    <w:uiPriority w:val="99"/>
    <w:rsid w:val="002848F0"/>
    <w:pPr>
      <w:tabs>
        <w:tab w:val="left" w:pos="227"/>
      </w:tabs>
      <w:spacing w:after="60" w:line="240" w:lineRule="auto"/>
      <w:ind w:left="227" w:hanging="227"/>
    </w:pPr>
    <w:rPr>
      <w:sz w:val="18"/>
      <w:szCs w:val="20"/>
    </w:rPr>
  </w:style>
  <w:style w:type="character" w:customStyle="1" w:styleId="FootnoteTextChar">
    <w:name w:val="Footnote Text Char"/>
    <w:basedOn w:val="DefaultParagraphFont"/>
    <w:link w:val="FootnoteText"/>
    <w:uiPriority w:val="99"/>
    <w:rsid w:val="002848F0"/>
    <w:rPr>
      <w:sz w:val="18"/>
      <w:szCs w:val="20"/>
    </w:rPr>
  </w:style>
  <w:style w:type="character" w:styleId="FootnoteReference">
    <w:name w:val="footnote reference"/>
    <w:basedOn w:val="DefaultParagraphFont"/>
    <w:uiPriority w:val="99"/>
    <w:semiHidden/>
    <w:unhideWhenUsed/>
    <w:rsid w:val="00F2730B"/>
    <w:rPr>
      <w:vertAlign w:val="superscript"/>
    </w:rPr>
  </w:style>
  <w:style w:type="paragraph" w:customStyle="1" w:styleId="Heading1Headings">
    <w:name w:val="Heading 1 (Headings)"/>
    <w:basedOn w:val="NoParagraphStyle"/>
    <w:uiPriority w:val="99"/>
    <w:rsid w:val="007D58CB"/>
    <w:pPr>
      <w:widowControl/>
      <w:suppressAutoHyphens/>
      <w:spacing w:after="283" w:line="540" w:lineRule="atLeast"/>
    </w:pPr>
    <w:rPr>
      <w:rFonts w:ascii="VIC SemiBold" w:hAnsi="VIC SemiBold" w:cs="VIC SemiBold"/>
      <w:b/>
      <w:bCs/>
      <w:color w:val="000000" w:themeColor="text1"/>
      <w:sz w:val="44"/>
      <w:szCs w:val="44"/>
      <w:lang w:val="en-GB"/>
    </w:rPr>
  </w:style>
  <w:style w:type="paragraph" w:customStyle="1" w:styleId="Number3Lists">
    <w:name w:val="Number 3 (Lists)"/>
    <w:basedOn w:val="Normal"/>
    <w:uiPriority w:val="99"/>
    <w:rsid w:val="00F138D1"/>
    <w:pPr>
      <w:autoSpaceDE w:val="0"/>
      <w:autoSpaceDN w:val="0"/>
      <w:adjustRightInd w:val="0"/>
      <w:spacing w:before="57" w:after="113" w:line="220" w:lineRule="atLeast"/>
      <w:ind w:left="1020" w:hanging="340"/>
      <w:textAlignment w:val="center"/>
    </w:pPr>
    <w:rPr>
      <w:rFonts w:ascii="VIC Light" w:hAnsi="VIC Light" w:cs="VIC Light"/>
      <w:color w:val="000000"/>
      <w:sz w:val="18"/>
      <w:szCs w:val="18"/>
      <w:lang w:val="en-GB"/>
    </w:rPr>
  </w:style>
  <w:style w:type="character" w:customStyle="1" w:styleId="Italic">
    <w:name w:val="Italic"/>
    <w:basedOn w:val="Bold"/>
    <w:uiPriority w:val="99"/>
    <w:rsid w:val="006368F9"/>
    <w:rPr>
      <w:rFonts w:ascii="VIC (OTF) Light Italic" w:hAnsi="VIC (OTF) Light Italic" w:cs="VIC (OTF) Light Italic"/>
      <w:b w:val="0"/>
      <w:bCs w:val="0"/>
      <w:i/>
      <w:iCs/>
    </w:rPr>
  </w:style>
  <w:style w:type="paragraph" w:customStyle="1" w:styleId="Heading3Headings">
    <w:name w:val="Heading 3 (Headings)"/>
    <w:basedOn w:val="NoParagraphStyle"/>
    <w:uiPriority w:val="99"/>
    <w:rsid w:val="006368F9"/>
    <w:pPr>
      <w:widowControl/>
      <w:suppressAutoHyphens/>
      <w:spacing w:before="113" w:after="113" w:line="240" w:lineRule="atLeast"/>
    </w:pPr>
    <w:rPr>
      <w:rFonts w:ascii="VIC" w:hAnsi="VIC" w:cs="VIC"/>
      <w:b/>
      <w:bCs/>
      <w:color w:val="100149"/>
      <w:sz w:val="20"/>
      <w:szCs w:val="20"/>
      <w:lang w:val="en-GB"/>
    </w:rPr>
  </w:style>
  <w:style w:type="paragraph" w:customStyle="1" w:styleId="Bullet1">
    <w:name w:val="Bullet 1"/>
    <w:basedOn w:val="Normal"/>
    <w:uiPriority w:val="99"/>
    <w:rsid w:val="00F138D1"/>
    <w:pPr>
      <w:numPr>
        <w:numId w:val="1"/>
      </w:numPr>
      <w:autoSpaceDE w:val="0"/>
      <w:autoSpaceDN w:val="0"/>
      <w:adjustRightInd w:val="0"/>
      <w:spacing w:after="120" w:line="220" w:lineRule="atLeast"/>
      <w:textAlignment w:val="center"/>
    </w:pPr>
    <w:rPr>
      <w:rFonts w:ascii="Arial" w:hAnsi="Arial" w:cs="Arial"/>
      <w:color w:val="000000"/>
      <w:sz w:val="22"/>
      <w:lang w:val="en-GB"/>
    </w:rPr>
  </w:style>
  <w:style w:type="paragraph" w:customStyle="1" w:styleId="Heading2Headings">
    <w:name w:val="Heading 2 (Headings)"/>
    <w:basedOn w:val="Normal"/>
    <w:uiPriority w:val="99"/>
    <w:rsid w:val="00337320"/>
    <w:pPr>
      <w:autoSpaceDE w:val="0"/>
      <w:autoSpaceDN w:val="0"/>
      <w:adjustRightInd w:val="0"/>
      <w:spacing w:before="227" w:after="113" w:line="280" w:lineRule="atLeast"/>
      <w:ind w:left="460" w:hanging="460"/>
      <w:textAlignment w:val="center"/>
    </w:pPr>
    <w:rPr>
      <w:rFonts w:ascii="VIC SemiBold" w:hAnsi="VIC SemiBold" w:cs="VIC SemiBold"/>
      <w:b/>
      <w:bCs/>
      <w:color w:val="000000" w:themeColor="text1"/>
      <w:szCs w:val="24"/>
      <w:lang w:val="en-GB"/>
    </w:rPr>
  </w:style>
  <w:style w:type="paragraph" w:customStyle="1" w:styleId="Heading5Headings">
    <w:name w:val="Heading 5 (Headings)"/>
    <w:basedOn w:val="NoParagraphStyle"/>
    <w:uiPriority w:val="99"/>
    <w:rsid w:val="006368F9"/>
    <w:pPr>
      <w:widowControl/>
      <w:suppressAutoHyphens/>
      <w:spacing w:before="113" w:after="113" w:line="240" w:lineRule="atLeast"/>
    </w:pPr>
    <w:rPr>
      <w:rFonts w:ascii="VIC" w:hAnsi="VIC" w:cs="VIC"/>
      <w:i/>
      <w:iCs/>
      <w:color w:val="100149"/>
      <w:sz w:val="20"/>
      <w:szCs w:val="20"/>
      <w:lang w:val="en-GB"/>
    </w:rPr>
  </w:style>
  <w:style w:type="paragraph" w:customStyle="1" w:styleId="HeadingPOPulloutbox">
    <w:name w:val="Heading_PO (Pull out box)"/>
    <w:basedOn w:val="NoParagraphStyle"/>
    <w:uiPriority w:val="99"/>
    <w:rsid w:val="00033D9B"/>
    <w:pPr>
      <w:widowControl/>
      <w:suppressAutoHyphens/>
      <w:spacing w:before="57" w:after="113" w:line="280" w:lineRule="atLeast"/>
    </w:pPr>
    <w:rPr>
      <w:rFonts w:ascii="VIC SemiBold" w:hAnsi="VIC SemiBold" w:cs="VIC SemiBold"/>
      <w:b/>
      <w:bCs/>
      <w:color w:val="100149"/>
      <w:sz w:val="26"/>
      <w:szCs w:val="26"/>
      <w:lang w:val="en-GB"/>
    </w:rPr>
  </w:style>
  <w:style w:type="character" w:styleId="Hyperlink">
    <w:name w:val="Hyperlink"/>
    <w:basedOn w:val="DefaultParagraphFont"/>
    <w:uiPriority w:val="99"/>
    <w:rsid w:val="00B66945"/>
    <w:rPr>
      <w:color w:val="205D9E"/>
      <w:u w:val="single" w:color="205D9E"/>
    </w:rPr>
  </w:style>
  <w:style w:type="paragraph" w:customStyle="1" w:styleId="Number2Lists">
    <w:name w:val="Number 2 (Lists)"/>
    <w:basedOn w:val="Normal"/>
    <w:uiPriority w:val="99"/>
    <w:rsid w:val="00033D9B"/>
    <w:pPr>
      <w:autoSpaceDE w:val="0"/>
      <w:autoSpaceDN w:val="0"/>
      <w:adjustRightInd w:val="0"/>
      <w:spacing w:before="57" w:after="113" w:line="220" w:lineRule="atLeast"/>
      <w:ind w:left="680" w:hanging="340"/>
      <w:textAlignment w:val="center"/>
    </w:pPr>
    <w:rPr>
      <w:rFonts w:ascii="VIC Light" w:hAnsi="VIC Light" w:cs="VIC Light"/>
      <w:color w:val="000000"/>
      <w:sz w:val="18"/>
      <w:szCs w:val="18"/>
      <w:lang w:val="en-GB"/>
    </w:rPr>
  </w:style>
  <w:style w:type="numbering" w:customStyle="1" w:styleId="CurrentList10">
    <w:name w:val="Current List10"/>
    <w:uiPriority w:val="99"/>
    <w:rsid w:val="00515813"/>
    <w:pPr>
      <w:numPr>
        <w:numId w:val="19"/>
      </w:numPr>
    </w:pPr>
  </w:style>
  <w:style w:type="paragraph" w:customStyle="1" w:styleId="TablebodyleftTables">
    <w:name w:val="Table body_left (Tables)"/>
    <w:basedOn w:val="NoParagraphStyle"/>
    <w:uiPriority w:val="99"/>
    <w:rsid w:val="00033D9B"/>
    <w:pPr>
      <w:widowControl/>
      <w:spacing w:after="180" w:line="220" w:lineRule="atLeast"/>
    </w:pPr>
    <w:rPr>
      <w:rFonts w:ascii="VIC" w:hAnsi="VIC" w:cs="VIC"/>
      <w:color w:val="100149"/>
      <w:sz w:val="18"/>
      <w:szCs w:val="18"/>
      <w:lang w:val="en-GB"/>
    </w:rPr>
  </w:style>
  <w:style w:type="paragraph" w:customStyle="1" w:styleId="TablebodyrightTables">
    <w:name w:val="Table body_right (Tables)"/>
    <w:basedOn w:val="NoParagraphStyle"/>
    <w:uiPriority w:val="99"/>
    <w:rsid w:val="00033D9B"/>
    <w:pPr>
      <w:widowControl/>
      <w:spacing w:after="180" w:line="220" w:lineRule="atLeast"/>
      <w:jc w:val="right"/>
    </w:pPr>
    <w:rPr>
      <w:rFonts w:ascii="VIC" w:hAnsi="VIC" w:cs="VIC"/>
      <w:color w:val="100149"/>
      <w:sz w:val="18"/>
      <w:szCs w:val="18"/>
      <w:lang w:val="en-GB"/>
    </w:rPr>
  </w:style>
  <w:style w:type="paragraph" w:customStyle="1" w:styleId="ReferencesBodycopy">
    <w:name w:val="References (Body copy)"/>
    <w:basedOn w:val="Normal"/>
    <w:uiPriority w:val="99"/>
    <w:rsid w:val="00F138D1"/>
    <w:pPr>
      <w:autoSpaceDE w:val="0"/>
      <w:autoSpaceDN w:val="0"/>
      <w:adjustRightInd w:val="0"/>
      <w:spacing w:before="57" w:after="57" w:line="200" w:lineRule="atLeast"/>
      <w:ind w:left="680" w:hanging="680"/>
      <w:textAlignment w:val="center"/>
    </w:pPr>
    <w:rPr>
      <w:rFonts w:ascii="VIC Light" w:hAnsi="VIC Light" w:cs="VIC Light"/>
      <w:color w:val="000000"/>
      <w:sz w:val="16"/>
      <w:szCs w:val="16"/>
      <w:lang w:val="en-GB"/>
    </w:rPr>
  </w:style>
  <w:style w:type="paragraph" w:customStyle="1" w:styleId="SubheadingCover">
    <w:name w:val="Sub heading (Cover)"/>
    <w:basedOn w:val="Subtitle"/>
    <w:uiPriority w:val="99"/>
    <w:rsid w:val="00B80DD2"/>
  </w:style>
  <w:style w:type="paragraph" w:styleId="Title">
    <w:name w:val="Title"/>
    <w:basedOn w:val="Normal"/>
    <w:next w:val="Normal"/>
    <w:link w:val="TitleChar"/>
    <w:uiPriority w:val="10"/>
    <w:qFormat/>
    <w:rsid w:val="00D54C6D"/>
    <w:pPr>
      <w:spacing w:after="0" w:line="240" w:lineRule="auto"/>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D54C6D"/>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80DD2"/>
    <w:pPr>
      <w:numPr>
        <w:ilvl w:val="1"/>
      </w:numPr>
      <w:spacing w:before="240"/>
    </w:pPr>
    <w:rPr>
      <w:sz w:val="36"/>
      <w:szCs w:val="36"/>
    </w:rPr>
  </w:style>
  <w:style w:type="character" w:customStyle="1" w:styleId="SubtitleChar">
    <w:name w:val="Subtitle Char"/>
    <w:basedOn w:val="DefaultParagraphFont"/>
    <w:link w:val="Subtitle"/>
    <w:uiPriority w:val="11"/>
    <w:rsid w:val="00B80DD2"/>
    <w:rPr>
      <w:sz w:val="36"/>
      <w:szCs w:val="36"/>
    </w:rPr>
  </w:style>
  <w:style w:type="paragraph" w:customStyle="1" w:styleId="SmallheadingInsidecover">
    <w:name w:val="Small heading (Inside cover)"/>
    <w:basedOn w:val="Normal"/>
    <w:uiPriority w:val="99"/>
    <w:rsid w:val="00F138D1"/>
    <w:pPr>
      <w:autoSpaceDE w:val="0"/>
      <w:autoSpaceDN w:val="0"/>
      <w:adjustRightInd w:val="0"/>
      <w:spacing w:before="113" w:after="113" w:line="220" w:lineRule="atLeast"/>
      <w:textAlignment w:val="center"/>
    </w:pPr>
    <w:rPr>
      <w:rFonts w:ascii="VIC SemiBold" w:hAnsi="VIC SemiBold" w:cs="VIC SemiBold"/>
      <w:b/>
      <w:bCs/>
      <w:color w:val="000000"/>
      <w:sz w:val="18"/>
      <w:szCs w:val="18"/>
      <w:lang w:val="en-GB"/>
    </w:rPr>
  </w:style>
  <w:style w:type="paragraph" w:customStyle="1" w:styleId="SmallbodycopyInsidecover">
    <w:name w:val="Small body copy (Inside cover)"/>
    <w:basedOn w:val="NoParagraphStyle"/>
    <w:uiPriority w:val="99"/>
    <w:rsid w:val="001B2A51"/>
    <w:pPr>
      <w:widowControl/>
      <w:suppressAutoHyphens/>
      <w:spacing w:after="57" w:line="200" w:lineRule="atLeast"/>
    </w:pPr>
    <w:rPr>
      <w:rFonts w:ascii="VIC (OTF) Light" w:hAnsi="VIC (OTF) Light" w:cs="VIC (OTF) Light"/>
      <w:sz w:val="16"/>
      <w:szCs w:val="16"/>
      <w:lang w:val="en-GB"/>
    </w:rPr>
  </w:style>
  <w:style w:type="paragraph" w:customStyle="1" w:styleId="Boldheader">
    <w:name w:val="Bold header"/>
    <w:basedOn w:val="SmallheadingInsidecover"/>
    <w:qFormat/>
    <w:rsid w:val="00B14FBE"/>
    <w:pPr>
      <w:keepNext/>
      <w:keepLines/>
      <w:spacing w:before="120" w:after="120"/>
    </w:pPr>
    <w:rPr>
      <w:rFonts w:asciiTheme="minorHAnsi" w:hAnsiTheme="minorHAnsi" w:cstheme="minorHAnsi"/>
      <w:color w:val="auto"/>
      <w:sz w:val="24"/>
      <w:szCs w:val="26"/>
    </w:rPr>
  </w:style>
  <w:style w:type="paragraph" w:customStyle="1" w:styleId="ImprintbodycopyInsidecover">
    <w:name w:val="Imprint body copy (Inside cover)"/>
    <w:basedOn w:val="Normal"/>
    <w:uiPriority w:val="99"/>
    <w:rsid w:val="001B2A51"/>
    <w:pPr>
      <w:autoSpaceDE w:val="0"/>
      <w:autoSpaceDN w:val="0"/>
      <w:adjustRightInd w:val="0"/>
      <w:spacing w:after="57" w:line="200" w:lineRule="atLeast"/>
      <w:textAlignment w:val="center"/>
    </w:pPr>
    <w:rPr>
      <w:rFonts w:ascii="VIC" w:hAnsi="VIC" w:cs="VIC"/>
      <w:color w:val="000000"/>
      <w:sz w:val="16"/>
      <w:szCs w:val="16"/>
      <w:lang w:val="en-US"/>
    </w:rPr>
  </w:style>
  <w:style w:type="paragraph" w:customStyle="1" w:styleId="ImprintheadingInsidecover">
    <w:name w:val="Imprint heading (Inside cover)"/>
    <w:basedOn w:val="ImprintbodycopyInsidecover"/>
    <w:uiPriority w:val="99"/>
    <w:rsid w:val="001B2A51"/>
    <w:pPr>
      <w:spacing w:after="0" w:line="220" w:lineRule="atLeast"/>
    </w:pPr>
    <w:rPr>
      <w:rFonts w:ascii="VIC (OTF) SemiBold" w:hAnsi="VIC (OTF) SemiBold" w:cs="VIC (OTF) SemiBold"/>
      <w:b/>
      <w:bCs/>
      <w:sz w:val="18"/>
      <w:szCs w:val="18"/>
    </w:rPr>
  </w:style>
  <w:style w:type="paragraph" w:customStyle="1" w:styleId="Normalbeforebullets">
    <w:name w:val="Normal before bullets"/>
    <w:basedOn w:val="Normal"/>
    <w:qFormat/>
    <w:rsid w:val="002848F0"/>
    <w:pPr>
      <w:keepNext/>
      <w:spacing w:after="120"/>
    </w:pPr>
  </w:style>
  <w:style w:type="character" w:customStyle="1" w:styleId="Heading1Char">
    <w:name w:val="Heading 1 Char"/>
    <w:basedOn w:val="DefaultParagraphFont"/>
    <w:link w:val="Heading1"/>
    <w:uiPriority w:val="9"/>
    <w:rsid w:val="00404F0E"/>
    <w:rPr>
      <w:rFonts w:asciiTheme="majorHAnsi" w:eastAsiaTheme="majorEastAsia" w:hAnsiTheme="majorHAnsi" w:cs="Times New Roman (Headings CS)"/>
      <w:b/>
      <w:bCs/>
      <w:sz w:val="40"/>
      <w:szCs w:val="36"/>
    </w:rPr>
  </w:style>
  <w:style w:type="paragraph" w:customStyle="1" w:styleId="FiguretitleFiguresImages">
    <w:name w:val="Figure title (Figures/Images)"/>
    <w:basedOn w:val="BodyText"/>
    <w:uiPriority w:val="99"/>
    <w:rsid w:val="00620098"/>
    <w:pPr>
      <w:keepNext/>
      <w:spacing w:before="120" w:after="240" w:line="220" w:lineRule="atLeast"/>
    </w:pPr>
    <w:rPr>
      <w:rFonts w:cstheme="minorHAnsi"/>
      <w:b/>
      <w:bCs/>
      <w:color w:val="000000" w:themeColor="text1"/>
    </w:rPr>
  </w:style>
  <w:style w:type="paragraph" w:customStyle="1" w:styleId="Source">
    <w:name w:val="Source"/>
    <w:basedOn w:val="Boldheader"/>
    <w:qFormat/>
    <w:rsid w:val="00FE53F9"/>
    <w:pPr>
      <w:keepNext w:val="0"/>
      <w:spacing w:after="200"/>
    </w:pPr>
    <w:rPr>
      <w:b w:val="0"/>
      <w:bCs w:val="0"/>
      <w:color w:val="000000"/>
      <w:sz w:val="18"/>
      <w:szCs w:val="20"/>
    </w:rPr>
  </w:style>
  <w:style w:type="paragraph" w:customStyle="1" w:styleId="FiguresourceFiguresImages">
    <w:name w:val="Figure source (Figures/Images)"/>
    <w:basedOn w:val="NoParagraphStyle"/>
    <w:uiPriority w:val="99"/>
    <w:rsid w:val="007A261A"/>
    <w:pPr>
      <w:widowControl/>
      <w:suppressAutoHyphens/>
      <w:spacing w:after="57" w:line="180" w:lineRule="atLeast"/>
    </w:pPr>
    <w:rPr>
      <w:rFonts w:ascii="VIC" w:hAnsi="VIC" w:cs="VIC"/>
      <w:sz w:val="14"/>
      <w:szCs w:val="14"/>
    </w:rPr>
  </w:style>
  <w:style w:type="paragraph" w:styleId="ListParagraph">
    <w:name w:val="List Paragraph"/>
    <w:basedOn w:val="Normal"/>
    <w:uiPriority w:val="34"/>
    <w:qFormat/>
    <w:rsid w:val="00750D1B"/>
    <w:pPr>
      <w:ind w:left="720"/>
      <w:contextualSpacing/>
    </w:pPr>
  </w:style>
  <w:style w:type="paragraph" w:customStyle="1" w:styleId="Listparagraphi">
    <w:name w:val="List paragraph (i.)"/>
    <w:basedOn w:val="ListParagraph"/>
    <w:qFormat/>
    <w:rsid w:val="00320E94"/>
    <w:pPr>
      <w:numPr>
        <w:numId w:val="13"/>
      </w:numPr>
      <w:spacing w:after="120" w:line="288" w:lineRule="auto"/>
      <w:contextualSpacing w:val="0"/>
    </w:pPr>
    <w:rPr>
      <w:lang w:val="en-GB"/>
    </w:rPr>
  </w:style>
  <w:style w:type="paragraph" w:customStyle="1" w:styleId="Bullet1last">
    <w:name w:val="Bullet 1 last"/>
    <w:basedOn w:val="ListBullet"/>
    <w:qFormat/>
    <w:rsid w:val="00E00C8A"/>
    <w:pPr>
      <w:spacing w:after="240"/>
    </w:pPr>
  </w:style>
  <w:style w:type="paragraph" w:customStyle="1" w:styleId="Heading1numbered">
    <w:name w:val="Heading 1 (numbered)"/>
    <w:basedOn w:val="Heading1"/>
    <w:qFormat/>
    <w:rsid w:val="00E6112B"/>
    <w:pPr>
      <w:numPr>
        <w:numId w:val="2"/>
      </w:numPr>
    </w:pPr>
  </w:style>
  <w:style w:type="character" w:customStyle="1" w:styleId="Heading2Char">
    <w:name w:val="Heading 2 Char"/>
    <w:basedOn w:val="DefaultParagraphFont"/>
    <w:link w:val="Heading2"/>
    <w:uiPriority w:val="9"/>
    <w:rsid w:val="00285B57"/>
    <w:rPr>
      <w:rFonts w:asciiTheme="majorHAnsi" w:eastAsiaTheme="majorEastAsia" w:hAnsiTheme="majorHAnsi" w:cstheme="majorBidi"/>
      <w:b/>
      <w:bCs/>
      <w:color w:val="000000" w:themeColor="text1"/>
      <w:sz w:val="32"/>
      <w:szCs w:val="30"/>
      <w:lang w:val="en-GB"/>
    </w:rPr>
  </w:style>
  <w:style w:type="character" w:customStyle="1" w:styleId="Heading3Char">
    <w:name w:val="Heading 3 Char"/>
    <w:basedOn w:val="DefaultParagraphFont"/>
    <w:link w:val="Heading3"/>
    <w:uiPriority w:val="9"/>
    <w:rsid w:val="008D2EAE"/>
    <w:rPr>
      <w:rFonts w:asciiTheme="majorHAnsi" w:eastAsiaTheme="majorEastAsia" w:hAnsiTheme="majorHAnsi" w:cstheme="majorBidi"/>
      <w:b/>
      <w:bCs/>
      <w:sz w:val="28"/>
      <w:szCs w:val="26"/>
      <w:lang w:val="en-GB"/>
    </w:rPr>
  </w:style>
  <w:style w:type="paragraph" w:customStyle="1" w:styleId="Heading2numbered">
    <w:name w:val="Heading 2 (numbered)"/>
    <w:basedOn w:val="Heading2"/>
    <w:qFormat/>
    <w:rsid w:val="00BE09DE"/>
    <w:pPr>
      <w:numPr>
        <w:ilvl w:val="1"/>
        <w:numId w:val="2"/>
      </w:numPr>
    </w:pPr>
  </w:style>
  <w:style w:type="paragraph" w:customStyle="1" w:styleId="Heading3numbered">
    <w:name w:val="Heading 3 (numbered)"/>
    <w:basedOn w:val="Heading3"/>
    <w:qFormat/>
    <w:rsid w:val="00BE09DE"/>
    <w:pPr>
      <w:numPr>
        <w:ilvl w:val="2"/>
        <w:numId w:val="2"/>
      </w:numPr>
    </w:pPr>
  </w:style>
  <w:style w:type="character" w:customStyle="1" w:styleId="Heading4Char">
    <w:name w:val="Heading 4 Char"/>
    <w:basedOn w:val="DefaultParagraphFont"/>
    <w:link w:val="Heading4"/>
    <w:uiPriority w:val="9"/>
    <w:semiHidden/>
    <w:rsid w:val="007D58CB"/>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9"/>
    <w:semiHidden/>
    <w:rsid w:val="00BE09DE"/>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BE09D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BE09D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E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9DE"/>
    <w:rPr>
      <w:rFonts w:asciiTheme="majorHAnsi" w:eastAsiaTheme="majorEastAsia" w:hAnsiTheme="majorHAnsi" w:cstheme="majorBidi"/>
      <w:i/>
      <w:iCs/>
      <w:color w:val="272727" w:themeColor="text1" w:themeTint="D8"/>
      <w:sz w:val="21"/>
      <w:szCs w:val="21"/>
    </w:rPr>
  </w:style>
  <w:style w:type="paragraph" w:customStyle="1" w:styleId="TabletitleTables">
    <w:name w:val="Table title (Tables)"/>
    <w:basedOn w:val="NoParagraphStyle"/>
    <w:uiPriority w:val="99"/>
    <w:rsid w:val="00252B69"/>
    <w:pPr>
      <w:widowControl/>
      <w:suppressAutoHyphens/>
      <w:spacing w:before="57" w:after="113" w:line="240" w:lineRule="atLeast"/>
    </w:pPr>
    <w:rPr>
      <w:rFonts w:ascii="VIC (OTF) SemiBold" w:hAnsi="VIC (OTF) SemiBold" w:cs="VIC (OTF) SemiBold"/>
      <w:b/>
      <w:bCs/>
      <w:color w:val="100149"/>
      <w:sz w:val="20"/>
      <w:szCs w:val="20"/>
    </w:rPr>
  </w:style>
  <w:style w:type="paragraph" w:customStyle="1" w:styleId="TableheadingrightTables">
    <w:name w:val="Table heading_right (Tables)"/>
    <w:basedOn w:val="NoParagraphStyle"/>
    <w:uiPriority w:val="99"/>
    <w:rsid w:val="00A56B9D"/>
    <w:pPr>
      <w:widowControl/>
      <w:suppressAutoHyphens/>
      <w:spacing w:before="113" w:after="113" w:line="220" w:lineRule="atLeast"/>
      <w:jc w:val="right"/>
    </w:pPr>
    <w:rPr>
      <w:rFonts w:ascii="VIC SemiBold" w:hAnsi="VIC SemiBold" w:cstheme="minorBidi"/>
      <w:b/>
      <w:bCs/>
      <w:color w:val="FFFFFF"/>
      <w:sz w:val="18"/>
      <w:szCs w:val="18"/>
      <w:lang w:val="en-GB"/>
    </w:rPr>
  </w:style>
  <w:style w:type="table" w:styleId="TableGrid">
    <w:name w:val="Table Grid"/>
    <w:basedOn w:val="TableNormal"/>
    <w:uiPriority w:val="39"/>
    <w:rsid w:val="00A5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
    <w:name w:val="Table Column Headings"/>
    <w:basedOn w:val="Normal"/>
    <w:qFormat/>
    <w:rsid w:val="00A56B9D"/>
    <w:pPr>
      <w:spacing w:before="60" w:after="60" w:line="240" w:lineRule="auto"/>
    </w:pPr>
    <w:rPr>
      <w:b/>
      <w:bCs/>
      <w:lang w:val="en-GB"/>
    </w:rPr>
  </w:style>
  <w:style w:type="paragraph" w:customStyle="1" w:styleId="Tabletext">
    <w:name w:val="Table text"/>
    <w:basedOn w:val="BodyText"/>
    <w:qFormat/>
    <w:rsid w:val="00E74B07"/>
    <w:pPr>
      <w:spacing w:after="0" w:line="240" w:lineRule="auto"/>
    </w:pPr>
    <w:rPr>
      <w:lang w:val="en-GB"/>
    </w:rPr>
  </w:style>
  <w:style w:type="character" w:styleId="UnresolvedMention">
    <w:name w:val="Unresolved Mention"/>
    <w:basedOn w:val="DefaultParagraphFont"/>
    <w:uiPriority w:val="99"/>
    <w:semiHidden/>
    <w:unhideWhenUsed/>
    <w:rsid w:val="00CD2217"/>
    <w:rPr>
      <w:color w:val="605E5C"/>
      <w:shd w:val="clear" w:color="auto" w:fill="E1DFDD"/>
    </w:rPr>
  </w:style>
  <w:style w:type="numbering" w:customStyle="1" w:styleId="CurrentList11">
    <w:name w:val="Current List11"/>
    <w:uiPriority w:val="99"/>
    <w:rsid w:val="00515813"/>
    <w:pPr>
      <w:numPr>
        <w:numId w:val="20"/>
      </w:numPr>
    </w:pPr>
  </w:style>
  <w:style w:type="paragraph" w:customStyle="1" w:styleId="Bullet2">
    <w:name w:val="Bullet 2"/>
    <w:basedOn w:val="Bullet1"/>
    <w:qFormat/>
    <w:rsid w:val="0068129E"/>
    <w:pPr>
      <w:numPr>
        <w:numId w:val="3"/>
      </w:numPr>
      <w:ind w:left="680" w:hanging="340"/>
    </w:pPr>
  </w:style>
  <w:style w:type="paragraph" w:customStyle="1" w:styleId="Listparagrapha">
    <w:name w:val="List paragraph (a.)"/>
    <w:basedOn w:val="BodyText"/>
    <w:qFormat/>
    <w:rsid w:val="00C20D01"/>
    <w:pPr>
      <w:numPr>
        <w:numId w:val="9"/>
      </w:numPr>
    </w:pPr>
  </w:style>
  <w:style w:type="paragraph" w:styleId="Header">
    <w:name w:val="header"/>
    <w:basedOn w:val="Normal"/>
    <w:link w:val="HeaderChar"/>
    <w:uiPriority w:val="99"/>
    <w:unhideWhenUsed/>
    <w:rsid w:val="007F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BDB"/>
  </w:style>
  <w:style w:type="paragraph" w:styleId="Footer">
    <w:name w:val="footer"/>
    <w:basedOn w:val="Normal"/>
    <w:link w:val="FooterChar"/>
    <w:uiPriority w:val="99"/>
    <w:unhideWhenUsed/>
    <w:rsid w:val="007F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BDB"/>
  </w:style>
  <w:style w:type="paragraph" w:styleId="TOC1">
    <w:name w:val="toc 1"/>
    <w:basedOn w:val="Normal"/>
    <w:next w:val="Normal"/>
    <w:uiPriority w:val="39"/>
    <w:unhideWhenUsed/>
    <w:rsid w:val="00E924AC"/>
    <w:pPr>
      <w:spacing w:before="240" w:after="0"/>
    </w:pPr>
    <w:rPr>
      <w:rFonts w:cstheme="minorHAnsi"/>
      <w:b/>
      <w:bCs/>
      <w:iCs/>
      <w:szCs w:val="24"/>
    </w:rPr>
  </w:style>
  <w:style w:type="paragraph" w:styleId="TOC2">
    <w:name w:val="toc 2"/>
    <w:basedOn w:val="Normal"/>
    <w:next w:val="Normal"/>
    <w:uiPriority w:val="39"/>
    <w:unhideWhenUsed/>
    <w:rsid w:val="00E924AC"/>
    <w:pPr>
      <w:spacing w:before="120" w:after="0"/>
      <w:ind w:left="240"/>
    </w:pPr>
    <w:rPr>
      <w:rFonts w:cstheme="minorHAnsi"/>
      <w:bCs/>
    </w:rPr>
  </w:style>
  <w:style w:type="paragraph" w:styleId="TOC3">
    <w:name w:val="toc 3"/>
    <w:basedOn w:val="Normal"/>
    <w:next w:val="Normal"/>
    <w:uiPriority w:val="39"/>
    <w:unhideWhenUsed/>
    <w:rsid w:val="004A0E5A"/>
    <w:pPr>
      <w:spacing w:after="0"/>
      <w:ind w:left="480"/>
    </w:pPr>
    <w:rPr>
      <w:rFonts w:cstheme="minorHAnsi"/>
      <w:sz w:val="20"/>
      <w:szCs w:val="20"/>
    </w:rPr>
  </w:style>
  <w:style w:type="paragraph" w:styleId="BodyText">
    <w:name w:val="Body Text"/>
    <w:basedOn w:val="Normal"/>
    <w:link w:val="BodyTextChar"/>
    <w:uiPriority w:val="99"/>
    <w:unhideWhenUsed/>
    <w:rsid w:val="00F138D1"/>
    <w:pPr>
      <w:spacing w:after="180" w:line="360" w:lineRule="auto"/>
    </w:pPr>
    <w:rPr>
      <w:rFonts w:cs="Times New Roman (Body CS)"/>
      <w:kern w:val="24"/>
    </w:rPr>
  </w:style>
  <w:style w:type="character" w:customStyle="1" w:styleId="BodyTextChar">
    <w:name w:val="Body Text Char"/>
    <w:basedOn w:val="DefaultParagraphFont"/>
    <w:link w:val="BodyText"/>
    <w:uiPriority w:val="99"/>
    <w:rsid w:val="00F138D1"/>
    <w:rPr>
      <w:rFonts w:cs="Times New Roman (Body CS)"/>
      <w:kern w:val="24"/>
      <w:sz w:val="24"/>
    </w:rPr>
  </w:style>
  <w:style w:type="paragraph" w:styleId="ListBullet">
    <w:name w:val="List Bullet"/>
    <w:basedOn w:val="BodyText"/>
    <w:uiPriority w:val="99"/>
    <w:unhideWhenUsed/>
    <w:rsid w:val="00404F0E"/>
    <w:pPr>
      <w:numPr>
        <w:numId w:val="4"/>
      </w:numPr>
      <w:ind w:left="357" w:hanging="357"/>
    </w:pPr>
  </w:style>
  <w:style w:type="paragraph" w:customStyle="1" w:styleId="FootnoteBody">
    <w:name w:val="Footnote (Body)"/>
    <w:basedOn w:val="NoParagraphStyle"/>
    <w:uiPriority w:val="99"/>
    <w:rsid w:val="00F1500A"/>
    <w:pPr>
      <w:widowControl/>
      <w:tabs>
        <w:tab w:val="left" w:pos="227"/>
      </w:tabs>
      <w:suppressAutoHyphens/>
      <w:spacing w:after="113" w:line="200" w:lineRule="atLeast"/>
      <w:ind w:left="227" w:hanging="227"/>
    </w:pPr>
    <w:rPr>
      <w:rFonts w:ascii="VIC Light" w:hAnsi="VIC Light" w:cs="VIC Light"/>
      <w:sz w:val="16"/>
      <w:szCs w:val="16"/>
      <w:lang w:val="en-GB"/>
    </w:rPr>
  </w:style>
  <w:style w:type="paragraph" w:customStyle="1" w:styleId="HeadingFOUR">
    <w:name w:val="Heading FOUR"/>
    <w:basedOn w:val="Heading3"/>
    <w:qFormat/>
    <w:rsid w:val="007B509C"/>
    <w:rPr>
      <w:color w:val="000000" w:themeColor="text1"/>
      <w:sz w:val="26"/>
    </w:rPr>
  </w:style>
  <w:style w:type="paragraph" w:styleId="List2">
    <w:name w:val="List 2"/>
    <w:basedOn w:val="Normal"/>
    <w:uiPriority w:val="99"/>
    <w:unhideWhenUsed/>
    <w:rsid w:val="00A10D57"/>
    <w:pPr>
      <w:spacing w:after="120"/>
      <w:ind w:left="568" w:hanging="284"/>
      <w:contextualSpacing/>
    </w:pPr>
  </w:style>
  <w:style w:type="paragraph" w:styleId="ListBullet2">
    <w:name w:val="List Bullet 2"/>
    <w:basedOn w:val="BodyText"/>
    <w:uiPriority w:val="99"/>
    <w:unhideWhenUsed/>
    <w:rsid w:val="004554EA"/>
    <w:pPr>
      <w:numPr>
        <w:numId w:val="5"/>
      </w:numPr>
      <w:ind w:left="714" w:hanging="357"/>
    </w:pPr>
  </w:style>
  <w:style w:type="paragraph" w:customStyle="1" w:styleId="ChartSourceStyle">
    <w:name w:val="Chart Source Style"/>
    <w:basedOn w:val="BodyText"/>
    <w:qFormat/>
    <w:rsid w:val="00B14FBE"/>
    <w:pPr>
      <w:spacing w:before="60" w:after="240"/>
    </w:pPr>
  </w:style>
  <w:style w:type="paragraph" w:customStyle="1" w:styleId="Style1">
    <w:name w:val="Style1"/>
    <w:basedOn w:val="ChartSourceStyle"/>
    <w:qFormat/>
    <w:rsid w:val="00620098"/>
    <w:pPr>
      <w:spacing w:before="120"/>
    </w:pPr>
  </w:style>
  <w:style w:type="paragraph" w:styleId="TOCHeading">
    <w:name w:val="TOC Heading"/>
    <w:basedOn w:val="Heading1"/>
    <w:next w:val="Normal"/>
    <w:uiPriority w:val="39"/>
    <w:unhideWhenUsed/>
    <w:qFormat/>
    <w:rsid w:val="000C4B11"/>
    <w:pPr>
      <w:spacing w:after="0"/>
      <w:outlineLvl w:val="9"/>
    </w:pPr>
    <w:rPr>
      <w:bCs w:val="0"/>
      <w:color w:val="000000" w:themeColor="text1"/>
      <w:szCs w:val="32"/>
    </w:rPr>
  </w:style>
  <w:style w:type="character" w:styleId="FollowedHyperlink">
    <w:name w:val="FollowedHyperlink"/>
    <w:basedOn w:val="DefaultParagraphFont"/>
    <w:uiPriority w:val="99"/>
    <w:semiHidden/>
    <w:unhideWhenUsed/>
    <w:rsid w:val="00B66945"/>
    <w:rPr>
      <w:color w:val="954F72" w:themeColor="followedHyperlink"/>
      <w:u w:val="single"/>
    </w:rPr>
  </w:style>
  <w:style w:type="paragraph" w:styleId="ListNumber">
    <w:name w:val="List Number"/>
    <w:basedOn w:val="BodyText"/>
    <w:uiPriority w:val="99"/>
    <w:unhideWhenUsed/>
    <w:rsid w:val="00404F0E"/>
    <w:pPr>
      <w:numPr>
        <w:numId w:val="6"/>
      </w:numPr>
    </w:pPr>
  </w:style>
  <w:style w:type="paragraph" w:styleId="ListNumber2">
    <w:name w:val="List Number 2"/>
    <w:basedOn w:val="Normal"/>
    <w:uiPriority w:val="99"/>
    <w:unhideWhenUsed/>
    <w:rsid w:val="001D3828"/>
    <w:pPr>
      <w:numPr>
        <w:numId w:val="21"/>
      </w:numPr>
      <w:contextualSpacing/>
    </w:pPr>
  </w:style>
  <w:style w:type="paragraph" w:styleId="Caption">
    <w:name w:val="caption"/>
    <w:basedOn w:val="Normal"/>
    <w:next w:val="Normal"/>
    <w:uiPriority w:val="35"/>
    <w:unhideWhenUsed/>
    <w:qFormat/>
    <w:rsid w:val="00281939"/>
    <w:pPr>
      <w:spacing w:before="120" w:after="120" w:line="240" w:lineRule="auto"/>
    </w:pPr>
    <w:rPr>
      <w:b/>
      <w:iCs/>
      <w:color w:val="000000" w:themeColor="text1"/>
      <w:szCs w:val="18"/>
    </w:rPr>
  </w:style>
  <w:style w:type="numbering" w:customStyle="1" w:styleId="CurrentList1">
    <w:name w:val="Current List1"/>
    <w:uiPriority w:val="99"/>
    <w:rsid w:val="007B211D"/>
    <w:pPr>
      <w:numPr>
        <w:numId w:val="7"/>
      </w:numPr>
    </w:pPr>
  </w:style>
  <w:style w:type="numbering" w:customStyle="1" w:styleId="CurrentList2">
    <w:name w:val="Current List2"/>
    <w:uiPriority w:val="99"/>
    <w:rsid w:val="00E11A71"/>
    <w:pPr>
      <w:numPr>
        <w:numId w:val="8"/>
      </w:numPr>
    </w:pPr>
  </w:style>
  <w:style w:type="numbering" w:customStyle="1" w:styleId="CurrentList3">
    <w:name w:val="Current List3"/>
    <w:uiPriority w:val="99"/>
    <w:rsid w:val="00E11A71"/>
    <w:pPr>
      <w:numPr>
        <w:numId w:val="10"/>
      </w:numPr>
    </w:pPr>
  </w:style>
  <w:style w:type="numbering" w:customStyle="1" w:styleId="CurrentList4">
    <w:name w:val="Current List4"/>
    <w:uiPriority w:val="99"/>
    <w:rsid w:val="00E11A71"/>
    <w:pPr>
      <w:numPr>
        <w:numId w:val="11"/>
      </w:numPr>
    </w:pPr>
  </w:style>
  <w:style w:type="numbering" w:customStyle="1" w:styleId="CurrentList5">
    <w:name w:val="Current List5"/>
    <w:uiPriority w:val="99"/>
    <w:rsid w:val="00E11A71"/>
    <w:pPr>
      <w:numPr>
        <w:numId w:val="12"/>
      </w:numPr>
    </w:pPr>
  </w:style>
  <w:style w:type="paragraph" w:styleId="TOC4">
    <w:name w:val="toc 4"/>
    <w:basedOn w:val="Normal"/>
    <w:next w:val="Normal"/>
    <w:autoRedefine/>
    <w:uiPriority w:val="39"/>
    <w:unhideWhenUsed/>
    <w:rsid w:val="005E3F95"/>
    <w:pPr>
      <w:spacing w:after="0"/>
      <w:ind w:left="720"/>
    </w:pPr>
    <w:rPr>
      <w:rFonts w:cstheme="minorHAnsi"/>
      <w:sz w:val="20"/>
      <w:szCs w:val="20"/>
    </w:rPr>
  </w:style>
  <w:style w:type="paragraph" w:styleId="TOC5">
    <w:name w:val="toc 5"/>
    <w:basedOn w:val="Normal"/>
    <w:next w:val="Normal"/>
    <w:autoRedefine/>
    <w:uiPriority w:val="39"/>
    <w:unhideWhenUsed/>
    <w:rsid w:val="005E3F95"/>
    <w:pPr>
      <w:spacing w:after="0"/>
      <w:ind w:left="960"/>
    </w:pPr>
    <w:rPr>
      <w:rFonts w:cstheme="minorHAnsi"/>
      <w:sz w:val="20"/>
      <w:szCs w:val="20"/>
    </w:rPr>
  </w:style>
  <w:style w:type="paragraph" w:styleId="TOC6">
    <w:name w:val="toc 6"/>
    <w:basedOn w:val="Normal"/>
    <w:next w:val="Normal"/>
    <w:autoRedefine/>
    <w:uiPriority w:val="39"/>
    <w:unhideWhenUsed/>
    <w:rsid w:val="005E3F95"/>
    <w:pPr>
      <w:spacing w:after="0"/>
      <w:ind w:left="1200"/>
    </w:pPr>
    <w:rPr>
      <w:rFonts w:cstheme="minorHAnsi"/>
      <w:sz w:val="20"/>
      <w:szCs w:val="20"/>
    </w:rPr>
  </w:style>
  <w:style w:type="paragraph" w:styleId="TOC7">
    <w:name w:val="toc 7"/>
    <w:basedOn w:val="Normal"/>
    <w:next w:val="Normal"/>
    <w:autoRedefine/>
    <w:uiPriority w:val="39"/>
    <w:unhideWhenUsed/>
    <w:rsid w:val="005E3F95"/>
    <w:pPr>
      <w:spacing w:after="0"/>
      <w:ind w:left="1440"/>
    </w:pPr>
    <w:rPr>
      <w:rFonts w:cstheme="minorHAnsi"/>
      <w:sz w:val="20"/>
      <w:szCs w:val="20"/>
    </w:rPr>
  </w:style>
  <w:style w:type="paragraph" w:styleId="TOC8">
    <w:name w:val="toc 8"/>
    <w:basedOn w:val="Normal"/>
    <w:next w:val="Normal"/>
    <w:autoRedefine/>
    <w:uiPriority w:val="39"/>
    <w:unhideWhenUsed/>
    <w:rsid w:val="005E3F95"/>
    <w:pPr>
      <w:spacing w:after="0"/>
      <w:ind w:left="1680"/>
    </w:pPr>
    <w:rPr>
      <w:rFonts w:cstheme="minorHAnsi"/>
      <w:sz w:val="20"/>
      <w:szCs w:val="20"/>
    </w:rPr>
  </w:style>
  <w:style w:type="paragraph" w:styleId="TOC9">
    <w:name w:val="toc 9"/>
    <w:basedOn w:val="Normal"/>
    <w:next w:val="Normal"/>
    <w:autoRedefine/>
    <w:uiPriority w:val="39"/>
    <w:unhideWhenUsed/>
    <w:rsid w:val="005E3F95"/>
    <w:pPr>
      <w:spacing w:after="0"/>
      <w:ind w:left="1920"/>
    </w:pPr>
    <w:rPr>
      <w:rFonts w:cstheme="minorHAnsi"/>
      <w:sz w:val="20"/>
      <w:szCs w:val="20"/>
    </w:rPr>
  </w:style>
  <w:style w:type="paragraph" w:styleId="TOAHeading">
    <w:name w:val="toa heading"/>
    <w:basedOn w:val="Normal"/>
    <w:next w:val="Normal"/>
    <w:uiPriority w:val="99"/>
    <w:unhideWhenUsed/>
    <w:rsid w:val="001500AB"/>
    <w:pPr>
      <w:spacing w:before="120"/>
    </w:pPr>
    <w:rPr>
      <w:rFonts w:asciiTheme="majorHAnsi" w:eastAsiaTheme="majorEastAsia" w:hAnsiTheme="majorHAnsi" w:cstheme="majorBidi"/>
      <w:b/>
      <w:bCs/>
      <w:szCs w:val="24"/>
    </w:rPr>
  </w:style>
  <w:style w:type="numbering" w:customStyle="1" w:styleId="CurrentList6">
    <w:name w:val="Current List6"/>
    <w:uiPriority w:val="99"/>
    <w:rsid w:val="00904039"/>
    <w:pPr>
      <w:numPr>
        <w:numId w:val="14"/>
      </w:numPr>
    </w:pPr>
  </w:style>
  <w:style w:type="numbering" w:customStyle="1" w:styleId="CurrentList7">
    <w:name w:val="Current List7"/>
    <w:uiPriority w:val="99"/>
    <w:rsid w:val="00904039"/>
    <w:pPr>
      <w:numPr>
        <w:numId w:val="15"/>
      </w:numPr>
    </w:pPr>
  </w:style>
  <w:style w:type="numbering" w:customStyle="1" w:styleId="CurrentList8">
    <w:name w:val="Current List8"/>
    <w:uiPriority w:val="99"/>
    <w:rsid w:val="00241796"/>
    <w:pPr>
      <w:numPr>
        <w:numId w:val="16"/>
      </w:numPr>
    </w:pPr>
  </w:style>
  <w:style w:type="paragraph" w:styleId="NormalWeb">
    <w:name w:val="Normal (Web)"/>
    <w:basedOn w:val="Normal"/>
    <w:uiPriority w:val="99"/>
    <w:semiHidden/>
    <w:unhideWhenUsed/>
    <w:rsid w:val="00733E6C"/>
    <w:pPr>
      <w:suppressAutoHyphens w:val="0"/>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760099"/>
    <w:pPr>
      <w:spacing w:after="0" w:line="240" w:lineRule="auto"/>
    </w:pPr>
    <w:rPr>
      <w:sz w:val="24"/>
    </w:rPr>
  </w:style>
  <w:style w:type="character" w:styleId="CommentReference">
    <w:name w:val="annotation reference"/>
    <w:basedOn w:val="DefaultParagraphFont"/>
    <w:uiPriority w:val="99"/>
    <w:semiHidden/>
    <w:unhideWhenUsed/>
    <w:rsid w:val="00DC0304"/>
    <w:rPr>
      <w:sz w:val="16"/>
      <w:szCs w:val="16"/>
    </w:rPr>
  </w:style>
  <w:style w:type="paragraph" w:styleId="CommentText">
    <w:name w:val="annotation text"/>
    <w:basedOn w:val="Normal"/>
    <w:link w:val="CommentTextChar"/>
    <w:uiPriority w:val="99"/>
    <w:semiHidden/>
    <w:unhideWhenUsed/>
    <w:rsid w:val="00DC0304"/>
    <w:pPr>
      <w:spacing w:line="240" w:lineRule="auto"/>
    </w:pPr>
    <w:rPr>
      <w:sz w:val="20"/>
      <w:szCs w:val="20"/>
    </w:rPr>
  </w:style>
  <w:style w:type="character" w:customStyle="1" w:styleId="CommentTextChar">
    <w:name w:val="Comment Text Char"/>
    <w:basedOn w:val="DefaultParagraphFont"/>
    <w:link w:val="CommentText"/>
    <w:uiPriority w:val="99"/>
    <w:semiHidden/>
    <w:rsid w:val="00DC0304"/>
    <w:rPr>
      <w:sz w:val="20"/>
      <w:szCs w:val="20"/>
    </w:rPr>
  </w:style>
  <w:style w:type="paragraph" w:styleId="CommentSubject">
    <w:name w:val="annotation subject"/>
    <w:basedOn w:val="CommentText"/>
    <w:next w:val="CommentText"/>
    <w:link w:val="CommentSubjectChar"/>
    <w:uiPriority w:val="99"/>
    <w:semiHidden/>
    <w:unhideWhenUsed/>
    <w:rsid w:val="00DC0304"/>
    <w:rPr>
      <w:b/>
      <w:bCs/>
    </w:rPr>
  </w:style>
  <w:style w:type="character" w:customStyle="1" w:styleId="CommentSubjectChar">
    <w:name w:val="Comment Subject Char"/>
    <w:basedOn w:val="CommentTextChar"/>
    <w:link w:val="CommentSubject"/>
    <w:uiPriority w:val="99"/>
    <w:semiHidden/>
    <w:rsid w:val="00DC0304"/>
    <w:rPr>
      <w:b/>
      <w:bCs/>
      <w:sz w:val="20"/>
      <w:szCs w:val="20"/>
    </w:rPr>
  </w:style>
  <w:style w:type="character" w:customStyle="1" w:styleId="ui-provider">
    <w:name w:val="ui-provider"/>
    <w:basedOn w:val="DefaultParagraphFont"/>
    <w:rsid w:val="00981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1346">
      <w:bodyDiv w:val="1"/>
      <w:marLeft w:val="0"/>
      <w:marRight w:val="0"/>
      <w:marTop w:val="0"/>
      <w:marBottom w:val="0"/>
      <w:divBdr>
        <w:top w:val="none" w:sz="0" w:space="0" w:color="auto"/>
        <w:left w:val="none" w:sz="0" w:space="0" w:color="auto"/>
        <w:bottom w:val="none" w:sz="0" w:space="0" w:color="auto"/>
        <w:right w:val="none" w:sz="0" w:space="0" w:color="auto"/>
      </w:divBdr>
    </w:div>
    <w:div w:id="8194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eca.vic.gov.au/privacy" TargetMode="External"/><Relationship Id="rId13" Type="http://schemas.openxmlformats.org/officeDocument/2006/relationships/hyperlink" Target="mailto:forestry.businessSP@deeca.vic.gov.au" TargetMode="External"/><Relationship Id="rId18"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orestry.businessSP%40deeca.vic.gov.au?subject=" TargetMode="External"/><Relationship Id="rId17" Type="http://schemas.openxmlformats.org/officeDocument/2006/relationships/hyperlink" Target="https://www.deeca.vic.gov.au/forestry/forestry-transition-program" TargetMode="External"/><Relationship Id="rId2" Type="http://schemas.openxmlformats.org/officeDocument/2006/relationships/numbering" Target="numbering.xml"/><Relationship Id="rId16" Type="http://schemas.openxmlformats.org/officeDocument/2006/relationships/hyperlink" Target="mailto:forestrytransition@deeca.vic.gov.au" TargetMode="External"/><Relationship Id="rId20" Type="http://schemas.openxmlformats.org/officeDocument/2006/relationships/hyperlink" Target="http://www.accesshub.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eca.vic.gov.au/forestry/grants" TargetMode="External"/><Relationship Id="rId5" Type="http://schemas.openxmlformats.org/officeDocument/2006/relationships/webSettings" Target="webSettings.xml"/><Relationship Id="rId15" Type="http://schemas.openxmlformats.org/officeDocument/2006/relationships/hyperlink" Target="https://www.deeca.vic.gov.au/forestry/grants" TargetMode="External"/><Relationship Id="rId23" Type="http://schemas.openxmlformats.org/officeDocument/2006/relationships/theme" Target="theme/theme1.xml"/><Relationship Id="rId10" Type="http://schemas.openxmlformats.org/officeDocument/2006/relationships/hyperlink" Target="mailto:forestrytransition@deeca.vic.gov.au" TargetMode="External"/><Relationship Id="rId19" Type="http://schemas.openxmlformats.org/officeDocument/2006/relationships/hyperlink" Target="mailto:customer.service@delwp.vic.gov.au" TargetMode="External"/><Relationship Id="rId4" Type="http://schemas.openxmlformats.org/officeDocument/2006/relationships/settings" Target="settings.xml"/><Relationship Id="rId9" Type="http://schemas.openxmlformats.org/officeDocument/2006/relationships/hyperlink" Target="mailto:foi.unit@delwp.vic.gov.au" TargetMode="External"/><Relationship Id="rId14" Type="http://schemas.openxmlformats.org/officeDocument/2006/relationships/hyperlink" Target="mailto:grantsinfo@delwp.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1028-9B50-4285-8CE8-22A50796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3259</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Shelley A Markham (DEECA)</cp:lastModifiedBy>
  <cp:revision>2</cp:revision>
  <dcterms:created xsi:type="dcterms:W3CDTF">2023-12-20T06:09:00Z</dcterms:created>
  <dcterms:modified xsi:type="dcterms:W3CDTF">2023-12-20T06:09:00Z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2022-09-20T23:29:16Z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e5bb7520-2aea-48aa-81c7-1c8f860860fb</vt:lpwstr>
  </property>
  <property fmtid="{D5CDD505-2E9C-101B-9397-08002B2CF9AE}" pid="8" name="MSIP_Label_4257e2ab-f512-40e2-9c9a-c64247360765_ContentBits">
    <vt:lpwstr>2</vt:lpwstr>
  </property>
</Properties>
</file>