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2.xml" ContentType="application/vnd.openxmlformats-officedocument.wordprocessingml.head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5171" w:rsidRPr="005B5171" w:rsidRDefault="005B5171" w:rsidP="005B5171">
      <w:pPr>
        <w:spacing w:before="360" w:after="120" w:line="560" w:lineRule="exact"/>
        <w:outlineLvl w:val="0"/>
        <w:rPr>
          <w:rFonts w:ascii="Segoe UI Semibold" w:hAnsi="Segoe UI Semibold" w:cs="Segoe UI"/>
          <w:color w:val="0074A1"/>
          <w:sz w:val="44"/>
          <w:szCs w:val="44"/>
        </w:rPr>
      </w:pPr>
      <w:bookmarkStart w:id="0" w:name="_Toc30492024"/>
      <w:bookmarkStart w:id="1" w:name="_Toc33002121"/>
      <w:bookmarkStart w:id="2" w:name="_GoBack"/>
      <w:bookmarkEnd w:id="2"/>
      <w:r w:rsidRPr="005B5171">
        <w:rPr>
          <w:rFonts w:ascii="Segoe UI Semibold" w:hAnsi="Segoe UI Semibold" w:cs="Segoe UI"/>
          <w:color w:val="0074A1"/>
          <w:sz w:val="44"/>
          <w:szCs w:val="44"/>
        </w:rPr>
        <w:t>Economic values</w:t>
      </w:r>
      <w:bookmarkEnd w:id="0"/>
      <w:bookmarkEnd w:id="1"/>
    </w:p>
    <w:p w:rsidR="005B5171" w:rsidRPr="005B5171" w:rsidRDefault="005B5171" w:rsidP="005B5171">
      <w:pPr>
        <w:jc w:val="both"/>
        <w:rPr>
          <w:rFonts w:ascii="Segoe UI" w:hAnsi="Segoe UI" w:cs="Segoe UI"/>
        </w:rPr>
      </w:pPr>
      <w:r w:rsidRPr="005B5171">
        <w:rPr>
          <w:rFonts w:ascii="Segoe UI" w:hAnsi="Segoe UI" w:cs="Segoe UI"/>
        </w:rPr>
        <w:t>Victoria’s forests provide economic benefits across a range of values, from timber harvesting and associated industries, recreation and tourism, water purification, support to non-timber forest industries such as honey, and many others. Sustainable forest management defines the principles by which forests are appropriately utilised to maintain their full range of environmental, social and economic values. This chapter presents information about the management and outcomes of forest management that contribute economics benefits to the state.</w:t>
      </w:r>
    </w:p>
    <w:p w:rsidR="005B5171" w:rsidRPr="005B5171" w:rsidRDefault="005B5171" w:rsidP="005B5171">
      <w:pPr>
        <w:jc w:val="both"/>
        <w:rPr>
          <w:rFonts w:ascii="Segoe UI" w:hAnsi="Segoe UI" w:cs="Segoe UI"/>
        </w:rPr>
      </w:pPr>
      <w:r w:rsidRPr="005B5171">
        <w:rPr>
          <w:rFonts w:ascii="Segoe UI" w:hAnsi="Segoe UI" w:cs="Segoe UI"/>
        </w:rPr>
        <w:t>At the national level, Australia uses the international Montréal Process criteria and indicators as the basis framework for monitoring and measuring how well our forests are being managed.</w:t>
      </w:r>
    </w:p>
    <w:p w:rsidR="005B5171" w:rsidRPr="005B5171" w:rsidRDefault="005B5171" w:rsidP="005B5171">
      <w:pPr>
        <w:jc w:val="both"/>
        <w:rPr>
          <w:rFonts w:ascii="Segoe UI" w:hAnsi="Segoe UI" w:cs="Segoe UI"/>
        </w:rPr>
      </w:pPr>
      <w:r w:rsidRPr="005B5171">
        <w:rPr>
          <w:rFonts w:ascii="Segoe UI" w:hAnsi="Segoe UI" w:cs="Segoe UI"/>
        </w:rPr>
        <w:t>Criteria 2 and 6 of the Montréal Process are concerned with economic values. Specifically, these criteria address ‘Maintenance of productive capacity of forest ecosystems’ (Criterion 2) and ‘Maintenance and enhancement of long-term multiple socio-economic benefits to meet the needs of societies’ (Criterion 6).</w:t>
      </w:r>
    </w:p>
    <w:p w:rsidR="005B5171" w:rsidRPr="005B5171" w:rsidRDefault="005B5171" w:rsidP="005B5171">
      <w:pPr>
        <w:jc w:val="both"/>
        <w:rPr>
          <w:rFonts w:ascii="Segoe UI" w:hAnsi="Segoe UI" w:cs="Segoe UI"/>
        </w:rPr>
      </w:pPr>
      <w:r w:rsidRPr="005B5171">
        <w:rPr>
          <w:rFonts w:ascii="Segoe UI" w:hAnsi="Segoe UI" w:cs="Segoe UI"/>
        </w:rPr>
        <w:t>This section includes the following Montréal Process indicators:</w:t>
      </w:r>
    </w:p>
    <w:p w:rsidR="005B5171" w:rsidRPr="0070586C" w:rsidRDefault="005B5171" w:rsidP="0070586C">
      <w:pPr>
        <w:pStyle w:val="ListParagraph"/>
        <w:numPr>
          <w:ilvl w:val="0"/>
          <w:numId w:val="41"/>
        </w:numPr>
        <w:ind w:left="851" w:hanging="425"/>
      </w:pPr>
      <w:r w:rsidRPr="0070586C">
        <w:t xml:space="preserve">Indicator 2.1a – Native forest available for wood production, area harvested, and growing stock of merchantable and non-merchantable tree species </w:t>
      </w:r>
    </w:p>
    <w:p w:rsidR="005B5171" w:rsidRPr="0070586C" w:rsidRDefault="005B5171" w:rsidP="0070586C">
      <w:pPr>
        <w:pStyle w:val="ListParagraph"/>
        <w:numPr>
          <w:ilvl w:val="0"/>
          <w:numId w:val="41"/>
        </w:numPr>
        <w:ind w:left="851" w:hanging="425"/>
      </w:pPr>
      <w:r w:rsidRPr="0070586C">
        <w:t xml:space="preserve">Indicator 2.1b – Age class and growing stock of plantations </w:t>
      </w:r>
    </w:p>
    <w:p w:rsidR="005B5171" w:rsidRPr="0070586C" w:rsidRDefault="005B5171" w:rsidP="0070586C">
      <w:pPr>
        <w:pStyle w:val="ListParagraph"/>
        <w:numPr>
          <w:ilvl w:val="0"/>
          <w:numId w:val="41"/>
        </w:numPr>
        <w:ind w:left="851" w:hanging="425"/>
      </w:pPr>
      <w:r w:rsidRPr="0070586C">
        <w:t xml:space="preserve">Indicator 2.1c – Annual removal of wood products compared to the volume determined to be sustainable for native forests and the future yields for plantations </w:t>
      </w:r>
    </w:p>
    <w:p w:rsidR="005B5171" w:rsidRPr="0070586C" w:rsidRDefault="005B5171" w:rsidP="0070586C">
      <w:pPr>
        <w:pStyle w:val="ListParagraph"/>
        <w:numPr>
          <w:ilvl w:val="0"/>
          <w:numId w:val="41"/>
        </w:numPr>
        <w:ind w:left="851" w:hanging="425"/>
      </w:pPr>
      <w:r w:rsidRPr="0070586C">
        <w:t xml:space="preserve">Indicator 2.1d – Annual removal of non-wood forest products compared to the level determined to be sustainable </w:t>
      </w:r>
    </w:p>
    <w:p w:rsidR="005B5171" w:rsidRPr="0070586C" w:rsidRDefault="005B5171" w:rsidP="0070586C">
      <w:pPr>
        <w:pStyle w:val="ListParagraph"/>
        <w:numPr>
          <w:ilvl w:val="0"/>
          <w:numId w:val="41"/>
        </w:numPr>
        <w:ind w:left="851" w:hanging="425"/>
      </w:pPr>
      <w:r w:rsidRPr="0070586C">
        <w:t xml:space="preserve">Indicator 2.1e – The area of native forest harvested and the proportion of that effectively regenerated, and the area of plantation harvested and the proportion of that effectively re-established </w:t>
      </w:r>
    </w:p>
    <w:p w:rsidR="005B5171" w:rsidRPr="0070586C" w:rsidRDefault="005B5171" w:rsidP="0070586C">
      <w:pPr>
        <w:pStyle w:val="ListParagraph"/>
        <w:numPr>
          <w:ilvl w:val="0"/>
          <w:numId w:val="41"/>
        </w:numPr>
        <w:ind w:left="851" w:hanging="425"/>
      </w:pPr>
      <w:r w:rsidRPr="0070586C">
        <w:t xml:space="preserve">Indicator 6.1a – Value and volume of wood and wood products </w:t>
      </w:r>
    </w:p>
    <w:p w:rsidR="005B5171" w:rsidRPr="0070586C" w:rsidRDefault="005B5171" w:rsidP="0070586C">
      <w:pPr>
        <w:pStyle w:val="ListParagraph"/>
        <w:numPr>
          <w:ilvl w:val="0"/>
          <w:numId w:val="41"/>
        </w:numPr>
        <w:ind w:left="851" w:hanging="425"/>
      </w:pPr>
      <w:r w:rsidRPr="0070586C">
        <w:t xml:space="preserve">Indicator 6.1b – Values, quantities and use of non-wood forest products </w:t>
      </w:r>
    </w:p>
    <w:p w:rsidR="005B5171" w:rsidRPr="0070586C" w:rsidRDefault="005B5171" w:rsidP="0070586C">
      <w:pPr>
        <w:pStyle w:val="ListParagraph"/>
        <w:numPr>
          <w:ilvl w:val="0"/>
          <w:numId w:val="41"/>
        </w:numPr>
        <w:ind w:left="851" w:hanging="425"/>
      </w:pPr>
      <w:r w:rsidRPr="0070586C">
        <w:t xml:space="preserve">Indicator 6.1c – Value of forest-based services </w:t>
      </w:r>
    </w:p>
    <w:p w:rsidR="005B5171" w:rsidRPr="0070586C" w:rsidRDefault="005B5171" w:rsidP="0070586C">
      <w:pPr>
        <w:pStyle w:val="ListParagraph"/>
        <w:numPr>
          <w:ilvl w:val="0"/>
          <w:numId w:val="41"/>
        </w:numPr>
        <w:ind w:left="851" w:hanging="425"/>
      </w:pPr>
      <w:r w:rsidRPr="0070586C">
        <w:t xml:space="preserve">Indicator 6.1d – Production and consumption and import/export of wood, wood products and non-wood products </w:t>
      </w:r>
    </w:p>
    <w:p w:rsidR="005B5171" w:rsidRPr="0070586C" w:rsidRDefault="005B5171" w:rsidP="0070586C">
      <w:pPr>
        <w:pStyle w:val="ListParagraph"/>
        <w:numPr>
          <w:ilvl w:val="0"/>
          <w:numId w:val="41"/>
        </w:numPr>
        <w:ind w:left="851" w:hanging="425"/>
      </w:pPr>
      <w:r w:rsidRPr="0070586C">
        <w:t>Indicator 6.1e – Degree of recycling of forest products</w:t>
      </w:r>
    </w:p>
    <w:p w:rsidR="005B5171" w:rsidRPr="0070586C" w:rsidRDefault="005B5171" w:rsidP="0070586C">
      <w:pPr>
        <w:pStyle w:val="ListParagraph"/>
        <w:numPr>
          <w:ilvl w:val="0"/>
          <w:numId w:val="41"/>
        </w:numPr>
        <w:ind w:left="851" w:hanging="425"/>
      </w:pPr>
      <w:r w:rsidRPr="0070586C">
        <w:t xml:space="preserve">Indicator 6.2a – Investment and expenditure in forest management </w:t>
      </w:r>
    </w:p>
    <w:p w:rsidR="005B5171" w:rsidRPr="0070586C" w:rsidRDefault="005B5171" w:rsidP="0070586C">
      <w:pPr>
        <w:pStyle w:val="ListParagraph"/>
        <w:numPr>
          <w:ilvl w:val="0"/>
          <w:numId w:val="41"/>
        </w:numPr>
        <w:ind w:left="851" w:hanging="425"/>
      </w:pPr>
      <w:r w:rsidRPr="0070586C">
        <w:t xml:space="preserve">Indicator 6.2b – Investment in research, development, extension and use of new and improved technologies. </w:t>
      </w:r>
    </w:p>
    <w:p w:rsidR="005B5171" w:rsidRPr="005B5171" w:rsidRDefault="005B5171" w:rsidP="005B5171">
      <w:pPr>
        <w:spacing w:before="360" w:after="240" w:line="440" w:lineRule="atLeast"/>
        <w:outlineLvl w:val="1"/>
        <w:rPr>
          <w:rFonts w:ascii="Segoe UI" w:hAnsi="Segoe UI" w:cs="Segoe UI"/>
          <w:b/>
          <w:color w:val="0074A1"/>
          <w:sz w:val="32"/>
          <w:szCs w:val="32"/>
        </w:rPr>
      </w:pPr>
      <w:bookmarkStart w:id="3" w:name="_Toc30492025"/>
      <w:bookmarkStart w:id="4" w:name="_Toc33002122"/>
      <w:r w:rsidRPr="005B5171">
        <w:rPr>
          <w:rFonts w:ascii="Segoe UI" w:hAnsi="Segoe UI" w:cs="Segoe UI"/>
          <w:b/>
          <w:color w:val="0074A1"/>
          <w:sz w:val="32"/>
          <w:szCs w:val="32"/>
        </w:rPr>
        <w:t>Overview of regulatory setting for sustainable forest management</w:t>
      </w:r>
      <w:bookmarkEnd w:id="3"/>
      <w:bookmarkEnd w:id="4"/>
    </w:p>
    <w:p w:rsidR="005B5171" w:rsidRPr="005B5171" w:rsidRDefault="005B5171" w:rsidP="005B5171">
      <w:pPr>
        <w:jc w:val="both"/>
        <w:rPr>
          <w:rFonts w:ascii="Segoe UI" w:hAnsi="Segoe UI" w:cs="Segoe UI"/>
        </w:rPr>
      </w:pPr>
      <w:r w:rsidRPr="005B5171">
        <w:rPr>
          <w:rFonts w:ascii="Segoe UI" w:hAnsi="Segoe UI" w:cs="Segoe UI"/>
        </w:rPr>
        <w:t xml:space="preserve">In Victoria, DELWP, among its other land management responsibilities, acts as the environmental regulator for native forests on public land, with the responsibility of monitoring </w:t>
      </w:r>
      <w:r w:rsidRPr="005B5171">
        <w:rPr>
          <w:rFonts w:ascii="Segoe UI" w:hAnsi="Segoe UI" w:cs="Segoe UI"/>
        </w:rPr>
        <w:lastRenderedPageBreak/>
        <w:t xml:space="preserve">timber harvesting and other primary industry operations to ensure they are compliant with regulatory requirements. This is achieved through a mixture of investigations, field inspections and field and forest audits. </w:t>
      </w:r>
    </w:p>
    <w:p w:rsidR="005B5171" w:rsidRPr="005B5171" w:rsidRDefault="005B5171" w:rsidP="005B5171">
      <w:pPr>
        <w:jc w:val="both"/>
        <w:rPr>
          <w:rFonts w:ascii="Segoe UI" w:hAnsi="Segoe UI" w:cs="Segoe UI"/>
        </w:rPr>
      </w:pPr>
      <w:r w:rsidRPr="005B5171">
        <w:rPr>
          <w:rFonts w:ascii="Segoe UI" w:hAnsi="Segoe UI" w:cs="Segoe UI"/>
        </w:rPr>
        <w:t xml:space="preserve">Further detail on Victoria’s forest management system, including policy and regulatory settings, is available in the </w:t>
      </w:r>
      <w:r w:rsidRPr="005B5171">
        <w:rPr>
          <w:rFonts w:ascii="Segoe UI" w:hAnsi="Segoe UI" w:cs="Segoe UI"/>
          <w:i/>
        </w:rPr>
        <w:t>Overview of Victoria's Forest Management System</w:t>
      </w:r>
      <w:r w:rsidRPr="005B5171">
        <w:rPr>
          <w:rFonts w:ascii="Segoe UI" w:hAnsi="Segoe UI" w:cs="Segoe UI"/>
        </w:rPr>
        <w:t xml:space="preserve"> (DELWP 2020).</w:t>
      </w:r>
    </w:p>
    <w:p w:rsidR="005B5171" w:rsidRPr="005B5171" w:rsidRDefault="005B5171" w:rsidP="005B5171">
      <w:pPr>
        <w:spacing w:before="360" w:after="240" w:line="440" w:lineRule="atLeast"/>
        <w:outlineLvl w:val="1"/>
        <w:rPr>
          <w:rFonts w:ascii="Segoe UI" w:hAnsi="Segoe UI" w:cs="Segoe UI"/>
          <w:b/>
          <w:color w:val="0074A1"/>
          <w:sz w:val="24"/>
          <w:szCs w:val="24"/>
        </w:rPr>
      </w:pPr>
      <w:bookmarkStart w:id="5" w:name="_Toc33002123"/>
      <w:r w:rsidRPr="005B5171">
        <w:rPr>
          <w:rFonts w:ascii="Segoe UI" w:hAnsi="Segoe UI" w:cs="Segoe UI"/>
          <w:b/>
          <w:color w:val="0074A1"/>
          <w:sz w:val="24"/>
          <w:szCs w:val="24"/>
        </w:rPr>
        <w:t>Commercial regulation and governance of timber harvesting</w:t>
      </w:r>
      <w:bookmarkEnd w:id="5"/>
    </w:p>
    <w:p w:rsidR="005B5171" w:rsidRPr="005B5171" w:rsidRDefault="005B5171" w:rsidP="005B5171">
      <w:pPr>
        <w:jc w:val="both"/>
        <w:rPr>
          <w:rFonts w:ascii="Segoe UI" w:hAnsi="Segoe UI" w:cs="Segoe UI"/>
        </w:rPr>
      </w:pPr>
      <w:proofErr w:type="spellStart"/>
      <w:r w:rsidRPr="005B5171">
        <w:rPr>
          <w:rFonts w:ascii="Segoe UI" w:hAnsi="Segoe UI" w:cs="Segoe UI"/>
        </w:rPr>
        <w:t>VicForests</w:t>
      </w:r>
      <w:proofErr w:type="spellEnd"/>
      <w:r w:rsidRPr="005B5171">
        <w:rPr>
          <w:rFonts w:ascii="Segoe UI" w:hAnsi="Segoe UI" w:cs="Segoe UI"/>
        </w:rPr>
        <w:t xml:space="preserve"> is a state-owned enterprise established in 2003 by Order in Council under the </w:t>
      </w:r>
      <w:r w:rsidRPr="005B5171">
        <w:rPr>
          <w:rFonts w:ascii="Segoe UI" w:hAnsi="Segoe UI" w:cs="Segoe UI"/>
          <w:i/>
        </w:rPr>
        <w:t>State-Owned Enterprises Act 1992</w:t>
      </w:r>
      <w:r w:rsidRPr="005B5171">
        <w:rPr>
          <w:rFonts w:ascii="Segoe UI" w:hAnsi="Segoe UI" w:cs="Segoe UI"/>
        </w:rPr>
        <w:t xml:space="preserve"> (Vic.). In accordance with the Order in Council, the functions of </w:t>
      </w:r>
      <w:proofErr w:type="spellStart"/>
      <w:r w:rsidRPr="005B5171">
        <w:rPr>
          <w:rFonts w:ascii="Segoe UI" w:hAnsi="Segoe UI" w:cs="Segoe UI"/>
        </w:rPr>
        <w:t>VicForests</w:t>
      </w:r>
      <w:proofErr w:type="spellEnd"/>
      <w:r w:rsidRPr="005B5171">
        <w:rPr>
          <w:rFonts w:ascii="Segoe UI" w:hAnsi="Segoe UI" w:cs="Segoe UI"/>
        </w:rPr>
        <w:t xml:space="preserve"> are to ‘operate in a framework consistent with Victorian Government policies and priorities’, with a commercial focus that aims to maximise the long-term economic returns to Victoria. </w:t>
      </w:r>
      <w:proofErr w:type="spellStart"/>
      <w:r w:rsidRPr="005B5171">
        <w:rPr>
          <w:rFonts w:ascii="Segoe UI" w:hAnsi="Segoe UI" w:cs="Segoe UI"/>
        </w:rPr>
        <w:t>VicForests</w:t>
      </w:r>
      <w:proofErr w:type="spellEnd"/>
      <w:r w:rsidRPr="005B5171">
        <w:rPr>
          <w:rFonts w:ascii="Segoe UI" w:hAnsi="Segoe UI" w:cs="Segoe UI"/>
        </w:rPr>
        <w:t xml:space="preserve"> is responsible for the sustainable harvest, regrowing and commercial sale of timber from Victoria’s State forests, on behalf of the Victorian Government. Sustainable harvest involves harvesting of forest products in accordance with the </w:t>
      </w:r>
      <w:r w:rsidRPr="005B5171">
        <w:rPr>
          <w:rFonts w:ascii="Segoe UI" w:hAnsi="Segoe UI" w:cs="Segoe UI"/>
          <w:i/>
        </w:rPr>
        <w:t>Code of Practice for Timber Production 2014</w:t>
      </w:r>
      <w:r w:rsidRPr="005B5171">
        <w:rPr>
          <w:rFonts w:ascii="Segoe UI" w:hAnsi="Segoe UI" w:cs="Segoe UI"/>
        </w:rPr>
        <w:t xml:space="preserve">, which includes compliance with the Forest Management Zoning Scheme and other prescriptions, based on the capacity of the forest to produce timber volume while maintaining the functioning of the forest. </w:t>
      </w:r>
      <w:proofErr w:type="spellStart"/>
      <w:r w:rsidRPr="005B5171">
        <w:rPr>
          <w:rFonts w:ascii="Segoe UI" w:hAnsi="Segoe UI" w:cs="Segoe UI"/>
        </w:rPr>
        <w:t>VicForests</w:t>
      </w:r>
      <w:proofErr w:type="spellEnd"/>
      <w:r w:rsidRPr="005B5171">
        <w:rPr>
          <w:rFonts w:ascii="Segoe UI" w:hAnsi="Segoe UI" w:cs="Segoe UI"/>
        </w:rPr>
        <w:t xml:space="preserve">’ board reports to the Victoria’s Minister for Agriculture, as the responsible minister. </w:t>
      </w:r>
    </w:p>
    <w:p w:rsidR="005B5171" w:rsidRPr="005B5171" w:rsidRDefault="005B5171" w:rsidP="005B5171">
      <w:pPr>
        <w:jc w:val="both"/>
        <w:rPr>
          <w:rFonts w:ascii="Segoe UI" w:hAnsi="Segoe UI" w:cs="Segoe UI"/>
        </w:rPr>
      </w:pPr>
      <w:r w:rsidRPr="005B5171">
        <w:rPr>
          <w:rFonts w:ascii="Segoe UI" w:hAnsi="Segoe UI" w:cs="Segoe UI"/>
        </w:rPr>
        <w:t xml:space="preserve">The Department of Jobs, Precincts and Regions (DJPR) has oversight of </w:t>
      </w:r>
      <w:proofErr w:type="spellStart"/>
      <w:r w:rsidRPr="005B5171">
        <w:rPr>
          <w:rFonts w:ascii="Segoe UI" w:hAnsi="Segoe UI" w:cs="Segoe UI"/>
        </w:rPr>
        <w:t>VicForests</w:t>
      </w:r>
      <w:proofErr w:type="spellEnd"/>
      <w:r w:rsidRPr="005B5171">
        <w:rPr>
          <w:rFonts w:ascii="Segoe UI" w:hAnsi="Segoe UI" w:cs="Segoe UI"/>
        </w:rPr>
        <w:t xml:space="preserve"> to ensure it is meeting its corporate obligations. DJPR is also responsible for advising the Minister for Agriculture on the timber industry, timber industry policy and the management of timber resources. The Minister for Agriculture makes the Allocation Order, which in effect is the licence for </w:t>
      </w:r>
      <w:proofErr w:type="spellStart"/>
      <w:r w:rsidRPr="005B5171">
        <w:rPr>
          <w:rFonts w:ascii="Segoe UI" w:hAnsi="Segoe UI" w:cs="Segoe UI"/>
        </w:rPr>
        <w:t>VicForests</w:t>
      </w:r>
      <w:proofErr w:type="spellEnd"/>
      <w:r w:rsidRPr="005B5171">
        <w:rPr>
          <w:rFonts w:ascii="Segoe UI" w:hAnsi="Segoe UI" w:cs="Segoe UI"/>
        </w:rPr>
        <w:t xml:space="preserve"> to harvest timber, and sets the overall forest area potentially available for harvesting. </w:t>
      </w:r>
    </w:p>
    <w:p w:rsidR="005B5171" w:rsidRPr="005B5171" w:rsidRDefault="005B5171" w:rsidP="005B5171">
      <w:pPr>
        <w:jc w:val="both"/>
        <w:rPr>
          <w:rFonts w:ascii="Segoe UI" w:hAnsi="Segoe UI" w:cs="Segoe UI"/>
        </w:rPr>
      </w:pPr>
      <w:r w:rsidRPr="005B5171">
        <w:rPr>
          <w:rFonts w:ascii="Segoe UI" w:hAnsi="Segoe UI" w:cs="Segoe UI"/>
        </w:rPr>
        <w:t xml:space="preserve">The Department of Treasury and Finance (DTF) undertakes functions on behalf of the Treasurer, as the sole shareholder of </w:t>
      </w:r>
      <w:proofErr w:type="spellStart"/>
      <w:r w:rsidRPr="005B5171">
        <w:rPr>
          <w:rFonts w:ascii="Segoe UI" w:hAnsi="Segoe UI" w:cs="Segoe UI"/>
        </w:rPr>
        <w:t>VicForests</w:t>
      </w:r>
      <w:proofErr w:type="spellEnd"/>
      <w:r w:rsidRPr="005B5171">
        <w:rPr>
          <w:rFonts w:ascii="Segoe UI" w:hAnsi="Segoe UI" w:cs="Segoe UI"/>
        </w:rPr>
        <w:t xml:space="preserve">. DTF monitors </w:t>
      </w:r>
      <w:proofErr w:type="spellStart"/>
      <w:r w:rsidRPr="005B5171">
        <w:rPr>
          <w:rFonts w:ascii="Segoe UI" w:hAnsi="Segoe UI" w:cs="Segoe UI"/>
        </w:rPr>
        <w:t>VicForests</w:t>
      </w:r>
      <w:proofErr w:type="spellEnd"/>
      <w:r w:rsidRPr="005B5171">
        <w:rPr>
          <w:rFonts w:ascii="Segoe UI" w:hAnsi="Segoe UI" w:cs="Segoe UI"/>
        </w:rPr>
        <w:t>’ corporate governance, in cooperation with DJPR.</w:t>
      </w:r>
    </w:p>
    <w:p w:rsidR="005B5171" w:rsidRPr="005B5171" w:rsidRDefault="005B5171" w:rsidP="005B5171">
      <w:pPr>
        <w:jc w:val="both"/>
        <w:rPr>
          <w:rFonts w:ascii="Segoe UI" w:hAnsi="Segoe UI" w:cs="Segoe UI"/>
        </w:rPr>
      </w:pPr>
    </w:p>
    <w:p w:rsidR="005B5171" w:rsidRPr="005B5171" w:rsidRDefault="005B5171" w:rsidP="005B5171">
      <w:pPr>
        <w:rPr>
          <w:rFonts w:ascii="Segoe UI" w:hAnsi="Segoe UI" w:cs="Segoe UI"/>
          <w:b/>
          <w:color w:val="000000"/>
          <w:sz w:val="24"/>
          <w:szCs w:val="24"/>
        </w:rPr>
      </w:pPr>
      <w:bookmarkStart w:id="6" w:name="_Ref13818411"/>
      <w:bookmarkStart w:id="7" w:name="_Ref13818417"/>
      <w:bookmarkStart w:id="8" w:name="_Ref13818422"/>
      <w:bookmarkStart w:id="9" w:name="_Ref13818427"/>
      <w:bookmarkStart w:id="10" w:name="_Toc11768330"/>
      <w:r w:rsidRPr="005B5171">
        <w:rPr>
          <w:rFonts w:ascii="Segoe UI" w:hAnsi="Segoe UI" w:cs="Segoe UI"/>
        </w:rPr>
        <w:br w:type="page"/>
      </w:r>
    </w:p>
    <w:p w:rsidR="005B5171" w:rsidRPr="005B5171" w:rsidRDefault="005B5171" w:rsidP="005B5171">
      <w:pPr>
        <w:keepNext/>
        <w:spacing w:before="240" w:after="240" w:line="240" w:lineRule="auto"/>
        <w:outlineLvl w:val="2"/>
        <w:rPr>
          <w:rFonts w:ascii="Segoe UI" w:hAnsi="Segoe UI" w:cs="Segoe UI"/>
          <w:b/>
          <w:color w:val="000000"/>
          <w:sz w:val="24"/>
          <w:szCs w:val="24"/>
        </w:rPr>
      </w:pPr>
      <w:bookmarkStart w:id="11" w:name="_Toc30492026"/>
      <w:bookmarkStart w:id="12" w:name="_Toc33002124"/>
      <w:r w:rsidRPr="005B5171">
        <w:rPr>
          <w:rFonts w:ascii="Segoe UI" w:hAnsi="Segoe UI" w:cs="Segoe UI"/>
          <w:b/>
          <w:color w:val="000000"/>
          <w:sz w:val="24"/>
          <w:szCs w:val="24"/>
        </w:rPr>
        <w:lastRenderedPageBreak/>
        <w:t>Indicator 2.1a: Native forest available for wood production, area harvested, and growing stock of merchantable and non-merchantable tree species</w:t>
      </w:r>
      <w:bookmarkEnd w:id="6"/>
      <w:bookmarkEnd w:id="7"/>
      <w:bookmarkEnd w:id="8"/>
      <w:bookmarkEnd w:id="9"/>
      <w:bookmarkEnd w:id="10"/>
      <w:bookmarkEnd w:id="11"/>
      <w:bookmarkEnd w:id="12"/>
      <w:r w:rsidRPr="005B5171">
        <w:rPr>
          <w:rFonts w:ascii="Segoe UI" w:hAnsi="Segoe UI" w:cs="Segoe UI"/>
          <w:b/>
          <w:color w:val="000000"/>
          <w:sz w:val="24"/>
          <w:szCs w:val="24"/>
        </w:rPr>
        <w:t xml:space="preserve"> </w:t>
      </w:r>
    </w:p>
    <w:p w:rsidR="005B5171" w:rsidRPr="005B5171" w:rsidRDefault="005B5171" w:rsidP="005B5171">
      <w:pPr>
        <w:rPr>
          <w:rFonts w:ascii="Segoe UI" w:hAnsi="Segoe UI" w:cs="Segoe UI"/>
        </w:rPr>
      </w:pPr>
      <w:r w:rsidRPr="005B5171">
        <w:rPr>
          <w:rFonts w:ascii="Segoe UI" w:hAnsi="Segoe UI" w:cs="Segoe UI"/>
        </w:rPr>
        <w:t>This indicator reports the capacity of forests to sustainably produce wood to meet society’s needs into the future. The area of native forest available for wood production, the nature of the growing stock, and the area harvested over time provide means to demonstrate the sustainability of forest management.</w:t>
      </w:r>
    </w:p>
    <w:p w:rsidR="005B5171" w:rsidRPr="005B5171" w:rsidRDefault="005B5171" w:rsidP="005B5171">
      <w:pPr>
        <w:keepNext/>
        <w:spacing w:before="120" w:after="120" w:line="240" w:lineRule="auto"/>
        <w:jc w:val="both"/>
        <w:outlineLvl w:val="3"/>
        <w:rPr>
          <w:rFonts w:ascii="Segoe UI" w:hAnsi="Segoe UI" w:cs="Segoe UI"/>
          <w:i/>
          <w:sz w:val="24"/>
          <w:szCs w:val="24"/>
        </w:rPr>
      </w:pPr>
      <w:proofErr w:type="spellStart"/>
      <w:r w:rsidRPr="005B5171">
        <w:rPr>
          <w:rFonts w:ascii="Segoe UI" w:hAnsi="Segoe UI" w:cs="Segoe UI"/>
          <w:i/>
          <w:sz w:val="24"/>
          <w:szCs w:val="24"/>
        </w:rPr>
        <w:t>Statewide</w:t>
      </w:r>
      <w:proofErr w:type="spellEnd"/>
      <w:r w:rsidRPr="005B5171">
        <w:rPr>
          <w:rFonts w:ascii="Segoe UI" w:hAnsi="Segoe UI" w:cs="Segoe UI"/>
          <w:i/>
          <w:sz w:val="24"/>
          <w:szCs w:val="24"/>
        </w:rPr>
        <w:t xml:space="preserve"> overview of resource availability</w:t>
      </w:r>
    </w:p>
    <w:p w:rsidR="005B5171" w:rsidRPr="005B5171" w:rsidRDefault="005B5171" w:rsidP="005B5171">
      <w:pPr>
        <w:rPr>
          <w:rFonts w:ascii="Segoe UI Semibold" w:eastAsia="Times New Roman" w:hAnsi="Segoe UI Semibold" w:cs="Times New Roman"/>
          <w:color w:val="016295"/>
        </w:rPr>
      </w:pPr>
      <w:r w:rsidRPr="005B5171">
        <w:rPr>
          <w:rFonts w:ascii="Segoe UI" w:hAnsi="Segoe UI" w:cs="Segoe UI"/>
        </w:rPr>
        <w:t xml:space="preserve">State forest accounts for 3.2 million hectares (or 40 per cent) of Victoria’s 7.89 million hectares of public land. These forests are managed according to Victoria’s forest management system and the forest management zones that define the activities that are permitted within them. Principally, this includes the application of the General Management Zone, Special Management Zone and Special Protection Zone, with the latter forming the informal component of the CAR reserve. Exclusions under the </w:t>
      </w:r>
      <w:r w:rsidRPr="005B5171">
        <w:rPr>
          <w:rFonts w:ascii="Segoe UI" w:hAnsi="Segoe UI" w:cs="Segoe UI"/>
          <w:i/>
        </w:rPr>
        <w:t>Code of Forest Practice for Timber production 2014</w:t>
      </w:r>
      <w:r w:rsidRPr="005B5171">
        <w:rPr>
          <w:rFonts w:ascii="Segoe UI" w:hAnsi="Segoe UI" w:cs="Segoe UI"/>
        </w:rPr>
        <w:t xml:space="preserve"> are also considered as informal protection areas according to the JANIS criteria. These are areas such as steep (&gt;30</w:t>
      </w:r>
      <w:r w:rsidRPr="005B5171">
        <w:rPr>
          <w:rFonts w:ascii="Segoe UI" w:hAnsi="Segoe UI" w:cs="Segoe UI"/>
          <w:vertAlign w:val="superscript"/>
        </w:rPr>
        <w:t>o</w:t>
      </w:r>
      <w:r w:rsidRPr="005B5171">
        <w:rPr>
          <w:rFonts w:ascii="Segoe UI" w:hAnsi="Segoe UI" w:cs="Segoe UI"/>
        </w:rPr>
        <w:t xml:space="preserve">) or stream-side buffers. </w:t>
      </w:r>
    </w:p>
    <w:p w:rsidR="005B5171" w:rsidRPr="005B5171" w:rsidRDefault="005B5171" w:rsidP="005B5171">
      <w:pPr>
        <w:jc w:val="both"/>
        <w:rPr>
          <w:rFonts w:ascii="Segoe UI" w:hAnsi="Segoe UI" w:cs="Segoe UI"/>
          <w:i/>
        </w:rPr>
      </w:pPr>
      <w:r w:rsidRPr="005B5171">
        <w:rPr>
          <w:rFonts w:ascii="Segoe UI" w:hAnsi="Segoe UI" w:cs="Segoe UI"/>
        </w:rPr>
        <w:t>Broadly, the three primary forests zones are defined as:</w:t>
      </w:r>
    </w:p>
    <w:p w:rsidR="005B5171" w:rsidRPr="0070586C" w:rsidRDefault="005B5171" w:rsidP="0070586C">
      <w:pPr>
        <w:pStyle w:val="ListParagraph"/>
        <w:numPr>
          <w:ilvl w:val="0"/>
          <w:numId w:val="42"/>
        </w:numPr>
        <w:ind w:left="851" w:hanging="425"/>
      </w:pPr>
      <w:r w:rsidRPr="0070586C">
        <w:rPr>
          <w:b/>
          <w:bCs/>
        </w:rPr>
        <w:t xml:space="preserve">Special Protection Zone </w:t>
      </w:r>
      <w:r w:rsidRPr="0070586C">
        <w:t>(SPZ) – managed for conservation with no timber harvesting permitted; this zone is designed to link and complement established conservation reserves</w:t>
      </w:r>
    </w:p>
    <w:p w:rsidR="005B5171" w:rsidRPr="0070586C" w:rsidRDefault="005B5171" w:rsidP="0070586C">
      <w:pPr>
        <w:pStyle w:val="ListParagraph"/>
        <w:numPr>
          <w:ilvl w:val="0"/>
          <w:numId w:val="42"/>
        </w:numPr>
        <w:ind w:left="851" w:hanging="425"/>
      </w:pPr>
      <w:r w:rsidRPr="0070586C">
        <w:rPr>
          <w:b/>
          <w:bCs/>
        </w:rPr>
        <w:t xml:space="preserve">Special Management Zone </w:t>
      </w:r>
      <w:r w:rsidRPr="0070586C">
        <w:t>(SMZ) – managed to conserve specific features where timber production is permitted under certain conditions</w:t>
      </w:r>
    </w:p>
    <w:p w:rsidR="005B5171" w:rsidRPr="0070586C" w:rsidRDefault="005B5171" w:rsidP="0070586C">
      <w:pPr>
        <w:pStyle w:val="ListParagraph"/>
        <w:numPr>
          <w:ilvl w:val="0"/>
          <w:numId w:val="42"/>
        </w:numPr>
        <w:ind w:left="851" w:hanging="425"/>
      </w:pPr>
      <w:r w:rsidRPr="0070586C">
        <w:rPr>
          <w:b/>
          <w:bCs/>
        </w:rPr>
        <w:t xml:space="preserve">General Management Zone </w:t>
      </w:r>
      <w:r w:rsidRPr="0070586C">
        <w:t>(GMZ) – managed for multiple uses including timber production.</w:t>
      </w:r>
    </w:p>
    <w:p w:rsidR="005B5171" w:rsidRPr="005B5171" w:rsidRDefault="005B5171" w:rsidP="005B5171">
      <w:pPr>
        <w:jc w:val="both"/>
        <w:rPr>
          <w:rFonts w:ascii="Segoe UI" w:hAnsi="Segoe UI" w:cs="Segoe UI"/>
        </w:rPr>
      </w:pPr>
      <w:r w:rsidRPr="005B5171">
        <w:rPr>
          <w:rFonts w:ascii="Segoe UI" w:hAnsi="Segoe UI" w:cs="Segoe UI"/>
        </w:rPr>
        <w:t xml:space="preserve">2.75 million hectares of forest is zoned under GMZ, SMZ and SPZ, with the remaining area listed as No Zone (see </w:t>
      </w:r>
      <w:r w:rsidRPr="005B5171">
        <w:rPr>
          <w:rFonts w:ascii="Segoe UI" w:hAnsi="Segoe UI" w:cs="Segoe UI"/>
        </w:rPr>
        <w:fldChar w:fldCharType="begin"/>
      </w:r>
      <w:r w:rsidRPr="005B5171">
        <w:rPr>
          <w:rFonts w:ascii="Segoe UI" w:hAnsi="Segoe UI" w:cs="Segoe UI"/>
        </w:rPr>
        <w:instrText xml:space="preserve"> REF _Ref12891648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58</w:t>
      </w:r>
      <w:r w:rsidRPr="005B5171">
        <w:rPr>
          <w:rFonts w:ascii="Segoe UI" w:hAnsi="Segoe UI" w:cs="Segoe UI"/>
        </w:rPr>
        <w:fldChar w:fldCharType="end"/>
      </w:r>
      <w:r w:rsidRPr="005B5171">
        <w:rPr>
          <w:rFonts w:ascii="Segoe UI" w:hAnsi="Segoe UI" w:cs="Segoe UI"/>
        </w:rPr>
        <w:t>). While timber harvesting could technically be allocated (under an Allocation Order) within nearly 2 million hectares of GMZ and SMZ, only a fraction of this area is commercially suitable for timber harvesting.</w:t>
      </w:r>
    </w:p>
    <w:p w:rsidR="005B5171" w:rsidRPr="005B5171" w:rsidRDefault="005B5171" w:rsidP="005B5171">
      <w:pPr>
        <w:spacing w:after="200" w:line="240" w:lineRule="auto"/>
        <w:rPr>
          <w:rFonts w:ascii="Segoe UI Semibold" w:eastAsia="Times New Roman" w:hAnsi="Segoe UI Semibold" w:cs="Times New Roman"/>
          <w:color w:val="016295"/>
        </w:rPr>
      </w:pPr>
      <w:bookmarkStart w:id="13" w:name="_Ref12891648"/>
      <w:bookmarkStart w:id="14" w:name="_Toc25660840"/>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58</w:t>
      </w:r>
      <w:r w:rsidRPr="005B5171">
        <w:rPr>
          <w:rFonts w:ascii="Segoe UI Semibold" w:eastAsia="Times New Roman" w:hAnsi="Segoe UI Semibold" w:cs="Times New Roman"/>
          <w:noProof/>
          <w:color w:val="016295"/>
        </w:rPr>
        <w:fldChar w:fldCharType="end"/>
      </w:r>
      <w:bookmarkEnd w:id="13"/>
      <w:r w:rsidRPr="005B5171">
        <w:rPr>
          <w:rFonts w:ascii="Segoe UI Semibold" w:eastAsia="Times New Roman" w:hAnsi="Segoe UI Semibold" w:cs="Times New Roman"/>
          <w:color w:val="016295"/>
        </w:rPr>
        <w:t>: Total area (gross hectares) of State forest (as a land tenure) per zone in each RFA region in 2018</w:t>
      </w:r>
      <w:bookmarkEnd w:id="14"/>
    </w:p>
    <w:tbl>
      <w:tblPr>
        <w:tblStyle w:val="xTable1"/>
        <w:tblW w:w="9214" w:type="dxa"/>
        <w:tblLayout w:type="fixed"/>
        <w:tblLook w:val="04E0" w:firstRow="1" w:lastRow="1" w:firstColumn="1" w:lastColumn="0" w:noHBand="0" w:noVBand="1"/>
      </w:tblPr>
      <w:tblGrid>
        <w:gridCol w:w="1985"/>
        <w:gridCol w:w="1401"/>
        <w:gridCol w:w="1168"/>
        <w:gridCol w:w="1258"/>
        <w:gridCol w:w="992"/>
        <w:gridCol w:w="1058"/>
        <w:gridCol w:w="1352"/>
      </w:tblGrid>
      <w:tr w:rsidR="005B5171" w:rsidRPr="005B5171" w:rsidTr="000B1EF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85" w:type="dxa"/>
            <w:hideMark/>
          </w:tcPr>
          <w:p w:rsidR="005B5171" w:rsidRPr="005B5171" w:rsidRDefault="005B5171" w:rsidP="005B5171">
            <w:pPr>
              <w:rPr>
                <w:rFonts w:ascii="Segoe UI" w:hAnsi="Segoe UI" w:cs="Segoe UI"/>
              </w:rPr>
            </w:pPr>
            <w:r w:rsidRPr="005B5171">
              <w:rPr>
                <w:rFonts w:ascii="Segoe UI" w:hAnsi="Segoe UI" w:cs="Segoe UI"/>
              </w:rPr>
              <w:t>Forest management zone</w:t>
            </w:r>
          </w:p>
        </w:tc>
        <w:tc>
          <w:tcPr>
            <w:tcW w:w="1401"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Central Highlands</w:t>
            </w:r>
          </w:p>
        </w:tc>
        <w:tc>
          <w:tcPr>
            <w:tcW w:w="1168"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East Gippsland</w:t>
            </w:r>
          </w:p>
        </w:tc>
        <w:tc>
          <w:tcPr>
            <w:tcW w:w="1258"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Gippsland</w:t>
            </w:r>
          </w:p>
        </w:tc>
        <w:tc>
          <w:tcPr>
            <w:tcW w:w="992"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North East</w:t>
            </w:r>
          </w:p>
        </w:tc>
        <w:tc>
          <w:tcPr>
            <w:tcW w:w="1058"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West</w:t>
            </w:r>
          </w:p>
        </w:tc>
        <w:tc>
          <w:tcPr>
            <w:tcW w:w="1352"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Total RFA areas</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rsidR="005B5171" w:rsidRPr="005B5171" w:rsidRDefault="005B5171" w:rsidP="005B5171">
            <w:pPr>
              <w:rPr>
                <w:rFonts w:ascii="Segoe UI" w:hAnsi="Segoe UI" w:cs="Segoe UI"/>
              </w:rPr>
            </w:pPr>
            <w:r w:rsidRPr="005B5171">
              <w:rPr>
                <w:rFonts w:ascii="Segoe UI" w:hAnsi="Segoe UI" w:cs="Segoe UI"/>
              </w:rPr>
              <w:t>General Management Zone</w:t>
            </w:r>
          </w:p>
        </w:tc>
        <w:tc>
          <w:tcPr>
            <w:tcW w:w="0" w:type="dxa"/>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274,000 </w:t>
            </w:r>
          </w:p>
        </w:tc>
        <w:tc>
          <w:tcPr>
            <w:tcW w:w="0" w:type="dxa"/>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409,000 </w:t>
            </w:r>
          </w:p>
        </w:tc>
        <w:tc>
          <w:tcPr>
            <w:tcW w:w="0" w:type="dxa"/>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539,000 </w:t>
            </w:r>
          </w:p>
        </w:tc>
        <w:tc>
          <w:tcPr>
            <w:tcW w:w="0" w:type="dxa"/>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491,000 </w:t>
            </w:r>
          </w:p>
        </w:tc>
        <w:tc>
          <w:tcPr>
            <w:tcW w:w="0" w:type="dxa"/>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101,000 </w:t>
            </w:r>
          </w:p>
        </w:tc>
        <w:tc>
          <w:tcPr>
            <w:tcW w:w="0" w:type="dxa"/>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1,814,000 </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rsidR="005B5171" w:rsidRPr="005B5171" w:rsidRDefault="005B5171" w:rsidP="005B5171">
            <w:pPr>
              <w:rPr>
                <w:rFonts w:ascii="Segoe UI" w:hAnsi="Segoe UI" w:cs="Segoe UI"/>
              </w:rPr>
            </w:pPr>
            <w:r w:rsidRPr="005B5171">
              <w:rPr>
                <w:rFonts w:ascii="Segoe UI" w:hAnsi="Segoe UI" w:cs="Segoe UI"/>
              </w:rPr>
              <w:t>Special Management Zone</w:t>
            </w:r>
          </w:p>
        </w:tc>
        <w:tc>
          <w:tcPr>
            <w:tcW w:w="0" w:type="dxa"/>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 xml:space="preserve">21,000 </w:t>
            </w:r>
          </w:p>
        </w:tc>
        <w:tc>
          <w:tcPr>
            <w:tcW w:w="0" w:type="dxa"/>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 xml:space="preserve">64,000 </w:t>
            </w:r>
          </w:p>
        </w:tc>
        <w:tc>
          <w:tcPr>
            <w:tcW w:w="0" w:type="dxa"/>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 xml:space="preserve">13,000 </w:t>
            </w:r>
          </w:p>
        </w:tc>
        <w:tc>
          <w:tcPr>
            <w:tcW w:w="0" w:type="dxa"/>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 xml:space="preserve">25,000 </w:t>
            </w:r>
          </w:p>
        </w:tc>
        <w:tc>
          <w:tcPr>
            <w:tcW w:w="0" w:type="dxa"/>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 xml:space="preserve">38,000 </w:t>
            </w:r>
          </w:p>
        </w:tc>
        <w:tc>
          <w:tcPr>
            <w:tcW w:w="0" w:type="dxa"/>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 xml:space="preserve">161,000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rsidR="005B5171" w:rsidRPr="005B5171" w:rsidRDefault="005B5171" w:rsidP="005B5171">
            <w:pPr>
              <w:rPr>
                <w:rFonts w:ascii="Segoe UI" w:hAnsi="Segoe UI" w:cs="Segoe UI"/>
              </w:rPr>
            </w:pPr>
            <w:r w:rsidRPr="005B5171">
              <w:rPr>
                <w:rFonts w:ascii="Segoe UI" w:hAnsi="Segoe UI" w:cs="Segoe UI"/>
              </w:rPr>
              <w:t>Special Protection Zone</w:t>
            </w:r>
          </w:p>
        </w:tc>
        <w:tc>
          <w:tcPr>
            <w:tcW w:w="0" w:type="dxa"/>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95,000 </w:t>
            </w:r>
          </w:p>
        </w:tc>
        <w:tc>
          <w:tcPr>
            <w:tcW w:w="0" w:type="dxa"/>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111,000 </w:t>
            </w:r>
          </w:p>
        </w:tc>
        <w:tc>
          <w:tcPr>
            <w:tcW w:w="0" w:type="dxa"/>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254,000 </w:t>
            </w:r>
          </w:p>
        </w:tc>
        <w:tc>
          <w:tcPr>
            <w:tcW w:w="0" w:type="dxa"/>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173,000 </w:t>
            </w:r>
          </w:p>
        </w:tc>
        <w:tc>
          <w:tcPr>
            <w:tcW w:w="0" w:type="dxa"/>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142,000 </w:t>
            </w:r>
          </w:p>
        </w:tc>
        <w:tc>
          <w:tcPr>
            <w:tcW w:w="0" w:type="dxa"/>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775,000 </w:t>
            </w:r>
          </w:p>
        </w:tc>
      </w:tr>
      <w:tr w:rsidR="005B5171" w:rsidRPr="005B5171" w:rsidTr="000B1EFD">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rsidR="005B5171" w:rsidRPr="005B5171" w:rsidRDefault="005B5171" w:rsidP="005B5171">
            <w:pPr>
              <w:rPr>
                <w:rFonts w:ascii="Segoe UI" w:hAnsi="Segoe UI" w:cs="Segoe UI"/>
              </w:rPr>
            </w:pPr>
            <w:r w:rsidRPr="005B5171">
              <w:rPr>
                <w:rFonts w:ascii="Segoe UI" w:hAnsi="Segoe UI" w:cs="Segoe UI"/>
              </w:rPr>
              <w:t>Total all zones</w:t>
            </w:r>
          </w:p>
        </w:tc>
        <w:tc>
          <w:tcPr>
            <w:tcW w:w="0"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 xml:space="preserve">390,000 </w:t>
            </w:r>
          </w:p>
        </w:tc>
        <w:tc>
          <w:tcPr>
            <w:tcW w:w="0"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 xml:space="preserve">584,000 </w:t>
            </w:r>
          </w:p>
        </w:tc>
        <w:tc>
          <w:tcPr>
            <w:tcW w:w="0"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 xml:space="preserve">806,000 </w:t>
            </w:r>
          </w:p>
        </w:tc>
        <w:tc>
          <w:tcPr>
            <w:tcW w:w="0"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 xml:space="preserve">689,000 </w:t>
            </w:r>
          </w:p>
        </w:tc>
        <w:tc>
          <w:tcPr>
            <w:tcW w:w="0"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 xml:space="preserve">281,000 </w:t>
            </w:r>
          </w:p>
        </w:tc>
        <w:tc>
          <w:tcPr>
            <w:tcW w:w="0"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 xml:space="preserve">2,750,000 </w:t>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Data source: Data derived from DELWP corporate library FMZ100. Area of ‘No Zone’ not recorded. </w:t>
      </w:r>
    </w:p>
    <w:p w:rsidR="005B5171" w:rsidRPr="005B5171" w:rsidRDefault="005B5171" w:rsidP="005B5171">
      <w:pPr>
        <w:keepNext/>
        <w:jc w:val="center"/>
        <w:rPr>
          <w:rFonts w:ascii="Segoe UI" w:hAnsi="Segoe UI" w:cs="Segoe UI"/>
        </w:rPr>
      </w:pPr>
      <w:r w:rsidRPr="005B5171">
        <w:rPr>
          <w:rFonts w:ascii="Segoe UI" w:hAnsi="Segoe UI" w:cs="Segoe UI"/>
          <w:noProof/>
        </w:rPr>
        <w:drawing>
          <wp:inline distT="0" distB="0" distL="0" distR="0" wp14:anchorId="639C2188" wp14:editId="77BF3E16">
            <wp:extent cx="5759450" cy="40379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759450" cy="4037965"/>
                    </a:xfrm>
                    <a:prstGeom prst="rect">
                      <a:avLst/>
                    </a:prstGeom>
                  </pic:spPr>
                </pic:pic>
              </a:graphicData>
            </a:graphic>
          </wp:inline>
        </w:drawing>
      </w:r>
    </w:p>
    <w:p w:rsidR="005B5171" w:rsidRPr="005B5171" w:rsidRDefault="005B5171" w:rsidP="005B5171">
      <w:pPr>
        <w:spacing w:after="200" w:line="240" w:lineRule="auto"/>
        <w:rPr>
          <w:rFonts w:ascii="Segoe UI Semibold" w:eastAsia="Times New Roman" w:hAnsi="Segoe UI Semibold" w:cs="Times New Roman"/>
          <w:i/>
          <w:color w:val="016295"/>
        </w:rPr>
      </w:pPr>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32</w:t>
      </w:r>
      <w:r w:rsidRPr="005B5171">
        <w:rPr>
          <w:rFonts w:ascii="Segoe UI Semibold" w:eastAsia="Times New Roman" w:hAnsi="Segoe UI Semibold" w:cs="Times New Roman"/>
          <w:noProof/>
          <w:color w:val="016295"/>
        </w:rPr>
        <w:fldChar w:fldCharType="end"/>
      </w:r>
      <w:r w:rsidRPr="005B5171">
        <w:rPr>
          <w:rFonts w:ascii="Segoe UI Semibold" w:eastAsia="Times New Roman" w:hAnsi="Segoe UI Semibold" w:cs="Times New Roman"/>
          <w:color w:val="016295"/>
        </w:rPr>
        <w:t>: Forest management zones across Victoria</w:t>
      </w:r>
      <w:r w:rsidRPr="005B5171">
        <w:rPr>
          <w:rFonts w:ascii="Segoe UI Semibold" w:eastAsia="Times New Roman" w:hAnsi="Segoe UI Semibold" w:cs="Times New Roman"/>
          <w:color w:val="016295"/>
        </w:rPr>
        <w:br w:type="page"/>
      </w:r>
    </w:p>
    <w:p w:rsidR="005B5171" w:rsidRPr="005B5171" w:rsidRDefault="005B5171" w:rsidP="005B5171">
      <w:pPr>
        <w:keepNext/>
        <w:spacing w:before="120" w:after="120" w:line="240" w:lineRule="auto"/>
        <w:jc w:val="both"/>
        <w:outlineLvl w:val="3"/>
        <w:rPr>
          <w:rFonts w:ascii="Segoe UI" w:hAnsi="Segoe UI" w:cs="Segoe UI"/>
          <w:i/>
          <w:sz w:val="24"/>
          <w:szCs w:val="24"/>
        </w:rPr>
      </w:pPr>
      <w:r w:rsidRPr="005B5171">
        <w:rPr>
          <w:rFonts w:ascii="Segoe UI" w:hAnsi="Segoe UI" w:cs="Segoe UI"/>
          <w:i/>
          <w:sz w:val="24"/>
          <w:szCs w:val="24"/>
        </w:rPr>
        <w:t>Net harvestable area</w:t>
      </w:r>
    </w:p>
    <w:p w:rsidR="005B5171" w:rsidRPr="005B5171" w:rsidRDefault="005B5171" w:rsidP="005B5171">
      <w:pPr>
        <w:jc w:val="both"/>
        <w:rPr>
          <w:rFonts w:ascii="Segoe UI" w:hAnsi="Segoe UI" w:cs="Segoe UI"/>
        </w:rPr>
      </w:pPr>
      <w:r w:rsidRPr="005B5171">
        <w:rPr>
          <w:rFonts w:ascii="Segoe UI" w:hAnsi="Segoe UI" w:cs="Segoe UI"/>
        </w:rPr>
        <w:t xml:space="preserve">In 2019, </w:t>
      </w:r>
      <w:proofErr w:type="spellStart"/>
      <w:r w:rsidRPr="005B5171">
        <w:rPr>
          <w:rFonts w:ascii="Segoe UI" w:hAnsi="Segoe UI" w:cs="Segoe UI"/>
        </w:rPr>
        <w:t>VicForests</w:t>
      </w:r>
      <w:proofErr w:type="spellEnd"/>
      <w:r w:rsidRPr="005B5171">
        <w:rPr>
          <w:rFonts w:ascii="Segoe UI" w:hAnsi="Segoe UI" w:cs="Segoe UI"/>
        </w:rPr>
        <w:t xml:space="preserve"> reported the area suitable for timber production (of D+ sawlog) in the east of the state at 462,000 hectares (</w:t>
      </w:r>
      <w:r w:rsidRPr="005B5171">
        <w:rPr>
          <w:rFonts w:ascii="Segoe UI" w:hAnsi="Segoe UI" w:cs="Segoe UI"/>
        </w:rPr>
        <w:fldChar w:fldCharType="begin"/>
      </w:r>
      <w:r w:rsidRPr="005B5171">
        <w:rPr>
          <w:rFonts w:ascii="Segoe UI" w:hAnsi="Segoe UI" w:cs="Segoe UI"/>
        </w:rPr>
        <w:instrText xml:space="preserve"> REF _Ref23166210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59</w:t>
      </w:r>
      <w:r w:rsidRPr="005B5171">
        <w:rPr>
          <w:rFonts w:ascii="Segoe UI" w:hAnsi="Segoe UI" w:cs="Segoe UI"/>
        </w:rPr>
        <w:fldChar w:fldCharType="end"/>
      </w:r>
      <w:r w:rsidRPr="005B5171">
        <w:rPr>
          <w:rFonts w:ascii="Segoe UI" w:hAnsi="Segoe UI" w:cs="Segoe UI"/>
        </w:rPr>
        <w:t xml:space="preserve">). </w:t>
      </w:r>
    </w:p>
    <w:p w:rsidR="005B5171" w:rsidRPr="005B5171" w:rsidRDefault="005B5171" w:rsidP="005B5171">
      <w:pPr>
        <w:spacing w:after="200" w:line="240" w:lineRule="auto"/>
        <w:rPr>
          <w:rFonts w:ascii="Segoe UI Semibold" w:eastAsia="Times New Roman" w:hAnsi="Segoe UI Semibold" w:cs="Times New Roman"/>
          <w:color w:val="016295"/>
        </w:rPr>
      </w:pPr>
      <w:bookmarkStart w:id="15" w:name="_Ref12892497"/>
      <w:bookmarkStart w:id="16" w:name="_Ref23166210"/>
      <w:bookmarkStart w:id="17" w:name="_Toc25660841"/>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59</w:t>
      </w:r>
      <w:r w:rsidRPr="005B5171">
        <w:rPr>
          <w:rFonts w:ascii="Segoe UI Semibold" w:eastAsia="Times New Roman" w:hAnsi="Segoe UI Semibold" w:cs="Times New Roman"/>
          <w:noProof/>
          <w:color w:val="016295"/>
        </w:rPr>
        <w:fldChar w:fldCharType="end"/>
      </w:r>
      <w:bookmarkEnd w:id="15"/>
      <w:bookmarkEnd w:id="16"/>
      <w:r w:rsidRPr="005B5171">
        <w:rPr>
          <w:rFonts w:ascii="Segoe UI Semibold" w:eastAsia="Times New Roman" w:hAnsi="Segoe UI Semibold" w:cs="Times New Roman"/>
          <w:color w:val="016295"/>
        </w:rPr>
        <w:t>: Area (‘000 ha) of State forest in eastern Victoria available and suitable for timber production by RFA in 2019</w:t>
      </w:r>
      <w:bookmarkEnd w:id="17"/>
    </w:p>
    <w:tbl>
      <w:tblPr>
        <w:tblW w:w="9062" w:type="dxa"/>
        <w:tblLayout w:type="fixed"/>
        <w:tblCellMar>
          <w:top w:w="85" w:type="dxa"/>
          <w:left w:w="57" w:type="dxa"/>
          <w:bottom w:w="85" w:type="dxa"/>
          <w:right w:w="57" w:type="dxa"/>
        </w:tblCellMar>
        <w:tblLook w:val="04A0" w:firstRow="1" w:lastRow="0" w:firstColumn="1" w:lastColumn="0" w:noHBand="0" w:noVBand="1"/>
      </w:tblPr>
      <w:tblGrid>
        <w:gridCol w:w="1833"/>
        <w:gridCol w:w="854"/>
        <w:gridCol w:w="1050"/>
        <w:gridCol w:w="854"/>
        <w:gridCol w:w="854"/>
        <w:gridCol w:w="1050"/>
        <w:gridCol w:w="854"/>
        <w:gridCol w:w="856"/>
        <w:gridCol w:w="857"/>
      </w:tblGrid>
      <w:tr w:rsidR="005B5171" w:rsidRPr="005B5171" w:rsidTr="000B1EFD">
        <w:tc>
          <w:tcPr>
            <w:tcW w:w="1833" w:type="dxa"/>
            <w:vMerge w:val="restart"/>
            <w:shd w:val="clear" w:color="auto" w:fill="E2EFD9" w:themeFill="accent6" w:themeFillTint="33"/>
            <w:noWrap/>
            <w:vAlign w:val="bottom"/>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RFA region</w:t>
            </w:r>
          </w:p>
        </w:tc>
        <w:tc>
          <w:tcPr>
            <w:tcW w:w="2758" w:type="dxa"/>
            <w:gridSpan w:val="3"/>
            <w:tcBorders>
              <w:bottom w:val="single" w:sz="4" w:space="0" w:color="808080" w:themeColor="background1" w:themeShade="80"/>
              <w:right w:val="single" w:sz="18" w:space="0" w:color="E2EFD9" w:themeColor="accent6" w:themeTint="33"/>
            </w:tcBorders>
            <w:shd w:val="clear" w:color="auto" w:fill="E2EFD9" w:themeFill="accent6" w:themeFillTint="33"/>
            <w:noWrap/>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Ash</w:t>
            </w:r>
          </w:p>
        </w:tc>
        <w:tc>
          <w:tcPr>
            <w:tcW w:w="2758" w:type="dxa"/>
            <w:gridSpan w:val="3"/>
            <w:tcBorders>
              <w:left w:val="single" w:sz="18" w:space="0" w:color="E2EFD9" w:themeColor="accent6" w:themeTint="33"/>
              <w:bottom w:val="single" w:sz="4" w:space="0" w:color="808080" w:themeColor="background1" w:themeShade="80"/>
            </w:tcBorders>
            <w:shd w:val="clear" w:color="auto" w:fill="E2EFD9" w:themeFill="accent6" w:themeFillTint="33"/>
            <w:noWrap/>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Mixed species</w:t>
            </w:r>
          </w:p>
        </w:tc>
        <w:tc>
          <w:tcPr>
            <w:tcW w:w="856" w:type="dxa"/>
            <w:vMerge w:val="restart"/>
            <w:shd w:val="clear" w:color="auto" w:fill="E2EFD9" w:themeFill="accent6" w:themeFillTint="33"/>
            <w:noWrap/>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Total</w:t>
            </w:r>
          </w:p>
        </w:tc>
        <w:tc>
          <w:tcPr>
            <w:tcW w:w="857" w:type="dxa"/>
            <w:vMerge w:val="restart"/>
            <w:shd w:val="clear" w:color="auto" w:fill="E2EFD9" w:themeFill="accent6" w:themeFillTint="33"/>
            <w:noWrap/>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Total suitable</w:t>
            </w:r>
          </w:p>
        </w:tc>
      </w:tr>
      <w:tr w:rsidR="005B5171" w:rsidRPr="005B5171" w:rsidTr="000B1EFD">
        <w:tc>
          <w:tcPr>
            <w:tcW w:w="1833" w:type="dxa"/>
            <w:vMerge/>
            <w:tcBorders>
              <w:bottom w:val="single" w:sz="4" w:space="0" w:color="808080" w:themeColor="background1" w:themeShade="80"/>
            </w:tcBorders>
            <w:noWrap/>
          </w:tcPr>
          <w:p w:rsidR="005B5171" w:rsidRPr="005B5171" w:rsidRDefault="005B5171" w:rsidP="005B5171">
            <w:pPr>
              <w:spacing w:after="0" w:line="240" w:lineRule="auto"/>
              <w:jc w:val="center"/>
              <w:rPr>
                <w:rFonts w:ascii="Segoe UI" w:eastAsia="Calibri" w:hAnsi="Segoe UI" w:cs="Calibri"/>
                <w:sz w:val="19"/>
                <w:szCs w:val="19"/>
                <w:lang w:eastAsia="en-AU"/>
              </w:rPr>
            </w:pPr>
          </w:p>
        </w:tc>
        <w:tc>
          <w:tcPr>
            <w:tcW w:w="854" w:type="dxa"/>
            <w:tcBorders>
              <w:top w:val="single" w:sz="4" w:space="0" w:color="808080" w:themeColor="background1" w:themeShade="80"/>
              <w:bottom w:val="single" w:sz="4" w:space="0" w:color="808080" w:themeColor="background1" w:themeShade="80"/>
            </w:tcBorders>
            <w:shd w:val="clear" w:color="auto" w:fill="E2EFD9" w:themeFill="accent6" w:themeFillTint="33"/>
            <w:noWrap/>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Suitable</w:t>
            </w:r>
          </w:p>
        </w:tc>
        <w:tc>
          <w:tcPr>
            <w:tcW w:w="1050" w:type="dxa"/>
            <w:tcBorders>
              <w:top w:val="single" w:sz="4" w:space="0" w:color="808080" w:themeColor="background1" w:themeShade="80"/>
              <w:bottom w:val="single" w:sz="4" w:space="0" w:color="808080" w:themeColor="background1" w:themeShade="80"/>
            </w:tcBorders>
            <w:shd w:val="clear" w:color="auto" w:fill="E2EFD9" w:themeFill="accent6" w:themeFillTint="33"/>
            <w:noWrap/>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Potentially Suitable</w:t>
            </w:r>
          </w:p>
        </w:tc>
        <w:tc>
          <w:tcPr>
            <w:tcW w:w="854" w:type="dxa"/>
            <w:tcBorders>
              <w:top w:val="single" w:sz="4" w:space="0" w:color="808080" w:themeColor="background1" w:themeShade="80"/>
              <w:bottom w:val="single" w:sz="4" w:space="0" w:color="808080" w:themeColor="background1" w:themeShade="80"/>
              <w:right w:val="single" w:sz="18" w:space="0" w:color="E2EFD9" w:themeColor="accent6" w:themeTint="33"/>
            </w:tcBorders>
            <w:shd w:val="clear" w:color="auto" w:fill="E2EFD9" w:themeFill="accent6" w:themeFillTint="33"/>
            <w:noWrap/>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Not Suitable</w:t>
            </w:r>
          </w:p>
        </w:tc>
        <w:tc>
          <w:tcPr>
            <w:tcW w:w="854" w:type="dxa"/>
            <w:tcBorders>
              <w:top w:val="single" w:sz="4" w:space="0" w:color="808080" w:themeColor="background1" w:themeShade="80"/>
              <w:left w:val="single" w:sz="18" w:space="0" w:color="E2EFD9" w:themeColor="accent6" w:themeTint="33"/>
              <w:bottom w:val="single" w:sz="4" w:space="0" w:color="808080" w:themeColor="background1" w:themeShade="80"/>
            </w:tcBorders>
            <w:shd w:val="clear" w:color="auto" w:fill="E2EFD9" w:themeFill="accent6" w:themeFillTint="33"/>
            <w:noWrap/>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Suitable</w:t>
            </w:r>
          </w:p>
        </w:tc>
        <w:tc>
          <w:tcPr>
            <w:tcW w:w="1050" w:type="dxa"/>
            <w:tcBorders>
              <w:top w:val="single" w:sz="4" w:space="0" w:color="808080" w:themeColor="background1" w:themeShade="80"/>
              <w:bottom w:val="single" w:sz="4" w:space="0" w:color="808080" w:themeColor="background1" w:themeShade="80"/>
            </w:tcBorders>
            <w:shd w:val="clear" w:color="auto" w:fill="E2EFD9" w:themeFill="accent6" w:themeFillTint="33"/>
            <w:noWrap/>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Potentially Suitable</w:t>
            </w:r>
          </w:p>
        </w:tc>
        <w:tc>
          <w:tcPr>
            <w:tcW w:w="854" w:type="dxa"/>
            <w:tcBorders>
              <w:top w:val="single" w:sz="4" w:space="0" w:color="808080" w:themeColor="background1" w:themeShade="80"/>
              <w:bottom w:val="single" w:sz="4" w:space="0" w:color="808080" w:themeColor="background1" w:themeShade="80"/>
            </w:tcBorders>
            <w:shd w:val="clear" w:color="auto" w:fill="E2EFD9" w:themeFill="accent6" w:themeFillTint="33"/>
            <w:noWrap/>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Not Suitable</w:t>
            </w:r>
          </w:p>
        </w:tc>
        <w:tc>
          <w:tcPr>
            <w:tcW w:w="856" w:type="dxa"/>
            <w:vMerge/>
            <w:tcBorders>
              <w:bottom w:val="single" w:sz="4" w:space="0" w:color="808080" w:themeColor="background1" w:themeShade="80"/>
            </w:tcBorders>
            <w:noWrap/>
          </w:tcPr>
          <w:p w:rsidR="005B5171" w:rsidRPr="005B5171" w:rsidRDefault="005B5171" w:rsidP="005B5171">
            <w:pPr>
              <w:rPr>
                <w:rFonts w:ascii="Segoe UI" w:hAnsi="Segoe UI" w:cs="Segoe UI"/>
              </w:rPr>
            </w:pPr>
          </w:p>
        </w:tc>
        <w:tc>
          <w:tcPr>
            <w:tcW w:w="857" w:type="dxa"/>
            <w:vMerge/>
            <w:tcBorders>
              <w:bottom w:val="single" w:sz="4" w:space="0" w:color="808080" w:themeColor="background1" w:themeShade="80"/>
            </w:tcBorders>
            <w:noWrap/>
          </w:tcPr>
          <w:p w:rsidR="005B5171" w:rsidRPr="005B5171" w:rsidRDefault="005B5171" w:rsidP="005B5171">
            <w:pPr>
              <w:rPr>
                <w:rFonts w:ascii="Segoe UI" w:hAnsi="Segoe UI" w:cs="Segoe UI"/>
              </w:rPr>
            </w:pPr>
          </w:p>
        </w:tc>
      </w:tr>
      <w:tr w:rsidR="005B5171" w:rsidRPr="005B5171" w:rsidTr="000B1EFD">
        <w:tc>
          <w:tcPr>
            <w:tcW w:w="1833"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Central Highlands</w:t>
            </w:r>
          </w:p>
        </w:tc>
        <w:tc>
          <w:tcPr>
            <w:tcW w:w="854"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67</w:t>
            </w:r>
          </w:p>
        </w:tc>
        <w:tc>
          <w:tcPr>
            <w:tcW w:w="1050"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w:t>
            </w:r>
          </w:p>
        </w:tc>
        <w:tc>
          <w:tcPr>
            <w:tcW w:w="854"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4</w:t>
            </w:r>
          </w:p>
        </w:tc>
        <w:tc>
          <w:tcPr>
            <w:tcW w:w="854"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59</w:t>
            </w:r>
          </w:p>
        </w:tc>
        <w:tc>
          <w:tcPr>
            <w:tcW w:w="1050"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48</w:t>
            </w:r>
          </w:p>
        </w:tc>
        <w:tc>
          <w:tcPr>
            <w:tcW w:w="854"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25</w:t>
            </w:r>
          </w:p>
        </w:tc>
        <w:tc>
          <w:tcPr>
            <w:tcW w:w="856"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204</w:t>
            </w:r>
          </w:p>
        </w:tc>
        <w:tc>
          <w:tcPr>
            <w:tcW w:w="857"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115</w:t>
            </w:r>
          </w:p>
        </w:tc>
      </w:tr>
      <w:tr w:rsidR="005B5171" w:rsidRPr="005B5171" w:rsidTr="000B1EFD">
        <w:tc>
          <w:tcPr>
            <w:tcW w:w="1833"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East Gippsland</w:t>
            </w:r>
          </w:p>
        </w:tc>
        <w:tc>
          <w:tcPr>
            <w:tcW w:w="854"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4</w:t>
            </w:r>
          </w:p>
        </w:tc>
        <w:tc>
          <w:tcPr>
            <w:tcW w:w="1050"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0</w:t>
            </w:r>
          </w:p>
        </w:tc>
        <w:tc>
          <w:tcPr>
            <w:tcW w:w="854"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0</w:t>
            </w:r>
          </w:p>
        </w:tc>
        <w:tc>
          <w:tcPr>
            <w:tcW w:w="854"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222</w:t>
            </w:r>
          </w:p>
        </w:tc>
        <w:tc>
          <w:tcPr>
            <w:tcW w:w="1050"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61</w:t>
            </w:r>
          </w:p>
        </w:tc>
        <w:tc>
          <w:tcPr>
            <w:tcW w:w="854"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84</w:t>
            </w:r>
          </w:p>
        </w:tc>
        <w:tc>
          <w:tcPr>
            <w:tcW w:w="856"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371</w:t>
            </w:r>
          </w:p>
        </w:tc>
        <w:tc>
          <w:tcPr>
            <w:tcW w:w="857"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226</w:t>
            </w:r>
          </w:p>
        </w:tc>
      </w:tr>
      <w:tr w:rsidR="005B5171" w:rsidRPr="005B5171" w:rsidTr="000B1EFD">
        <w:tc>
          <w:tcPr>
            <w:tcW w:w="1833"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Gippsland</w:t>
            </w:r>
          </w:p>
        </w:tc>
        <w:tc>
          <w:tcPr>
            <w:tcW w:w="854"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34</w:t>
            </w:r>
          </w:p>
        </w:tc>
        <w:tc>
          <w:tcPr>
            <w:tcW w:w="1050"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w:t>
            </w:r>
          </w:p>
        </w:tc>
        <w:tc>
          <w:tcPr>
            <w:tcW w:w="854"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w:t>
            </w:r>
          </w:p>
        </w:tc>
        <w:tc>
          <w:tcPr>
            <w:tcW w:w="854"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38</w:t>
            </w:r>
          </w:p>
        </w:tc>
        <w:tc>
          <w:tcPr>
            <w:tcW w:w="1050"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99</w:t>
            </w:r>
          </w:p>
        </w:tc>
        <w:tc>
          <w:tcPr>
            <w:tcW w:w="854"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158</w:t>
            </w:r>
          </w:p>
        </w:tc>
        <w:tc>
          <w:tcPr>
            <w:tcW w:w="856"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335</w:t>
            </w:r>
          </w:p>
        </w:tc>
        <w:tc>
          <w:tcPr>
            <w:tcW w:w="857"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72</w:t>
            </w:r>
          </w:p>
        </w:tc>
      </w:tr>
      <w:tr w:rsidR="005B5171" w:rsidRPr="005B5171" w:rsidTr="000B1EFD">
        <w:tc>
          <w:tcPr>
            <w:tcW w:w="1833"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North East</w:t>
            </w:r>
          </w:p>
        </w:tc>
        <w:tc>
          <w:tcPr>
            <w:tcW w:w="854"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21</w:t>
            </w:r>
          </w:p>
        </w:tc>
        <w:tc>
          <w:tcPr>
            <w:tcW w:w="1050"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w:t>
            </w:r>
          </w:p>
        </w:tc>
        <w:tc>
          <w:tcPr>
            <w:tcW w:w="854"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4</w:t>
            </w:r>
          </w:p>
        </w:tc>
        <w:tc>
          <w:tcPr>
            <w:tcW w:w="854"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17</w:t>
            </w:r>
          </w:p>
        </w:tc>
        <w:tc>
          <w:tcPr>
            <w:tcW w:w="1050"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96</w:t>
            </w:r>
          </w:p>
        </w:tc>
        <w:tc>
          <w:tcPr>
            <w:tcW w:w="854"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131</w:t>
            </w:r>
          </w:p>
        </w:tc>
        <w:tc>
          <w:tcPr>
            <w:tcW w:w="856"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272</w:t>
            </w:r>
          </w:p>
        </w:tc>
        <w:tc>
          <w:tcPr>
            <w:tcW w:w="857"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38</w:t>
            </w:r>
          </w:p>
        </w:tc>
      </w:tr>
      <w:tr w:rsidR="005B5171" w:rsidRPr="005B5171" w:rsidTr="000B1EFD">
        <w:tc>
          <w:tcPr>
            <w:tcW w:w="1833"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rPr>
                <w:rFonts w:ascii="Segoe UI" w:eastAsia="Calibri" w:hAnsi="Segoe UI" w:cs="Calibri"/>
                <w:b/>
                <w:sz w:val="19"/>
                <w:szCs w:val="19"/>
                <w:lang w:eastAsia="en-AU"/>
              </w:rPr>
            </w:pPr>
            <w:r w:rsidRPr="005B5171">
              <w:rPr>
                <w:rFonts w:ascii="Segoe UI" w:eastAsia="Calibri" w:hAnsi="Segoe UI" w:cs="Calibri"/>
                <w:b/>
                <w:sz w:val="19"/>
                <w:szCs w:val="19"/>
                <w:lang w:eastAsia="en-AU"/>
              </w:rPr>
              <w:t>Total</w:t>
            </w:r>
          </w:p>
        </w:tc>
        <w:tc>
          <w:tcPr>
            <w:tcW w:w="854"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126</w:t>
            </w:r>
          </w:p>
        </w:tc>
        <w:tc>
          <w:tcPr>
            <w:tcW w:w="1050"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7</w:t>
            </w:r>
          </w:p>
        </w:tc>
        <w:tc>
          <w:tcPr>
            <w:tcW w:w="854"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11</w:t>
            </w:r>
          </w:p>
        </w:tc>
        <w:tc>
          <w:tcPr>
            <w:tcW w:w="854"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336</w:t>
            </w:r>
          </w:p>
        </w:tc>
        <w:tc>
          <w:tcPr>
            <w:tcW w:w="1050"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304</w:t>
            </w:r>
          </w:p>
        </w:tc>
        <w:tc>
          <w:tcPr>
            <w:tcW w:w="854"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401</w:t>
            </w:r>
          </w:p>
        </w:tc>
        <w:tc>
          <w:tcPr>
            <w:tcW w:w="856"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1,182</w:t>
            </w:r>
          </w:p>
        </w:tc>
        <w:tc>
          <w:tcPr>
            <w:tcW w:w="857" w:type="dxa"/>
            <w:tcBorders>
              <w:top w:val="single" w:sz="4" w:space="0" w:color="808080" w:themeColor="background1" w:themeShade="80"/>
              <w:bottom w:val="single" w:sz="4" w:space="0" w:color="808080" w:themeColor="background1" w:themeShade="80"/>
            </w:tcBorders>
            <w:noWrap/>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462</w:t>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Data source: </w:t>
      </w:r>
      <w:proofErr w:type="spellStart"/>
      <w:r w:rsidRPr="005B5171">
        <w:rPr>
          <w:rFonts w:ascii="Segoe UI" w:eastAsia="STZhongsong" w:hAnsi="Segoe UI" w:cs="Segoe UI"/>
          <w:bCs/>
          <w:sz w:val="18"/>
          <w:szCs w:val="18"/>
          <w:lang w:eastAsia="ko-KR"/>
        </w:rPr>
        <w:t>VicForests</w:t>
      </w:r>
      <w:proofErr w:type="spellEnd"/>
      <w:r w:rsidRPr="005B5171">
        <w:rPr>
          <w:rFonts w:ascii="Segoe UI" w:eastAsia="STZhongsong" w:hAnsi="Segoe UI" w:cs="Segoe UI"/>
          <w:bCs/>
          <w:sz w:val="18"/>
          <w:szCs w:val="18"/>
          <w:lang w:eastAsia="ko-KR"/>
        </w:rPr>
        <w:t xml:space="preserve"> (2019). </w:t>
      </w:r>
    </w:p>
    <w:p w:rsidR="005B5171" w:rsidRPr="005B5171" w:rsidRDefault="005B5171" w:rsidP="005B5171">
      <w:pPr>
        <w:jc w:val="both"/>
        <w:rPr>
          <w:rFonts w:ascii="Segoe UI" w:hAnsi="Segoe UI" w:cs="Segoe UI"/>
        </w:rPr>
      </w:pPr>
      <w:r w:rsidRPr="005B5171">
        <w:rPr>
          <w:rFonts w:ascii="Segoe UI" w:hAnsi="Segoe UI" w:cs="Segoe UI"/>
        </w:rPr>
        <w:t>In 1999, the area suitable for timber production for the east of the state was over 820,000 hectares (</w:t>
      </w:r>
      <w:r w:rsidRPr="005B5171">
        <w:rPr>
          <w:rFonts w:ascii="Segoe UI" w:hAnsi="Segoe UI" w:cs="Segoe UI"/>
        </w:rPr>
        <w:fldChar w:fldCharType="begin"/>
      </w:r>
      <w:r w:rsidRPr="005B5171">
        <w:rPr>
          <w:rFonts w:ascii="Segoe UI" w:hAnsi="Segoe UI" w:cs="Segoe UI"/>
        </w:rPr>
        <w:instrText xml:space="preserve"> REF _Ref10703459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60</w:t>
      </w:r>
      <w:r w:rsidRPr="005B5171">
        <w:rPr>
          <w:rFonts w:ascii="Segoe UI" w:hAnsi="Segoe UI" w:cs="Segoe UI"/>
        </w:rPr>
        <w:fldChar w:fldCharType="end"/>
      </w:r>
      <w:r w:rsidRPr="005B5171">
        <w:rPr>
          <w:rFonts w:ascii="Segoe UI" w:hAnsi="Segoe UI" w:cs="Segoe UI"/>
        </w:rPr>
        <w:t xml:space="preserve">). The impact of successive mega-fires in productive forest areas since 2003 has decreased the area available for timber harvesting. Similarly, the reservation of productive forest areas for species conservation has reduced the total available area. The </w:t>
      </w:r>
      <w:proofErr w:type="spellStart"/>
      <w:r w:rsidRPr="005B5171">
        <w:rPr>
          <w:rFonts w:ascii="Segoe UI" w:hAnsi="Segoe UI" w:cs="Segoe UI"/>
        </w:rPr>
        <w:t>VicForests</w:t>
      </w:r>
      <w:proofErr w:type="spellEnd"/>
      <w:r w:rsidRPr="005B5171">
        <w:rPr>
          <w:rFonts w:ascii="Segoe UI" w:hAnsi="Segoe UI" w:cs="Segoe UI"/>
        </w:rPr>
        <w:t xml:space="preserve"> Resource Outlook cites the following factors as to why there has been a reduction in the Resource Outlook 2016–17 from the previous level predicted: </w:t>
      </w:r>
    </w:p>
    <w:p w:rsidR="005B5171" w:rsidRPr="0070586C" w:rsidRDefault="005B5171" w:rsidP="0070586C">
      <w:pPr>
        <w:pStyle w:val="ListParagraph"/>
        <w:numPr>
          <w:ilvl w:val="0"/>
          <w:numId w:val="43"/>
        </w:numPr>
        <w:ind w:left="709" w:hanging="425"/>
      </w:pPr>
      <w:r w:rsidRPr="0070586C">
        <w:t>increased protection for the Leadbeater’s Possum and other threatened species</w:t>
      </w:r>
    </w:p>
    <w:p w:rsidR="005B5171" w:rsidRPr="0070586C" w:rsidRDefault="005B5171" w:rsidP="0070586C">
      <w:pPr>
        <w:pStyle w:val="ListParagraph"/>
        <w:numPr>
          <w:ilvl w:val="0"/>
          <w:numId w:val="43"/>
        </w:numPr>
        <w:ind w:left="709" w:hanging="425"/>
      </w:pPr>
      <w:r w:rsidRPr="0070586C">
        <w:t>the decrease in available forest due to resource fragmentation as a result of the proximity and density of Leadbeater’s Possum populations</w:t>
      </w:r>
    </w:p>
    <w:p w:rsidR="005B5171" w:rsidRPr="0070586C" w:rsidRDefault="005B5171" w:rsidP="0070586C">
      <w:pPr>
        <w:pStyle w:val="ListParagraph"/>
        <w:numPr>
          <w:ilvl w:val="0"/>
          <w:numId w:val="43"/>
        </w:numPr>
        <w:ind w:left="709" w:hanging="425"/>
      </w:pPr>
      <w:r w:rsidRPr="0070586C">
        <w:t xml:space="preserve">increased protection of old-growth forest; and </w:t>
      </w:r>
    </w:p>
    <w:p w:rsidR="005B5171" w:rsidRPr="0070586C" w:rsidRDefault="005B5171" w:rsidP="0070586C">
      <w:pPr>
        <w:pStyle w:val="ListParagraph"/>
        <w:numPr>
          <w:ilvl w:val="0"/>
          <w:numId w:val="43"/>
        </w:numPr>
        <w:ind w:left="709" w:hanging="425"/>
      </w:pPr>
      <w:r w:rsidRPr="0070586C">
        <w:t xml:space="preserve">the removal of forest from the model that </w:t>
      </w:r>
      <w:proofErr w:type="spellStart"/>
      <w:r w:rsidRPr="0070586C">
        <w:t>VicForests</w:t>
      </w:r>
      <w:proofErr w:type="spellEnd"/>
      <w:r w:rsidRPr="0070586C">
        <w:t xml:space="preserve"> considers unlikely to be able to be accessed due to community and/or market concerns.</w:t>
      </w:r>
    </w:p>
    <w:p w:rsidR="005B5171" w:rsidRPr="005B5171" w:rsidRDefault="005B5171" w:rsidP="005B5171">
      <w:pPr>
        <w:jc w:val="both"/>
        <w:rPr>
          <w:rFonts w:ascii="Segoe UI" w:hAnsi="Segoe UI" w:cs="Segoe UI"/>
        </w:rPr>
      </w:pPr>
      <w:r w:rsidRPr="005B5171">
        <w:rPr>
          <w:rFonts w:ascii="Segoe UI" w:hAnsi="Segoe UI" w:cs="Segoe UI"/>
        </w:rPr>
        <w:t xml:space="preserve">The potential impact from bushfires has obvious implications for the timber supply; however, this has not been modelled within the Resource Outlook 2016-17 and is therefore not noted in the above points. </w:t>
      </w:r>
    </w:p>
    <w:p w:rsidR="005B5171" w:rsidRPr="005B5171" w:rsidRDefault="005B5171" w:rsidP="005B5171">
      <w:pPr>
        <w:jc w:val="both"/>
        <w:rPr>
          <w:rFonts w:ascii="Segoe UI" w:hAnsi="Segoe UI" w:cs="Segoe UI"/>
        </w:rPr>
      </w:pPr>
      <w:r w:rsidRPr="005B5171">
        <w:rPr>
          <w:rFonts w:ascii="Segoe UI" w:hAnsi="Segoe UI" w:cs="Segoe UI"/>
        </w:rPr>
        <w:t xml:space="preserve">In addition to increased protections for threatened species, effect of bushfire, increased protections for different forest types and the cessation of commercial harvesting in the </w:t>
      </w:r>
      <w:proofErr w:type="spellStart"/>
      <w:r w:rsidRPr="005B5171">
        <w:rPr>
          <w:rFonts w:ascii="Segoe UI" w:hAnsi="Segoe UI" w:cs="Segoe UI"/>
        </w:rPr>
        <w:t>Otways</w:t>
      </w:r>
      <w:proofErr w:type="spellEnd"/>
      <w:r w:rsidRPr="005B5171">
        <w:rPr>
          <w:rFonts w:ascii="Segoe UI" w:hAnsi="Segoe UI" w:cs="Segoe UI"/>
        </w:rPr>
        <w:t xml:space="preserve"> area of the West RFA in 2008, Victoria’s total area available and suitable for harvesting timber has more than halved since the commencement of the RFAs 20 years ago. </w:t>
      </w:r>
    </w:p>
    <w:p w:rsidR="005B5171" w:rsidRPr="005B5171" w:rsidRDefault="005B5171" w:rsidP="005B5171">
      <w:pPr>
        <w:jc w:val="both"/>
        <w:rPr>
          <w:rFonts w:ascii="Segoe UI" w:hAnsi="Segoe UI" w:cs="Segoe UI"/>
        </w:rPr>
      </w:pPr>
    </w:p>
    <w:p w:rsidR="005B5171" w:rsidRPr="005B5171" w:rsidRDefault="005B5171" w:rsidP="005B5171">
      <w:pPr>
        <w:jc w:val="both"/>
        <w:rPr>
          <w:rFonts w:ascii="Segoe UI" w:hAnsi="Segoe UI" w:cs="Segoe UI"/>
        </w:rPr>
      </w:pPr>
    </w:p>
    <w:p w:rsidR="005B5171" w:rsidRPr="005B5171" w:rsidRDefault="005B5171" w:rsidP="005B5171">
      <w:pPr>
        <w:jc w:val="both"/>
        <w:rPr>
          <w:rFonts w:ascii="Segoe UI" w:hAnsi="Segoe UI" w:cs="Segoe UI"/>
        </w:rPr>
      </w:pPr>
    </w:p>
    <w:p w:rsidR="005B5171" w:rsidRPr="005B5171" w:rsidRDefault="005B5171" w:rsidP="005B5171">
      <w:pPr>
        <w:spacing w:after="200" w:line="240" w:lineRule="auto"/>
        <w:rPr>
          <w:rFonts w:ascii="Segoe UI Semibold" w:eastAsia="Times New Roman" w:hAnsi="Segoe UI Semibold" w:cs="Times New Roman"/>
          <w:color w:val="016295"/>
        </w:rPr>
      </w:pPr>
      <w:bookmarkStart w:id="18" w:name="_Ref10703459"/>
      <w:bookmarkStart w:id="19" w:name="_Toc25660842"/>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60</w:t>
      </w:r>
      <w:r w:rsidRPr="005B5171">
        <w:rPr>
          <w:rFonts w:ascii="Segoe UI Semibold" w:eastAsia="Times New Roman" w:hAnsi="Segoe UI Semibold" w:cs="Times New Roman"/>
          <w:noProof/>
          <w:color w:val="016295"/>
        </w:rPr>
        <w:fldChar w:fldCharType="end"/>
      </w:r>
      <w:bookmarkEnd w:id="18"/>
      <w:r w:rsidRPr="005B5171">
        <w:rPr>
          <w:rFonts w:ascii="Segoe UI Semibold" w:eastAsia="Times New Roman" w:hAnsi="Segoe UI Semibold" w:cs="Times New Roman"/>
          <w:color w:val="016295"/>
        </w:rPr>
        <w:t>: Net productive area for commercial forest types across RFA regions (1999 CRA)</w:t>
      </w:r>
      <w:bookmarkEnd w:id="19"/>
    </w:p>
    <w:tbl>
      <w:tblPr>
        <w:tblStyle w:val="xTable1"/>
        <w:tblW w:w="9078" w:type="dxa"/>
        <w:tblLayout w:type="fixed"/>
        <w:tblLook w:val="04A0" w:firstRow="1" w:lastRow="0" w:firstColumn="1" w:lastColumn="0" w:noHBand="0" w:noVBand="1"/>
      </w:tblPr>
      <w:tblGrid>
        <w:gridCol w:w="1934"/>
        <w:gridCol w:w="1190"/>
        <w:gridCol w:w="1191"/>
        <w:gridCol w:w="1191"/>
        <w:gridCol w:w="1190"/>
        <w:gridCol w:w="1191"/>
        <w:gridCol w:w="1191"/>
      </w:tblGrid>
      <w:tr w:rsidR="005B5171" w:rsidRPr="005B5171" w:rsidTr="000B1E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Pr>
          <w:p w:rsidR="005B5171" w:rsidRPr="005B5171" w:rsidRDefault="005B5171" w:rsidP="005B5171">
            <w:pPr>
              <w:rPr>
                <w:rFonts w:ascii="Segoe UI" w:hAnsi="Segoe UI" w:cs="Segoe UI"/>
              </w:rPr>
            </w:pPr>
            <w:r w:rsidRPr="005B5171">
              <w:rPr>
                <w:rFonts w:ascii="Segoe UI" w:hAnsi="Segoe UI" w:cs="Segoe UI"/>
              </w:rPr>
              <w:t>RFA</w:t>
            </w:r>
          </w:p>
        </w:tc>
        <w:tc>
          <w:tcPr>
            <w:tcW w:w="0"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Central Highlands</w:t>
            </w:r>
          </w:p>
        </w:tc>
        <w:tc>
          <w:tcPr>
            <w:tcW w:w="0"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East Gippsland</w:t>
            </w:r>
          </w:p>
        </w:tc>
        <w:tc>
          <w:tcPr>
            <w:tcW w:w="0"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Gippsland</w:t>
            </w:r>
          </w:p>
        </w:tc>
        <w:tc>
          <w:tcPr>
            <w:tcW w:w="0"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North East</w:t>
            </w:r>
          </w:p>
        </w:tc>
        <w:tc>
          <w:tcPr>
            <w:tcW w:w="0"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West</w:t>
            </w:r>
          </w:p>
        </w:tc>
        <w:tc>
          <w:tcPr>
            <w:tcW w:w="0"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Total</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4" w:type="dxa"/>
          </w:tcPr>
          <w:p w:rsidR="005B5171" w:rsidRPr="005B5171" w:rsidRDefault="005B5171" w:rsidP="005B5171">
            <w:pPr>
              <w:rPr>
                <w:rFonts w:ascii="Segoe UI" w:hAnsi="Segoe UI" w:cs="Segoe UI"/>
              </w:rPr>
            </w:pPr>
            <w:r w:rsidRPr="005B5171">
              <w:rPr>
                <w:rFonts w:ascii="Segoe UI" w:hAnsi="Segoe UI" w:cs="Segoe UI"/>
              </w:rPr>
              <w:t>Net Productive Area (ha) for Commercial Forest Types</w:t>
            </w:r>
          </w:p>
        </w:tc>
        <w:tc>
          <w:tcPr>
            <w:tcW w:w="1190"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225,216</w:t>
            </w:r>
          </w:p>
        </w:tc>
        <w:tc>
          <w:tcPr>
            <w:tcW w:w="1191"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225,548</w:t>
            </w:r>
          </w:p>
        </w:tc>
        <w:tc>
          <w:tcPr>
            <w:tcW w:w="1191"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253,810</w:t>
            </w:r>
          </w:p>
        </w:tc>
        <w:tc>
          <w:tcPr>
            <w:tcW w:w="1190"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120,050</w:t>
            </w:r>
          </w:p>
        </w:tc>
        <w:tc>
          <w:tcPr>
            <w:tcW w:w="1191"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174,600</w:t>
            </w:r>
          </w:p>
        </w:tc>
        <w:tc>
          <w:tcPr>
            <w:tcW w:w="1191"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fldChar w:fldCharType="begin"/>
            </w:r>
            <w:r w:rsidRPr="005B5171">
              <w:rPr>
                <w:rFonts w:ascii="Segoe UI" w:eastAsia="Calibri" w:hAnsi="Segoe UI" w:cs="Calibri"/>
                <w:szCs w:val="19"/>
                <w:lang w:eastAsia="en-AU"/>
              </w:rPr>
              <w:instrText xml:space="preserve"> =SUM(LEFT) </w:instrText>
            </w:r>
            <w:r w:rsidRPr="005B5171">
              <w:rPr>
                <w:rFonts w:ascii="Segoe UI" w:eastAsia="Calibri" w:hAnsi="Segoe UI" w:cs="Calibri"/>
                <w:szCs w:val="19"/>
                <w:lang w:eastAsia="en-AU"/>
              </w:rPr>
              <w:fldChar w:fldCharType="separate"/>
            </w:r>
            <w:r w:rsidRPr="005B5171">
              <w:rPr>
                <w:rFonts w:ascii="Segoe UI" w:eastAsia="Calibri" w:hAnsi="Segoe UI" w:cs="Calibri"/>
                <w:szCs w:val="19"/>
                <w:lang w:eastAsia="en-AU"/>
              </w:rPr>
              <w:t>999,224</w:t>
            </w:r>
            <w:r w:rsidRPr="005B5171">
              <w:rPr>
                <w:rFonts w:ascii="Segoe UI" w:eastAsia="Calibri" w:hAnsi="Segoe UI" w:cs="Calibri"/>
                <w:szCs w:val="19"/>
                <w:lang w:eastAsia="en-AU"/>
              </w:rPr>
              <w:fldChar w:fldCharType="end"/>
            </w:r>
          </w:p>
        </w:tc>
      </w:tr>
    </w:tbl>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Note: The net productive area for commercial forest types was based on information in the NRE Hardwood Area Resource Information System (HARIS) database. HARIS provided a standing volume for sawlog and residual roundwood for the Mature and Over-mature (M/OM)2 forests, within areas of GMZ and SMZ.</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Source: Information derived from the CRAs accessed via the ABARES website.</w:t>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Change in productive area across RFA regions</w:t>
      </w:r>
    </w:p>
    <w:p w:rsidR="005B5171" w:rsidRPr="005B5171" w:rsidRDefault="005B5171" w:rsidP="005B5171">
      <w:pPr>
        <w:jc w:val="both"/>
        <w:rPr>
          <w:rFonts w:ascii="Segoe UI" w:eastAsia="STZhongsong" w:hAnsi="Segoe UI" w:cs="Majalla UI"/>
          <w:i/>
          <w:color w:val="13345C"/>
        </w:rPr>
      </w:pPr>
      <w:r w:rsidRPr="005B5171">
        <w:rPr>
          <w:rFonts w:ascii="Segoe UI" w:hAnsi="Segoe UI" w:cs="Segoe UI"/>
        </w:rPr>
        <w:t xml:space="preserve">While the data presented in the tables above reflect a net productive area for commercial forest types, the methods used to calculate these areas are likely to be different, and consequently, only broad assumptions can be made regarding the variation between the data presented in </w:t>
      </w:r>
      <w:r w:rsidRPr="005B5171">
        <w:rPr>
          <w:rFonts w:ascii="Segoe UI" w:hAnsi="Segoe UI" w:cs="Segoe UI"/>
        </w:rPr>
        <w:fldChar w:fldCharType="begin"/>
      </w:r>
      <w:r w:rsidRPr="005B5171">
        <w:rPr>
          <w:rFonts w:ascii="Segoe UI" w:hAnsi="Segoe UI" w:cs="Segoe UI"/>
        </w:rPr>
        <w:instrText xml:space="preserve"> REF _Ref12892497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59</w:t>
      </w:r>
      <w:r w:rsidRPr="005B5171">
        <w:rPr>
          <w:rFonts w:ascii="Segoe UI" w:hAnsi="Segoe UI" w:cs="Segoe UI"/>
        </w:rPr>
        <w:fldChar w:fldCharType="end"/>
      </w:r>
      <w:r w:rsidRPr="005B5171">
        <w:rPr>
          <w:rFonts w:ascii="Segoe UI" w:hAnsi="Segoe UI" w:cs="Segoe UI"/>
        </w:rPr>
        <w:t xml:space="preserve"> and </w:t>
      </w:r>
      <w:r w:rsidRPr="005B5171">
        <w:rPr>
          <w:rFonts w:ascii="Segoe UI" w:hAnsi="Segoe UI" w:cs="Segoe UI"/>
        </w:rPr>
        <w:fldChar w:fldCharType="begin"/>
      </w:r>
      <w:r w:rsidRPr="005B5171">
        <w:rPr>
          <w:rFonts w:ascii="Segoe UI" w:hAnsi="Segoe UI" w:cs="Segoe UI"/>
        </w:rPr>
        <w:instrText xml:space="preserve"> REF _Ref10703459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60</w:t>
      </w:r>
      <w:r w:rsidRPr="005B5171">
        <w:rPr>
          <w:rFonts w:ascii="Segoe UI" w:hAnsi="Segoe UI" w:cs="Segoe UI"/>
        </w:rPr>
        <w:fldChar w:fldCharType="end"/>
      </w:r>
      <w:r w:rsidRPr="005B5171">
        <w:rPr>
          <w:rFonts w:ascii="Segoe UI" w:hAnsi="Segoe UI" w:cs="Segoe UI"/>
        </w:rPr>
        <w:t xml:space="preserve">. </w:t>
      </w:r>
    </w:p>
    <w:p w:rsidR="005B5171" w:rsidRPr="005B5171" w:rsidRDefault="005B5171" w:rsidP="005B5171">
      <w:pPr>
        <w:jc w:val="both"/>
        <w:rPr>
          <w:rFonts w:ascii="Segoe UI" w:hAnsi="Segoe UI" w:cs="Segoe UI"/>
        </w:rPr>
      </w:pPr>
      <w:r w:rsidRPr="005B5171">
        <w:rPr>
          <w:rFonts w:ascii="Segoe UI" w:hAnsi="Segoe UI" w:cs="Segoe UI"/>
        </w:rPr>
        <w:t xml:space="preserve">Available areas in Central Highlands, Gippsland and the North East have all decreased by more than half, while East Gippsland has remained relatively stable. </w:t>
      </w:r>
    </w:p>
    <w:p w:rsidR="005B5171" w:rsidRPr="005B5171" w:rsidRDefault="005B5171" w:rsidP="005B5171">
      <w:pPr>
        <w:jc w:val="both"/>
        <w:rPr>
          <w:rFonts w:ascii="Segoe UI" w:hAnsi="Segoe UI" w:cs="Segoe UI"/>
        </w:rPr>
      </w:pPr>
      <w:r w:rsidRPr="005B5171">
        <w:rPr>
          <w:rFonts w:ascii="Segoe UI" w:hAnsi="Segoe UI" w:cs="Segoe UI"/>
        </w:rPr>
        <w:t xml:space="preserve">Commercial timber production in native forest in the West RFA region is now limited to minor products, such as fenceposts and firewood, and a limited volume of sawlogs. This process is managed through </w:t>
      </w:r>
      <w:proofErr w:type="spellStart"/>
      <w:r w:rsidRPr="005B5171">
        <w:rPr>
          <w:rFonts w:ascii="Segoe UI" w:hAnsi="Segoe UI" w:cs="Segoe UI"/>
        </w:rPr>
        <w:t>VicForests</w:t>
      </w:r>
      <w:proofErr w:type="spellEnd"/>
      <w:r w:rsidRPr="005B5171">
        <w:rPr>
          <w:rFonts w:ascii="Segoe UI" w:hAnsi="Segoe UI" w:cs="Segoe UI"/>
        </w:rPr>
        <w:t>’ Timber Utilisation Plan, as it is not subject to the Allocation Order (</w:t>
      </w:r>
      <w:proofErr w:type="spellStart"/>
      <w:r w:rsidRPr="005B5171">
        <w:rPr>
          <w:rFonts w:ascii="Segoe UI" w:hAnsi="Segoe UI" w:cs="Segoe UI"/>
        </w:rPr>
        <w:t>VicForests</w:t>
      </w:r>
      <w:proofErr w:type="spellEnd"/>
      <w:r w:rsidRPr="005B5171">
        <w:rPr>
          <w:rFonts w:ascii="Segoe UI" w:hAnsi="Segoe UI" w:cs="Segoe UI"/>
        </w:rPr>
        <w:t xml:space="preserve"> 2017). This harvesting is often limited to local demand, and may be coordinated with other forest management activities, such as roading or removal of dangerous trees. The silvicultural systems used are varied; calculating net harvested area and available area is challenging due to these variations. </w:t>
      </w:r>
    </w:p>
    <w:p w:rsidR="005B5171" w:rsidRPr="005B5171" w:rsidRDefault="005B5171" w:rsidP="005B5171">
      <w:pPr>
        <w:keepNext/>
        <w:spacing w:before="120" w:after="120" w:line="240" w:lineRule="auto"/>
        <w:jc w:val="both"/>
        <w:outlineLvl w:val="3"/>
        <w:rPr>
          <w:rFonts w:ascii="Segoe UI" w:hAnsi="Segoe UI" w:cs="Segoe UI"/>
          <w:i/>
          <w:sz w:val="24"/>
          <w:szCs w:val="24"/>
        </w:rPr>
      </w:pPr>
      <w:r w:rsidRPr="005B5171">
        <w:rPr>
          <w:rFonts w:ascii="Segoe UI" w:hAnsi="Segoe UI" w:cs="Segoe UI"/>
          <w:i/>
          <w:sz w:val="24"/>
          <w:szCs w:val="24"/>
        </w:rPr>
        <w:t>Public native forest harvest area and by silviculture regime</w:t>
      </w:r>
    </w:p>
    <w:p w:rsidR="005B5171" w:rsidRPr="005B5171" w:rsidRDefault="005B5171" w:rsidP="005B5171">
      <w:pPr>
        <w:jc w:val="both"/>
        <w:rPr>
          <w:rFonts w:ascii="Segoe UI" w:hAnsi="Segoe UI" w:cs="Segoe UI"/>
        </w:rPr>
      </w:pPr>
      <w:r w:rsidRPr="005B5171">
        <w:rPr>
          <w:rFonts w:ascii="Segoe UI" w:hAnsi="Segoe UI" w:cs="Segoe UI"/>
        </w:rPr>
        <w:t>Averaging the five years following 2004–05 (6,398 hectares), and the five years preceding 2016–17 (3,399 hectares), the average total harvest area has reduced by almost 50 per cent (</w:t>
      </w:r>
      <w:r w:rsidRPr="005B5171">
        <w:rPr>
          <w:rFonts w:ascii="Segoe UI" w:hAnsi="Segoe UI" w:cs="Segoe UI"/>
        </w:rPr>
        <w:fldChar w:fldCharType="begin"/>
      </w:r>
      <w:r w:rsidRPr="005B5171">
        <w:rPr>
          <w:rFonts w:ascii="Segoe UI" w:hAnsi="Segoe UI" w:cs="Segoe UI"/>
        </w:rPr>
        <w:instrText xml:space="preserve"> REF _Ref14252399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61</w:t>
      </w:r>
      <w:r w:rsidRPr="005B5171">
        <w:rPr>
          <w:rFonts w:ascii="Segoe UI" w:hAnsi="Segoe UI" w:cs="Segoe UI"/>
        </w:rPr>
        <w:fldChar w:fldCharType="end"/>
      </w:r>
      <w:r w:rsidRPr="005B5171">
        <w:rPr>
          <w:rFonts w:ascii="Segoe UI" w:hAnsi="Segoe UI" w:cs="Segoe UI"/>
        </w:rPr>
        <w:t>). In the years preceding 2004–05, harvest areas were recorded based on their gross area figures and therefore were not comparable.</w:t>
      </w:r>
    </w:p>
    <w:p w:rsidR="005B5171" w:rsidRPr="005B5171" w:rsidRDefault="005B5171" w:rsidP="005B5171">
      <w:pPr>
        <w:rPr>
          <w:rFonts w:ascii="Segoe UI" w:hAnsi="Segoe UI" w:cs="Segoe UI"/>
        </w:rPr>
      </w:pPr>
      <w:r w:rsidRPr="005B5171">
        <w:rPr>
          <w:rFonts w:ascii="Segoe UI" w:hAnsi="Segoe UI" w:cs="Segoe UI"/>
        </w:rPr>
        <w:br w:type="page"/>
      </w:r>
    </w:p>
    <w:p w:rsidR="005B5171" w:rsidRPr="005B5171" w:rsidRDefault="005B5171" w:rsidP="005B5171">
      <w:pPr>
        <w:spacing w:after="200" w:line="240" w:lineRule="auto"/>
        <w:rPr>
          <w:rFonts w:ascii="Segoe UI Semibold" w:eastAsia="Times New Roman" w:hAnsi="Segoe UI Semibold" w:cs="Times New Roman"/>
          <w:color w:val="016295"/>
        </w:rPr>
      </w:pPr>
      <w:bookmarkStart w:id="20" w:name="_Ref14252399"/>
      <w:bookmarkStart w:id="21" w:name="_Toc25660843"/>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61</w:t>
      </w:r>
      <w:r w:rsidRPr="005B5171">
        <w:rPr>
          <w:rFonts w:ascii="Segoe UI Semibold" w:eastAsia="Times New Roman" w:hAnsi="Segoe UI Semibold" w:cs="Times New Roman"/>
          <w:noProof/>
          <w:color w:val="016295"/>
        </w:rPr>
        <w:fldChar w:fldCharType="end"/>
      </w:r>
      <w:bookmarkEnd w:id="20"/>
      <w:r w:rsidRPr="005B5171">
        <w:rPr>
          <w:rFonts w:ascii="Segoe UI Semibold" w:eastAsia="Times New Roman" w:hAnsi="Segoe UI Semibold" w:cs="Times New Roman"/>
          <w:color w:val="016295"/>
        </w:rPr>
        <w:t>: Harvest area (net hectares) 2004–05 to 2016–17, by RFA area</w:t>
      </w:r>
      <w:bookmarkEnd w:id="21"/>
    </w:p>
    <w:tbl>
      <w:tblPr>
        <w:tblStyle w:val="xTable1"/>
        <w:tblW w:w="0" w:type="auto"/>
        <w:tblLayout w:type="fixed"/>
        <w:tblLook w:val="04E0" w:firstRow="1" w:lastRow="1" w:firstColumn="1" w:lastColumn="0" w:noHBand="0" w:noVBand="1"/>
      </w:tblPr>
      <w:tblGrid>
        <w:gridCol w:w="1156"/>
        <w:gridCol w:w="1157"/>
        <w:gridCol w:w="1157"/>
        <w:gridCol w:w="1157"/>
        <w:gridCol w:w="1157"/>
        <w:gridCol w:w="1157"/>
        <w:gridCol w:w="1157"/>
      </w:tblGrid>
      <w:tr w:rsidR="005B5171" w:rsidRPr="005B5171" w:rsidTr="000B1EF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156" w:type="dxa"/>
            <w:hideMark/>
          </w:tcPr>
          <w:p w:rsidR="005B5171" w:rsidRPr="005B5171" w:rsidRDefault="005B5171" w:rsidP="005B5171">
            <w:pPr>
              <w:rPr>
                <w:rFonts w:ascii="Segoe UI" w:hAnsi="Segoe UI" w:cs="Segoe UI"/>
              </w:rPr>
            </w:pPr>
            <w:r w:rsidRPr="005B5171">
              <w:rPr>
                <w:rFonts w:ascii="Segoe UI" w:hAnsi="Segoe UI" w:cs="Segoe UI"/>
              </w:rPr>
              <w:t>Season</w:t>
            </w:r>
          </w:p>
        </w:tc>
        <w:tc>
          <w:tcPr>
            <w:tcW w:w="115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Central Highlands</w:t>
            </w:r>
          </w:p>
        </w:tc>
        <w:tc>
          <w:tcPr>
            <w:tcW w:w="115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East Gippsland</w:t>
            </w:r>
          </w:p>
        </w:tc>
        <w:tc>
          <w:tcPr>
            <w:tcW w:w="115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Gippsland</w:t>
            </w:r>
          </w:p>
        </w:tc>
        <w:tc>
          <w:tcPr>
            <w:tcW w:w="115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North East</w:t>
            </w:r>
          </w:p>
        </w:tc>
        <w:tc>
          <w:tcPr>
            <w:tcW w:w="115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West</w:t>
            </w:r>
          </w:p>
        </w:tc>
        <w:tc>
          <w:tcPr>
            <w:tcW w:w="115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Total</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6" w:type="dxa"/>
            <w:hideMark/>
          </w:tcPr>
          <w:p w:rsidR="005B5171" w:rsidRPr="005B5171" w:rsidRDefault="005B5171" w:rsidP="005B5171">
            <w:pPr>
              <w:rPr>
                <w:rFonts w:ascii="Segoe UI" w:hAnsi="Segoe UI" w:cs="Segoe UI"/>
              </w:rPr>
            </w:pPr>
            <w:r w:rsidRPr="005B5171">
              <w:rPr>
                <w:rFonts w:ascii="Segoe UI" w:hAnsi="Segoe UI" w:cs="Segoe UI"/>
              </w:rPr>
              <w:t>2004–05</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1,447</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3,456</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848</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518</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=SUM(LEFT) </w:instrText>
            </w:r>
            <w:r w:rsidRPr="005B5171">
              <w:rPr>
                <w:rFonts w:ascii="Segoe UI" w:hAnsi="Segoe UI" w:cs="Segoe UI"/>
              </w:rPr>
              <w:fldChar w:fldCharType="separate"/>
            </w:r>
            <w:r w:rsidRPr="005B5171">
              <w:rPr>
                <w:rFonts w:ascii="Segoe UI" w:hAnsi="Segoe UI" w:cs="Segoe UI"/>
              </w:rPr>
              <w:t>6,269</w:t>
            </w:r>
            <w:r w:rsidRPr="005B5171">
              <w:rPr>
                <w:rFonts w:ascii="Segoe UI" w:hAnsi="Segoe UI" w:cs="Segoe UI"/>
              </w:rPr>
              <w:fldChar w:fldCharType="end"/>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6" w:type="dxa"/>
            <w:hideMark/>
          </w:tcPr>
          <w:p w:rsidR="005B5171" w:rsidRPr="005B5171" w:rsidRDefault="005B5171" w:rsidP="005B5171">
            <w:pPr>
              <w:rPr>
                <w:rFonts w:ascii="Segoe UI" w:hAnsi="Segoe UI" w:cs="Segoe UI"/>
              </w:rPr>
            </w:pPr>
            <w:r w:rsidRPr="005B5171">
              <w:rPr>
                <w:rFonts w:ascii="Segoe UI" w:hAnsi="Segoe UI" w:cs="Segoe UI"/>
              </w:rPr>
              <w:t>2005–06</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1,459</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3,157</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898</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540</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504</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=SUM(LEFT) </w:instrText>
            </w:r>
            <w:r w:rsidRPr="005B5171">
              <w:rPr>
                <w:rFonts w:ascii="Segoe UI" w:hAnsi="Segoe UI" w:cs="Segoe UI"/>
              </w:rPr>
              <w:fldChar w:fldCharType="separate"/>
            </w:r>
            <w:r w:rsidRPr="005B5171">
              <w:rPr>
                <w:rFonts w:ascii="Segoe UI" w:hAnsi="Segoe UI" w:cs="Segoe UI"/>
              </w:rPr>
              <w:t>6,558</w:t>
            </w:r>
            <w:r w:rsidRPr="005B5171">
              <w:rPr>
                <w:rFonts w:ascii="Segoe UI" w:hAnsi="Segoe UI" w:cs="Segoe UI"/>
              </w:rPr>
              <w:fldChar w:fldCharType="end"/>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6" w:type="dxa"/>
            <w:hideMark/>
          </w:tcPr>
          <w:p w:rsidR="005B5171" w:rsidRPr="005B5171" w:rsidRDefault="005B5171" w:rsidP="005B5171">
            <w:pPr>
              <w:rPr>
                <w:rFonts w:ascii="Segoe UI" w:hAnsi="Segoe UI" w:cs="Segoe UI"/>
              </w:rPr>
            </w:pPr>
            <w:r w:rsidRPr="005B5171">
              <w:rPr>
                <w:rFonts w:ascii="Segoe UI" w:hAnsi="Segoe UI" w:cs="Segoe UI"/>
              </w:rPr>
              <w:t>2006–07</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1,151</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2,920</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1,116</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397</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383</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=SUM(LEFT) </w:instrText>
            </w:r>
            <w:r w:rsidRPr="005B5171">
              <w:rPr>
                <w:rFonts w:ascii="Segoe UI" w:hAnsi="Segoe UI" w:cs="Segoe UI"/>
              </w:rPr>
              <w:fldChar w:fldCharType="separate"/>
            </w:r>
            <w:r w:rsidRPr="005B5171">
              <w:rPr>
                <w:rFonts w:ascii="Segoe UI" w:hAnsi="Segoe UI" w:cs="Segoe UI"/>
              </w:rPr>
              <w:t>5,967</w:t>
            </w:r>
            <w:r w:rsidRPr="005B5171">
              <w:rPr>
                <w:rFonts w:ascii="Segoe UI" w:hAnsi="Segoe UI" w:cs="Segoe UI"/>
              </w:rPr>
              <w:fldChar w:fldCharType="end"/>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6" w:type="dxa"/>
            <w:hideMark/>
          </w:tcPr>
          <w:p w:rsidR="005B5171" w:rsidRPr="005B5171" w:rsidRDefault="005B5171" w:rsidP="005B5171">
            <w:pPr>
              <w:rPr>
                <w:rFonts w:ascii="Segoe UI" w:hAnsi="Segoe UI" w:cs="Segoe UI"/>
              </w:rPr>
            </w:pPr>
            <w:r w:rsidRPr="005B5171">
              <w:rPr>
                <w:rFonts w:ascii="Segoe UI" w:hAnsi="Segoe UI" w:cs="Segoe UI"/>
              </w:rPr>
              <w:t>2007–08</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1,810</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2,735</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1,774</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486</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492</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=SUM(LEFT) </w:instrText>
            </w:r>
            <w:r w:rsidRPr="005B5171">
              <w:rPr>
                <w:rFonts w:ascii="Segoe UI" w:hAnsi="Segoe UI" w:cs="Segoe UI"/>
              </w:rPr>
              <w:fldChar w:fldCharType="separate"/>
            </w:r>
            <w:r w:rsidRPr="005B5171">
              <w:rPr>
                <w:rFonts w:ascii="Segoe UI" w:hAnsi="Segoe UI" w:cs="Segoe UI"/>
              </w:rPr>
              <w:t>7,297</w:t>
            </w:r>
            <w:r w:rsidRPr="005B5171">
              <w:rPr>
                <w:rFonts w:ascii="Segoe UI" w:hAnsi="Segoe UI" w:cs="Segoe UI"/>
              </w:rPr>
              <w:fldChar w:fldCharType="end"/>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6" w:type="dxa"/>
            <w:hideMark/>
          </w:tcPr>
          <w:p w:rsidR="005B5171" w:rsidRPr="005B5171" w:rsidRDefault="005B5171" w:rsidP="005B5171">
            <w:pPr>
              <w:rPr>
                <w:rFonts w:ascii="Segoe UI" w:hAnsi="Segoe UI" w:cs="Segoe UI"/>
              </w:rPr>
            </w:pPr>
            <w:r w:rsidRPr="005B5171">
              <w:rPr>
                <w:rFonts w:ascii="Segoe UI" w:hAnsi="Segoe UI" w:cs="Segoe UI"/>
              </w:rPr>
              <w:t>2008–09</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1,423</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2,732</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1,318</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128</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296</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=SUM(LEFT) </w:instrText>
            </w:r>
            <w:r w:rsidRPr="005B5171">
              <w:rPr>
                <w:rFonts w:ascii="Segoe UI" w:hAnsi="Segoe UI" w:cs="Segoe UI"/>
              </w:rPr>
              <w:fldChar w:fldCharType="separate"/>
            </w:r>
            <w:r w:rsidRPr="005B5171">
              <w:rPr>
                <w:rFonts w:ascii="Segoe UI" w:hAnsi="Segoe UI" w:cs="Segoe UI"/>
              </w:rPr>
              <w:t>5,897</w:t>
            </w:r>
            <w:r w:rsidRPr="005B5171">
              <w:rPr>
                <w:rFonts w:ascii="Segoe UI" w:hAnsi="Segoe UI" w:cs="Segoe UI"/>
              </w:rPr>
              <w:fldChar w:fldCharType="end"/>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6" w:type="dxa"/>
            <w:hideMark/>
          </w:tcPr>
          <w:p w:rsidR="005B5171" w:rsidRPr="005B5171" w:rsidRDefault="005B5171" w:rsidP="005B5171">
            <w:pPr>
              <w:rPr>
                <w:rFonts w:ascii="Segoe UI" w:hAnsi="Segoe UI" w:cs="Segoe UI"/>
              </w:rPr>
            </w:pPr>
            <w:r w:rsidRPr="005B5171">
              <w:rPr>
                <w:rFonts w:ascii="Segoe UI" w:hAnsi="Segoe UI" w:cs="Segoe UI"/>
              </w:rPr>
              <w:t>2009–10</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2,486</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2,387</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138</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47</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141</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=SUM(LEFT) </w:instrText>
            </w:r>
            <w:r w:rsidRPr="005B5171">
              <w:rPr>
                <w:rFonts w:ascii="Segoe UI" w:hAnsi="Segoe UI" w:cs="Segoe UI"/>
              </w:rPr>
              <w:fldChar w:fldCharType="separate"/>
            </w:r>
            <w:r w:rsidRPr="005B5171">
              <w:rPr>
                <w:rFonts w:ascii="Segoe UI" w:hAnsi="Segoe UI" w:cs="Segoe UI"/>
              </w:rPr>
              <w:t>5,199</w:t>
            </w:r>
            <w:r w:rsidRPr="005B5171">
              <w:rPr>
                <w:rFonts w:ascii="Segoe UI" w:hAnsi="Segoe UI" w:cs="Segoe UI"/>
              </w:rPr>
              <w:fldChar w:fldCharType="end"/>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6" w:type="dxa"/>
            <w:hideMark/>
          </w:tcPr>
          <w:p w:rsidR="005B5171" w:rsidRPr="005B5171" w:rsidRDefault="005B5171" w:rsidP="005B5171">
            <w:pPr>
              <w:rPr>
                <w:rFonts w:ascii="Segoe UI" w:hAnsi="Segoe UI" w:cs="Segoe UI"/>
              </w:rPr>
            </w:pPr>
            <w:r w:rsidRPr="005B5171">
              <w:rPr>
                <w:rFonts w:ascii="Segoe UI" w:hAnsi="Segoe UI" w:cs="Segoe UI"/>
              </w:rPr>
              <w:t>2010–11</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1,712</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2,521</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662</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64</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4,596</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=SUM(LEFT) </w:instrText>
            </w:r>
            <w:r w:rsidRPr="005B5171">
              <w:rPr>
                <w:rFonts w:ascii="Segoe UI" w:hAnsi="Segoe UI" w:cs="Segoe UI"/>
              </w:rPr>
              <w:fldChar w:fldCharType="separate"/>
            </w:r>
            <w:r w:rsidRPr="005B5171">
              <w:rPr>
                <w:rFonts w:ascii="Segoe UI" w:hAnsi="Segoe UI" w:cs="Segoe UI"/>
              </w:rPr>
              <w:t>9,555</w:t>
            </w:r>
            <w:r w:rsidRPr="005B5171">
              <w:rPr>
                <w:rFonts w:ascii="Segoe UI" w:hAnsi="Segoe UI" w:cs="Segoe UI"/>
              </w:rPr>
              <w:fldChar w:fldCharType="end"/>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6" w:type="dxa"/>
            <w:hideMark/>
          </w:tcPr>
          <w:p w:rsidR="005B5171" w:rsidRPr="005B5171" w:rsidRDefault="005B5171" w:rsidP="005B5171">
            <w:pPr>
              <w:rPr>
                <w:rFonts w:ascii="Segoe UI" w:hAnsi="Segoe UI" w:cs="Segoe UI"/>
              </w:rPr>
            </w:pPr>
            <w:r w:rsidRPr="005B5171">
              <w:rPr>
                <w:rFonts w:ascii="Segoe UI" w:hAnsi="Segoe UI" w:cs="Segoe UI"/>
              </w:rPr>
              <w:t>2011–12</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1,530</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2,085</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617</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35</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132</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=SUM(LEFT) </w:instrText>
            </w:r>
            <w:r w:rsidRPr="005B5171">
              <w:rPr>
                <w:rFonts w:ascii="Segoe UI" w:hAnsi="Segoe UI" w:cs="Segoe UI"/>
              </w:rPr>
              <w:fldChar w:fldCharType="separate"/>
            </w:r>
            <w:r w:rsidRPr="005B5171">
              <w:rPr>
                <w:rFonts w:ascii="Segoe UI" w:hAnsi="Segoe UI" w:cs="Segoe UI"/>
              </w:rPr>
              <w:t>4,399</w:t>
            </w:r>
            <w:r w:rsidRPr="005B5171">
              <w:rPr>
                <w:rFonts w:ascii="Segoe UI" w:hAnsi="Segoe UI" w:cs="Segoe UI"/>
              </w:rPr>
              <w:fldChar w:fldCharType="end"/>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6" w:type="dxa"/>
            <w:hideMark/>
          </w:tcPr>
          <w:p w:rsidR="005B5171" w:rsidRPr="005B5171" w:rsidRDefault="005B5171" w:rsidP="005B5171">
            <w:pPr>
              <w:rPr>
                <w:rFonts w:ascii="Segoe UI" w:hAnsi="Segoe UI" w:cs="Segoe UI"/>
              </w:rPr>
            </w:pPr>
            <w:r w:rsidRPr="005B5171">
              <w:rPr>
                <w:rFonts w:ascii="Segoe UI" w:hAnsi="Segoe UI" w:cs="Segoe UI"/>
              </w:rPr>
              <w:t>2012–13</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1,431</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1,328</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473</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99</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234</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=SUM(LEFT) </w:instrText>
            </w:r>
            <w:r w:rsidRPr="005B5171">
              <w:rPr>
                <w:rFonts w:ascii="Segoe UI" w:hAnsi="Segoe UI" w:cs="Segoe UI"/>
              </w:rPr>
              <w:fldChar w:fldCharType="separate"/>
            </w:r>
            <w:r w:rsidRPr="005B5171">
              <w:rPr>
                <w:rFonts w:ascii="Segoe UI" w:hAnsi="Segoe UI" w:cs="Segoe UI"/>
              </w:rPr>
              <w:t>3,565</w:t>
            </w:r>
            <w:r w:rsidRPr="005B5171">
              <w:rPr>
                <w:rFonts w:ascii="Segoe UI" w:hAnsi="Segoe UI" w:cs="Segoe UI"/>
              </w:rPr>
              <w:fldChar w:fldCharType="end"/>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6" w:type="dxa"/>
            <w:hideMark/>
          </w:tcPr>
          <w:p w:rsidR="005B5171" w:rsidRPr="005B5171" w:rsidRDefault="005B5171" w:rsidP="005B5171">
            <w:pPr>
              <w:rPr>
                <w:rFonts w:ascii="Segoe UI" w:hAnsi="Segoe UI" w:cs="Segoe UI"/>
              </w:rPr>
            </w:pPr>
            <w:r w:rsidRPr="005B5171">
              <w:rPr>
                <w:rFonts w:ascii="Segoe UI" w:hAnsi="Segoe UI" w:cs="Segoe UI"/>
              </w:rPr>
              <w:t>2013–14</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1,378</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1,150</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471</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168</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88</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=SUM(LEFT) </w:instrText>
            </w:r>
            <w:r w:rsidRPr="005B5171">
              <w:rPr>
                <w:rFonts w:ascii="Segoe UI" w:hAnsi="Segoe UI" w:cs="Segoe UI"/>
              </w:rPr>
              <w:fldChar w:fldCharType="separate"/>
            </w:r>
            <w:r w:rsidRPr="005B5171">
              <w:rPr>
                <w:rFonts w:ascii="Segoe UI" w:hAnsi="Segoe UI" w:cs="Segoe UI"/>
              </w:rPr>
              <w:t>3,255</w:t>
            </w:r>
            <w:r w:rsidRPr="005B5171">
              <w:rPr>
                <w:rFonts w:ascii="Segoe UI" w:hAnsi="Segoe UI" w:cs="Segoe UI"/>
              </w:rPr>
              <w:fldChar w:fldCharType="end"/>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6" w:type="dxa"/>
            <w:hideMark/>
          </w:tcPr>
          <w:p w:rsidR="005B5171" w:rsidRPr="005B5171" w:rsidRDefault="005B5171" w:rsidP="005B5171">
            <w:pPr>
              <w:rPr>
                <w:rFonts w:ascii="Segoe UI" w:hAnsi="Segoe UI" w:cs="Segoe UI"/>
              </w:rPr>
            </w:pPr>
            <w:r w:rsidRPr="005B5171">
              <w:rPr>
                <w:rFonts w:ascii="Segoe UI" w:hAnsi="Segoe UI" w:cs="Segoe UI"/>
              </w:rPr>
              <w:t>2014–15</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1,538</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995</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433</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65</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136</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=SUM(LEFT) </w:instrText>
            </w:r>
            <w:r w:rsidRPr="005B5171">
              <w:rPr>
                <w:rFonts w:ascii="Segoe UI" w:hAnsi="Segoe UI" w:cs="Segoe UI"/>
              </w:rPr>
              <w:fldChar w:fldCharType="separate"/>
            </w:r>
            <w:r w:rsidRPr="005B5171">
              <w:rPr>
                <w:rFonts w:ascii="Segoe UI" w:hAnsi="Segoe UI" w:cs="Segoe UI"/>
              </w:rPr>
              <w:t>3,167</w:t>
            </w:r>
            <w:r w:rsidRPr="005B5171">
              <w:rPr>
                <w:rFonts w:ascii="Segoe UI" w:hAnsi="Segoe UI" w:cs="Segoe UI"/>
              </w:rPr>
              <w:fldChar w:fldCharType="end"/>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6" w:type="dxa"/>
            <w:hideMark/>
          </w:tcPr>
          <w:p w:rsidR="005B5171" w:rsidRPr="005B5171" w:rsidRDefault="005B5171" w:rsidP="005B5171">
            <w:pPr>
              <w:rPr>
                <w:rFonts w:ascii="Segoe UI" w:hAnsi="Segoe UI" w:cs="Segoe UI"/>
              </w:rPr>
            </w:pPr>
            <w:r w:rsidRPr="005B5171">
              <w:rPr>
                <w:rFonts w:ascii="Segoe UI" w:hAnsi="Segoe UI" w:cs="Segoe UI"/>
              </w:rPr>
              <w:t>2015–16</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1,657</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658</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490</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114</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641</w:t>
            </w:r>
          </w:p>
        </w:tc>
        <w:tc>
          <w:tcPr>
            <w:tcW w:w="115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=SUM(LEFT) </w:instrText>
            </w:r>
            <w:r w:rsidRPr="005B5171">
              <w:rPr>
                <w:rFonts w:ascii="Segoe UI" w:hAnsi="Segoe UI" w:cs="Segoe UI"/>
              </w:rPr>
              <w:fldChar w:fldCharType="separate"/>
            </w:r>
            <w:r w:rsidRPr="005B5171">
              <w:rPr>
                <w:rFonts w:ascii="Segoe UI" w:hAnsi="Segoe UI" w:cs="Segoe UI"/>
              </w:rPr>
              <w:t>3,560</w:t>
            </w:r>
            <w:r w:rsidRPr="005B5171">
              <w:rPr>
                <w:rFonts w:ascii="Segoe UI" w:hAnsi="Segoe UI" w:cs="Segoe UI"/>
              </w:rPr>
              <w:fldChar w:fldCharType="end"/>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6" w:type="dxa"/>
            <w:hideMark/>
          </w:tcPr>
          <w:p w:rsidR="005B5171" w:rsidRPr="005B5171" w:rsidRDefault="005B5171" w:rsidP="005B5171">
            <w:pPr>
              <w:rPr>
                <w:rFonts w:ascii="Segoe UI" w:hAnsi="Segoe UI" w:cs="Segoe UI"/>
              </w:rPr>
            </w:pPr>
            <w:r w:rsidRPr="005B5171">
              <w:rPr>
                <w:rFonts w:ascii="Segoe UI" w:hAnsi="Segoe UI" w:cs="Segoe UI"/>
              </w:rPr>
              <w:t>2016–17</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1,446</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724</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680</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136</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461</w:t>
            </w:r>
          </w:p>
        </w:tc>
        <w:tc>
          <w:tcPr>
            <w:tcW w:w="115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=SUM(LEFT) </w:instrText>
            </w:r>
            <w:r w:rsidRPr="005B5171">
              <w:rPr>
                <w:rFonts w:ascii="Segoe UI" w:hAnsi="Segoe UI" w:cs="Segoe UI"/>
              </w:rPr>
              <w:fldChar w:fldCharType="separate"/>
            </w:r>
            <w:r w:rsidRPr="005B5171">
              <w:rPr>
                <w:rFonts w:ascii="Segoe UI" w:hAnsi="Segoe UI" w:cs="Segoe UI"/>
              </w:rPr>
              <w:t>3,447</w:t>
            </w:r>
            <w:r w:rsidRPr="005B5171">
              <w:rPr>
                <w:rFonts w:ascii="Segoe UI" w:hAnsi="Segoe UI" w:cs="Segoe UI"/>
              </w:rPr>
              <w:fldChar w:fldCharType="end"/>
            </w:r>
          </w:p>
        </w:tc>
      </w:tr>
      <w:tr w:rsidR="005B5171" w:rsidRPr="005B5171" w:rsidTr="000B1EFD">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6" w:type="dxa"/>
            <w:hideMark/>
          </w:tcPr>
          <w:p w:rsidR="005B5171" w:rsidRPr="005B5171" w:rsidRDefault="005B5171" w:rsidP="005B5171">
            <w:pPr>
              <w:rPr>
                <w:rFonts w:ascii="Segoe UI" w:hAnsi="Segoe UI" w:cs="Segoe UI"/>
              </w:rPr>
            </w:pPr>
            <w:r w:rsidRPr="005B5171">
              <w:rPr>
                <w:rFonts w:ascii="Segoe UI" w:hAnsi="Segoe UI" w:cs="Segoe UI"/>
              </w:rPr>
              <w:t>Total</w:t>
            </w:r>
          </w:p>
        </w:tc>
        <w:tc>
          <w:tcPr>
            <w:tcW w:w="1157"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20,467</w:t>
            </w:r>
          </w:p>
        </w:tc>
        <w:tc>
          <w:tcPr>
            <w:tcW w:w="1157"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26,846</w:t>
            </w:r>
          </w:p>
        </w:tc>
        <w:tc>
          <w:tcPr>
            <w:tcW w:w="1157"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9,917</w:t>
            </w:r>
          </w:p>
        </w:tc>
        <w:tc>
          <w:tcPr>
            <w:tcW w:w="1157"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2,797</w:t>
            </w:r>
          </w:p>
        </w:tc>
        <w:tc>
          <w:tcPr>
            <w:tcW w:w="1157"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8,105</w:t>
            </w:r>
          </w:p>
        </w:tc>
        <w:tc>
          <w:tcPr>
            <w:tcW w:w="1157"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=SUM(LEFT) </w:instrText>
            </w:r>
            <w:r w:rsidRPr="005B5171">
              <w:rPr>
                <w:rFonts w:ascii="Segoe UI" w:hAnsi="Segoe UI" w:cs="Segoe UI"/>
              </w:rPr>
              <w:fldChar w:fldCharType="separate"/>
            </w:r>
            <w:r w:rsidRPr="005B5171">
              <w:rPr>
                <w:rFonts w:ascii="Segoe UI" w:hAnsi="Segoe UI" w:cs="Segoe UI"/>
              </w:rPr>
              <w:t>68,132</w:t>
            </w:r>
            <w:r w:rsidRPr="005B5171">
              <w:rPr>
                <w:rFonts w:ascii="Segoe UI" w:hAnsi="Segoe UI" w:cs="Segoe UI"/>
              </w:rPr>
              <w:fldChar w:fldCharType="end"/>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Data source: DELWP corporate library Lastlog100 layer</w:t>
      </w:r>
    </w:p>
    <w:bookmarkStart w:id="22" w:name="_Hlk7694513"/>
    <w:p w:rsidR="005B5171" w:rsidRPr="005B5171" w:rsidRDefault="005B5171" w:rsidP="005B5171">
      <w:pPr>
        <w:jc w:val="both"/>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REF _Ref11758306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62</w:t>
      </w:r>
      <w:r w:rsidRPr="005B5171">
        <w:rPr>
          <w:rFonts w:ascii="Segoe UI" w:hAnsi="Segoe UI" w:cs="Segoe UI"/>
        </w:rPr>
        <w:fldChar w:fldCharType="end"/>
      </w:r>
      <w:r w:rsidRPr="005B5171">
        <w:rPr>
          <w:rFonts w:ascii="Segoe UI" w:hAnsi="Segoe UI" w:cs="Segoe UI"/>
        </w:rPr>
        <w:t xml:space="preserve"> to </w:t>
      </w:r>
      <w:r w:rsidRPr="005B5171">
        <w:rPr>
          <w:rFonts w:ascii="Segoe UI" w:hAnsi="Segoe UI" w:cs="Segoe UI"/>
        </w:rPr>
        <w:fldChar w:fldCharType="begin"/>
      </w:r>
      <w:r w:rsidRPr="005B5171">
        <w:rPr>
          <w:rFonts w:ascii="Segoe UI" w:hAnsi="Segoe UI" w:cs="Segoe UI"/>
        </w:rPr>
        <w:instrText xml:space="preserve"> REF _Ref11758404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66</w:t>
      </w:r>
      <w:r w:rsidRPr="005B5171">
        <w:rPr>
          <w:rFonts w:ascii="Segoe UI" w:hAnsi="Segoe UI" w:cs="Segoe UI"/>
        </w:rPr>
        <w:fldChar w:fldCharType="end"/>
      </w:r>
      <w:r w:rsidRPr="005B5171">
        <w:rPr>
          <w:rFonts w:ascii="Segoe UI" w:hAnsi="Segoe UI" w:cs="Segoe UI"/>
        </w:rPr>
        <w:t xml:space="preserve"> show net area harvested by regime type for each of the five RFA areas. The harvesting regimes have been consolidated from wider-range harvesting categories – for example, </w:t>
      </w:r>
      <w:proofErr w:type="spellStart"/>
      <w:r w:rsidRPr="005B5171">
        <w:rPr>
          <w:rFonts w:ascii="Segoe UI" w:hAnsi="Segoe UI" w:cs="Segoe UI"/>
        </w:rPr>
        <w:t>Clearfelling</w:t>
      </w:r>
      <w:proofErr w:type="spellEnd"/>
      <w:r w:rsidRPr="005B5171">
        <w:rPr>
          <w:rFonts w:ascii="Segoe UI" w:hAnsi="Segoe UI" w:cs="Segoe UI"/>
        </w:rPr>
        <w:t xml:space="preserve"> includes the Regrowth Retention Harvesting (RRH) method (</w:t>
      </w:r>
      <w:proofErr w:type="spellStart"/>
      <w:r w:rsidRPr="005B5171">
        <w:rPr>
          <w:rFonts w:ascii="Segoe UI" w:hAnsi="Segoe UI" w:cs="Segoe UI"/>
        </w:rPr>
        <w:t>VicForests</w:t>
      </w:r>
      <w:proofErr w:type="spellEnd"/>
      <w:r w:rsidRPr="005B5171">
        <w:rPr>
          <w:rFonts w:ascii="Segoe UI" w:hAnsi="Segoe UI" w:cs="Segoe UI"/>
        </w:rPr>
        <w:t xml:space="preserve"> n.d.). Salvage regimes involve the recovery of wood products from forest that has been severely affected by a natural event, usually a large fire. Selection regimes involve the harvest of individual or small clumps of trees from a much broader area, so net harvested areas may not accurately reflect the amount of wood products harvested in these systems. Other harvesting includes firewood cutting, road construction and other seldom-used techniques. As described elsewhere, there has been a general decrease in harvesting area in the data period, reflecting changing resource availability.</w:t>
      </w:r>
    </w:p>
    <w:p w:rsidR="005B5171" w:rsidRPr="005B5171" w:rsidRDefault="005B5171" w:rsidP="005B5171">
      <w:pPr>
        <w:rPr>
          <w:rFonts w:ascii="Segoe UI" w:hAnsi="Segoe UI" w:cs="Segoe UI"/>
        </w:rPr>
      </w:pPr>
      <w:r w:rsidRPr="005B5171">
        <w:rPr>
          <w:rFonts w:ascii="Segoe UI" w:hAnsi="Segoe UI" w:cs="Segoe UI"/>
        </w:rPr>
        <w:br w:type="page"/>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 xml:space="preserve">Central Highlands </w:t>
      </w:r>
      <w:r w:rsidRPr="005B5171">
        <w:rPr>
          <w:rFonts w:ascii="Segoe UI" w:eastAsia="STZhongsong" w:hAnsi="Segoe UI" w:cs="Majalla UI"/>
          <w:i/>
          <w:color w:val="13345C"/>
          <w:lang w:eastAsia="en-AU"/>
        </w:rPr>
        <w:t>RFA</w:t>
      </w:r>
    </w:p>
    <w:p w:rsidR="005B5171" w:rsidRPr="005B5171" w:rsidRDefault="005B5171" w:rsidP="005B5171">
      <w:pPr>
        <w:jc w:val="both"/>
        <w:rPr>
          <w:rFonts w:ascii="Segoe UI" w:hAnsi="Segoe UI" w:cs="Segoe UI"/>
        </w:rPr>
      </w:pPr>
      <w:bookmarkStart w:id="23" w:name="_Hlk7772905"/>
      <w:r w:rsidRPr="005B5171">
        <w:rPr>
          <w:rFonts w:ascii="Segoe UI" w:hAnsi="Segoe UI" w:cs="Segoe UI"/>
        </w:rPr>
        <w:t>The Central Highlands RFA has shown a relatively stable level of harvesting area over the reporting period, with notable increases in 2007–08, and 2009–10, mostly attributable to increased salvage logging following landscape-level bush fires in the previous fire season.</w:t>
      </w:r>
    </w:p>
    <w:p w:rsidR="005B5171" w:rsidRPr="005B5171" w:rsidRDefault="005B5171" w:rsidP="005B5171">
      <w:pPr>
        <w:spacing w:after="200" w:line="240" w:lineRule="auto"/>
        <w:rPr>
          <w:rFonts w:ascii="Segoe UI Semibold" w:eastAsia="Times New Roman" w:hAnsi="Segoe UI Semibold" w:cs="Times New Roman"/>
          <w:color w:val="016295"/>
        </w:rPr>
      </w:pPr>
      <w:bookmarkStart w:id="24" w:name="_Ref11758306"/>
      <w:bookmarkStart w:id="25" w:name="_Toc25660844"/>
      <w:bookmarkEnd w:id="22"/>
      <w:bookmarkEnd w:id="23"/>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62</w:t>
      </w:r>
      <w:r w:rsidRPr="005B5171">
        <w:rPr>
          <w:rFonts w:ascii="Segoe UI Semibold" w:eastAsia="Times New Roman" w:hAnsi="Segoe UI Semibold" w:cs="Times New Roman"/>
          <w:noProof/>
          <w:color w:val="016295"/>
        </w:rPr>
        <w:fldChar w:fldCharType="end"/>
      </w:r>
      <w:bookmarkEnd w:id="24"/>
      <w:r w:rsidRPr="005B5171">
        <w:rPr>
          <w:rFonts w:ascii="Segoe UI Semibold" w:eastAsia="Times New Roman" w:hAnsi="Segoe UI Semibold" w:cs="Times New Roman"/>
          <w:color w:val="016295"/>
        </w:rPr>
        <w:t>: Net area harvested by regime, Central Highlands RFA, 2004–05 to 2016–17</w:t>
      </w:r>
      <w:bookmarkEnd w:id="25"/>
      <w:r w:rsidRPr="005B5171">
        <w:rPr>
          <w:rFonts w:ascii="Segoe UI Semibold" w:eastAsia="Times New Roman" w:hAnsi="Segoe UI Semibold" w:cs="Times New Roman"/>
          <w:color w:val="016295"/>
        </w:rPr>
        <w:t xml:space="preserve"> (area ha) </w:t>
      </w:r>
    </w:p>
    <w:tbl>
      <w:tblPr>
        <w:tblStyle w:val="xTable1"/>
        <w:tblW w:w="0" w:type="auto"/>
        <w:tblLayout w:type="fixed"/>
        <w:tblLook w:val="04E0" w:firstRow="1" w:lastRow="1" w:firstColumn="1" w:lastColumn="0" w:noHBand="0" w:noVBand="1"/>
      </w:tblPr>
      <w:tblGrid>
        <w:gridCol w:w="993"/>
        <w:gridCol w:w="1269"/>
        <w:gridCol w:w="1131"/>
        <w:gridCol w:w="1132"/>
        <w:gridCol w:w="1131"/>
        <w:gridCol w:w="1131"/>
        <w:gridCol w:w="1131"/>
        <w:gridCol w:w="1132"/>
      </w:tblGrid>
      <w:tr w:rsidR="005B5171" w:rsidRPr="005B5171" w:rsidTr="000B1EF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Season</w:t>
            </w:r>
          </w:p>
        </w:tc>
        <w:tc>
          <w:tcPr>
            <w:tcW w:w="1269"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proofErr w:type="spellStart"/>
            <w:r w:rsidRPr="005B5171">
              <w:rPr>
                <w:rFonts w:ascii="Segoe UI" w:hAnsi="Segoe UI" w:cs="Segoe UI"/>
              </w:rPr>
              <w:t>Clearfelling</w:t>
            </w:r>
            <w:proofErr w:type="spellEnd"/>
          </w:p>
        </w:tc>
        <w:tc>
          <w:tcPr>
            <w:tcW w:w="1131"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Salvage</w:t>
            </w:r>
          </w:p>
        </w:tc>
        <w:tc>
          <w:tcPr>
            <w:tcW w:w="1132"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Seed Tree</w:t>
            </w:r>
          </w:p>
        </w:tc>
        <w:tc>
          <w:tcPr>
            <w:tcW w:w="1131"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Selection</w:t>
            </w:r>
          </w:p>
        </w:tc>
        <w:tc>
          <w:tcPr>
            <w:tcW w:w="1131"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Thinning</w:t>
            </w:r>
          </w:p>
        </w:tc>
        <w:tc>
          <w:tcPr>
            <w:tcW w:w="1131"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Other/</w:t>
            </w:r>
            <w:r w:rsidRPr="005B5171">
              <w:rPr>
                <w:rFonts w:ascii="Segoe UI" w:hAnsi="Segoe UI" w:cs="Segoe UI"/>
              </w:rPr>
              <w:br/>
              <w:t>unknown</w:t>
            </w:r>
          </w:p>
        </w:tc>
        <w:tc>
          <w:tcPr>
            <w:tcW w:w="1132"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Total</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2004–05</w:t>
            </w:r>
          </w:p>
        </w:tc>
        <w:tc>
          <w:tcPr>
            <w:tcW w:w="1269"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1,085</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241</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85</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37</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1,447</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2005–06</w:t>
            </w:r>
          </w:p>
        </w:tc>
        <w:tc>
          <w:tcPr>
            <w:tcW w:w="1269"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933</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272</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247</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7</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1,459</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2006–07</w:t>
            </w:r>
          </w:p>
        </w:tc>
        <w:tc>
          <w:tcPr>
            <w:tcW w:w="1269"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742</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4</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206</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190</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8</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1,151</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2007–08</w:t>
            </w:r>
          </w:p>
        </w:tc>
        <w:tc>
          <w:tcPr>
            <w:tcW w:w="1269"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761</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164</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178</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247</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449</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10</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1,810</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2008–09</w:t>
            </w:r>
          </w:p>
        </w:tc>
        <w:tc>
          <w:tcPr>
            <w:tcW w:w="1269"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718</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376</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137</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192</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1,423</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2009–10</w:t>
            </w:r>
          </w:p>
        </w:tc>
        <w:tc>
          <w:tcPr>
            <w:tcW w:w="1269"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663</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1,569</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145</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108</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2,486</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2010–11</w:t>
            </w:r>
          </w:p>
        </w:tc>
        <w:tc>
          <w:tcPr>
            <w:tcW w:w="1269"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577</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839</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272</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23</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1,712</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2011–12</w:t>
            </w:r>
          </w:p>
        </w:tc>
        <w:tc>
          <w:tcPr>
            <w:tcW w:w="1269"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988</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81</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389</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70</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1,530</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2012–13</w:t>
            </w:r>
          </w:p>
        </w:tc>
        <w:tc>
          <w:tcPr>
            <w:tcW w:w="1269"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1,027</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274</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129</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1,431</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2013–14</w:t>
            </w:r>
          </w:p>
        </w:tc>
        <w:tc>
          <w:tcPr>
            <w:tcW w:w="1269"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980</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331</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50</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17</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1,378</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2014–15</w:t>
            </w:r>
          </w:p>
        </w:tc>
        <w:tc>
          <w:tcPr>
            <w:tcW w:w="1269"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1,179</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6</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345</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8</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1,538</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2015–16</w:t>
            </w:r>
          </w:p>
        </w:tc>
        <w:tc>
          <w:tcPr>
            <w:tcW w:w="1269"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1,184</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473</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1,657</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2016–17</w:t>
            </w:r>
          </w:p>
        </w:tc>
        <w:tc>
          <w:tcPr>
            <w:tcW w:w="1269"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860</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12</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552</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21</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w:t>
            </w:r>
          </w:p>
        </w:tc>
        <w:tc>
          <w:tcPr>
            <w:tcW w:w="11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1,446</w:t>
            </w:r>
          </w:p>
        </w:tc>
      </w:tr>
      <w:tr w:rsidR="005B5171" w:rsidRPr="005B5171" w:rsidTr="000B1EFD">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Total</w:t>
            </w:r>
          </w:p>
        </w:tc>
        <w:tc>
          <w:tcPr>
            <w:tcW w:w="1269" w:type="dxa"/>
            <w:vAlign w:val="center"/>
            <w:hideMark/>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11,696</w:t>
            </w:r>
          </w:p>
        </w:tc>
        <w:tc>
          <w:tcPr>
            <w:tcW w:w="1131" w:type="dxa"/>
            <w:vAlign w:val="center"/>
            <w:hideMark/>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3,051</w:t>
            </w:r>
          </w:p>
        </w:tc>
        <w:tc>
          <w:tcPr>
            <w:tcW w:w="1132" w:type="dxa"/>
            <w:vAlign w:val="center"/>
            <w:hideMark/>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3,815</w:t>
            </w:r>
          </w:p>
        </w:tc>
        <w:tc>
          <w:tcPr>
            <w:tcW w:w="1131" w:type="dxa"/>
            <w:vAlign w:val="center"/>
            <w:hideMark/>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276</w:t>
            </w:r>
          </w:p>
        </w:tc>
        <w:tc>
          <w:tcPr>
            <w:tcW w:w="1131" w:type="dxa"/>
            <w:vAlign w:val="center"/>
            <w:hideMark/>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1,544</w:t>
            </w:r>
          </w:p>
        </w:tc>
        <w:tc>
          <w:tcPr>
            <w:tcW w:w="1131" w:type="dxa"/>
            <w:vAlign w:val="center"/>
            <w:hideMark/>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85</w:t>
            </w:r>
          </w:p>
        </w:tc>
        <w:tc>
          <w:tcPr>
            <w:tcW w:w="1132" w:type="dxa"/>
            <w:vAlign w:val="center"/>
            <w:hideMark/>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20,467</w:t>
            </w:r>
          </w:p>
        </w:tc>
      </w:tr>
    </w:tbl>
    <w:p w:rsidR="0070586C" w:rsidRDefault="0070586C" w:rsidP="005B5171">
      <w:pPr>
        <w:tabs>
          <w:tab w:val="left" w:pos="426"/>
        </w:tabs>
        <w:spacing w:before="80"/>
        <w:contextualSpacing/>
        <w:rPr>
          <w:rFonts w:ascii="Segoe UI" w:eastAsia="STZhongsong" w:hAnsi="Segoe UI" w:cs="Segoe UI"/>
          <w:bCs/>
          <w:sz w:val="18"/>
          <w:szCs w:val="18"/>
          <w:lang w:eastAsia="ko-KR"/>
        </w:rPr>
      </w:pPr>
    </w:p>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Notes:</w:t>
      </w:r>
    </w:p>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Clear fall = </w:t>
      </w:r>
      <w:proofErr w:type="spellStart"/>
      <w:r w:rsidRPr="005B5171">
        <w:rPr>
          <w:rFonts w:ascii="Segoe UI" w:eastAsia="STZhongsong" w:hAnsi="Segoe UI" w:cs="Segoe UI"/>
          <w:bCs/>
          <w:sz w:val="18"/>
          <w:szCs w:val="18"/>
          <w:lang w:eastAsia="ko-KR"/>
        </w:rPr>
        <w:t>Clearfelling</w:t>
      </w:r>
      <w:proofErr w:type="spellEnd"/>
      <w:r w:rsidRPr="005B5171">
        <w:rPr>
          <w:rFonts w:ascii="Segoe UI" w:eastAsia="STZhongsong" w:hAnsi="Segoe UI" w:cs="Segoe UI"/>
          <w:bCs/>
          <w:sz w:val="18"/>
          <w:szCs w:val="18"/>
          <w:lang w:eastAsia="ko-KR"/>
        </w:rPr>
        <w:t xml:space="preserve">, Regrowth Retention Harvesting. Salvage = </w:t>
      </w:r>
      <w:proofErr w:type="spellStart"/>
      <w:r w:rsidRPr="005B5171">
        <w:rPr>
          <w:rFonts w:ascii="Segoe UI" w:eastAsia="STZhongsong" w:hAnsi="Segoe UI" w:cs="Segoe UI"/>
          <w:bCs/>
          <w:sz w:val="18"/>
          <w:szCs w:val="18"/>
          <w:lang w:eastAsia="ko-KR"/>
        </w:rPr>
        <w:t>Clearfelling</w:t>
      </w:r>
      <w:proofErr w:type="spellEnd"/>
      <w:r w:rsidRPr="005B5171">
        <w:rPr>
          <w:rFonts w:ascii="Segoe UI" w:eastAsia="STZhongsong" w:hAnsi="Segoe UI" w:cs="Segoe UI"/>
          <w:bCs/>
          <w:sz w:val="18"/>
          <w:szCs w:val="18"/>
          <w:lang w:eastAsia="ko-KR"/>
        </w:rPr>
        <w:t xml:space="preserve"> salvage. Selection = Group (or Gap) Selection, Single Tree Selection. Seed tree = Seed Tree (includes retained </w:t>
      </w:r>
      <w:proofErr w:type="spellStart"/>
      <w:r w:rsidRPr="005B5171">
        <w:rPr>
          <w:rFonts w:ascii="Segoe UI" w:eastAsia="STZhongsong" w:hAnsi="Segoe UI" w:cs="Segoe UI"/>
          <w:bCs/>
          <w:sz w:val="18"/>
          <w:szCs w:val="18"/>
          <w:lang w:eastAsia="ko-KR"/>
        </w:rPr>
        <w:t>overwood</w:t>
      </w:r>
      <w:proofErr w:type="spellEnd"/>
      <w:r w:rsidRPr="005B5171">
        <w:rPr>
          <w:rFonts w:ascii="Segoe UI" w:eastAsia="STZhongsong" w:hAnsi="Segoe UI" w:cs="Segoe UI"/>
          <w:bCs/>
          <w:sz w:val="18"/>
          <w:szCs w:val="18"/>
          <w:lang w:eastAsia="ko-KR"/>
        </w:rPr>
        <w:t>). Thinning = Thinning from Above, Thinning from Below. Other = Reforestation harvesting, Road Alignment - Construction, Road Alignment - Improvement, dangerous tree removal, firewood fallen, unknown, blanks.</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Data source: DELWP corporate library Lastlog100 layer</w:t>
      </w:r>
      <w:r w:rsidRPr="005B5171">
        <w:rPr>
          <w:rFonts w:ascii="Segoe UI" w:eastAsia="STZhongsong" w:hAnsi="Segoe UI" w:cs="Segoe UI"/>
          <w:bCs/>
          <w:sz w:val="18"/>
          <w:szCs w:val="18"/>
          <w:lang w:eastAsia="ko-KR"/>
        </w:rPr>
        <w:br/>
      </w:r>
    </w:p>
    <w:p w:rsidR="005B5171" w:rsidRPr="005B5171" w:rsidRDefault="005B5171" w:rsidP="005B5171">
      <w:pPr>
        <w:rPr>
          <w:rFonts w:ascii="Segoe UI" w:eastAsia="STZhongsong" w:hAnsi="Segoe UI" w:cs="Segoe UI"/>
          <w:bCs/>
          <w:sz w:val="18"/>
          <w:szCs w:val="18"/>
          <w:lang w:eastAsia="ko-KR"/>
        </w:rPr>
      </w:pPr>
      <w:r w:rsidRPr="005B5171">
        <w:rPr>
          <w:rFonts w:ascii="Segoe UI" w:hAnsi="Segoe UI" w:cs="Segoe UI"/>
        </w:rPr>
        <w:br w:type="page"/>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 xml:space="preserve">East Gippsland </w:t>
      </w:r>
      <w:r w:rsidRPr="005B5171">
        <w:rPr>
          <w:rFonts w:ascii="Segoe UI" w:eastAsia="STZhongsong" w:hAnsi="Segoe UI" w:cs="Majalla UI"/>
          <w:i/>
          <w:color w:val="13345C"/>
          <w:lang w:eastAsia="en-AU"/>
        </w:rPr>
        <w:t>RFA</w:t>
      </w:r>
    </w:p>
    <w:p w:rsidR="005B5171" w:rsidRPr="005B5171" w:rsidRDefault="005B5171" w:rsidP="005B5171">
      <w:pPr>
        <w:jc w:val="both"/>
        <w:rPr>
          <w:rFonts w:ascii="Segoe UI" w:hAnsi="Segoe UI" w:cs="Segoe UI"/>
        </w:rPr>
      </w:pPr>
      <w:bookmarkStart w:id="26" w:name="_Hlk18654382"/>
      <w:r w:rsidRPr="005B5171">
        <w:rPr>
          <w:rFonts w:ascii="Segoe UI" w:hAnsi="Segoe UI" w:cs="Segoe UI"/>
        </w:rPr>
        <w:t xml:space="preserve">Data from East Gippsland shows a progressive decline in harvested area. The reduction in available markets, particularly for pulp logs, has contributed to this decline, affecting the viability of several sawmills and precipitating their closure in some cases. This was reflected in the revision of </w:t>
      </w:r>
      <w:proofErr w:type="spellStart"/>
      <w:r w:rsidRPr="005B5171">
        <w:rPr>
          <w:rFonts w:ascii="Segoe UI" w:hAnsi="Segoe UI" w:cs="Segoe UI"/>
        </w:rPr>
        <w:t>VicForests</w:t>
      </w:r>
      <w:proofErr w:type="spellEnd"/>
      <w:r w:rsidRPr="005B5171">
        <w:rPr>
          <w:rFonts w:ascii="Segoe UI" w:hAnsi="Segoe UI" w:cs="Segoe UI"/>
        </w:rPr>
        <w:t>’ Resource Outlook, which has reduced the amount of timber available for harvesting in East Gippsland.</w:t>
      </w:r>
    </w:p>
    <w:p w:rsidR="005B5171" w:rsidRPr="005B5171" w:rsidRDefault="005B5171" w:rsidP="005B5171">
      <w:pPr>
        <w:spacing w:after="200" w:line="240" w:lineRule="auto"/>
        <w:rPr>
          <w:rFonts w:ascii="Segoe UI Semibold" w:eastAsia="Times New Roman" w:hAnsi="Segoe UI Semibold" w:cs="Times New Roman"/>
          <w:color w:val="016295"/>
        </w:rPr>
      </w:pPr>
      <w:bookmarkStart w:id="27" w:name="_Toc25660845"/>
      <w:bookmarkEnd w:id="26"/>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63</w:t>
      </w:r>
      <w:r w:rsidRPr="005B5171">
        <w:rPr>
          <w:rFonts w:ascii="Segoe UI Semibold" w:eastAsia="Times New Roman" w:hAnsi="Segoe UI Semibold" w:cs="Times New Roman"/>
          <w:noProof/>
          <w:color w:val="016295"/>
        </w:rPr>
        <w:fldChar w:fldCharType="end"/>
      </w:r>
      <w:r w:rsidRPr="005B5171">
        <w:rPr>
          <w:rFonts w:ascii="Segoe UI Semibold" w:eastAsia="Times New Roman" w:hAnsi="Segoe UI Semibold" w:cs="Times New Roman"/>
          <w:color w:val="016295"/>
        </w:rPr>
        <w:t>: Net area harvested by regime, East Gippsland RFA, 2004–05 to 2016–17</w:t>
      </w:r>
      <w:bookmarkEnd w:id="27"/>
      <w:r w:rsidRPr="005B5171">
        <w:rPr>
          <w:rFonts w:ascii="Segoe UI Semibold" w:eastAsia="Times New Roman" w:hAnsi="Segoe UI Semibold" w:cs="Times New Roman"/>
          <w:color w:val="016295"/>
        </w:rPr>
        <w:t xml:space="preserve"> (area ha)</w:t>
      </w:r>
    </w:p>
    <w:tbl>
      <w:tblPr>
        <w:tblStyle w:val="xTable1"/>
        <w:tblW w:w="9062" w:type="dxa"/>
        <w:tblLayout w:type="fixed"/>
        <w:tblLook w:val="04E0" w:firstRow="1" w:lastRow="1" w:firstColumn="1" w:lastColumn="0" w:noHBand="0" w:noVBand="1"/>
      </w:tblPr>
      <w:tblGrid>
        <w:gridCol w:w="993"/>
        <w:gridCol w:w="1272"/>
        <w:gridCol w:w="1133"/>
        <w:gridCol w:w="1133"/>
        <w:gridCol w:w="1132"/>
        <w:gridCol w:w="1133"/>
        <w:gridCol w:w="1133"/>
        <w:gridCol w:w="1133"/>
      </w:tblGrid>
      <w:tr w:rsidR="005B5171" w:rsidRPr="005B5171" w:rsidTr="000B1EFD">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993" w:type="dxa"/>
            <w:hideMark/>
          </w:tcPr>
          <w:p w:rsidR="005B5171" w:rsidRPr="005B5171" w:rsidRDefault="005B5171" w:rsidP="005B5171">
            <w:pPr>
              <w:rPr>
                <w:rFonts w:ascii="Segoe UI" w:hAnsi="Segoe UI" w:cs="Segoe UI"/>
                <w:b/>
              </w:rPr>
            </w:pPr>
            <w:r w:rsidRPr="005B5171">
              <w:rPr>
                <w:rFonts w:ascii="Segoe UI" w:hAnsi="Segoe UI" w:cs="Segoe UI"/>
              </w:rPr>
              <w:t>Season</w:t>
            </w:r>
          </w:p>
        </w:tc>
        <w:tc>
          <w:tcPr>
            <w:tcW w:w="1272"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proofErr w:type="spellStart"/>
            <w:r w:rsidRPr="005B5171">
              <w:rPr>
                <w:rFonts w:ascii="Segoe UI" w:hAnsi="Segoe UI" w:cs="Segoe UI"/>
              </w:rPr>
              <w:t>Clearfelling</w:t>
            </w:r>
            <w:proofErr w:type="spellEnd"/>
          </w:p>
        </w:tc>
        <w:tc>
          <w:tcPr>
            <w:tcW w:w="0"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r w:rsidRPr="005B5171">
              <w:rPr>
                <w:rFonts w:ascii="Segoe UI" w:hAnsi="Segoe UI" w:cs="Segoe UI"/>
              </w:rPr>
              <w:t>Salvage</w:t>
            </w:r>
          </w:p>
        </w:tc>
        <w:tc>
          <w:tcPr>
            <w:tcW w:w="0"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r w:rsidRPr="005B5171">
              <w:rPr>
                <w:rFonts w:ascii="Segoe UI" w:hAnsi="Segoe UI" w:cs="Segoe UI"/>
              </w:rPr>
              <w:t>Selection</w:t>
            </w:r>
          </w:p>
        </w:tc>
        <w:tc>
          <w:tcPr>
            <w:tcW w:w="0"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r w:rsidRPr="005B5171">
              <w:rPr>
                <w:rFonts w:ascii="Segoe UI" w:hAnsi="Segoe UI" w:cs="Segoe UI"/>
              </w:rPr>
              <w:t>Seed Tree</w:t>
            </w:r>
          </w:p>
        </w:tc>
        <w:tc>
          <w:tcPr>
            <w:tcW w:w="0"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r w:rsidRPr="005B5171">
              <w:rPr>
                <w:rFonts w:ascii="Segoe UI" w:hAnsi="Segoe UI" w:cs="Segoe UI"/>
              </w:rPr>
              <w:t>Thinning</w:t>
            </w:r>
          </w:p>
        </w:tc>
        <w:tc>
          <w:tcPr>
            <w:tcW w:w="0"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r w:rsidRPr="005B5171">
              <w:rPr>
                <w:rFonts w:ascii="Segoe UI" w:hAnsi="Segoe UI" w:cs="Segoe UI"/>
              </w:rPr>
              <w:t>Other/</w:t>
            </w:r>
            <w:r w:rsidRPr="005B5171">
              <w:rPr>
                <w:rFonts w:ascii="Segoe UI" w:hAnsi="Segoe UI" w:cs="Segoe UI"/>
              </w:rPr>
              <w:br/>
              <w:t>unknown</w:t>
            </w:r>
          </w:p>
        </w:tc>
        <w:tc>
          <w:tcPr>
            <w:tcW w:w="0"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r w:rsidRPr="005B5171">
              <w:rPr>
                <w:rFonts w:ascii="Segoe UI" w:hAnsi="Segoe UI" w:cs="Segoe UI"/>
              </w:rPr>
              <w:t>Total</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2004–05</w:t>
            </w:r>
          </w:p>
        </w:tc>
        <w:tc>
          <w:tcPr>
            <w:tcW w:w="127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101</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2,311</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1,021</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23</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3,456</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2005–06</w:t>
            </w:r>
          </w:p>
        </w:tc>
        <w:tc>
          <w:tcPr>
            <w:tcW w:w="127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62</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2,084</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1,011</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3,157</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2006–07</w:t>
            </w:r>
          </w:p>
        </w:tc>
        <w:tc>
          <w:tcPr>
            <w:tcW w:w="127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86</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1,964</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863</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7</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2,920</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2007–08</w:t>
            </w:r>
          </w:p>
        </w:tc>
        <w:tc>
          <w:tcPr>
            <w:tcW w:w="127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27</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1,828</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842</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14</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2,735</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2008–09</w:t>
            </w:r>
          </w:p>
        </w:tc>
        <w:tc>
          <w:tcPr>
            <w:tcW w:w="127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9</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23</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26</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1,993</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674</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8</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2,732</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2009–10</w:t>
            </w:r>
          </w:p>
        </w:tc>
        <w:tc>
          <w:tcPr>
            <w:tcW w:w="127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1,711</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676</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2,387</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2010–11</w:t>
            </w:r>
          </w:p>
        </w:tc>
        <w:tc>
          <w:tcPr>
            <w:tcW w:w="127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326</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1,952</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152</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91</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2,521</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2011–12</w:t>
            </w:r>
          </w:p>
        </w:tc>
        <w:tc>
          <w:tcPr>
            <w:tcW w:w="127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33</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66</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1,576</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409</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2,085</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2012–13</w:t>
            </w:r>
          </w:p>
        </w:tc>
        <w:tc>
          <w:tcPr>
            <w:tcW w:w="127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235</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876</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215</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1,328</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2013–14</w:t>
            </w:r>
          </w:p>
        </w:tc>
        <w:tc>
          <w:tcPr>
            <w:tcW w:w="127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164</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824</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161</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1,150</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2014–15</w:t>
            </w:r>
          </w:p>
        </w:tc>
        <w:tc>
          <w:tcPr>
            <w:tcW w:w="127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18</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908</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65</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995</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2015–16</w:t>
            </w:r>
          </w:p>
        </w:tc>
        <w:tc>
          <w:tcPr>
            <w:tcW w:w="127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7</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629</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21</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658</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2016–17</w:t>
            </w:r>
          </w:p>
        </w:tc>
        <w:tc>
          <w:tcPr>
            <w:tcW w:w="127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658</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65</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724</w:t>
            </w:r>
          </w:p>
        </w:tc>
      </w:tr>
      <w:tr w:rsidR="005B5171" w:rsidRPr="005B5171" w:rsidTr="000B1EFD">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vAlign w:val="bottom"/>
            <w:hideMark/>
          </w:tcPr>
          <w:p w:rsidR="005B5171" w:rsidRPr="005B5171" w:rsidRDefault="005B5171" w:rsidP="005B5171">
            <w:pPr>
              <w:rPr>
                <w:rFonts w:ascii="Segoe UI" w:hAnsi="Segoe UI" w:cs="Segoe UI"/>
              </w:rPr>
            </w:pPr>
            <w:r w:rsidRPr="005B5171">
              <w:rPr>
                <w:rFonts w:ascii="Segoe UI" w:hAnsi="Segoe UI" w:cs="Segoe UI"/>
              </w:rPr>
              <w:t>Total</w:t>
            </w:r>
          </w:p>
        </w:tc>
        <w:tc>
          <w:tcPr>
            <w:tcW w:w="1272"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711</w:t>
            </w:r>
          </w:p>
        </w:tc>
        <w:tc>
          <w:tcPr>
            <w:tcW w:w="1133"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444</w:t>
            </w:r>
          </w:p>
        </w:tc>
        <w:tc>
          <w:tcPr>
            <w:tcW w:w="1133"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56</w:t>
            </w:r>
          </w:p>
        </w:tc>
        <w:tc>
          <w:tcPr>
            <w:tcW w:w="1132"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19,314</w:t>
            </w:r>
          </w:p>
        </w:tc>
        <w:tc>
          <w:tcPr>
            <w:tcW w:w="1133"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6,175</w:t>
            </w:r>
          </w:p>
        </w:tc>
        <w:tc>
          <w:tcPr>
            <w:tcW w:w="1133"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147</w:t>
            </w:r>
          </w:p>
        </w:tc>
        <w:tc>
          <w:tcPr>
            <w:tcW w:w="1133"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26,846</w:t>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Data source: DELWP corporate library Lastlog100 layer.</w:t>
      </w:r>
    </w:p>
    <w:p w:rsidR="005B5171" w:rsidRPr="005B5171" w:rsidRDefault="005B5171" w:rsidP="005B5171">
      <w:pPr>
        <w:rPr>
          <w:rFonts w:ascii="Segoe UI" w:eastAsia="STZhongsong" w:hAnsi="Segoe UI" w:cs="Segoe UI"/>
          <w:bCs/>
          <w:sz w:val="18"/>
          <w:szCs w:val="18"/>
          <w:lang w:eastAsia="ko-KR"/>
        </w:rPr>
      </w:pPr>
      <w:r w:rsidRPr="005B5171">
        <w:rPr>
          <w:rFonts w:ascii="Segoe UI" w:hAnsi="Segoe UI" w:cs="Segoe UI"/>
        </w:rPr>
        <w:br w:type="page"/>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 xml:space="preserve">Gippsland </w:t>
      </w:r>
      <w:r w:rsidRPr="005B5171">
        <w:rPr>
          <w:rFonts w:ascii="Segoe UI" w:eastAsia="STZhongsong" w:hAnsi="Segoe UI" w:cs="Majalla UI"/>
          <w:i/>
          <w:color w:val="13345C"/>
          <w:lang w:eastAsia="en-AU"/>
        </w:rPr>
        <w:t>RFA</w:t>
      </w:r>
    </w:p>
    <w:p w:rsidR="005B5171" w:rsidRPr="005B5171" w:rsidRDefault="005B5171" w:rsidP="005B5171">
      <w:pPr>
        <w:jc w:val="both"/>
        <w:rPr>
          <w:rFonts w:ascii="Segoe UI" w:hAnsi="Segoe UI" w:cs="Segoe UI"/>
        </w:rPr>
      </w:pPr>
      <w:r w:rsidRPr="005B5171">
        <w:rPr>
          <w:rFonts w:ascii="Segoe UI" w:hAnsi="Segoe UI" w:cs="Segoe UI"/>
        </w:rPr>
        <w:t xml:space="preserve">The Gippsland RFA area has seen an overall decline in harvesting area, with the exception of increases due to salvage logging in the period 2006–09. This reflects the review of </w:t>
      </w:r>
      <w:proofErr w:type="spellStart"/>
      <w:r w:rsidRPr="005B5171">
        <w:rPr>
          <w:rFonts w:ascii="Segoe UI" w:hAnsi="Segoe UI" w:cs="Segoe UI"/>
        </w:rPr>
        <w:t>VicForests</w:t>
      </w:r>
      <w:proofErr w:type="spellEnd"/>
      <w:r w:rsidRPr="005B5171">
        <w:rPr>
          <w:rFonts w:ascii="Segoe UI" w:hAnsi="Segoe UI" w:cs="Segoe UI"/>
        </w:rPr>
        <w:t>’ Resource Outlook, following the large bushfires of the 2000s.</w:t>
      </w:r>
    </w:p>
    <w:p w:rsidR="005B5171" w:rsidRPr="005B5171" w:rsidRDefault="005B5171" w:rsidP="005B5171">
      <w:pPr>
        <w:spacing w:after="200" w:line="240" w:lineRule="auto"/>
        <w:rPr>
          <w:rFonts w:ascii="Segoe UI Semibold" w:eastAsia="Times New Roman" w:hAnsi="Segoe UI Semibold" w:cs="Times New Roman"/>
          <w:color w:val="016295"/>
        </w:rPr>
      </w:pPr>
      <w:bookmarkStart w:id="28" w:name="_Ref14531570"/>
      <w:bookmarkStart w:id="29" w:name="_Toc25660846"/>
      <w:bookmarkStart w:id="30" w:name="_Hlk7767627"/>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64</w:t>
      </w:r>
      <w:r w:rsidRPr="005B5171">
        <w:rPr>
          <w:rFonts w:ascii="Segoe UI Semibold" w:eastAsia="Times New Roman" w:hAnsi="Segoe UI Semibold" w:cs="Times New Roman"/>
          <w:noProof/>
          <w:color w:val="016295"/>
        </w:rPr>
        <w:fldChar w:fldCharType="end"/>
      </w:r>
      <w:bookmarkEnd w:id="28"/>
      <w:r w:rsidRPr="005B5171">
        <w:rPr>
          <w:rFonts w:ascii="Segoe UI Semibold" w:eastAsia="Times New Roman" w:hAnsi="Segoe UI Semibold" w:cs="Times New Roman"/>
          <w:color w:val="016295"/>
        </w:rPr>
        <w:t>: Net area harvested by regime, Gippsland RFA, 2004–05 to 2016–17</w:t>
      </w:r>
      <w:bookmarkEnd w:id="29"/>
      <w:r w:rsidRPr="005B5171">
        <w:rPr>
          <w:rFonts w:ascii="Segoe UI Semibold" w:eastAsia="Times New Roman" w:hAnsi="Segoe UI Semibold" w:cs="Times New Roman"/>
          <w:color w:val="016295"/>
        </w:rPr>
        <w:t xml:space="preserve"> (area ha)</w:t>
      </w:r>
    </w:p>
    <w:tbl>
      <w:tblPr>
        <w:tblStyle w:val="xTable1"/>
        <w:tblW w:w="9101" w:type="dxa"/>
        <w:tblLayout w:type="fixed"/>
        <w:tblLook w:val="04A0" w:firstRow="1" w:lastRow="0" w:firstColumn="1" w:lastColumn="0" w:noHBand="0" w:noVBand="1"/>
      </w:tblPr>
      <w:tblGrid>
        <w:gridCol w:w="1137"/>
        <w:gridCol w:w="1138"/>
        <w:gridCol w:w="1137"/>
        <w:gridCol w:w="1138"/>
        <w:gridCol w:w="1138"/>
        <w:gridCol w:w="1137"/>
        <w:gridCol w:w="1138"/>
        <w:gridCol w:w="1138"/>
      </w:tblGrid>
      <w:tr w:rsidR="005B5171" w:rsidRPr="005B5171" w:rsidTr="000B1EF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137" w:type="dxa"/>
            <w:tcMar>
              <w:left w:w="57" w:type="dxa"/>
              <w:right w:w="57" w:type="dxa"/>
            </w:tcMar>
            <w:hideMark/>
          </w:tcPr>
          <w:bookmarkEnd w:id="30"/>
          <w:p w:rsidR="005B5171" w:rsidRPr="005B5171" w:rsidRDefault="005B5171" w:rsidP="005B5171">
            <w:pPr>
              <w:rPr>
                <w:rFonts w:ascii="Segoe UI" w:hAnsi="Segoe UI" w:cs="Segoe UI"/>
              </w:rPr>
            </w:pPr>
            <w:r w:rsidRPr="005B5171">
              <w:rPr>
                <w:rFonts w:ascii="Segoe UI" w:hAnsi="Segoe UI" w:cs="Segoe UI"/>
              </w:rPr>
              <w:t>Season</w:t>
            </w:r>
          </w:p>
        </w:tc>
        <w:tc>
          <w:tcPr>
            <w:tcW w:w="1138" w:type="dxa"/>
            <w:tcMar>
              <w:left w:w="57" w:type="dxa"/>
              <w:right w:w="57" w:type="dxa"/>
            </w:tcMar>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proofErr w:type="spellStart"/>
            <w:r w:rsidRPr="005B5171">
              <w:rPr>
                <w:rFonts w:ascii="Segoe UI" w:hAnsi="Segoe UI" w:cs="Segoe UI"/>
              </w:rPr>
              <w:t>Clearfelling</w:t>
            </w:r>
            <w:proofErr w:type="spellEnd"/>
          </w:p>
        </w:tc>
        <w:tc>
          <w:tcPr>
            <w:tcW w:w="1137" w:type="dxa"/>
            <w:tcMar>
              <w:left w:w="57" w:type="dxa"/>
              <w:right w:w="57" w:type="dxa"/>
            </w:tcMar>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Salvage</w:t>
            </w:r>
          </w:p>
        </w:tc>
        <w:tc>
          <w:tcPr>
            <w:tcW w:w="1138" w:type="dxa"/>
            <w:tcMar>
              <w:left w:w="57" w:type="dxa"/>
              <w:right w:w="57" w:type="dxa"/>
            </w:tcMar>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Selection</w:t>
            </w:r>
          </w:p>
        </w:tc>
        <w:tc>
          <w:tcPr>
            <w:tcW w:w="1138" w:type="dxa"/>
            <w:tcMar>
              <w:left w:w="57" w:type="dxa"/>
              <w:right w:w="57" w:type="dxa"/>
            </w:tcMar>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Seed Tree</w:t>
            </w:r>
          </w:p>
        </w:tc>
        <w:tc>
          <w:tcPr>
            <w:tcW w:w="1137" w:type="dxa"/>
            <w:tcMar>
              <w:left w:w="57" w:type="dxa"/>
              <w:right w:w="57" w:type="dxa"/>
            </w:tcMar>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Thinning</w:t>
            </w:r>
          </w:p>
        </w:tc>
        <w:tc>
          <w:tcPr>
            <w:tcW w:w="1138" w:type="dxa"/>
            <w:tcMar>
              <w:left w:w="57" w:type="dxa"/>
              <w:right w:w="57" w:type="dxa"/>
            </w:tcMar>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Other/</w:t>
            </w:r>
            <w:r w:rsidRPr="005B5171">
              <w:rPr>
                <w:rFonts w:ascii="Segoe UI" w:hAnsi="Segoe UI" w:cs="Segoe UI"/>
              </w:rPr>
              <w:br/>
              <w:t>unknown</w:t>
            </w:r>
          </w:p>
        </w:tc>
        <w:tc>
          <w:tcPr>
            <w:tcW w:w="1138" w:type="dxa"/>
            <w:tcMar>
              <w:left w:w="57" w:type="dxa"/>
              <w:right w:w="57" w:type="dxa"/>
            </w:tcMar>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Total</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7" w:type="dxa"/>
            <w:hideMark/>
          </w:tcPr>
          <w:p w:rsidR="005B5171" w:rsidRPr="005B5171" w:rsidRDefault="005B5171" w:rsidP="005B5171">
            <w:pPr>
              <w:spacing w:after="0" w:line="240" w:lineRule="auto"/>
              <w:rPr>
                <w:rFonts w:ascii="Segoe UI" w:eastAsia="Calibri" w:hAnsi="Segoe UI" w:cs="Calibri"/>
                <w:szCs w:val="19"/>
                <w:lang w:eastAsia="en-AU"/>
              </w:rPr>
            </w:pPr>
            <w:r w:rsidRPr="005B5171">
              <w:rPr>
                <w:rFonts w:ascii="Segoe UI" w:eastAsia="Calibri" w:hAnsi="Segoe UI" w:cs="Calibri"/>
                <w:szCs w:val="19"/>
                <w:lang w:eastAsia="en-AU"/>
              </w:rPr>
              <w:t>2004–05</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590</w:t>
            </w:r>
          </w:p>
        </w:tc>
        <w:tc>
          <w:tcPr>
            <w:tcW w:w="1137"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245</w:t>
            </w:r>
          </w:p>
        </w:tc>
        <w:tc>
          <w:tcPr>
            <w:tcW w:w="1137"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9</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848</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7" w:type="dxa"/>
            <w:hideMark/>
          </w:tcPr>
          <w:p w:rsidR="005B5171" w:rsidRPr="005B5171" w:rsidRDefault="005B5171" w:rsidP="005B5171">
            <w:pPr>
              <w:spacing w:after="0" w:line="240" w:lineRule="auto"/>
              <w:rPr>
                <w:rFonts w:ascii="Segoe UI" w:eastAsia="Calibri" w:hAnsi="Segoe UI" w:cs="Calibri"/>
                <w:szCs w:val="19"/>
                <w:lang w:eastAsia="en-AU"/>
              </w:rPr>
            </w:pPr>
            <w:r w:rsidRPr="005B5171">
              <w:rPr>
                <w:rFonts w:ascii="Segoe UI" w:eastAsia="Calibri" w:hAnsi="Segoe UI" w:cs="Calibri"/>
                <w:szCs w:val="19"/>
                <w:lang w:eastAsia="en-AU"/>
              </w:rPr>
              <w:t>2005–06</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392</w:t>
            </w:r>
          </w:p>
        </w:tc>
        <w:tc>
          <w:tcPr>
            <w:tcW w:w="1137"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451</w:t>
            </w:r>
          </w:p>
        </w:tc>
        <w:tc>
          <w:tcPr>
            <w:tcW w:w="1137"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38</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17</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898</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7" w:type="dxa"/>
            <w:hideMark/>
          </w:tcPr>
          <w:p w:rsidR="005B5171" w:rsidRPr="005B5171" w:rsidRDefault="005B5171" w:rsidP="005B5171">
            <w:pPr>
              <w:spacing w:after="0" w:line="240" w:lineRule="auto"/>
              <w:rPr>
                <w:rFonts w:ascii="Segoe UI" w:eastAsia="Calibri" w:hAnsi="Segoe UI" w:cs="Calibri"/>
                <w:szCs w:val="19"/>
                <w:lang w:eastAsia="en-AU"/>
              </w:rPr>
            </w:pPr>
            <w:r w:rsidRPr="005B5171">
              <w:rPr>
                <w:rFonts w:ascii="Segoe UI" w:eastAsia="Calibri" w:hAnsi="Segoe UI" w:cs="Calibri"/>
                <w:szCs w:val="19"/>
                <w:lang w:eastAsia="en-AU"/>
              </w:rPr>
              <w:t>2006–07</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513</w:t>
            </w:r>
          </w:p>
        </w:tc>
        <w:tc>
          <w:tcPr>
            <w:tcW w:w="1137"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258</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268</w:t>
            </w:r>
          </w:p>
        </w:tc>
        <w:tc>
          <w:tcPr>
            <w:tcW w:w="1137"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45</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33</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1,116</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7" w:type="dxa"/>
            <w:hideMark/>
          </w:tcPr>
          <w:p w:rsidR="005B5171" w:rsidRPr="005B5171" w:rsidRDefault="005B5171" w:rsidP="005B5171">
            <w:pPr>
              <w:spacing w:after="0" w:line="240" w:lineRule="auto"/>
              <w:rPr>
                <w:rFonts w:ascii="Segoe UI" w:eastAsia="Calibri" w:hAnsi="Segoe UI" w:cs="Calibri"/>
                <w:szCs w:val="19"/>
                <w:lang w:eastAsia="en-AU"/>
              </w:rPr>
            </w:pPr>
            <w:r w:rsidRPr="005B5171">
              <w:rPr>
                <w:rFonts w:ascii="Segoe UI" w:eastAsia="Calibri" w:hAnsi="Segoe UI" w:cs="Calibri"/>
                <w:szCs w:val="19"/>
                <w:lang w:eastAsia="en-AU"/>
              </w:rPr>
              <w:t>2007–08</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342</w:t>
            </w:r>
          </w:p>
        </w:tc>
        <w:tc>
          <w:tcPr>
            <w:tcW w:w="1137"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959</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214</w:t>
            </w:r>
          </w:p>
        </w:tc>
        <w:tc>
          <w:tcPr>
            <w:tcW w:w="1137"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244</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14</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1,774</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7" w:type="dxa"/>
            <w:hideMark/>
          </w:tcPr>
          <w:p w:rsidR="005B5171" w:rsidRPr="005B5171" w:rsidRDefault="005B5171" w:rsidP="005B5171">
            <w:pPr>
              <w:spacing w:after="0" w:line="240" w:lineRule="auto"/>
              <w:rPr>
                <w:rFonts w:ascii="Segoe UI" w:eastAsia="Calibri" w:hAnsi="Segoe UI" w:cs="Calibri"/>
                <w:szCs w:val="19"/>
                <w:lang w:eastAsia="en-AU"/>
              </w:rPr>
            </w:pPr>
            <w:r w:rsidRPr="005B5171">
              <w:rPr>
                <w:rFonts w:ascii="Segoe UI" w:eastAsia="Calibri" w:hAnsi="Segoe UI" w:cs="Calibri"/>
                <w:szCs w:val="19"/>
                <w:lang w:eastAsia="en-AU"/>
              </w:rPr>
              <w:t>2008–09</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240</w:t>
            </w:r>
          </w:p>
        </w:tc>
        <w:tc>
          <w:tcPr>
            <w:tcW w:w="1137"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577</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13</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333</w:t>
            </w:r>
          </w:p>
        </w:tc>
        <w:tc>
          <w:tcPr>
            <w:tcW w:w="1137"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151</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5</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1,318</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7" w:type="dxa"/>
            <w:hideMark/>
          </w:tcPr>
          <w:p w:rsidR="005B5171" w:rsidRPr="005B5171" w:rsidRDefault="005B5171" w:rsidP="005B5171">
            <w:pPr>
              <w:spacing w:after="0" w:line="240" w:lineRule="auto"/>
              <w:rPr>
                <w:rFonts w:ascii="Segoe UI" w:eastAsia="Calibri" w:hAnsi="Segoe UI" w:cs="Calibri"/>
                <w:szCs w:val="19"/>
                <w:lang w:eastAsia="en-AU"/>
              </w:rPr>
            </w:pPr>
            <w:r w:rsidRPr="005B5171">
              <w:rPr>
                <w:rFonts w:ascii="Segoe UI" w:eastAsia="Calibri" w:hAnsi="Segoe UI" w:cs="Calibri"/>
                <w:szCs w:val="19"/>
                <w:lang w:eastAsia="en-AU"/>
              </w:rPr>
              <w:t>2009–10</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14</w:t>
            </w:r>
          </w:p>
        </w:tc>
        <w:tc>
          <w:tcPr>
            <w:tcW w:w="1137"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17</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27</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80</w:t>
            </w:r>
          </w:p>
        </w:tc>
        <w:tc>
          <w:tcPr>
            <w:tcW w:w="1137"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138</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7" w:type="dxa"/>
            <w:hideMark/>
          </w:tcPr>
          <w:p w:rsidR="005B5171" w:rsidRPr="005B5171" w:rsidRDefault="005B5171" w:rsidP="005B5171">
            <w:pPr>
              <w:spacing w:after="0" w:line="240" w:lineRule="auto"/>
              <w:rPr>
                <w:rFonts w:ascii="Segoe UI" w:eastAsia="Calibri" w:hAnsi="Segoe UI" w:cs="Calibri"/>
                <w:szCs w:val="19"/>
                <w:lang w:eastAsia="en-AU"/>
              </w:rPr>
            </w:pPr>
            <w:r w:rsidRPr="005B5171">
              <w:rPr>
                <w:rFonts w:ascii="Segoe UI" w:eastAsia="Calibri" w:hAnsi="Segoe UI" w:cs="Calibri"/>
                <w:szCs w:val="19"/>
                <w:lang w:eastAsia="en-AU"/>
              </w:rPr>
              <w:t>2010–11</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299</w:t>
            </w:r>
          </w:p>
        </w:tc>
        <w:tc>
          <w:tcPr>
            <w:tcW w:w="1137"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39</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324</w:t>
            </w:r>
          </w:p>
        </w:tc>
        <w:tc>
          <w:tcPr>
            <w:tcW w:w="1137"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662</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7" w:type="dxa"/>
            <w:hideMark/>
          </w:tcPr>
          <w:p w:rsidR="005B5171" w:rsidRPr="005B5171" w:rsidRDefault="005B5171" w:rsidP="005B5171">
            <w:pPr>
              <w:spacing w:after="0" w:line="240" w:lineRule="auto"/>
              <w:rPr>
                <w:rFonts w:ascii="Segoe UI" w:eastAsia="Calibri" w:hAnsi="Segoe UI" w:cs="Calibri"/>
                <w:szCs w:val="19"/>
                <w:lang w:eastAsia="en-AU"/>
              </w:rPr>
            </w:pPr>
            <w:r w:rsidRPr="005B5171">
              <w:rPr>
                <w:rFonts w:ascii="Segoe UI" w:eastAsia="Calibri" w:hAnsi="Segoe UI" w:cs="Calibri"/>
                <w:szCs w:val="19"/>
                <w:lang w:eastAsia="en-AU"/>
              </w:rPr>
              <w:t>2011–12</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344</w:t>
            </w:r>
          </w:p>
        </w:tc>
        <w:tc>
          <w:tcPr>
            <w:tcW w:w="1137"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215</w:t>
            </w:r>
          </w:p>
        </w:tc>
        <w:tc>
          <w:tcPr>
            <w:tcW w:w="1137"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58</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617</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7" w:type="dxa"/>
            <w:hideMark/>
          </w:tcPr>
          <w:p w:rsidR="005B5171" w:rsidRPr="005B5171" w:rsidRDefault="005B5171" w:rsidP="005B5171">
            <w:pPr>
              <w:spacing w:after="0" w:line="240" w:lineRule="auto"/>
              <w:rPr>
                <w:rFonts w:ascii="Segoe UI" w:eastAsia="Calibri" w:hAnsi="Segoe UI" w:cs="Calibri"/>
                <w:szCs w:val="19"/>
                <w:lang w:eastAsia="en-AU"/>
              </w:rPr>
            </w:pPr>
            <w:r w:rsidRPr="005B5171">
              <w:rPr>
                <w:rFonts w:ascii="Segoe UI" w:eastAsia="Calibri" w:hAnsi="Segoe UI" w:cs="Calibri"/>
                <w:szCs w:val="19"/>
                <w:lang w:eastAsia="en-AU"/>
              </w:rPr>
              <w:t>2012–13</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194</w:t>
            </w:r>
          </w:p>
        </w:tc>
        <w:tc>
          <w:tcPr>
            <w:tcW w:w="1137"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204</w:t>
            </w:r>
          </w:p>
        </w:tc>
        <w:tc>
          <w:tcPr>
            <w:tcW w:w="1137"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76</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473</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7" w:type="dxa"/>
            <w:hideMark/>
          </w:tcPr>
          <w:p w:rsidR="005B5171" w:rsidRPr="005B5171" w:rsidRDefault="005B5171" w:rsidP="005B5171">
            <w:pPr>
              <w:spacing w:after="0" w:line="240" w:lineRule="auto"/>
              <w:rPr>
                <w:rFonts w:ascii="Segoe UI" w:eastAsia="Calibri" w:hAnsi="Segoe UI" w:cs="Calibri"/>
                <w:szCs w:val="19"/>
                <w:lang w:eastAsia="en-AU"/>
              </w:rPr>
            </w:pPr>
            <w:r w:rsidRPr="005B5171">
              <w:rPr>
                <w:rFonts w:ascii="Segoe UI" w:eastAsia="Calibri" w:hAnsi="Segoe UI" w:cs="Calibri"/>
                <w:szCs w:val="19"/>
                <w:lang w:eastAsia="en-AU"/>
              </w:rPr>
              <w:t>2013–14</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209</w:t>
            </w:r>
          </w:p>
        </w:tc>
        <w:tc>
          <w:tcPr>
            <w:tcW w:w="1137"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141</w:t>
            </w:r>
          </w:p>
        </w:tc>
        <w:tc>
          <w:tcPr>
            <w:tcW w:w="1137"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121</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471</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7" w:type="dxa"/>
            <w:hideMark/>
          </w:tcPr>
          <w:p w:rsidR="005B5171" w:rsidRPr="005B5171" w:rsidRDefault="005B5171" w:rsidP="005B5171">
            <w:pPr>
              <w:spacing w:after="0" w:line="240" w:lineRule="auto"/>
              <w:rPr>
                <w:rFonts w:ascii="Segoe UI" w:eastAsia="Calibri" w:hAnsi="Segoe UI" w:cs="Calibri"/>
                <w:szCs w:val="19"/>
                <w:lang w:eastAsia="en-AU"/>
              </w:rPr>
            </w:pPr>
            <w:r w:rsidRPr="005B5171">
              <w:rPr>
                <w:rFonts w:ascii="Segoe UI" w:eastAsia="Calibri" w:hAnsi="Segoe UI" w:cs="Calibri"/>
                <w:szCs w:val="19"/>
                <w:lang w:eastAsia="en-AU"/>
              </w:rPr>
              <w:t>2014–15</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232</w:t>
            </w:r>
          </w:p>
        </w:tc>
        <w:tc>
          <w:tcPr>
            <w:tcW w:w="1137"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201</w:t>
            </w:r>
          </w:p>
        </w:tc>
        <w:tc>
          <w:tcPr>
            <w:tcW w:w="1137"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433</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7" w:type="dxa"/>
            <w:hideMark/>
          </w:tcPr>
          <w:p w:rsidR="005B5171" w:rsidRPr="005B5171" w:rsidRDefault="005B5171" w:rsidP="005B5171">
            <w:pPr>
              <w:spacing w:after="0" w:line="240" w:lineRule="auto"/>
              <w:rPr>
                <w:rFonts w:ascii="Segoe UI" w:eastAsia="Calibri" w:hAnsi="Segoe UI" w:cs="Calibri"/>
                <w:szCs w:val="19"/>
                <w:lang w:eastAsia="en-AU"/>
              </w:rPr>
            </w:pPr>
            <w:r w:rsidRPr="005B5171">
              <w:rPr>
                <w:rFonts w:ascii="Segoe UI" w:eastAsia="Calibri" w:hAnsi="Segoe UI" w:cs="Calibri"/>
                <w:szCs w:val="19"/>
                <w:lang w:eastAsia="en-AU"/>
              </w:rPr>
              <w:t>2015–16</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268</w:t>
            </w:r>
          </w:p>
        </w:tc>
        <w:tc>
          <w:tcPr>
            <w:tcW w:w="1137"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198</w:t>
            </w:r>
          </w:p>
        </w:tc>
        <w:tc>
          <w:tcPr>
            <w:tcW w:w="1137"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20</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490</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7" w:type="dxa"/>
            <w:hideMark/>
          </w:tcPr>
          <w:p w:rsidR="005B5171" w:rsidRPr="005B5171" w:rsidRDefault="005B5171" w:rsidP="005B5171">
            <w:pPr>
              <w:spacing w:after="0" w:line="240" w:lineRule="auto"/>
              <w:rPr>
                <w:rFonts w:ascii="Segoe UI" w:eastAsia="Calibri" w:hAnsi="Segoe UI" w:cs="Calibri"/>
                <w:szCs w:val="19"/>
                <w:lang w:eastAsia="en-AU"/>
              </w:rPr>
            </w:pPr>
            <w:r w:rsidRPr="005B5171">
              <w:rPr>
                <w:rFonts w:ascii="Segoe UI" w:eastAsia="Calibri" w:hAnsi="Segoe UI" w:cs="Calibri"/>
                <w:szCs w:val="19"/>
                <w:lang w:eastAsia="en-AU"/>
              </w:rPr>
              <w:t>2016–17</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339</w:t>
            </w:r>
          </w:p>
        </w:tc>
        <w:tc>
          <w:tcPr>
            <w:tcW w:w="1137"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182</w:t>
            </w:r>
          </w:p>
        </w:tc>
        <w:tc>
          <w:tcPr>
            <w:tcW w:w="1137"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159</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13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680</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7" w:type="dxa"/>
            <w:hideMark/>
          </w:tcPr>
          <w:p w:rsidR="005B5171" w:rsidRPr="005B5171" w:rsidRDefault="005B5171" w:rsidP="005B5171">
            <w:pPr>
              <w:spacing w:after="0"/>
              <w:rPr>
                <w:rFonts w:ascii="Calibri" w:eastAsia="Times New Roman" w:hAnsi="Calibri" w:cs="Calibri"/>
                <w:b/>
                <w:szCs w:val="20"/>
                <w:lang w:eastAsia="en-AU"/>
              </w:rPr>
            </w:pPr>
            <w:r w:rsidRPr="005B5171">
              <w:rPr>
                <w:rFonts w:ascii="Calibri" w:eastAsia="Times New Roman" w:hAnsi="Calibri" w:cs="Calibri"/>
                <w:b/>
                <w:szCs w:val="20"/>
                <w:lang w:eastAsia="en-AU"/>
              </w:rPr>
              <w:t>Total</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3,974</w:t>
            </w:r>
          </w:p>
        </w:tc>
        <w:tc>
          <w:tcPr>
            <w:tcW w:w="1137"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1,850</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40</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3,054</w:t>
            </w:r>
          </w:p>
        </w:tc>
        <w:tc>
          <w:tcPr>
            <w:tcW w:w="1137"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922</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76</w:t>
            </w:r>
          </w:p>
        </w:tc>
        <w:tc>
          <w:tcPr>
            <w:tcW w:w="113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9,917</w:t>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Data source: DELWP corporate library Lastlog100 layer.</w:t>
      </w:r>
    </w:p>
    <w:p w:rsidR="005B5171" w:rsidRPr="005B5171" w:rsidRDefault="005B5171" w:rsidP="005B5171">
      <w:pPr>
        <w:rPr>
          <w:rFonts w:ascii="Segoe UI" w:eastAsia="STZhongsong" w:hAnsi="Segoe UI" w:cs="Segoe UI"/>
          <w:bCs/>
          <w:sz w:val="18"/>
          <w:szCs w:val="18"/>
          <w:lang w:eastAsia="ko-KR"/>
        </w:rPr>
      </w:pPr>
      <w:r w:rsidRPr="005B5171">
        <w:rPr>
          <w:rFonts w:ascii="Segoe UI" w:hAnsi="Segoe UI" w:cs="Segoe UI"/>
        </w:rPr>
        <w:br w:type="page"/>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lang w:eastAsia="en-AU"/>
        </w:rPr>
        <w:t>North East RFA</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The North East RFA has also shown a general decline over the reporting period, again due to a decline in areas suitable for timber production following large fires in the 2003, 2007 and 2009 seasons and a reduction in demand from the closure of several sawmills.</w:t>
      </w:r>
    </w:p>
    <w:p w:rsidR="005B5171" w:rsidRPr="005B5171" w:rsidRDefault="005B5171" w:rsidP="005B5171">
      <w:pPr>
        <w:spacing w:after="200" w:line="240" w:lineRule="auto"/>
        <w:rPr>
          <w:rFonts w:ascii="Segoe UI Semibold" w:eastAsia="Times New Roman" w:hAnsi="Segoe UI Semibold" w:cs="Times New Roman"/>
          <w:color w:val="016295"/>
        </w:rPr>
      </w:pPr>
      <w:bookmarkStart w:id="31" w:name="_Toc25660847"/>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65</w:t>
      </w:r>
      <w:r w:rsidRPr="005B5171">
        <w:rPr>
          <w:rFonts w:ascii="Segoe UI Semibold" w:eastAsia="Times New Roman" w:hAnsi="Segoe UI Semibold" w:cs="Times New Roman"/>
          <w:noProof/>
          <w:color w:val="016295"/>
        </w:rPr>
        <w:fldChar w:fldCharType="end"/>
      </w:r>
      <w:r w:rsidRPr="005B5171">
        <w:rPr>
          <w:rFonts w:ascii="Segoe UI Semibold" w:eastAsia="Times New Roman" w:hAnsi="Segoe UI Semibold" w:cs="Times New Roman"/>
          <w:color w:val="016295"/>
        </w:rPr>
        <w:t>: Net area harvested by regime, North East RFA, 2004–05 to 2016–17</w:t>
      </w:r>
      <w:bookmarkEnd w:id="31"/>
      <w:r w:rsidRPr="005B5171">
        <w:rPr>
          <w:rFonts w:ascii="Segoe UI Semibold" w:eastAsia="Times New Roman" w:hAnsi="Segoe UI Semibold" w:cs="Times New Roman"/>
          <w:color w:val="016295"/>
        </w:rPr>
        <w:t xml:space="preserve"> (area ha)</w:t>
      </w:r>
    </w:p>
    <w:tbl>
      <w:tblPr>
        <w:tblStyle w:val="xTable1"/>
        <w:tblW w:w="9060" w:type="dxa"/>
        <w:tblLayout w:type="fixed"/>
        <w:tblLook w:val="04E0" w:firstRow="1" w:lastRow="1" w:firstColumn="1" w:lastColumn="0" w:noHBand="0" w:noVBand="1"/>
      </w:tblPr>
      <w:tblGrid>
        <w:gridCol w:w="993"/>
        <w:gridCol w:w="1272"/>
        <w:gridCol w:w="1132"/>
        <w:gridCol w:w="1133"/>
        <w:gridCol w:w="1132"/>
        <w:gridCol w:w="1133"/>
        <w:gridCol w:w="1132"/>
        <w:gridCol w:w="1133"/>
      </w:tblGrid>
      <w:tr w:rsidR="005B5171" w:rsidRPr="005B5171" w:rsidTr="000B1EF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hideMark/>
          </w:tcPr>
          <w:p w:rsidR="005B5171" w:rsidRPr="005B5171" w:rsidRDefault="005B5171" w:rsidP="005B5171">
            <w:pPr>
              <w:rPr>
                <w:rFonts w:ascii="Segoe UI" w:hAnsi="Segoe UI" w:cs="Segoe UI"/>
                <w:b/>
              </w:rPr>
            </w:pPr>
            <w:r w:rsidRPr="005B5171">
              <w:rPr>
                <w:rFonts w:ascii="Segoe UI" w:hAnsi="Segoe UI" w:cs="Segoe UI"/>
              </w:rPr>
              <w:t>Season</w:t>
            </w:r>
          </w:p>
        </w:tc>
        <w:tc>
          <w:tcPr>
            <w:tcW w:w="0"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proofErr w:type="spellStart"/>
            <w:r w:rsidRPr="005B5171">
              <w:rPr>
                <w:rFonts w:ascii="Segoe UI" w:hAnsi="Segoe UI" w:cs="Segoe UI"/>
              </w:rPr>
              <w:t>Clearfelling</w:t>
            </w:r>
            <w:proofErr w:type="spellEnd"/>
          </w:p>
        </w:tc>
        <w:tc>
          <w:tcPr>
            <w:tcW w:w="0"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r w:rsidRPr="005B5171">
              <w:rPr>
                <w:rFonts w:ascii="Segoe UI" w:hAnsi="Segoe UI" w:cs="Segoe UI"/>
              </w:rPr>
              <w:t>Salvage</w:t>
            </w:r>
          </w:p>
        </w:tc>
        <w:tc>
          <w:tcPr>
            <w:tcW w:w="0"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r w:rsidRPr="005B5171">
              <w:rPr>
                <w:rFonts w:ascii="Segoe UI" w:hAnsi="Segoe UI" w:cs="Segoe UI"/>
              </w:rPr>
              <w:t>Selection</w:t>
            </w:r>
          </w:p>
        </w:tc>
        <w:tc>
          <w:tcPr>
            <w:tcW w:w="0"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r w:rsidRPr="005B5171">
              <w:rPr>
                <w:rFonts w:ascii="Segoe UI" w:hAnsi="Segoe UI" w:cs="Segoe UI"/>
              </w:rPr>
              <w:t>Thinning</w:t>
            </w:r>
          </w:p>
        </w:tc>
        <w:tc>
          <w:tcPr>
            <w:tcW w:w="0"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r w:rsidRPr="005B5171">
              <w:rPr>
                <w:rFonts w:ascii="Segoe UI" w:hAnsi="Segoe UI" w:cs="Segoe UI"/>
              </w:rPr>
              <w:t>Seed Tree</w:t>
            </w:r>
          </w:p>
        </w:tc>
        <w:tc>
          <w:tcPr>
            <w:tcW w:w="0"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r w:rsidRPr="005B5171">
              <w:rPr>
                <w:rFonts w:ascii="Segoe UI" w:hAnsi="Segoe UI" w:cs="Segoe UI"/>
              </w:rPr>
              <w:t>Other/</w:t>
            </w:r>
            <w:r w:rsidRPr="005B5171">
              <w:rPr>
                <w:rFonts w:ascii="Segoe UI" w:hAnsi="Segoe UI" w:cs="Segoe UI"/>
              </w:rPr>
              <w:br/>
              <w:t>unknown</w:t>
            </w:r>
          </w:p>
        </w:tc>
        <w:tc>
          <w:tcPr>
            <w:tcW w:w="0"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r w:rsidRPr="005B5171">
              <w:rPr>
                <w:rFonts w:ascii="Segoe UI" w:hAnsi="Segoe UI" w:cs="Segoe UI"/>
              </w:rPr>
              <w:t>Total</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2004–05</w:t>
            </w:r>
          </w:p>
        </w:tc>
        <w:tc>
          <w:tcPr>
            <w:tcW w:w="127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515</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518</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2005–06</w:t>
            </w:r>
          </w:p>
        </w:tc>
        <w:tc>
          <w:tcPr>
            <w:tcW w:w="127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469</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36</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33</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540</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2006–07</w:t>
            </w:r>
          </w:p>
        </w:tc>
        <w:tc>
          <w:tcPr>
            <w:tcW w:w="127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220</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177</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397</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2007–08</w:t>
            </w:r>
          </w:p>
        </w:tc>
        <w:tc>
          <w:tcPr>
            <w:tcW w:w="127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90</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201</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117</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78</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486</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2008–09</w:t>
            </w:r>
          </w:p>
        </w:tc>
        <w:tc>
          <w:tcPr>
            <w:tcW w:w="127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74</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12</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24</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16</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128</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2009–10</w:t>
            </w:r>
          </w:p>
        </w:tc>
        <w:tc>
          <w:tcPr>
            <w:tcW w:w="127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38</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7</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47</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2010–11</w:t>
            </w:r>
          </w:p>
        </w:tc>
        <w:tc>
          <w:tcPr>
            <w:tcW w:w="127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20</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44</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64</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2011–12</w:t>
            </w:r>
          </w:p>
        </w:tc>
        <w:tc>
          <w:tcPr>
            <w:tcW w:w="127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35</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35</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2012–13</w:t>
            </w:r>
          </w:p>
        </w:tc>
        <w:tc>
          <w:tcPr>
            <w:tcW w:w="127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72</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27</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99</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2013–14</w:t>
            </w:r>
          </w:p>
        </w:tc>
        <w:tc>
          <w:tcPr>
            <w:tcW w:w="127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116</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52</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168</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2014–15</w:t>
            </w:r>
          </w:p>
        </w:tc>
        <w:tc>
          <w:tcPr>
            <w:tcW w:w="127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65</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65</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2015–16</w:t>
            </w:r>
          </w:p>
        </w:tc>
        <w:tc>
          <w:tcPr>
            <w:tcW w:w="127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78</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33</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w:t>
            </w:r>
          </w:p>
        </w:tc>
        <w:tc>
          <w:tcPr>
            <w:tcW w:w="1132"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114</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2016–17</w:t>
            </w:r>
          </w:p>
        </w:tc>
        <w:tc>
          <w:tcPr>
            <w:tcW w:w="127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58</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66</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13</w:t>
            </w:r>
          </w:p>
        </w:tc>
        <w:tc>
          <w:tcPr>
            <w:tcW w:w="1132"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133"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136</w:t>
            </w:r>
          </w:p>
        </w:tc>
      </w:tr>
      <w:tr w:rsidR="005B5171" w:rsidRPr="005B5171" w:rsidTr="000B1EFD">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rsidR="005B5171" w:rsidRPr="005B5171" w:rsidRDefault="005B5171" w:rsidP="005B5171">
            <w:pPr>
              <w:rPr>
                <w:rFonts w:ascii="Segoe UI" w:hAnsi="Segoe UI" w:cs="Segoe UI"/>
              </w:rPr>
            </w:pPr>
            <w:r w:rsidRPr="005B5171">
              <w:rPr>
                <w:rFonts w:ascii="Segoe UI" w:hAnsi="Segoe UI" w:cs="Segoe UI"/>
              </w:rPr>
              <w:t>Total</w:t>
            </w:r>
          </w:p>
        </w:tc>
        <w:tc>
          <w:tcPr>
            <w:tcW w:w="1272"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1,851</w:t>
            </w:r>
          </w:p>
        </w:tc>
        <w:tc>
          <w:tcPr>
            <w:tcW w:w="1132"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213</w:t>
            </w:r>
          </w:p>
        </w:tc>
        <w:tc>
          <w:tcPr>
            <w:tcW w:w="1133"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459</w:t>
            </w:r>
          </w:p>
        </w:tc>
        <w:tc>
          <w:tcPr>
            <w:tcW w:w="1132"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44</w:t>
            </w:r>
          </w:p>
        </w:tc>
        <w:tc>
          <w:tcPr>
            <w:tcW w:w="1133"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221</w:t>
            </w:r>
          </w:p>
        </w:tc>
        <w:tc>
          <w:tcPr>
            <w:tcW w:w="1132"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9</w:t>
            </w:r>
          </w:p>
        </w:tc>
        <w:tc>
          <w:tcPr>
            <w:tcW w:w="1133"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2,797</w:t>
            </w:r>
          </w:p>
        </w:tc>
      </w:tr>
    </w:tbl>
    <w:p w:rsidR="005B5171" w:rsidRPr="005B5171" w:rsidRDefault="005B5171" w:rsidP="005B5171">
      <w:pPr>
        <w:spacing w:before="80"/>
        <w:rPr>
          <w:rFonts w:ascii="Segoe UI" w:eastAsia="STZhongsong" w:hAnsi="Segoe UI" w:cs="Segoe UI"/>
          <w:bCs/>
          <w:sz w:val="18"/>
          <w:szCs w:val="18"/>
          <w:lang w:eastAsia="ko-KR"/>
        </w:rPr>
      </w:pPr>
      <w:bookmarkStart w:id="32" w:name="_Hlk7768694"/>
      <w:r w:rsidRPr="005B5171">
        <w:rPr>
          <w:rFonts w:ascii="Segoe UI" w:eastAsia="STZhongsong" w:hAnsi="Segoe UI" w:cs="Segoe UI"/>
          <w:bCs/>
          <w:sz w:val="18"/>
          <w:szCs w:val="18"/>
          <w:lang w:eastAsia="ko-KR"/>
        </w:rPr>
        <w:t>Data source: DELWP corporate library Lastlog100 layer.</w:t>
      </w:r>
    </w:p>
    <w:p w:rsidR="005B5171" w:rsidRPr="005B5171" w:rsidRDefault="005B5171" w:rsidP="005B5171">
      <w:pPr>
        <w:rPr>
          <w:rFonts w:ascii="Segoe UI" w:eastAsia="STZhongsong" w:hAnsi="Segoe UI" w:cs="Segoe UI"/>
          <w:bCs/>
          <w:sz w:val="18"/>
          <w:szCs w:val="18"/>
          <w:lang w:eastAsia="ko-KR"/>
        </w:rPr>
      </w:pPr>
      <w:r w:rsidRPr="005B5171">
        <w:rPr>
          <w:rFonts w:ascii="Segoe UI" w:hAnsi="Segoe UI" w:cs="Segoe UI"/>
        </w:rPr>
        <w:br w:type="page"/>
      </w:r>
    </w:p>
    <w:p w:rsidR="005B5171" w:rsidRPr="005B5171" w:rsidRDefault="005B5171" w:rsidP="005B5171">
      <w:pPr>
        <w:keepNext/>
        <w:keepLines/>
        <w:spacing w:before="40" w:after="40"/>
        <w:outlineLvl w:val="4"/>
        <w:rPr>
          <w:rFonts w:ascii="Segoe UI" w:eastAsia="STZhongsong" w:hAnsi="Segoe UI" w:cs="Majalla UI"/>
          <w:i/>
          <w:color w:val="13345C"/>
          <w:lang w:eastAsia="en-AU"/>
        </w:rPr>
      </w:pPr>
      <w:r w:rsidRPr="005B5171">
        <w:rPr>
          <w:rFonts w:ascii="Segoe UI" w:eastAsia="STZhongsong" w:hAnsi="Segoe UI" w:cs="Majalla UI"/>
          <w:i/>
          <w:color w:val="13345C"/>
          <w:lang w:eastAsia="en-AU"/>
        </w:rPr>
        <w:t>West RFA</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 xml:space="preserve">The West RFA has low levels of timber production harvested in low-intensity selection and thinning regime coupes. It includes silvicultural treatments to improve the health of the forest as well as providing a source of high-value durable timbers in addition to fencing, firewood and other residual forest products. The anomalous increase in area in 2010–11 is due to a change in recording procedures that saw a backlog of previously unrecorded data recorded in that year. In this way, the anomaly does not reflect a significant increase in harvesting area. </w:t>
      </w:r>
      <w:proofErr w:type="spellStart"/>
      <w:r w:rsidRPr="005B5171">
        <w:rPr>
          <w:rFonts w:ascii="Segoe UI" w:hAnsi="Segoe UI" w:cs="Segoe UI"/>
          <w:lang w:eastAsia="en-AU"/>
        </w:rPr>
        <w:t>Clearfelling</w:t>
      </w:r>
      <w:proofErr w:type="spellEnd"/>
      <w:r w:rsidRPr="005B5171">
        <w:rPr>
          <w:rFonts w:ascii="Segoe UI" w:hAnsi="Segoe UI" w:cs="Segoe UI"/>
          <w:lang w:eastAsia="en-AU"/>
        </w:rPr>
        <w:t xml:space="preserve"> in the 2005–08 seasons represents production in the Otway Ranges, prior to cessation of logging and declaration of the Great </w:t>
      </w:r>
      <w:proofErr w:type="spellStart"/>
      <w:r w:rsidRPr="005B5171">
        <w:rPr>
          <w:rFonts w:ascii="Segoe UI" w:hAnsi="Segoe UI" w:cs="Segoe UI"/>
          <w:lang w:eastAsia="en-AU"/>
        </w:rPr>
        <w:t>Otways</w:t>
      </w:r>
      <w:proofErr w:type="spellEnd"/>
      <w:r w:rsidRPr="005B5171">
        <w:rPr>
          <w:rFonts w:ascii="Segoe UI" w:hAnsi="Segoe UI" w:cs="Segoe UI"/>
          <w:lang w:eastAsia="en-AU"/>
        </w:rPr>
        <w:t xml:space="preserve"> National Park and </w:t>
      </w:r>
      <w:proofErr w:type="spellStart"/>
      <w:r w:rsidRPr="005B5171">
        <w:rPr>
          <w:rFonts w:ascii="Segoe UI" w:hAnsi="Segoe UI" w:cs="Segoe UI"/>
          <w:lang w:eastAsia="en-AU"/>
        </w:rPr>
        <w:t>Otways</w:t>
      </w:r>
      <w:proofErr w:type="spellEnd"/>
      <w:r w:rsidRPr="005B5171">
        <w:rPr>
          <w:rFonts w:ascii="Segoe UI" w:hAnsi="Segoe UI" w:cs="Segoe UI"/>
          <w:lang w:eastAsia="en-AU"/>
        </w:rPr>
        <w:t xml:space="preserve"> Forest Parks. No salvage harvesting has carried out in the West RFA over this time. </w:t>
      </w:r>
    </w:p>
    <w:p w:rsidR="005B5171" w:rsidRPr="005B5171" w:rsidRDefault="005B5171" w:rsidP="005B5171">
      <w:pPr>
        <w:spacing w:after="200" w:line="240" w:lineRule="auto"/>
        <w:rPr>
          <w:rFonts w:ascii="Segoe UI Semibold" w:eastAsia="Times New Roman" w:hAnsi="Segoe UI Semibold" w:cs="Times New Roman"/>
          <w:color w:val="016295"/>
        </w:rPr>
      </w:pPr>
      <w:bookmarkStart w:id="33" w:name="_Ref11758404"/>
      <w:bookmarkStart w:id="34" w:name="_Toc25660848"/>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66</w:t>
      </w:r>
      <w:r w:rsidRPr="005B5171">
        <w:rPr>
          <w:rFonts w:ascii="Segoe UI Semibold" w:eastAsia="Times New Roman" w:hAnsi="Segoe UI Semibold" w:cs="Times New Roman"/>
          <w:noProof/>
          <w:color w:val="016295"/>
        </w:rPr>
        <w:fldChar w:fldCharType="end"/>
      </w:r>
      <w:bookmarkEnd w:id="33"/>
      <w:r w:rsidRPr="005B5171">
        <w:rPr>
          <w:rFonts w:ascii="Segoe UI Semibold" w:eastAsia="Times New Roman" w:hAnsi="Segoe UI Semibold" w:cs="Times New Roman"/>
          <w:color w:val="016295"/>
        </w:rPr>
        <w:t>: Net area harvested by regime, West RFA, 2005–06 to 2016–17</w:t>
      </w:r>
      <w:bookmarkEnd w:id="34"/>
      <w:r w:rsidRPr="005B5171">
        <w:rPr>
          <w:rFonts w:ascii="Segoe UI Semibold" w:eastAsia="Times New Roman" w:hAnsi="Segoe UI Semibold" w:cs="Times New Roman"/>
          <w:color w:val="016295"/>
        </w:rPr>
        <w:t xml:space="preserve"> </w:t>
      </w:r>
    </w:p>
    <w:tbl>
      <w:tblPr>
        <w:tblStyle w:val="xTable1"/>
        <w:tblW w:w="8729" w:type="dxa"/>
        <w:tblLayout w:type="fixed"/>
        <w:tblLook w:val="04E0" w:firstRow="1" w:lastRow="1" w:firstColumn="1" w:lastColumn="0" w:noHBand="0" w:noVBand="1"/>
      </w:tblPr>
      <w:tblGrid>
        <w:gridCol w:w="1247"/>
        <w:gridCol w:w="1247"/>
        <w:gridCol w:w="1247"/>
        <w:gridCol w:w="1247"/>
        <w:gridCol w:w="1247"/>
        <w:gridCol w:w="1247"/>
        <w:gridCol w:w="1247"/>
      </w:tblGrid>
      <w:tr w:rsidR="005B5171" w:rsidRPr="005B5171" w:rsidTr="000B1EF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47" w:type="dxa"/>
            <w:hideMark/>
          </w:tcPr>
          <w:p w:rsidR="005B5171" w:rsidRPr="005B5171" w:rsidRDefault="005B5171" w:rsidP="005B5171">
            <w:pPr>
              <w:rPr>
                <w:rFonts w:ascii="Segoe UI" w:hAnsi="Segoe UI" w:cs="Segoe UI"/>
                <w:b/>
              </w:rPr>
            </w:pPr>
            <w:r w:rsidRPr="005B5171">
              <w:rPr>
                <w:rFonts w:ascii="Segoe UI" w:hAnsi="Segoe UI" w:cs="Segoe UI"/>
              </w:rPr>
              <w:t>Season</w:t>
            </w:r>
          </w:p>
        </w:tc>
        <w:tc>
          <w:tcPr>
            <w:tcW w:w="124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proofErr w:type="spellStart"/>
            <w:r w:rsidRPr="005B5171">
              <w:rPr>
                <w:rFonts w:ascii="Segoe UI" w:hAnsi="Segoe UI" w:cs="Segoe UI"/>
              </w:rPr>
              <w:t>Clearfelling</w:t>
            </w:r>
            <w:proofErr w:type="spellEnd"/>
          </w:p>
        </w:tc>
        <w:tc>
          <w:tcPr>
            <w:tcW w:w="124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r w:rsidRPr="005B5171">
              <w:rPr>
                <w:rFonts w:ascii="Segoe UI" w:hAnsi="Segoe UI" w:cs="Segoe UI"/>
              </w:rPr>
              <w:t>Selection</w:t>
            </w:r>
          </w:p>
        </w:tc>
        <w:tc>
          <w:tcPr>
            <w:tcW w:w="124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r w:rsidRPr="005B5171">
              <w:rPr>
                <w:rFonts w:ascii="Segoe UI" w:hAnsi="Segoe UI" w:cs="Segoe UI"/>
              </w:rPr>
              <w:t>Thinning</w:t>
            </w:r>
          </w:p>
        </w:tc>
        <w:tc>
          <w:tcPr>
            <w:tcW w:w="124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r w:rsidRPr="005B5171">
              <w:rPr>
                <w:rFonts w:ascii="Segoe UI" w:hAnsi="Segoe UI" w:cs="Segoe UI"/>
              </w:rPr>
              <w:t>Seed Tree</w:t>
            </w:r>
          </w:p>
        </w:tc>
        <w:tc>
          <w:tcPr>
            <w:tcW w:w="124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Other/</w:t>
            </w:r>
          </w:p>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r w:rsidRPr="005B5171">
              <w:rPr>
                <w:rFonts w:ascii="Segoe UI" w:hAnsi="Segoe UI" w:cs="Segoe UI"/>
              </w:rPr>
              <w:t>unknown</w:t>
            </w:r>
          </w:p>
        </w:tc>
        <w:tc>
          <w:tcPr>
            <w:tcW w:w="124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r w:rsidRPr="005B5171">
              <w:rPr>
                <w:rFonts w:ascii="Segoe UI" w:hAnsi="Segoe UI" w:cs="Segoe UI"/>
              </w:rPr>
              <w:t>Total</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hideMark/>
          </w:tcPr>
          <w:p w:rsidR="005B5171" w:rsidRPr="005B5171" w:rsidRDefault="005B5171" w:rsidP="005B5171">
            <w:pPr>
              <w:rPr>
                <w:rFonts w:ascii="Segoe UI" w:hAnsi="Segoe UI" w:cs="Segoe UI"/>
              </w:rPr>
            </w:pPr>
            <w:r w:rsidRPr="005B5171">
              <w:rPr>
                <w:rFonts w:ascii="Segoe UI" w:hAnsi="Segoe UI" w:cs="Segoe UI"/>
              </w:rPr>
              <w:t>2005–06</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152</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5</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347</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504</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hideMark/>
          </w:tcPr>
          <w:p w:rsidR="005B5171" w:rsidRPr="005B5171" w:rsidRDefault="005B5171" w:rsidP="005B5171">
            <w:pPr>
              <w:rPr>
                <w:rFonts w:ascii="Segoe UI" w:hAnsi="Segoe UI" w:cs="Segoe UI"/>
              </w:rPr>
            </w:pPr>
            <w:r w:rsidRPr="005B5171">
              <w:rPr>
                <w:rFonts w:ascii="Segoe UI" w:hAnsi="Segoe UI" w:cs="Segoe UI"/>
              </w:rPr>
              <w:t>2006–07</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140</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100</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127</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16</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383</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hideMark/>
          </w:tcPr>
          <w:p w:rsidR="005B5171" w:rsidRPr="005B5171" w:rsidRDefault="005B5171" w:rsidP="005B5171">
            <w:pPr>
              <w:rPr>
                <w:rFonts w:ascii="Segoe UI" w:hAnsi="Segoe UI" w:cs="Segoe UI"/>
              </w:rPr>
            </w:pPr>
            <w:r w:rsidRPr="005B5171">
              <w:rPr>
                <w:rFonts w:ascii="Segoe UI" w:hAnsi="Segoe UI" w:cs="Segoe UI"/>
              </w:rPr>
              <w:t>2007–08</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247</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13</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215</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16</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492</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hideMark/>
          </w:tcPr>
          <w:p w:rsidR="005B5171" w:rsidRPr="005B5171" w:rsidRDefault="005B5171" w:rsidP="005B5171">
            <w:pPr>
              <w:rPr>
                <w:rFonts w:ascii="Segoe UI" w:hAnsi="Segoe UI" w:cs="Segoe UI"/>
              </w:rPr>
            </w:pPr>
            <w:r w:rsidRPr="005B5171">
              <w:rPr>
                <w:rFonts w:ascii="Segoe UI" w:hAnsi="Segoe UI" w:cs="Segoe UI"/>
              </w:rPr>
              <w:t>2008–09</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173</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123</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296</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hideMark/>
          </w:tcPr>
          <w:p w:rsidR="005B5171" w:rsidRPr="005B5171" w:rsidRDefault="005B5171" w:rsidP="005B5171">
            <w:pPr>
              <w:rPr>
                <w:rFonts w:ascii="Segoe UI" w:hAnsi="Segoe UI" w:cs="Segoe UI"/>
              </w:rPr>
            </w:pPr>
            <w:r w:rsidRPr="005B5171">
              <w:rPr>
                <w:rFonts w:ascii="Segoe UI" w:hAnsi="Segoe UI" w:cs="Segoe UI"/>
              </w:rPr>
              <w:t>2009–10</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62</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79</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141</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hideMark/>
          </w:tcPr>
          <w:p w:rsidR="005B5171" w:rsidRPr="005B5171" w:rsidRDefault="005B5171" w:rsidP="005B5171">
            <w:pPr>
              <w:rPr>
                <w:rFonts w:ascii="Segoe UI" w:hAnsi="Segoe UI" w:cs="Segoe UI"/>
              </w:rPr>
            </w:pPr>
            <w:r w:rsidRPr="005B5171">
              <w:rPr>
                <w:rFonts w:ascii="Segoe UI" w:hAnsi="Segoe UI" w:cs="Segoe UI"/>
              </w:rPr>
              <w:t>2010–11</w:t>
            </w:r>
            <w:r w:rsidRPr="005B5171">
              <w:rPr>
                <w:rFonts w:ascii="Segoe UI" w:hAnsi="Segoe UI" w:cs="Segoe UI"/>
                <w:position w:val="8"/>
              </w:rPr>
              <w:t>a</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658</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highlight w:val="yellow"/>
              </w:rPr>
            </w:pPr>
            <w:r w:rsidRPr="005B5171">
              <w:rPr>
                <w:rFonts w:ascii="Segoe UI" w:hAnsi="Segoe UI" w:cs="Segoe UI"/>
              </w:rPr>
              <w:t>3,938</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4,596</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hideMark/>
          </w:tcPr>
          <w:p w:rsidR="005B5171" w:rsidRPr="005B5171" w:rsidRDefault="005B5171" w:rsidP="005B5171">
            <w:pPr>
              <w:rPr>
                <w:rFonts w:ascii="Segoe UI" w:hAnsi="Segoe UI" w:cs="Segoe UI"/>
              </w:rPr>
            </w:pPr>
            <w:r w:rsidRPr="005B5171">
              <w:rPr>
                <w:rFonts w:ascii="Segoe UI" w:hAnsi="Segoe UI" w:cs="Segoe UI"/>
              </w:rPr>
              <w:t>2011–12</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27</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105</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132</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hideMark/>
          </w:tcPr>
          <w:p w:rsidR="005B5171" w:rsidRPr="005B5171" w:rsidRDefault="005B5171" w:rsidP="005B5171">
            <w:pPr>
              <w:rPr>
                <w:rFonts w:ascii="Segoe UI" w:hAnsi="Segoe UI" w:cs="Segoe UI"/>
              </w:rPr>
            </w:pPr>
            <w:r w:rsidRPr="005B5171">
              <w:rPr>
                <w:rFonts w:ascii="Segoe UI" w:hAnsi="Segoe UI" w:cs="Segoe UI"/>
              </w:rPr>
              <w:t>2012–13</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111</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123</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234</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hideMark/>
          </w:tcPr>
          <w:p w:rsidR="005B5171" w:rsidRPr="005B5171" w:rsidRDefault="005B5171" w:rsidP="005B5171">
            <w:pPr>
              <w:rPr>
                <w:rFonts w:ascii="Segoe UI" w:hAnsi="Segoe UI" w:cs="Segoe UI"/>
              </w:rPr>
            </w:pPr>
            <w:r w:rsidRPr="005B5171">
              <w:rPr>
                <w:rFonts w:ascii="Segoe UI" w:hAnsi="Segoe UI" w:cs="Segoe UI"/>
              </w:rPr>
              <w:t>2013–14</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9</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80</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88</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hideMark/>
          </w:tcPr>
          <w:p w:rsidR="005B5171" w:rsidRPr="005B5171" w:rsidRDefault="005B5171" w:rsidP="005B5171">
            <w:pPr>
              <w:rPr>
                <w:rFonts w:ascii="Segoe UI" w:hAnsi="Segoe UI" w:cs="Segoe UI"/>
              </w:rPr>
            </w:pPr>
            <w:r w:rsidRPr="005B5171">
              <w:rPr>
                <w:rFonts w:ascii="Segoe UI" w:hAnsi="Segoe UI" w:cs="Segoe UI"/>
              </w:rPr>
              <w:t>2014–15</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7</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71</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55</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4</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136</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hideMark/>
          </w:tcPr>
          <w:p w:rsidR="005B5171" w:rsidRPr="005B5171" w:rsidRDefault="005B5171" w:rsidP="005B5171">
            <w:pPr>
              <w:rPr>
                <w:rFonts w:ascii="Segoe UI" w:hAnsi="Segoe UI" w:cs="Segoe UI"/>
              </w:rPr>
            </w:pPr>
            <w:r w:rsidRPr="005B5171">
              <w:rPr>
                <w:rFonts w:ascii="Segoe UI" w:hAnsi="Segoe UI" w:cs="Segoe UI"/>
              </w:rPr>
              <w:t>2015–16</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6</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37</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476</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123</w:t>
            </w:r>
          </w:p>
        </w:tc>
        <w:tc>
          <w:tcPr>
            <w:tcW w:w="1247"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641</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hideMark/>
          </w:tcPr>
          <w:p w:rsidR="005B5171" w:rsidRPr="005B5171" w:rsidRDefault="005B5171" w:rsidP="005B5171">
            <w:pPr>
              <w:rPr>
                <w:rFonts w:ascii="Segoe UI" w:hAnsi="Segoe UI" w:cs="Segoe UI"/>
              </w:rPr>
            </w:pPr>
            <w:r w:rsidRPr="005B5171">
              <w:rPr>
                <w:rFonts w:ascii="Segoe UI" w:hAnsi="Segoe UI" w:cs="Segoe UI"/>
              </w:rPr>
              <w:t>2016–17</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5</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158</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292</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6</w:t>
            </w:r>
          </w:p>
        </w:tc>
        <w:tc>
          <w:tcPr>
            <w:tcW w:w="1247"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461</w:t>
            </w:r>
          </w:p>
        </w:tc>
      </w:tr>
      <w:tr w:rsidR="005B5171" w:rsidRPr="005B5171" w:rsidTr="000B1EFD">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hideMark/>
          </w:tcPr>
          <w:p w:rsidR="005B5171" w:rsidRPr="005B5171" w:rsidRDefault="005B5171" w:rsidP="005B5171">
            <w:pPr>
              <w:rPr>
                <w:rFonts w:ascii="Segoe UI" w:hAnsi="Segoe UI" w:cs="Segoe UI"/>
              </w:rPr>
            </w:pPr>
            <w:r w:rsidRPr="005B5171">
              <w:rPr>
                <w:rFonts w:ascii="Segoe UI" w:hAnsi="Segoe UI" w:cs="Segoe UI"/>
              </w:rPr>
              <w:t>Total</w:t>
            </w:r>
          </w:p>
        </w:tc>
        <w:tc>
          <w:tcPr>
            <w:tcW w:w="1247"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565</w:t>
            </w:r>
          </w:p>
        </w:tc>
        <w:tc>
          <w:tcPr>
            <w:tcW w:w="1247"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1,388</w:t>
            </w:r>
          </w:p>
        </w:tc>
        <w:tc>
          <w:tcPr>
            <w:tcW w:w="1247"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5,881</w:t>
            </w:r>
          </w:p>
        </w:tc>
        <w:tc>
          <w:tcPr>
            <w:tcW w:w="1247"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32</w:t>
            </w:r>
          </w:p>
        </w:tc>
        <w:tc>
          <w:tcPr>
            <w:tcW w:w="1247"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239</w:t>
            </w:r>
          </w:p>
        </w:tc>
        <w:tc>
          <w:tcPr>
            <w:tcW w:w="1247" w:type="dxa"/>
            <w:vAlign w:val="cente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8,105</w:t>
            </w:r>
          </w:p>
        </w:tc>
      </w:tr>
    </w:tbl>
    <w:bookmarkEnd w:id="32"/>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a</w:t>
      </w:r>
      <w:r w:rsidRPr="005B5171">
        <w:rPr>
          <w:rFonts w:ascii="Segoe UI" w:eastAsia="STZhongsong" w:hAnsi="Segoe UI" w:cs="Segoe UI"/>
          <w:bCs/>
          <w:sz w:val="18"/>
          <w:szCs w:val="18"/>
          <w:lang w:eastAsia="ko-KR"/>
        </w:rPr>
        <w:tab/>
        <w:t>High values due to a change in recording procedures.</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Data source: DELWP corporate library Lastlog100 layer. </w:t>
      </w:r>
    </w:p>
    <w:p w:rsidR="005B5171" w:rsidRPr="005B5171" w:rsidRDefault="005B5171" w:rsidP="005B5171">
      <w:pPr>
        <w:spacing w:after="480" w:line="276" w:lineRule="auto"/>
        <w:rPr>
          <w:rFonts w:ascii="Segoe UI" w:hAnsi="Segoe UI" w:cs="Segoe UI"/>
          <w:b/>
          <w:color w:val="000000" w:themeColor="text1"/>
          <w:sz w:val="24"/>
          <w:szCs w:val="24"/>
        </w:rPr>
      </w:pPr>
      <w:r w:rsidRPr="005B5171">
        <w:rPr>
          <w:rFonts w:ascii="Segoe UI" w:hAnsi="Segoe UI" w:cs="Segoe UI"/>
        </w:rPr>
        <w:br w:type="page"/>
      </w:r>
    </w:p>
    <w:p w:rsidR="005B5171" w:rsidRPr="005B5171" w:rsidRDefault="005B5171" w:rsidP="005B5171">
      <w:pPr>
        <w:keepNext/>
        <w:spacing w:before="240" w:after="240" w:line="240" w:lineRule="auto"/>
        <w:outlineLvl w:val="2"/>
        <w:rPr>
          <w:rFonts w:ascii="Segoe UI" w:hAnsi="Segoe UI" w:cs="Segoe UI"/>
          <w:b/>
          <w:color w:val="000000"/>
          <w:sz w:val="24"/>
          <w:szCs w:val="24"/>
        </w:rPr>
      </w:pPr>
      <w:bookmarkStart w:id="35" w:name="_Toc11768331"/>
      <w:bookmarkStart w:id="36" w:name="_Toc30492027"/>
      <w:bookmarkStart w:id="37" w:name="_Toc33002125"/>
      <w:r w:rsidRPr="005B5171">
        <w:rPr>
          <w:rFonts w:ascii="Segoe UI" w:hAnsi="Segoe UI" w:cs="Segoe UI"/>
          <w:b/>
          <w:color w:val="000000"/>
          <w:sz w:val="24"/>
          <w:szCs w:val="24"/>
        </w:rPr>
        <w:t>Indicator 2.1b: Age class and growing stock of plantations</w:t>
      </w:r>
      <w:bookmarkEnd w:id="35"/>
      <w:bookmarkEnd w:id="36"/>
      <w:bookmarkEnd w:id="37"/>
    </w:p>
    <w:p w:rsidR="005B5171" w:rsidRPr="005B5171" w:rsidRDefault="005B5171" w:rsidP="005B5171">
      <w:pPr>
        <w:jc w:val="both"/>
        <w:rPr>
          <w:rFonts w:ascii="Segoe UI" w:hAnsi="Segoe UI" w:cs="Segoe UI"/>
        </w:rPr>
      </w:pPr>
      <w:r w:rsidRPr="005B5171">
        <w:rPr>
          <w:rFonts w:ascii="Segoe UI" w:hAnsi="Segoe UI" w:cs="Segoe UI"/>
        </w:rPr>
        <w:t xml:space="preserve">This indicator collates the area and growing stock of native and exotic species plantations to assess the volume of timber that Australia’s plantation forests can supply now and into the future. It also looks back at what occurred in the past. Age class information was not available at the time of reporting. </w:t>
      </w:r>
    </w:p>
    <w:p w:rsidR="005B5171" w:rsidRPr="005B5171" w:rsidRDefault="005B5171" w:rsidP="005B5171">
      <w:pPr>
        <w:jc w:val="both"/>
        <w:rPr>
          <w:rFonts w:ascii="Segoe UI" w:hAnsi="Segoe UI" w:cs="Segoe UI"/>
        </w:rPr>
      </w:pPr>
      <w:r w:rsidRPr="005B5171">
        <w:rPr>
          <w:rFonts w:ascii="Segoe UI" w:hAnsi="Segoe UI" w:cs="Segoe UI"/>
        </w:rPr>
        <w:t>Data derived from initial RFAs in the CRA datasheets, specific to plantations, was generally unavailable, with only the West RFA classified by plantation type (</w:t>
      </w:r>
      <w:r w:rsidRPr="005B5171">
        <w:rPr>
          <w:rFonts w:ascii="Segoe UI" w:hAnsi="Segoe UI" w:cs="Segoe UI"/>
        </w:rPr>
        <w:fldChar w:fldCharType="begin"/>
      </w:r>
      <w:r w:rsidRPr="005B5171">
        <w:rPr>
          <w:rFonts w:ascii="Segoe UI" w:hAnsi="Segoe UI" w:cs="Segoe UI"/>
        </w:rPr>
        <w:instrText xml:space="preserve"> REF _Ref11755603 \h  \* MERGEFORMAT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67</w:t>
      </w:r>
      <w:r w:rsidRPr="005B5171">
        <w:rPr>
          <w:rFonts w:ascii="Segoe UI" w:hAnsi="Segoe UI" w:cs="Segoe UI"/>
        </w:rPr>
        <w:fldChar w:fldCharType="end"/>
      </w:r>
      <w:r w:rsidRPr="005B5171">
        <w:rPr>
          <w:rFonts w:ascii="Segoe UI" w:hAnsi="Segoe UI" w:cs="Segoe UI"/>
        </w:rPr>
        <w:t xml:space="preserve">). Plantation data for the Central Highlands and the North East RFA regions was sourced from the EVC representation. No further details were provided on the lack of plantation data in the CRAs; however, the absence of data leads to the assumption that the data did not exist or was not available at the time the CRAs were published. </w:t>
      </w:r>
    </w:p>
    <w:p w:rsidR="005B5171" w:rsidRPr="005B5171" w:rsidRDefault="005B5171" w:rsidP="005B5171">
      <w:pPr>
        <w:spacing w:after="200" w:line="240" w:lineRule="auto"/>
        <w:rPr>
          <w:rFonts w:ascii="Segoe UI Semibold" w:eastAsia="Times New Roman" w:hAnsi="Segoe UI Semibold" w:cs="Times New Roman"/>
          <w:color w:val="016295"/>
        </w:rPr>
      </w:pPr>
      <w:bookmarkStart w:id="38" w:name="_Ref11755603"/>
      <w:bookmarkStart w:id="39" w:name="_Toc25660849"/>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67</w:t>
      </w:r>
      <w:r w:rsidRPr="005B5171">
        <w:rPr>
          <w:rFonts w:ascii="Segoe UI Semibold" w:eastAsia="Times New Roman" w:hAnsi="Segoe UI Semibold" w:cs="Times New Roman"/>
          <w:noProof/>
          <w:color w:val="016295"/>
        </w:rPr>
        <w:fldChar w:fldCharType="end"/>
      </w:r>
      <w:bookmarkEnd w:id="38"/>
      <w:r w:rsidRPr="005B5171">
        <w:rPr>
          <w:rFonts w:ascii="Segoe UI Semibold" w:eastAsia="Times New Roman" w:hAnsi="Segoe UI Semibold" w:cs="Times New Roman"/>
          <w:color w:val="016295"/>
        </w:rPr>
        <w:t>: Plantation area for softwood and hardwoods across RFA regions as reported in the CRA documents (1996–99)</w:t>
      </w:r>
      <w:bookmarkEnd w:id="39"/>
    </w:p>
    <w:tbl>
      <w:tblPr>
        <w:tblStyle w:val="TableGrid"/>
        <w:tblW w:w="0" w:type="auto"/>
        <w:tblBorders>
          <w:left w:val="none" w:sz="0" w:space="0" w:color="auto"/>
          <w:right w:val="none" w:sz="0" w:space="0" w:color="auto"/>
          <w:insideV w:val="none" w:sz="0" w:space="0" w:color="auto"/>
        </w:tblBorders>
        <w:tblCellMar>
          <w:top w:w="57" w:type="dxa"/>
          <w:bottom w:w="57" w:type="dxa"/>
        </w:tblCellMar>
        <w:tblLook w:val="04A0" w:firstRow="1" w:lastRow="0" w:firstColumn="1" w:lastColumn="0" w:noHBand="0" w:noVBand="1"/>
      </w:tblPr>
      <w:tblGrid>
        <w:gridCol w:w="1101"/>
        <w:gridCol w:w="1360"/>
        <w:gridCol w:w="1082"/>
        <w:gridCol w:w="1082"/>
        <w:gridCol w:w="1070"/>
        <w:gridCol w:w="834"/>
        <w:gridCol w:w="834"/>
        <w:gridCol w:w="1132"/>
      </w:tblGrid>
      <w:tr w:rsidR="005B5171" w:rsidRPr="005B5171" w:rsidTr="000B1EFD">
        <w:trPr>
          <w:trHeight w:val="340"/>
        </w:trPr>
        <w:tc>
          <w:tcPr>
            <w:tcW w:w="2461" w:type="dxa"/>
            <w:gridSpan w:val="2"/>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5B5171" w:rsidRPr="005B5171" w:rsidRDefault="005B5171" w:rsidP="005B5171">
            <w:pPr>
              <w:jc w:val="center"/>
              <w:rPr>
                <w:rFonts w:ascii="Segoe UI" w:eastAsia="Calibri" w:hAnsi="Segoe UI" w:cs="Calibri"/>
                <w:sz w:val="19"/>
                <w:szCs w:val="19"/>
                <w:lang w:eastAsia="en-AU"/>
              </w:rPr>
            </w:pPr>
          </w:p>
        </w:tc>
        <w:tc>
          <w:tcPr>
            <w:tcW w:w="4902"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RFA</w:t>
            </w:r>
          </w:p>
        </w:tc>
        <w:tc>
          <w:tcPr>
            <w:tcW w:w="11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5B5171" w:rsidRPr="005B5171" w:rsidRDefault="005B5171" w:rsidP="005B5171">
            <w:pPr>
              <w:jc w:val="center"/>
              <w:rPr>
                <w:rFonts w:ascii="Segoe UI" w:eastAsia="Calibri" w:hAnsi="Segoe UI" w:cs="Calibri"/>
                <w:sz w:val="19"/>
                <w:szCs w:val="19"/>
                <w:lang w:eastAsia="en-AU"/>
              </w:rPr>
            </w:pPr>
          </w:p>
        </w:tc>
      </w:tr>
      <w:tr w:rsidR="005B5171" w:rsidRPr="005B5171" w:rsidTr="000B1EFD">
        <w:trPr>
          <w:trHeight w:val="340"/>
        </w:trPr>
        <w:tc>
          <w:tcPr>
            <w:tcW w:w="2461" w:type="dxa"/>
            <w:gridSpan w:val="2"/>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5B5171" w:rsidRPr="005B5171" w:rsidRDefault="005B5171" w:rsidP="005B5171">
            <w:pPr>
              <w:jc w:val="center"/>
              <w:rPr>
                <w:rFonts w:ascii="Segoe UI" w:eastAsia="Calibri" w:hAnsi="Segoe UI" w:cs="Calibri"/>
                <w:sz w:val="19"/>
                <w:szCs w:val="19"/>
                <w:lang w:eastAsia="en-AU"/>
              </w:rPr>
            </w:pPr>
          </w:p>
        </w:tc>
        <w:tc>
          <w:tcPr>
            <w:tcW w:w="10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East Gippsland</w:t>
            </w:r>
          </w:p>
        </w:tc>
        <w:tc>
          <w:tcPr>
            <w:tcW w:w="10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Gippsland</w:t>
            </w:r>
          </w:p>
        </w:tc>
        <w:tc>
          <w:tcPr>
            <w:tcW w:w="10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Central Highlands</w:t>
            </w:r>
          </w:p>
        </w:tc>
        <w:tc>
          <w:tcPr>
            <w:tcW w:w="8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North East</w:t>
            </w:r>
          </w:p>
        </w:tc>
        <w:tc>
          <w:tcPr>
            <w:tcW w:w="8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West</w:t>
            </w:r>
          </w:p>
        </w:tc>
        <w:tc>
          <w:tcPr>
            <w:tcW w:w="11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Total</w:t>
            </w:r>
          </w:p>
        </w:tc>
      </w:tr>
      <w:tr w:rsidR="005B5171" w:rsidRPr="005B5171" w:rsidTr="000B1EFD">
        <w:trPr>
          <w:trHeight w:val="340"/>
        </w:trPr>
        <w:tc>
          <w:tcPr>
            <w:tcW w:w="2461" w:type="dxa"/>
            <w:gridSpan w:val="2"/>
            <w:tcBorders>
              <w:top w:val="single" w:sz="8" w:space="0" w:color="FFFFFF" w:themeColor="background1"/>
            </w:tcBorders>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Plantation Area (ha)</w:t>
            </w:r>
          </w:p>
        </w:tc>
        <w:tc>
          <w:tcPr>
            <w:tcW w:w="1082" w:type="dxa"/>
            <w:tcBorders>
              <w:top w:val="single" w:sz="8" w:space="0" w:color="FFFFFF" w:themeColor="background1"/>
            </w:tcBorders>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NA</w:t>
            </w:r>
          </w:p>
        </w:tc>
        <w:tc>
          <w:tcPr>
            <w:tcW w:w="1082" w:type="dxa"/>
            <w:tcBorders>
              <w:top w:val="single" w:sz="8" w:space="0" w:color="FFFFFF" w:themeColor="background1"/>
            </w:tcBorders>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85,700</w:t>
            </w:r>
          </w:p>
        </w:tc>
        <w:tc>
          <w:tcPr>
            <w:tcW w:w="1070" w:type="dxa"/>
            <w:tcBorders>
              <w:top w:val="single" w:sz="8" w:space="0" w:color="FFFFFF" w:themeColor="background1"/>
            </w:tcBorders>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10,320</w:t>
            </w:r>
          </w:p>
        </w:tc>
        <w:tc>
          <w:tcPr>
            <w:tcW w:w="834" w:type="dxa"/>
            <w:tcBorders>
              <w:top w:val="single" w:sz="8" w:space="0" w:color="FFFFFF" w:themeColor="background1"/>
            </w:tcBorders>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65,400</w:t>
            </w:r>
          </w:p>
        </w:tc>
        <w:tc>
          <w:tcPr>
            <w:tcW w:w="834" w:type="dxa"/>
            <w:tcBorders>
              <w:top w:val="single" w:sz="8" w:space="0" w:color="FFFFFF" w:themeColor="background1"/>
            </w:tcBorders>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64,352</w:t>
            </w:r>
          </w:p>
        </w:tc>
        <w:tc>
          <w:tcPr>
            <w:tcW w:w="1132" w:type="dxa"/>
            <w:tcBorders>
              <w:top w:val="single" w:sz="8" w:space="0" w:color="FFFFFF" w:themeColor="background1"/>
            </w:tcBorders>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fldChar w:fldCharType="begin"/>
            </w:r>
            <w:r w:rsidRPr="005B5171">
              <w:rPr>
                <w:rFonts w:ascii="Segoe UI" w:eastAsia="Calibri" w:hAnsi="Segoe UI" w:cs="Calibri"/>
                <w:sz w:val="19"/>
                <w:szCs w:val="19"/>
                <w:lang w:eastAsia="en-AU"/>
              </w:rPr>
              <w:instrText xml:space="preserve"> =SUM(LEFT) </w:instrText>
            </w:r>
            <w:r w:rsidRPr="005B5171">
              <w:rPr>
                <w:rFonts w:ascii="Segoe UI" w:eastAsia="Calibri" w:hAnsi="Segoe UI" w:cs="Calibri"/>
                <w:sz w:val="19"/>
                <w:szCs w:val="19"/>
                <w:lang w:eastAsia="en-AU"/>
              </w:rPr>
              <w:fldChar w:fldCharType="separate"/>
            </w:r>
            <w:r w:rsidRPr="005B5171">
              <w:rPr>
                <w:rFonts w:ascii="Segoe UI" w:eastAsia="Calibri" w:hAnsi="Segoe UI" w:cs="Calibri"/>
                <w:sz w:val="19"/>
                <w:szCs w:val="19"/>
                <w:lang w:eastAsia="en-AU"/>
              </w:rPr>
              <w:t>225,772</w:t>
            </w:r>
            <w:r w:rsidRPr="005B5171">
              <w:rPr>
                <w:rFonts w:ascii="Segoe UI" w:eastAsia="Calibri" w:hAnsi="Segoe UI" w:cs="Calibri"/>
                <w:sz w:val="19"/>
                <w:szCs w:val="19"/>
                <w:lang w:eastAsia="en-AU"/>
              </w:rPr>
              <w:fldChar w:fldCharType="end"/>
            </w:r>
          </w:p>
        </w:tc>
      </w:tr>
      <w:tr w:rsidR="005B5171" w:rsidRPr="005B5171" w:rsidTr="000B1EFD">
        <w:trPr>
          <w:trHeight w:val="340"/>
        </w:trPr>
        <w:tc>
          <w:tcPr>
            <w:tcW w:w="1101" w:type="dxa"/>
            <w:vMerge w:val="restart"/>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Plantation Type</w:t>
            </w:r>
          </w:p>
        </w:tc>
        <w:tc>
          <w:tcPr>
            <w:tcW w:w="1360" w:type="dxa"/>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Softwood</w:t>
            </w:r>
          </w:p>
        </w:tc>
        <w:tc>
          <w:tcPr>
            <w:tcW w:w="1082" w:type="dxa"/>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NA</w:t>
            </w:r>
          </w:p>
        </w:tc>
        <w:tc>
          <w:tcPr>
            <w:tcW w:w="1082" w:type="dxa"/>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NA</w:t>
            </w:r>
          </w:p>
        </w:tc>
        <w:tc>
          <w:tcPr>
            <w:tcW w:w="1070" w:type="dxa"/>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NA</w:t>
            </w:r>
          </w:p>
        </w:tc>
        <w:tc>
          <w:tcPr>
            <w:tcW w:w="834" w:type="dxa"/>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59,310</w:t>
            </w:r>
          </w:p>
        </w:tc>
        <w:tc>
          <w:tcPr>
            <w:tcW w:w="834" w:type="dxa"/>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54,888</w:t>
            </w:r>
          </w:p>
        </w:tc>
        <w:tc>
          <w:tcPr>
            <w:tcW w:w="1132" w:type="dxa"/>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fldChar w:fldCharType="begin"/>
            </w:r>
            <w:r w:rsidRPr="005B5171">
              <w:rPr>
                <w:rFonts w:ascii="Segoe UI" w:eastAsia="Calibri" w:hAnsi="Segoe UI" w:cs="Calibri"/>
                <w:sz w:val="19"/>
                <w:szCs w:val="19"/>
                <w:lang w:eastAsia="en-AU"/>
              </w:rPr>
              <w:instrText xml:space="preserve"> =SUM(LEFT) </w:instrText>
            </w:r>
            <w:r w:rsidRPr="005B5171">
              <w:rPr>
                <w:rFonts w:ascii="Segoe UI" w:eastAsia="Calibri" w:hAnsi="Segoe UI" w:cs="Calibri"/>
                <w:sz w:val="19"/>
                <w:szCs w:val="19"/>
                <w:lang w:eastAsia="en-AU"/>
              </w:rPr>
              <w:fldChar w:fldCharType="separate"/>
            </w:r>
            <w:r w:rsidRPr="005B5171">
              <w:rPr>
                <w:rFonts w:ascii="Segoe UI" w:eastAsia="Calibri" w:hAnsi="Segoe UI" w:cs="Calibri"/>
                <w:sz w:val="19"/>
                <w:szCs w:val="19"/>
                <w:lang w:eastAsia="en-AU"/>
              </w:rPr>
              <w:t>114,198</w:t>
            </w:r>
            <w:r w:rsidRPr="005B5171">
              <w:rPr>
                <w:rFonts w:ascii="Segoe UI" w:eastAsia="Calibri" w:hAnsi="Segoe UI" w:cs="Calibri"/>
                <w:sz w:val="19"/>
                <w:szCs w:val="19"/>
                <w:lang w:eastAsia="en-AU"/>
              </w:rPr>
              <w:fldChar w:fldCharType="end"/>
            </w:r>
          </w:p>
        </w:tc>
      </w:tr>
      <w:tr w:rsidR="005B5171" w:rsidRPr="005B5171" w:rsidTr="000B1EFD">
        <w:trPr>
          <w:trHeight w:val="340"/>
        </w:trPr>
        <w:tc>
          <w:tcPr>
            <w:tcW w:w="1101" w:type="dxa"/>
            <w:vMerge/>
          </w:tcPr>
          <w:p w:rsidR="005B5171" w:rsidRPr="005B5171" w:rsidRDefault="005B5171" w:rsidP="005B5171">
            <w:pPr>
              <w:jc w:val="center"/>
              <w:rPr>
                <w:rFonts w:ascii="Segoe UI" w:eastAsia="Calibri" w:hAnsi="Segoe UI" w:cs="Calibri"/>
                <w:sz w:val="19"/>
                <w:szCs w:val="19"/>
                <w:lang w:eastAsia="en-AU"/>
              </w:rPr>
            </w:pPr>
          </w:p>
        </w:tc>
        <w:tc>
          <w:tcPr>
            <w:tcW w:w="1360" w:type="dxa"/>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Hardwood</w:t>
            </w:r>
          </w:p>
        </w:tc>
        <w:tc>
          <w:tcPr>
            <w:tcW w:w="1082" w:type="dxa"/>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NA</w:t>
            </w:r>
          </w:p>
        </w:tc>
        <w:tc>
          <w:tcPr>
            <w:tcW w:w="1082" w:type="dxa"/>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NA</w:t>
            </w:r>
          </w:p>
        </w:tc>
        <w:tc>
          <w:tcPr>
            <w:tcW w:w="1070" w:type="dxa"/>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NA</w:t>
            </w:r>
          </w:p>
        </w:tc>
        <w:tc>
          <w:tcPr>
            <w:tcW w:w="834" w:type="dxa"/>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NA</w:t>
            </w:r>
          </w:p>
        </w:tc>
        <w:tc>
          <w:tcPr>
            <w:tcW w:w="834" w:type="dxa"/>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14</w:t>
            </w:r>
          </w:p>
        </w:tc>
        <w:tc>
          <w:tcPr>
            <w:tcW w:w="1132" w:type="dxa"/>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fldChar w:fldCharType="begin"/>
            </w:r>
            <w:r w:rsidRPr="005B5171">
              <w:rPr>
                <w:rFonts w:ascii="Segoe UI" w:eastAsia="Calibri" w:hAnsi="Segoe UI" w:cs="Calibri"/>
                <w:sz w:val="19"/>
                <w:szCs w:val="19"/>
                <w:lang w:eastAsia="en-AU"/>
              </w:rPr>
              <w:instrText xml:space="preserve"> =SUM(LEFT) </w:instrText>
            </w:r>
            <w:r w:rsidRPr="005B5171">
              <w:rPr>
                <w:rFonts w:ascii="Segoe UI" w:eastAsia="Calibri" w:hAnsi="Segoe UI" w:cs="Calibri"/>
                <w:sz w:val="19"/>
                <w:szCs w:val="19"/>
                <w:lang w:eastAsia="en-AU"/>
              </w:rPr>
              <w:fldChar w:fldCharType="separate"/>
            </w:r>
            <w:r w:rsidRPr="005B5171">
              <w:rPr>
                <w:rFonts w:ascii="Segoe UI" w:eastAsia="Calibri" w:hAnsi="Segoe UI" w:cs="Calibri"/>
                <w:sz w:val="19"/>
                <w:szCs w:val="19"/>
                <w:lang w:eastAsia="en-AU"/>
              </w:rPr>
              <w:t>14</w:t>
            </w:r>
            <w:r w:rsidRPr="005B5171">
              <w:rPr>
                <w:rFonts w:ascii="Segoe UI" w:eastAsia="Calibri" w:hAnsi="Segoe UI" w:cs="Calibri"/>
                <w:sz w:val="19"/>
                <w:szCs w:val="19"/>
                <w:lang w:eastAsia="en-AU"/>
              </w:rPr>
              <w:fldChar w:fldCharType="end"/>
            </w:r>
          </w:p>
        </w:tc>
      </w:tr>
      <w:tr w:rsidR="005B5171" w:rsidRPr="005B5171" w:rsidTr="000B1EFD">
        <w:trPr>
          <w:trHeight w:val="340"/>
        </w:trPr>
        <w:tc>
          <w:tcPr>
            <w:tcW w:w="1101" w:type="dxa"/>
            <w:vMerge/>
          </w:tcPr>
          <w:p w:rsidR="005B5171" w:rsidRPr="005B5171" w:rsidRDefault="005B5171" w:rsidP="005B5171">
            <w:pPr>
              <w:jc w:val="center"/>
              <w:rPr>
                <w:rFonts w:ascii="Segoe UI" w:eastAsia="Calibri" w:hAnsi="Segoe UI" w:cs="Calibri"/>
                <w:sz w:val="19"/>
                <w:szCs w:val="19"/>
                <w:lang w:eastAsia="en-AU"/>
              </w:rPr>
            </w:pPr>
          </w:p>
        </w:tc>
        <w:tc>
          <w:tcPr>
            <w:tcW w:w="1360" w:type="dxa"/>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Undefined</w:t>
            </w:r>
          </w:p>
        </w:tc>
        <w:tc>
          <w:tcPr>
            <w:tcW w:w="1082" w:type="dxa"/>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NA</w:t>
            </w:r>
          </w:p>
        </w:tc>
        <w:tc>
          <w:tcPr>
            <w:tcW w:w="1082" w:type="dxa"/>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NA</w:t>
            </w:r>
          </w:p>
        </w:tc>
        <w:tc>
          <w:tcPr>
            <w:tcW w:w="1070" w:type="dxa"/>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NA</w:t>
            </w:r>
          </w:p>
        </w:tc>
        <w:tc>
          <w:tcPr>
            <w:tcW w:w="834" w:type="dxa"/>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NA</w:t>
            </w:r>
          </w:p>
        </w:tc>
        <w:tc>
          <w:tcPr>
            <w:tcW w:w="834" w:type="dxa"/>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9,450</w:t>
            </w:r>
          </w:p>
        </w:tc>
        <w:tc>
          <w:tcPr>
            <w:tcW w:w="1132" w:type="dxa"/>
          </w:tcPr>
          <w:p w:rsidR="005B5171" w:rsidRPr="005B5171" w:rsidRDefault="005B5171" w:rsidP="005B5171">
            <w:pPr>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fldChar w:fldCharType="begin"/>
            </w:r>
            <w:r w:rsidRPr="005B5171">
              <w:rPr>
                <w:rFonts w:ascii="Segoe UI" w:eastAsia="Calibri" w:hAnsi="Segoe UI" w:cs="Calibri"/>
                <w:sz w:val="19"/>
                <w:szCs w:val="19"/>
                <w:lang w:eastAsia="en-AU"/>
              </w:rPr>
              <w:instrText xml:space="preserve"> =SUM(LEFT) </w:instrText>
            </w:r>
            <w:r w:rsidRPr="005B5171">
              <w:rPr>
                <w:rFonts w:ascii="Segoe UI" w:eastAsia="Calibri" w:hAnsi="Segoe UI" w:cs="Calibri"/>
                <w:sz w:val="19"/>
                <w:szCs w:val="19"/>
                <w:lang w:eastAsia="en-AU"/>
              </w:rPr>
              <w:fldChar w:fldCharType="separate"/>
            </w:r>
            <w:r w:rsidRPr="005B5171">
              <w:rPr>
                <w:rFonts w:ascii="Segoe UI" w:eastAsia="Calibri" w:hAnsi="Segoe UI" w:cs="Calibri"/>
                <w:sz w:val="19"/>
                <w:szCs w:val="19"/>
                <w:lang w:eastAsia="en-AU"/>
              </w:rPr>
              <w:t>9,450</w:t>
            </w:r>
            <w:r w:rsidRPr="005B5171">
              <w:rPr>
                <w:rFonts w:ascii="Segoe UI" w:eastAsia="Calibri" w:hAnsi="Segoe UI" w:cs="Calibri"/>
                <w:sz w:val="19"/>
                <w:szCs w:val="19"/>
                <w:lang w:eastAsia="en-AU"/>
              </w:rPr>
              <w:fldChar w:fldCharType="end"/>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Data source: Information derived from the CRAs accessed via the ABARES website. </w:t>
      </w:r>
    </w:p>
    <w:p w:rsidR="005B5171" w:rsidRPr="005B5171" w:rsidRDefault="005B5171" w:rsidP="005B5171">
      <w:pPr>
        <w:keepNext/>
        <w:spacing w:before="120" w:after="120" w:line="240" w:lineRule="auto"/>
        <w:jc w:val="both"/>
        <w:outlineLvl w:val="3"/>
        <w:rPr>
          <w:rFonts w:ascii="Segoe UI" w:hAnsi="Segoe UI" w:cs="Segoe UI"/>
          <w:i/>
          <w:sz w:val="24"/>
          <w:szCs w:val="24"/>
        </w:rPr>
      </w:pPr>
      <w:proofErr w:type="spellStart"/>
      <w:r w:rsidRPr="005B5171">
        <w:rPr>
          <w:rFonts w:ascii="Segoe UI" w:hAnsi="Segoe UI" w:cs="Segoe UI"/>
          <w:i/>
          <w:sz w:val="24"/>
          <w:szCs w:val="24"/>
        </w:rPr>
        <w:t>Statewide</w:t>
      </w:r>
      <w:proofErr w:type="spellEnd"/>
      <w:r w:rsidRPr="005B5171">
        <w:rPr>
          <w:rFonts w:ascii="Segoe UI" w:hAnsi="Segoe UI" w:cs="Segoe UI"/>
          <w:i/>
          <w:sz w:val="24"/>
          <w:szCs w:val="24"/>
        </w:rPr>
        <w:t xml:space="preserve"> overview</w:t>
      </w:r>
    </w:p>
    <w:p w:rsidR="005B5171" w:rsidRPr="005B5171" w:rsidRDefault="005B5171" w:rsidP="005B5171">
      <w:pPr>
        <w:jc w:val="both"/>
        <w:rPr>
          <w:rFonts w:ascii="Segoe UI" w:hAnsi="Segoe UI" w:cs="Segoe UI"/>
        </w:rPr>
      </w:pPr>
      <w:r w:rsidRPr="005B5171">
        <w:rPr>
          <w:rFonts w:ascii="Segoe UI" w:hAnsi="Segoe UI" w:cs="Segoe UI"/>
        </w:rPr>
        <w:t xml:space="preserve">Current data on Australia’s commercial plantation estate is collated in the National Plantation Inventory (NPI) and reported in the ABARES </w:t>
      </w:r>
      <w:r w:rsidRPr="005B5171">
        <w:rPr>
          <w:rFonts w:ascii="Segoe UI" w:hAnsi="Segoe UI" w:cs="Segoe UI"/>
          <w:i/>
        </w:rPr>
        <w:t>Australian plantation statistics</w:t>
      </w:r>
      <w:r w:rsidRPr="005B5171">
        <w:rPr>
          <w:rFonts w:ascii="Segoe UI" w:hAnsi="Segoe UI" w:cs="Segoe UI"/>
        </w:rPr>
        <w:t xml:space="preserve"> publication series as well as the ASOFR series. The </w:t>
      </w:r>
      <w:r w:rsidRPr="005B5171">
        <w:rPr>
          <w:rFonts w:ascii="Segoe UI" w:hAnsi="Segoe UI" w:cs="Segoe UI"/>
          <w:i/>
        </w:rPr>
        <w:t>Australian plantation statistics</w:t>
      </w:r>
      <w:r w:rsidRPr="005B5171">
        <w:rPr>
          <w:rFonts w:ascii="Segoe UI" w:hAnsi="Segoe UI" w:cs="Segoe UI"/>
        </w:rPr>
        <w:t xml:space="preserve"> series comprises a five-yearly comprehensive update based on spatial data and an annual update based on tabular data. The reports in the series, including the latest five-yearly update </w:t>
      </w:r>
      <w:r w:rsidRPr="005B5171">
        <w:rPr>
          <w:rFonts w:ascii="Segoe UI" w:hAnsi="Segoe UI" w:cs="Segoe UI"/>
          <w:i/>
        </w:rPr>
        <w:t>Australian plantations statistics 2016</w:t>
      </w:r>
      <w:r w:rsidRPr="005B5171">
        <w:rPr>
          <w:rFonts w:ascii="Segoe UI" w:hAnsi="Segoe UI" w:cs="Segoe UI"/>
          <w:vertAlign w:val="superscript"/>
        </w:rPr>
        <w:footnoteReference w:id="1"/>
      </w:r>
      <w:r w:rsidRPr="005B5171">
        <w:rPr>
          <w:rFonts w:ascii="Segoe UI" w:hAnsi="Segoe UI" w:cs="Segoe UI"/>
          <w:i/>
        </w:rPr>
        <w:t xml:space="preserve"> </w:t>
      </w:r>
      <w:r w:rsidRPr="005B5171">
        <w:rPr>
          <w:rFonts w:ascii="Segoe UI" w:hAnsi="Segoe UI" w:cs="Segoe UI"/>
        </w:rPr>
        <w:t xml:space="preserve">and </w:t>
      </w:r>
      <w:r w:rsidRPr="005B5171">
        <w:rPr>
          <w:rFonts w:ascii="Segoe UI" w:hAnsi="Segoe UI" w:cs="Segoe UI"/>
          <w:i/>
        </w:rPr>
        <w:t>Australian plantations statistics update 2019</w:t>
      </w:r>
      <w:r w:rsidRPr="005B5171">
        <w:rPr>
          <w:rFonts w:ascii="Segoe UI" w:hAnsi="Segoe UI" w:cs="Segoe UI"/>
          <w:vertAlign w:val="superscript"/>
        </w:rPr>
        <w:footnoteReference w:id="2"/>
      </w:r>
      <w:r w:rsidRPr="005B5171">
        <w:rPr>
          <w:rFonts w:ascii="Segoe UI" w:hAnsi="Segoe UI" w:cs="Segoe UI"/>
        </w:rPr>
        <w:t xml:space="preserve"> support strategic forest industry planning and decision-making by presenting information on total plantation area, new planting and plantation ownership.</w:t>
      </w:r>
    </w:p>
    <w:p w:rsidR="005B5171" w:rsidRPr="005B5171" w:rsidRDefault="005B5171" w:rsidP="005B5171">
      <w:pPr>
        <w:jc w:val="both"/>
        <w:rPr>
          <w:rFonts w:ascii="Segoe UI" w:hAnsi="Segoe UI" w:cs="Segoe UI"/>
        </w:rPr>
      </w:pPr>
      <w:r w:rsidRPr="005B5171">
        <w:rPr>
          <w:rFonts w:ascii="Segoe UI" w:hAnsi="Segoe UI" w:cs="Segoe UI"/>
        </w:rPr>
        <w:t xml:space="preserve">Information derived from the NPI showed in 2015 there was 421,000 hectares of plantations in the five Victorian RFA regions, representing the largest area of commercial hardwood and softwood plantations in Australia’s states and territories. This comprises 222,000 hectares of softwood plantation, 199,000 hectares of hardwood plantation and 1,000 hectares of unknown or mixed species plantation. </w:t>
      </w:r>
    </w:p>
    <w:p w:rsidR="005B5171" w:rsidRPr="005B5171" w:rsidRDefault="005B5171" w:rsidP="005B5171">
      <w:pPr>
        <w:jc w:val="both"/>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REF _Ref13050089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Figure </w:t>
      </w:r>
      <w:r w:rsidRPr="005B5171">
        <w:rPr>
          <w:rFonts w:ascii="Segoe UI" w:hAnsi="Segoe UI" w:cs="Segoe UI"/>
          <w:noProof/>
        </w:rPr>
        <w:t>33</w:t>
      </w:r>
      <w:r w:rsidRPr="005B5171">
        <w:rPr>
          <w:rFonts w:ascii="Segoe UI" w:hAnsi="Segoe UI" w:cs="Segoe UI"/>
        </w:rPr>
        <w:fldChar w:fldCharType="end"/>
      </w:r>
      <w:r w:rsidRPr="005B5171">
        <w:rPr>
          <w:rFonts w:ascii="Segoe UI" w:hAnsi="Segoe UI" w:cs="Segoe UI"/>
        </w:rPr>
        <w:t xml:space="preserve"> outlines the trends over the past 18 years related to Victoria’s plantation estate. The area of land identified as commercial softwood plantation remains fairly stable at around 220,000 hectares from 1999 to 2017. This contrasts with commercial hardwood plantation which saw a significant increase due to managed investment schemes (MIS) in the early 2000s. Over this period, hardwood (predominantly </w:t>
      </w:r>
      <w:r w:rsidRPr="005B5171">
        <w:rPr>
          <w:rFonts w:ascii="Segoe UI" w:hAnsi="Segoe UI" w:cs="Segoe UI"/>
          <w:i/>
        </w:rPr>
        <w:t>Eucalyptus globulus</w:t>
      </w:r>
      <w:r w:rsidRPr="005B5171">
        <w:rPr>
          <w:rFonts w:ascii="Segoe UI" w:hAnsi="Segoe UI" w:cs="Segoe UI"/>
        </w:rPr>
        <w:t>) plantations doubled in the 10 years from the 1999–2000 financial year, from 101,500 to 203,000 hectares. Following the demise of the MIS in 2010–11, this trend began to ease and by 2014–15 the estate began to retract, most prominently in areas where marginal plantation projects established through the MIS were not replanted. This equated to a net retraction of approximately 11,000 hectares compared to the maximum, with declines expected to continue in some MIS regions.</w:t>
      </w:r>
    </w:p>
    <w:p w:rsidR="005B5171" w:rsidRPr="005B5171" w:rsidRDefault="005B5171" w:rsidP="005B5171">
      <w:pPr>
        <w:rPr>
          <w:rFonts w:ascii="Segoe UI" w:hAnsi="Segoe UI" w:cs="Segoe UI"/>
        </w:rPr>
      </w:pPr>
      <w:r w:rsidRPr="005B5171">
        <w:rPr>
          <w:rFonts w:ascii="Segoe UI" w:hAnsi="Segoe UI" w:cs="Segoe UI"/>
          <w:noProof/>
        </w:rPr>
        <w:drawing>
          <wp:inline distT="0" distB="0" distL="0" distR="0" wp14:anchorId="7EBDD078" wp14:editId="52F37CCF">
            <wp:extent cx="5734050" cy="2743200"/>
            <wp:effectExtent l="0" t="0" r="0" b="0"/>
            <wp:docPr id="33" name="Chart 33">
              <a:extLst xmlns:a="http://schemas.openxmlformats.org/drawingml/2006/main">
                <a:ext uri="{FF2B5EF4-FFF2-40B4-BE49-F238E27FC236}">
                  <a16:creationId xmlns:a16="http://schemas.microsoft.com/office/drawing/2014/main" id="{219B164C-326D-4636-8EE0-201D2E471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5171" w:rsidRPr="005B5171" w:rsidRDefault="005B5171" w:rsidP="005B5171">
      <w:pPr>
        <w:spacing w:after="200" w:line="240" w:lineRule="auto"/>
        <w:rPr>
          <w:rFonts w:ascii="Segoe UI Semibold" w:eastAsia="Times New Roman" w:hAnsi="Segoe UI Semibold" w:cs="Times New Roman"/>
          <w:color w:val="016295"/>
          <w:vertAlign w:val="superscript"/>
        </w:rPr>
      </w:pPr>
      <w:bookmarkStart w:id="40" w:name="_Ref13050089"/>
      <w:bookmarkStart w:id="41" w:name="_Ref518655621"/>
      <w:bookmarkStart w:id="42" w:name="_Toc3364483"/>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33</w:t>
      </w:r>
      <w:r w:rsidRPr="005B5171">
        <w:rPr>
          <w:rFonts w:ascii="Segoe UI Semibold" w:eastAsia="Times New Roman" w:hAnsi="Segoe UI Semibold" w:cs="Times New Roman"/>
          <w:noProof/>
          <w:color w:val="016295"/>
        </w:rPr>
        <w:fldChar w:fldCharType="end"/>
      </w:r>
      <w:bookmarkEnd w:id="40"/>
      <w:bookmarkEnd w:id="41"/>
      <w:r w:rsidRPr="005B5171">
        <w:rPr>
          <w:rFonts w:ascii="Segoe UI Semibold" w:eastAsia="Times New Roman" w:hAnsi="Segoe UI Semibold" w:cs="Times New Roman"/>
          <w:color w:val="016295"/>
        </w:rPr>
        <w:t xml:space="preserve">: </w:t>
      </w:r>
      <w:bookmarkStart w:id="43" w:name="_Ref518744078"/>
      <w:r w:rsidRPr="005B5171">
        <w:rPr>
          <w:rFonts w:ascii="Segoe UI Semibold" w:eastAsia="Times New Roman" w:hAnsi="Segoe UI Semibold" w:cs="Times New Roman"/>
          <w:color w:val="016295"/>
        </w:rPr>
        <w:t>Plantation areas in Victoria, 1999–2000 to 2016–17</w:t>
      </w:r>
      <w:bookmarkEnd w:id="42"/>
      <w:bookmarkEnd w:id="43"/>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Source: ABARES (2007); ABARES (2018a).</w:t>
      </w:r>
    </w:p>
    <w:p w:rsidR="005B5171" w:rsidRPr="005B5171" w:rsidRDefault="005B5171" w:rsidP="005B5171">
      <w:pPr>
        <w:jc w:val="both"/>
        <w:rPr>
          <w:rFonts w:ascii="Segoe UI" w:hAnsi="Segoe UI" w:cs="Segoe UI"/>
        </w:rPr>
      </w:pPr>
      <w:r w:rsidRPr="005B5171">
        <w:rPr>
          <w:rFonts w:ascii="Segoe UI" w:hAnsi="Segoe UI" w:cs="Segoe UI"/>
        </w:rPr>
        <w:t xml:space="preserve">Over the same time that Victoria’s plantation area plateaued, the annual establishment of new plantations reduced sharply from a peak of approximately 38,000 hectares in 1999–2000, while </w:t>
      </w:r>
      <w:bookmarkStart w:id="44" w:name="_Hlk534974354"/>
      <w:r w:rsidRPr="005B5171">
        <w:rPr>
          <w:rFonts w:ascii="Segoe UI" w:hAnsi="Segoe UI" w:cs="Segoe UI"/>
        </w:rPr>
        <w:t>limited new plantation area has been established since the 2012–13 financial year</w:t>
      </w:r>
      <w:bookmarkEnd w:id="44"/>
      <w:r w:rsidRPr="005B5171">
        <w:rPr>
          <w:rFonts w:ascii="Segoe UI" w:hAnsi="Segoe UI" w:cs="Segoe UI"/>
        </w:rPr>
        <w:t xml:space="preserve">. </w:t>
      </w:r>
    </w:p>
    <w:p w:rsidR="005B5171" w:rsidRPr="005B5171" w:rsidRDefault="005B5171" w:rsidP="005B5171">
      <w:pPr>
        <w:jc w:val="both"/>
        <w:rPr>
          <w:rFonts w:ascii="Segoe UI" w:hAnsi="Segoe UI" w:cs="Segoe UI"/>
        </w:rPr>
      </w:pPr>
      <w:r w:rsidRPr="005B5171">
        <w:rPr>
          <w:rFonts w:ascii="Segoe UI" w:hAnsi="Segoe UI" w:cs="Segoe UI"/>
        </w:rPr>
        <w:t>In response, the Victorian Budget 2017–18 included $110 million to be invested in growing Victoria’s plantation supply through the establishment of plantations in the Latrobe Valley. As a first step towards delivering this initiative, planting of native blue gum seedlings was undertaken in August 2019 at three Crown land sites near Maryvale in the Latrobe Valley. Work is under way to identify further appropriate sites for new plantations, and planting at additional sites will continue in 2020. These plantings are just a first step, and the government is developing a broader Plantations Investment Strategy to provide a long-term approach for its work with industry to leverage plantation investment and establishment.</w:t>
      </w:r>
    </w:p>
    <w:p w:rsidR="005B5171" w:rsidRPr="005B5171" w:rsidRDefault="005B5171" w:rsidP="005B5171">
      <w:pPr>
        <w:keepNext/>
        <w:spacing w:before="120" w:after="120" w:line="240" w:lineRule="auto"/>
        <w:jc w:val="both"/>
        <w:outlineLvl w:val="3"/>
        <w:rPr>
          <w:rFonts w:ascii="Segoe UI" w:hAnsi="Segoe UI" w:cs="Segoe UI"/>
          <w:i/>
          <w:sz w:val="24"/>
          <w:szCs w:val="24"/>
        </w:rPr>
      </w:pPr>
      <w:r w:rsidRPr="005B5171">
        <w:rPr>
          <w:rFonts w:ascii="Segoe UI" w:hAnsi="Segoe UI" w:cs="Segoe UI"/>
          <w:i/>
          <w:sz w:val="24"/>
          <w:szCs w:val="24"/>
        </w:rPr>
        <w:t>Area of plantations in Victorian RFA regions</w:t>
      </w:r>
    </w:p>
    <w:p w:rsidR="005B5171" w:rsidRPr="005B5171" w:rsidRDefault="005B5171" w:rsidP="005B5171">
      <w:pPr>
        <w:jc w:val="both"/>
        <w:rPr>
          <w:rFonts w:ascii="Segoe UI" w:hAnsi="Segoe UI" w:cs="Segoe UI"/>
        </w:rPr>
      </w:pPr>
      <w:r w:rsidRPr="005B5171">
        <w:rPr>
          <w:rFonts w:ascii="Segoe UI" w:hAnsi="Segoe UI" w:cs="Segoe UI"/>
        </w:rPr>
        <w:t>Data from 2015 shows the area of plantations across the Victorian RFA regions. West Victoria has the largest plantation extent, with 257,000 hectares. Of the remaining plantation extent, 89,000 hectares is in Gippsland; 56,000 hectares, the North East; 12,000 hectares, the Central Highlands; and 6 thousand hectares, East Gippsland. Information from previous years in the NPI showed a total of 300,000 hectares of plantations were in the Victorian RFA regions in 2001, 380,000 hectares in 2005 and 428,000 hectares in 2011 (</w:t>
      </w:r>
      <w:r w:rsidRPr="005B5171">
        <w:rPr>
          <w:rFonts w:ascii="Segoe UI" w:hAnsi="Segoe UI" w:cs="Segoe UI"/>
        </w:rPr>
        <w:fldChar w:fldCharType="begin"/>
      </w:r>
      <w:r w:rsidRPr="005B5171">
        <w:rPr>
          <w:rFonts w:ascii="Segoe UI" w:hAnsi="Segoe UI" w:cs="Segoe UI"/>
        </w:rPr>
        <w:instrText xml:space="preserve"> REF _Ref13050527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68</w:t>
      </w:r>
      <w:r w:rsidRPr="005B5171">
        <w:rPr>
          <w:rFonts w:ascii="Segoe UI" w:hAnsi="Segoe UI" w:cs="Segoe UI"/>
        </w:rPr>
        <w:fldChar w:fldCharType="end"/>
      </w:r>
      <w:r w:rsidRPr="005B5171">
        <w:rPr>
          <w:rFonts w:ascii="Segoe UI" w:hAnsi="Segoe UI" w:cs="Segoe UI"/>
        </w:rPr>
        <w:t xml:space="preserve">). </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Also of note, the proportion of hardwood to softwood has significantly increased, most markedly since the MIS stimulated investment in blue gum plantations. In 2015, around 47 per cent of Victoria’s plantations were hardwood. Almost all plantations (over 99 per cent– both hardwood and softwood – are within RFA regions, with the greatest area in the West RFA region (61 per cent per cent) followed by Gippsland (21 per cent per cent) and the North East (13 per cent per cent). Plantation types in the West are 38 per cent softwood, whereas Gippsland plantations are around two-thirds softwood, and North East plantations are almost all softwood.</w:t>
      </w:r>
    </w:p>
    <w:p w:rsidR="005B5171" w:rsidRPr="005B5171" w:rsidRDefault="005B5171" w:rsidP="005B5171">
      <w:pPr>
        <w:rPr>
          <w:rFonts w:ascii="Segoe UI" w:hAnsi="Segoe UI" w:cs="Segoe UI"/>
          <w:lang w:eastAsia="en-AU"/>
        </w:rPr>
      </w:pPr>
      <w:r w:rsidRPr="005B5171">
        <w:rPr>
          <w:rFonts w:ascii="Segoe UI" w:hAnsi="Segoe UI" w:cs="Segoe UI"/>
          <w:lang w:eastAsia="en-AU"/>
        </w:rPr>
        <w:br w:type="page"/>
      </w:r>
    </w:p>
    <w:p w:rsidR="005B5171" w:rsidRPr="005B5171" w:rsidRDefault="005B5171" w:rsidP="005B5171">
      <w:pPr>
        <w:spacing w:after="200" w:line="240" w:lineRule="auto"/>
        <w:rPr>
          <w:rFonts w:ascii="Segoe UI Semibold" w:eastAsia="Times New Roman" w:hAnsi="Segoe UI Semibold" w:cs="Times New Roman"/>
          <w:color w:val="016295"/>
        </w:rPr>
      </w:pPr>
      <w:bookmarkStart w:id="45" w:name="_Ref13050527"/>
      <w:bookmarkStart w:id="46" w:name="_Toc25660850"/>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68</w:t>
      </w:r>
      <w:r w:rsidRPr="005B5171">
        <w:rPr>
          <w:rFonts w:ascii="Segoe UI Semibold" w:eastAsia="Times New Roman" w:hAnsi="Segoe UI Semibold" w:cs="Times New Roman"/>
          <w:noProof/>
          <w:color w:val="016295"/>
        </w:rPr>
        <w:fldChar w:fldCharType="end"/>
      </w:r>
      <w:bookmarkEnd w:id="45"/>
      <w:r w:rsidRPr="005B5171">
        <w:rPr>
          <w:rFonts w:ascii="Segoe UI Semibold" w:eastAsia="Times New Roman" w:hAnsi="Segoe UI Semibold" w:cs="Times New Roman"/>
          <w:color w:val="016295"/>
        </w:rPr>
        <w:t>: Area of plantations in Victoria, by RFA region (2001, 2005, 2011, 2015)</w:t>
      </w:r>
      <w:bookmarkEnd w:id="46"/>
    </w:p>
    <w:tbl>
      <w:tblPr>
        <w:tblW w:w="6946" w:type="dxa"/>
        <w:tblLayout w:type="fixed"/>
        <w:tblCellMar>
          <w:top w:w="57" w:type="dxa"/>
          <w:bottom w:w="57" w:type="dxa"/>
        </w:tblCellMar>
        <w:tblLook w:val="04A0" w:firstRow="1" w:lastRow="0" w:firstColumn="1" w:lastColumn="0" w:noHBand="0" w:noVBand="1"/>
      </w:tblPr>
      <w:tblGrid>
        <w:gridCol w:w="1951"/>
        <w:gridCol w:w="1247"/>
        <w:gridCol w:w="1247"/>
        <w:gridCol w:w="1248"/>
        <w:gridCol w:w="1253"/>
      </w:tblGrid>
      <w:tr w:rsidR="005B5171" w:rsidRPr="005B5171" w:rsidTr="000B1EFD">
        <w:tc>
          <w:tcPr>
            <w:tcW w:w="1951" w:type="dxa"/>
            <w:vMerge w:val="restart"/>
            <w:tcBorders>
              <w:bottom w:val="single" w:sz="2" w:space="0" w:color="auto"/>
            </w:tcBorders>
            <w:shd w:val="clear" w:color="auto" w:fill="E2EFD9" w:themeFill="accent6" w:themeFillTint="33"/>
            <w:noWrap/>
            <w:vAlign w:val="bottom"/>
            <w:hideMark/>
          </w:tcPr>
          <w:p w:rsidR="005B5171" w:rsidRPr="005B5171" w:rsidRDefault="005B5171" w:rsidP="005B5171">
            <w:pPr>
              <w:spacing w:before="20" w:after="0" w:line="240" w:lineRule="auto"/>
              <w:rPr>
                <w:rFonts w:ascii="Segoe UI" w:eastAsia="Calibri" w:hAnsi="Segoe UI" w:cs="Calibri"/>
                <w:sz w:val="19"/>
                <w:szCs w:val="19"/>
                <w:lang w:eastAsia="en-AU"/>
              </w:rPr>
            </w:pPr>
            <w:bookmarkStart w:id="47" w:name="_Ref11237116"/>
            <w:r w:rsidRPr="005B5171">
              <w:rPr>
                <w:rFonts w:ascii="Segoe UI" w:eastAsia="Calibri" w:hAnsi="Segoe UI" w:cs="Calibri"/>
                <w:sz w:val="19"/>
                <w:szCs w:val="19"/>
                <w:lang w:eastAsia="en-AU"/>
              </w:rPr>
              <w:t>RFA region</w:t>
            </w:r>
          </w:p>
        </w:tc>
        <w:tc>
          <w:tcPr>
            <w:tcW w:w="3742" w:type="dxa"/>
            <w:gridSpan w:val="3"/>
            <w:tcBorders>
              <w:bottom w:val="single" w:sz="2" w:space="0" w:color="auto"/>
            </w:tcBorders>
            <w:shd w:val="clear" w:color="auto" w:fill="E2EFD9" w:themeFill="accent6" w:themeFillTint="33"/>
            <w:noWrap/>
            <w:vAlign w:val="bottom"/>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Plantation type</w:t>
            </w:r>
          </w:p>
        </w:tc>
        <w:tc>
          <w:tcPr>
            <w:tcW w:w="1253" w:type="dxa"/>
            <w:shd w:val="clear" w:color="auto" w:fill="E2EFD9" w:themeFill="accent6" w:themeFillTint="33"/>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p>
        </w:tc>
      </w:tr>
      <w:tr w:rsidR="005B5171" w:rsidRPr="005B5171" w:rsidTr="000B1EFD">
        <w:tc>
          <w:tcPr>
            <w:tcW w:w="1951" w:type="dxa"/>
            <w:vMerge/>
            <w:tcBorders>
              <w:bottom w:val="single" w:sz="2" w:space="0" w:color="auto"/>
            </w:tcBorders>
            <w:shd w:val="clear" w:color="auto" w:fill="E2EFD9" w:themeFill="accent6" w:themeFillTint="33"/>
            <w:noWrap/>
            <w:hideMark/>
          </w:tcPr>
          <w:p w:rsidR="005B5171" w:rsidRPr="005B5171" w:rsidRDefault="005B5171" w:rsidP="005B5171">
            <w:pPr>
              <w:rPr>
                <w:rFonts w:ascii="Segoe UI" w:hAnsi="Segoe UI" w:cs="Segoe UI"/>
              </w:rPr>
            </w:pPr>
          </w:p>
        </w:tc>
        <w:tc>
          <w:tcPr>
            <w:tcW w:w="1247" w:type="dxa"/>
            <w:tcBorders>
              <w:bottom w:val="single" w:sz="2" w:space="0" w:color="auto"/>
            </w:tcBorders>
            <w:shd w:val="clear" w:color="auto" w:fill="E2EFD9" w:themeFill="accent6" w:themeFillTint="33"/>
            <w:noWrap/>
            <w:vAlign w:val="bottom"/>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Hardwood</w:t>
            </w:r>
          </w:p>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(‘000 ha)</w:t>
            </w:r>
          </w:p>
        </w:tc>
        <w:tc>
          <w:tcPr>
            <w:tcW w:w="1247" w:type="dxa"/>
            <w:tcBorders>
              <w:bottom w:val="single" w:sz="2" w:space="0" w:color="auto"/>
            </w:tcBorders>
            <w:shd w:val="clear" w:color="auto" w:fill="E2EFD9" w:themeFill="accent6" w:themeFillTint="33"/>
            <w:noWrap/>
            <w:vAlign w:val="bottom"/>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Softwood</w:t>
            </w:r>
          </w:p>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(‘000 ha)</w:t>
            </w:r>
          </w:p>
        </w:tc>
        <w:tc>
          <w:tcPr>
            <w:tcW w:w="1248" w:type="dxa"/>
            <w:tcBorders>
              <w:bottom w:val="single" w:sz="2" w:space="0" w:color="auto"/>
            </w:tcBorders>
            <w:shd w:val="clear" w:color="auto" w:fill="E2EFD9" w:themeFill="accent6" w:themeFillTint="33"/>
            <w:noWrap/>
            <w:vAlign w:val="bottom"/>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 xml:space="preserve">Unknown </w:t>
            </w:r>
            <w:r w:rsidRPr="005B5171">
              <w:rPr>
                <w:rFonts w:ascii="Segoe UI" w:eastAsia="Calibri" w:hAnsi="Segoe UI" w:cs="Calibri"/>
                <w:sz w:val="19"/>
                <w:szCs w:val="19"/>
                <w:lang w:eastAsia="en-AU"/>
              </w:rPr>
              <w:br/>
              <w:t>or mixed</w:t>
            </w:r>
          </w:p>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(‘000 ha)</w:t>
            </w:r>
          </w:p>
        </w:tc>
        <w:tc>
          <w:tcPr>
            <w:tcW w:w="1253" w:type="dxa"/>
            <w:tcBorders>
              <w:bottom w:val="single" w:sz="2" w:space="0" w:color="auto"/>
            </w:tcBorders>
            <w:shd w:val="clear" w:color="auto" w:fill="E2EFD9" w:themeFill="accent6" w:themeFillTint="33"/>
            <w:noWrap/>
            <w:vAlign w:val="bottom"/>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Total plantation</w:t>
            </w:r>
          </w:p>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(‘000 ha)</w:t>
            </w:r>
          </w:p>
        </w:tc>
      </w:tr>
      <w:tr w:rsidR="005B5171" w:rsidRPr="005B5171" w:rsidTr="000B1EFD">
        <w:tc>
          <w:tcPr>
            <w:tcW w:w="6946" w:type="dxa"/>
            <w:gridSpan w:val="5"/>
            <w:tcBorders>
              <w:top w:val="single" w:sz="2" w:space="0" w:color="auto"/>
              <w:bottom w:val="single" w:sz="2" w:space="0" w:color="auto"/>
            </w:tcBorders>
            <w:shd w:val="clear" w:color="auto" w:fill="F2F2F2" w:themeFill="background1" w:themeFillShade="F2"/>
            <w:noWrap/>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2001</w:t>
            </w:r>
          </w:p>
        </w:tc>
      </w:tr>
      <w:tr w:rsidR="005B5171" w:rsidRPr="005B5171" w:rsidTr="000B1EFD">
        <w:tc>
          <w:tcPr>
            <w:tcW w:w="1951" w:type="dxa"/>
            <w:tcBorders>
              <w:top w:val="single" w:sz="2" w:space="0" w:color="auto"/>
            </w:tcBorders>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Central Highlands</w:t>
            </w:r>
          </w:p>
        </w:tc>
        <w:tc>
          <w:tcPr>
            <w:tcW w:w="1247" w:type="dxa"/>
            <w:tcBorders>
              <w:top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0</w:t>
            </w:r>
          </w:p>
        </w:tc>
        <w:tc>
          <w:tcPr>
            <w:tcW w:w="1247" w:type="dxa"/>
            <w:tcBorders>
              <w:top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10</w:t>
            </w:r>
          </w:p>
        </w:tc>
        <w:tc>
          <w:tcPr>
            <w:tcW w:w="1248" w:type="dxa"/>
            <w:tcBorders>
              <w:top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0</w:t>
            </w:r>
          </w:p>
        </w:tc>
        <w:tc>
          <w:tcPr>
            <w:tcW w:w="1253" w:type="dxa"/>
            <w:tcBorders>
              <w:top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10</w:t>
            </w:r>
          </w:p>
        </w:tc>
      </w:tr>
      <w:tr w:rsidR="005B5171" w:rsidRPr="005B5171" w:rsidTr="000B1EFD">
        <w:tc>
          <w:tcPr>
            <w:tcW w:w="1951" w:type="dxa"/>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East Gippsland</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w:t>
            </w:r>
          </w:p>
        </w:tc>
        <w:tc>
          <w:tcPr>
            <w:tcW w:w="1248"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0</w:t>
            </w:r>
          </w:p>
        </w:tc>
        <w:tc>
          <w:tcPr>
            <w:tcW w:w="1253"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4</w:t>
            </w:r>
          </w:p>
        </w:tc>
      </w:tr>
      <w:tr w:rsidR="005B5171" w:rsidRPr="005B5171" w:rsidTr="000B1EFD">
        <w:tc>
          <w:tcPr>
            <w:tcW w:w="1951" w:type="dxa"/>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Gippsland</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26</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53</w:t>
            </w:r>
          </w:p>
        </w:tc>
        <w:tc>
          <w:tcPr>
            <w:tcW w:w="1248"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0</w:t>
            </w:r>
          </w:p>
        </w:tc>
        <w:tc>
          <w:tcPr>
            <w:tcW w:w="1253"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80</w:t>
            </w:r>
          </w:p>
        </w:tc>
      </w:tr>
      <w:tr w:rsidR="005B5171" w:rsidRPr="005B5171" w:rsidTr="000B1EFD">
        <w:tc>
          <w:tcPr>
            <w:tcW w:w="1951" w:type="dxa"/>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North East</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0</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49</w:t>
            </w:r>
          </w:p>
        </w:tc>
        <w:tc>
          <w:tcPr>
            <w:tcW w:w="1248"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0</w:t>
            </w:r>
          </w:p>
        </w:tc>
        <w:tc>
          <w:tcPr>
            <w:tcW w:w="1253"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49</w:t>
            </w:r>
          </w:p>
        </w:tc>
      </w:tr>
      <w:tr w:rsidR="005B5171" w:rsidRPr="005B5171" w:rsidTr="000B1EFD">
        <w:tc>
          <w:tcPr>
            <w:tcW w:w="1951" w:type="dxa"/>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West Victoria</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71</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85</w:t>
            </w:r>
          </w:p>
        </w:tc>
        <w:tc>
          <w:tcPr>
            <w:tcW w:w="1248"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w:t>
            </w:r>
          </w:p>
        </w:tc>
        <w:tc>
          <w:tcPr>
            <w:tcW w:w="1253"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157</w:t>
            </w:r>
          </w:p>
        </w:tc>
      </w:tr>
      <w:tr w:rsidR="005B5171" w:rsidRPr="005B5171" w:rsidTr="000B1EFD">
        <w:tc>
          <w:tcPr>
            <w:tcW w:w="1951" w:type="dxa"/>
            <w:tcBorders>
              <w:bottom w:val="single" w:sz="2" w:space="0" w:color="auto"/>
            </w:tcBorders>
            <w:noWrap/>
            <w:hideMark/>
          </w:tcPr>
          <w:p w:rsidR="005B5171" w:rsidRPr="005B5171" w:rsidRDefault="005B5171" w:rsidP="005B5171">
            <w:pPr>
              <w:spacing w:before="20" w:after="0" w:line="240" w:lineRule="auto"/>
              <w:rPr>
                <w:rFonts w:ascii="Segoe UI" w:eastAsia="Calibri" w:hAnsi="Segoe UI" w:cs="Calibri"/>
                <w:b/>
                <w:sz w:val="19"/>
                <w:szCs w:val="19"/>
                <w:lang w:eastAsia="en-AU"/>
              </w:rPr>
            </w:pPr>
            <w:r w:rsidRPr="005B5171">
              <w:rPr>
                <w:rFonts w:ascii="Segoe UI" w:eastAsia="Calibri" w:hAnsi="Segoe UI" w:cs="Calibri"/>
                <w:b/>
                <w:sz w:val="19"/>
                <w:szCs w:val="19"/>
                <w:lang w:eastAsia="en-AU"/>
              </w:rPr>
              <w:t>Total 2001</w:t>
            </w:r>
          </w:p>
        </w:tc>
        <w:tc>
          <w:tcPr>
            <w:tcW w:w="1247" w:type="dxa"/>
            <w:tcBorders>
              <w:bottom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99</w:t>
            </w:r>
          </w:p>
        </w:tc>
        <w:tc>
          <w:tcPr>
            <w:tcW w:w="1247" w:type="dxa"/>
            <w:tcBorders>
              <w:bottom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199</w:t>
            </w:r>
          </w:p>
        </w:tc>
        <w:tc>
          <w:tcPr>
            <w:tcW w:w="1248" w:type="dxa"/>
            <w:tcBorders>
              <w:bottom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2</w:t>
            </w:r>
          </w:p>
        </w:tc>
        <w:tc>
          <w:tcPr>
            <w:tcW w:w="1253" w:type="dxa"/>
            <w:tcBorders>
              <w:bottom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300</w:t>
            </w:r>
          </w:p>
        </w:tc>
      </w:tr>
      <w:tr w:rsidR="005B5171" w:rsidRPr="005B5171" w:rsidTr="000B1EFD">
        <w:tc>
          <w:tcPr>
            <w:tcW w:w="6946" w:type="dxa"/>
            <w:gridSpan w:val="5"/>
            <w:tcBorders>
              <w:top w:val="single" w:sz="2" w:space="0" w:color="auto"/>
              <w:bottom w:val="single" w:sz="2" w:space="0" w:color="auto"/>
            </w:tcBorders>
            <w:shd w:val="clear" w:color="auto" w:fill="F2F2F2" w:themeFill="background1" w:themeFillShade="F2"/>
            <w:noWrap/>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2005</w:t>
            </w:r>
          </w:p>
        </w:tc>
      </w:tr>
      <w:tr w:rsidR="005B5171" w:rsidRPr="005B5171" w:rsidTr="000B1EFD">
        <w:tc>
          <w:tcPr>
            <w:tcW w:w="1951" w:type="dxa"/>
            <w:tcBorders>
              <w:top w:val="single" w:sz="2" w:space="0" w:color="auto"/>
            </w:tcBorders>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Central Highlands</w:t>
            </w:r>
          </w:p>
        </w:tc>
        <w:tc>
          <w:tcPr>
            <w:tcW w:w="1247" w:type="dxa"/>
            <w:tcBorders>
              <w:top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w:t>
            </w:r>
          </w:p>
        </w:tc>
        <w:tc>
          <w:tcPr>
            <w:tcW w:w="1247" w:type="dxa"/>
            <w:tcBorders>
              <w:top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11</w:t>
            </w:r>
          </w:p>
        </w:tc>
        <w:tc>
          <w:tcPr>
            <w:tcW w:w="1248" w:type="dxa"/>
            <w:tcBorders>
              <w:top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0</w:t>
            </w:r>
          </w:p>
        </w:tc>
        <w:tc>
          <w:tcPr>
            <w:tcW w:w="1253" w:type="dxa"/>
            <w:tcBorders>
              <w:top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13</w:t>
            </w:r>
          </w:p>
        </w:tc>
      </w:tr>
      <w:tr w:rsidR="005B5171" w:rsidRPr="005B5171" w:rsidTr="000B1EFD">
        <w:tc>
          <w:tcPr>
            <w:tcW w:w="1951" w:type="dxa"/>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East Gippsland</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0</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w:t>
            </w:r>
          </w:p>
        </w:tc>
        <w:tc>
          <w:tcPr>
            <w:tcW w:w="1248"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0</w:t>
            </w:r>
          </w:p>
        </w:tc>
        <w:tc>
          <w:tcPr>
            <w:tcW w:w="1253"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w:t>
            </w:r>
          </w:p>
        </w:tc>
      </w:tr>
      <w:tr w:rsidR="005B5171" w:rsidRPr="005B5171" w:rsidTr="000B1EFD">
        <w:tc>
          <w:tcPr>
            <w:tcW w:w="1951" w:type="dxa"/>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Gippsland</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32</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56</w:t>
            </w:r>
          </w:p>
        </w:tc>
        <w:tc>
          <w:tcPr>
            <w:tcW w:w="1248"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w:t>
            </w:r>
          </w:p>
        </w:tc>
        <w:tc>
          <w:tcPr>
            <w:tcW w:w="1253"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90</w:t>
            </w:r>
          </w:p>
        </w:tc>
      </w:tr>
      <w:tr w:rsidR="005B5171" w:rsidRPr="005B5171" w:rsidTr="000B1EFD">
        <w:tc>
          <w:tcPr>
            <w:tcW w:w="1951" w:type="dxa"/>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North East</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53</w:t>
            </w:r>
          </w:p>
        </w:tc>
        <w:tc>
          <w:tcPr>
            <w:tcW w:w="1248"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w:t>
            </w:r>
          </w:p>
        </w:tc>
        <w:tc>
          <w:tcPr>
            <w:tcW w:w="1253"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57</w:t>
            </w:r>
          </w:p>
        </w:tc>
      </w:tr>
      <w:tr w:rsidR="005B5171" w:rsidRPr="005B5171" w:rsidTr="000B1EFD">
        <w:tc>
          <w:tcPr>
            <w:tcW w:w="1951" w:type="dxa"/>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West Victoria</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126</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91</w:t>
            </w:r>
          </w:p>
        </w:tc>
        <w:tc>
          <w:tcPr>
            <w:tcW w:w="1248"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w:t>
            </w:r>
          </w:p>
        </w:tc>
        <w:tc>
          <w:tcPr>
            <w:tcW w:w="1253"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218</w:t>
            </w:r>
          </w:p>
        </w:tc>
      </w:tr>
      <w:tr w:rsidR="005B5171" w:rsidRPr="005B5171" w:rsidTr="000B1EFD">
        <w:tc>
          <w:tcPr>
            <w:tcW w:w="1951" w:type="dxa"/>
            <w:tcBorders>
              <w:bottom w:val="single" w:sz="2" w:space="0" w:color="auto"/>
            </w:tcBorders>
            <w:noWrap/>
            <w:hideMark/>
          </w:tcPr>
          <w:p w:rsidR="005B5171" w:rsidRPr="005B5171" w:rsidRDefault="005B5171" w:rsidP="005B5171">
            <w:pPr>
              <w:spacing w:before="20" w:after="0" w:line="240" w:lineRule="auto"/>
              <w:rPr>
                <w:rFonts w:ascii="Segoe UI" w:eastAsia="Calibri" w:hAnsi="Segoe UI" w:cs="Calibri"/>
                <w:b/>
                <w:sz w:val="19"/>
                <w:szCs w:val="19"/>
                <w:lang w:eastAsia="en-AU"/>
              </w:rPr>
            </w:pPr>
            <w:r w:rsidRPr="005B5171">
              <w:rPr>
                <w:rFonts w:ascii="Segoe UI" w:eastAsia="Calibri" w:hAnsi="Segoe UI" w:cs="Calibri"/>
                <w:b/>
                <w:sz w:val="19"/>
                <w:szCs w:val="19"/>
                <w:lang w:eastAsia="en-AU"/>
              </w:rPr>
              <w:t>Total 2005</w:t>
            </w:r>
          </w:p>
        </w:tc>
        <w:tc>
          <w:tcPr>
            <w:tcW w:w="1247" w:type="dxa"/>
            <w:tcBorders>
              <w:bottom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163</w:t>
            </w:r>
          </w:p>
        </w:tc>
        <w:tc>
          <w:tcPr>
            <w:tcW w:w="1247" w:type="dxa"/>
            <w:tcBorders>
              <w:bottom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213</w:t>
            </w:r>
          </w:p>
        </w:tc>
        <w:tc>
          <w:tcPr>
            <w:tcW w:w="1248" w:type="dxa"/>
            <w:tcBorders>
              <w:bottom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4</w:t>
            </w:r>
          </w:p>
        </w:tc>
        <w:tc>
          <w:tcPr>
            <w:tcW w:w="1253" w:type="dxa"/>
            <w:tcBorders>
              <w:bottom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380</w:t>
            </w:r>
          </w:p>
        </w:tc>
      </w:tr>
      <w:tr w:rsidR="005B5171" w:rsidRPr="005B5171" w:rsidTr="000B1EFD">
        <w:tc>
          <w:tcPr>
            <w:tcW w:w="6946" w:type="dxa"/>
            <w:gridSpan w:val="5"/>
            <w:tcBorders>
              <w:top w:val="single" w:sz="2" w:space="0" w:color="auto"/>
              <w:bottom w:val="single" w:sz="2" w:space="0" w:color="auto"/>
            </w:tcBorders>
            <w:shd w:val="clear" w:color="auto" w:fill="F2F2F2" w:themeFill="background1" w:themeFillShade="F2"/>
            <w:noWrap/>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2011</w:t>
            </w:r>
          </w:p>
        </w:tc>
      </w:tr>
      <w:tr w:rsidR="005B5171" w:rsidRPr="005B5171" w:rsidTr="000B1EFD">
        <w:tc>
          <w:tcPr>
            <w:tcW w:w="1951" w:type="dxa"/>
            <w:tcBorders>
              <w:top w:val="single" w:sz="2" w:space="0" w:color="auto"/>
            </w:tcBorders>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Central Highlands</w:t>
            </w:r>
          </w:p>
        </w:tc>
        <w:tc>
          <w:tcPr>
            <w:tcW w:w="1247" w:type="dxa"/>
            <w:tcBorders>
              <w:top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w:t>
            </w:r>
          </w:p>
        </w:tc>
        <w:tc>
          <w:tcPr>
            <w:tcW w:w="1247" w:type="dxa"/>
            <w:tcBorders>
              <w:top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9</w:t>
            </w:r>
          </w:p>
        </w:tc>
        <w:tc>
          <w:tcPr>
            <w:tcW w:w="1248" w:type="dxa"/>
            <w:tcBorders>
              <w:top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0</w:t>
            </w:r>
          </w:p>
        </w:tc>
        <w:tc>
          <w:tcPr>
            <w:tcW w:w="1253" w:type="dxa"/>
            <w:tcBorders>
              <w:top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12</w:t>
            </w:r>
          </w:p>
        </w:tc>
      </w:tr>
      <w:tr w:rsidR="005B5171" w:rsidRPr="005B5171" w:rsidTr="000B1EFD">
        <w:tc>
          <w:tcPr>
            <w:tcW w:w="1951" w:type="dxa"/>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East Gippsland</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w:t>
            </w:r>
          </w:p>
        </w:tc>
        <w:tc>
          <w:tcPr>
            <w:tcW w:w="1248"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0</w:t>
            </w:r>
          </w:p>
        </w:tc>
        <w:tc>
          <w:tcPr>
            <w:tcW w:w="1253"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6</w:t>
            </w:r>
          </w:p>
        </w:tc>
      </w:tr>
      <w:tr w:rsidR="005B5171" w:rsidRPr="005B5171" w:rsidTr="000B1EFD">
        <w:tc>
          <w:tcPr>
            <w:tcW w:w="1951" w:type="dxa"/>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Gippsland</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36</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60</w:t>
            </w:r>
          </w:p>
        </w:tc>
        <w:tc>
          <w:tcPr>
            <w:tcW w:w="1248"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w:t>
            </w:r>
          </w:p>
        </w:tc>
        <w:tc>
          <w:tcPr>
            <w:tcW w:w="1253"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96</w:t>
            </w:r>
          </w:p>
        </w:tc>
      </w:tr>
      <w:tr w:rsidR="005B5171" w:rsidRPr="005B5171" w:rsidTr="000B1EFD">
        <w:tc>
          <w:tcPr>
            <w:tcW w:w="1951" w:type="dxa"/>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North East</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54</w:t>
            </w:r>
          </w:p>
        </w:tc>
        <w:tc>
          <w:tcPr>
            <w:tcW w:w="1248"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0</w:t>
            </w:r>
          </w:p>
        </w:tc>
        <w:tc>
          <w:tcPr>
            <w:tcW w:w="1253"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58</w:t>
            </w:r>
          </w:p>
        </w:tc>
      </w:tr>
      <w:tr w:rsidR="005B5171" w:rsidRPr="005B5171" w:rsidTr="000B1EFD">
        <w:tc>
          <w:tcPr>
            <w:tcW w:w="1951" w:type="dxa"/>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West Victoria</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160</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95</w:t>
            </w:r>
          </w:p>
        </w:tc>
        <w:tc>
          <w:tcPr>
            <w:tcW w:w="1248"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w:t>
            </w:r>
          </w:p>
        </w:tc>
        <w:tc>
          <w:tcPr>
            <w:tcW w:w="1253"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256</w:t>
            </w:r>
          </w:p>
        </w:tc>
      </w:tr>
      <w:tr w:rsidR="005B5171" w:rsidRPr="005B5171" w:rsidTr="000B1EFD">
        <w:tc>
          <w:tcPr>
            <w:tcW w:w="1951" w:type="dxa"/>
            <w:tcBorders>
              <w:bottom w:val="single" w:sz="2" w:space="0" w:color="auto"/>
            </w:tcBorders>
            <w:noWrap/>
            <w:hideMark/>
          </w:tcPr>
          <w:p w:rsidR="005B5171" w:rsidRPr="005B5171" w:rsidRDefault="005B5171" w:rsidP="005B5171">
            <w:pPr>
              <w:spacing w:before="20" w:after="0" w:line="240" w:lineRule="auto"/>
              <w:rPr>
                <w:rFonts w:ascii="Segoe UI" w:eastAsia="Calibri" w:hAnsi="Segoe UI" w:cs="Calibri"/>
                <w:b/>
                <w:sz w:val="19"/>
                <w:szCs w:val="19"/>
                <w:lang w:eastAsia="en-AU"/>
              </w:rPr>
            </w:pPr>
            <w:r w:rsidRPr="005B5171">
              <w:rPr>
                <w:rFonts w:ascii="Segoe UI" w:eastAsia="Calibri" w:hAnsi="Segoe UI" w:cs="Calibri"/>
                <w:b/>
                <w:sz w:val="19"/>
                <w:szCs w:val="19"/>
                <w:lang w:eastAsia="en-AU"/>
              </w:rPr>
              <w:t>Total 2011</w:t>
            </w:r>
          </w:p>
        </w:tc>
        <w:tc>
          <w:tcPr>
            <w:tcW w:w="1247" w:type="dxa"/>
            <w:tcBorders>
              <w:bottom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205</w:t>
            </w:r>
          </w:p>
        </w:tc>
        <w:tc>
          <w:tcPr>
            <w:tcW w:w="1247" w:type="dxa"/>
            <w:tcBorders>
              <w:bottom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221</w:t>
            </w:r>
          </w:p>
        </w:tc>
        <w:tc>
          <w:tcPr>
            <w:tcW w:w="1248" w:type="dxa"/>
            <w:tcBorders>
              <w:bottom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2</w:t>
            </w:r>
          </w:p>
        </w:tc>
        <w:tc>
          <w:tcPr>
            <w:tcW w:w="1253" w:type="dxa"/>
            <w:tcBorders>
              <w:bottom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428</w:t>
            </w:r>
          </w:p>
        </w:tc>
      </w:tr>
      <w:tr w:rsidR="005B5171" w:rsidRPr="005B5171" w:rsidTr="000B1EFD">
        <w:tc>
          <w:tcPr>
            <w:tcW w:w="6946" w:type="dxa"/>
            <w:gridSpan w:val="5"/>
            <w:tcBorders>
              <w:top w:val="single" w:sz="2" w:space="0" w:color="auto"/>
              <w:bottom w:val="single" w:sz="2" w:space="0" w:color="auto"/>
            </w:tcBorders>
            <w:shd w:val="clear" w:color="auto" w:fill="F2F2F2" w:themeFill="background1" w:themeFillShade="F2"/>
            <w:noWrap/>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2015</w:t>
            </w:r>
          </w:p>
        </w:tc>
      </w:tr>
      <w:tr w:rsidR="005B5171" w:rsidRPr="005B5171" w:rsidTr="000B1EFD">
        <w:tc>
          <w:tcPr>
            <w:tcW w:w="1951" w:type="dxa"/>
            <w:tcBorders>
              <w:top w:val="single" w:sz="2" w:space="0" w:color="auto"/>
            </w:tcBorders>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Central Highlands</w:t>
            </w:r>
          </w:p>
        </w:tc>
        <w:tc>
          <w:tcPr>
            <w:tcW w:w="1247" w:type="dxa"/>
            <w:tcBorders>
              <w:top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4</w:t>
            </w:r>
          </w:p>
        </w:tc>
        <w:tc>
          <w:tcPr>
            <w:tcW w:w="1247" w:type="dxa"/>
            <w:tcBorders>
              <w:top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9</w:t>
            </w:r>
          </w:p>
        </w:tc>
        <w:tc>
          <w:tcPr>
            <w:tcW w:w="1248" w:type="dxa"/>
            <w:tcBorders>
              <w:top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0</w:t>
            </w:r>
          </w:p>
        </w:tc>
        <w:tc>
          <w:tcPr>
            <w:tcW w:w="1253" w:type="dxa"/>
            <w:tcBorders>
              <w:top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12</w:t>
            </w:r>
          </w:p>
        </w:tc>
      </w:tr>
      <w:tr w:rsidR="005B5171" w:rsidRPr="005B5171" w:rsidTr="000B1EFD">
        <w:tc>
          <w:tcPr>
            <w:tcW w:w="1951" w:type="dxa"/>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East Gippsland</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4</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w:t>
            </w:r>
          </w:p>
        </w:tc>
        <w:tc>
          <w:tcPr>
            <w:tcW w:w="1248"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0</w:t>
            </w:r>
          </w:p>
        </w:tc>
        <w:tc>
          <w:tcPr>
            <w:tcW w:w="1253"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6</w:t>
            </w:r>
          </w:p>
        </w:tc>
      </w:tr>
      <w:tr w:rsidR="005B5171" w:rsidRPr="005B5171" w:rsidTr="000B1EFD">
        <w:tc>
          <w:tcPr>
            <w:tcW w:w="1951" w:type="dxa"/>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Gippsland</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29</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59</w:t>
            </w:r>
          </w:p>
        </w:tc>
        <w:tc>
          <w:tcPr>
            <w:tcW w:w="1248"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w:t>
            </w:r>
          </w:p>
        </w:tc>
        <w:tc>
          <w:tcPr>
            <w:tcW w:w="1253"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89</w:t>
            </w:r>
          </w:p>
        </w:tc>
      </w:tr>
      <w:tr w:rsidR="005B5171" w:rsidRPr="005B5171" w:rsidTr="000B1EFD">
        <w:tc>
          <w:tcPr>
            <w:tcW w:w="1951" w:type="dxa"/>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North East</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53</w:t>
            </w:r>
          </w:p>
        </w:tc>
        <w:tc>
          <w:tcPr>
            <w:tcW w:w="1248"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0</w:t>
            </w:r>
          </w:p>
        </w:tc>
        <w:tc>
          <w:tcPr>
            <w:tcW w:w="1253"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56</w:t>
            </w:r>
          </w:p>
        </w:tc>
      </w:tr>
      <w:tr w:rsidR="005B5171" w:rsidRPr="005B5171" w:rsidTr="000B1EFD">
        <w:tc>
          <w:tcPr>
            <w:tcW w:w="1951" w:type="dxa"/>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West Victoria</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159</w:t>
            </w:r>
          </w:p>
        </w:tc>
        <w:tc>
          <w:tcPr>
            <w:tcW w:w="1247"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99</w:t>
            </w:r>
          </w:p>
        </w:tc>
        <w:tc>
          <w:tcPr>
            <w:tcW w:w="1248"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0</w:t>
            </w:r>
          </w:p>
        </w:tc>
        <w:tc>
          <w:tcPr>
            <w:tcW w:w="1253"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257</w:t>
            </w:r>
          </w:p>
        </w:tc>
      </w:tr>
      <w:tr w:rsidR="005B5171" w:rsidRPr="005B5171" w:rsidTr="000B1EFD">
        <w:tc>
          <w:tcPr>
            <w:tcW w:w="1951" w:type="dxa"/>
            <w:tcBorders>
              <w:bottom w:val="single" w:sz="2" w:space="0" w:color="auto"/>
            </w:tcBorders>
            <w:noWrap/>
            <w:hideMark/>
          </w:tcPr>
          <w:p w:rsidR="005B5171" w:rsidRPr="005B5171" w:rsidRDefault="005B5171" w:rsidP="005B5171">
            <w:pPr>
              <w:spacing w:before="20" w:after="0" w:line="240" w:lineRule="auto"/>
              <w:rPr>
                <w:rFonts w:ascii="Segoe UI" w:eastAsia="Calibri" w:hAnsi="Segoe UI" w:cs="Calibri"/>
                <w:b/>
                <w:sz w:val="19"/>
                <w:szCs w:val="19"/>
                <w:lang w:eastAsia="en-AU"/>
              </w:rPr>
            </w:pPr>
            <w:r w:rsidRPr="005B5171">
              <w:rPr>
                <w:rFonts w:ascii="Segoe UI" w:eastAsia="Calibri" w:hAnsi="Segoe UI" w:cs="Calibri"/>
                <w:b/>
                <w:sz w:val="19"/>
                <w:szCs w:val="19"/>
                <w:lang w:eastAsia="en-AU"/>
              </w:rPr>
              <w:t>Total 2015</w:t>
            </w:r>
          </w:p>
        </w:tc>
        <w:tc>
          <w:tcPr>
            <w:tcW w:w="1247" w:type="dxa"/>
            <w:tcBorders>
              <w:bottom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199</w:t>
            </w:r>
          </w:p>
        </w:tc>
        <w:tc>
          <w:tcPr>
            <w:tcW w:w="1247" w:type="dxa"/>
            <w:tcBorders>
              <w:bottom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222</w:t>
            </w:r>
          </w:p>
        </w:tc>
        <w:tc>
          <w:tcPr>
            <w:tcW w:w="1248" w:type="dxa"/>
            <w:tcBorders>
              <w:bottom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1</w:t>
            </w:r>
          </w:p>
        </w:tc>
        <w:tc>
          <w:tcPr>
            <w:tcW w:w="1253" w:type="dxa"/>
            <w:tcBorders>
              <w:bottom w:val="single" w:sz="2" w:space="0" w:color="auto"/>
            </w:tcBorders>
            <w:noWrap/>
            <w:hideMark/>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421</w:t>
            </w:r>
          </w:p>
        </w:tc>
      </w:tr>
    </w:tbl>
    <w:p w:rsidR="005B5171" w:rsidRPr="005B5171" w:rsidRDefault="005B5171" w:rsidP="005B5171">
      <w:pPr>
        <w:tabs>
          <w:tab w:val="left" w:pos="426"/>
        </w:tabs>
        <w:spacing w:before="80"/>
        <w:rPr>
          <w:rFonts w:ascii="Segoe UI" w:eastAsia="STZhongsong" w:hAnsi="Segoe UI" w:cs="Segoe UI"/>
          <w:bCs/>
          <w:sz w:val="18"/>
          <w:szCs w:val="18"/>
          <w:lang w:eastAsia="ko-KR"/>
        </w:rPr>
      </w:pPr>
      <w:bookmarkStart w:id="48" w:name="_Hlk534974300"/>
      <w:bookmarkStart w:id="49" w:name="_Hlk534974284"/>
      <w:bookmarkEnd w:id="47"/>
      <w:r w:rsidRPr="005B5171">
        <w:rPr>
          <w:rFonts w:ascii="Segoe UI" w:eastAsia="STZhongsong" w:hAnsi="Segoe UI" w:cs="Segoe UI"/>
          <w:bCs/>
          <w:sz w:val="18"/>
          <w:szCs w:val="18"/>
          <w:lang w:eastAsia="ko-KR"/>
        </w:rPr>
        <w:t>Note: Area figures reported may differ slightly from those reported in ASOFR 2018 due to the conversion of the vector format used in the NPI to the raster format used in ASOFR 2018. Totals may not tally due to rounding.</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Source: NPI Dataset, ABARES 2016.</w:t>
      </w:r>
    </w:p>
    <w:bookmarkEnd w:id="48"/>
    <w:bookmarkEnd w:id="49"/>
    <w:p w:rsidR="005B5171" w:rsidRPr="005B5171" w:rsidRDefault="005B5171" w:rsidP="005B5171">
      <w:pPr>
        <w:keepNext/>
        <w:spacing w:before="240" w:after="240" w:line="240" w:lineRule="auto"/>
        <w:outlineLvl w:val="2"/>
        <w:rPr>
          <w:rFonts w:ascii="Segoe UI" w:hAnsi="Segoe UI" w:cs="Segoe UI"/>
          <w:b/>
          <w:color w:val="000000"/>
          <w:sz w:val="24"/>
          <w:szCs w:val="24"/>
        </w:rPr>
      </w:pPr>
      <w:r w:rsidRPr="005B5171">
        <w:rPr>
          <w:rFonts w:ascii="Segoe UI" w:hAnsi="Segoe UI" w:cs="Segoe UI"/>
          <w:b/>
          <w:color w:val="000000"/>
          <w:sz w:val="24"/>
          <w:szCs w:val="24"/>
        </w:rPr>
        <w:br w:type="page"/>
      </w:r>
      <w:bookmarkStart w:id="50" w:name="_Toc11768332"/>
      <w:bookmarkStart w:id="51" w:name="_Toc30492028"/>
      <w:bookmarkStart w:id="52" w:name="_Toc33002126"/>
      <w:r w:rsidRPr="005B5171">
        <w:rPr>
          <w:rFonts w:ascii="Segoe UI" w:hAnsi="Segoe UI" w:cs="Segoe UI"/>
          <w:b/>
          <w:color w:val="000000"/>
          <w:sz w:val="24"/>
          <w:szCs w:val="24"/>
        </w:rPr>
        <w:t>Indicator 2.1c: Annual removal of wood products compared to the volume determined to be sustainable for native forests and future yields for plantations</w:t>
      </w:r>
      <w:bookmarkEnd w:id="50"/>
      <w:bookmarkEnd w:id="51"/>
      <w:bookmarkEnd w:id="52"/>
    </w:p>
    <w:p w:rsidR="005B5171" w:rsidRPr="005B5171" w:rsidRDefault="005B5171" w:rsidP="005B5171">
      <w:pPr>
        <w:jc w:val="both"/>
        <w:rPr>
          <w:rFonts w:ascii="Segoe UI" w:hAnsi="Segoe UI" w:cs="Segoe UI"/>
        </w:rPr>
      </w:pPr>
      <w:r w:rsidRPr="005B5171">
        <w:rPr>
          <w:rFonts w:ascii="Segoe UI" w:hAnsi="Segoe UI" w:cs="Segoe UI"/>
        </w:rPr>
        <w:t>This indicator measures the harvest levels of wood products in relation to sustainable and predicted yields. These yields are outlined for both native and plantation timber.</w:t>
      </w:r>
    </w:p>
    <w:p w:rsidR="005B5171" w:rsidRPr="005B5171" w:rsidRDefault="005B5171" w:rsidP="005B5171">
      <w:pPr>
        <w:keepNext/>
        <w:spacing w:before="120" w:after="120" w:line="240" w:lineRule="auto"/>
        <w:jc w:val="both"/>
        <w:outlineLvl w:val="3"/>
        <w:rPr>
          <w:rFonts w:ascii="Segoe UI" w:hAnsi="Segoe UI" w:cs="Segoe UI"/>
          <w:i/>
          <w:sz w:val="24"/>
          <w:szCs w:val="24"/>
        </w:rPr>
      </w:pPr>
      <w:r w:rsidRPr="005B5171">
        <w:rPr>
          <w:rFonts w:ascii="Segoe UI" w:hAnsi="Segoe UI" w:cs="Segoe UI"/>
          <w:i/>
          <w:sz w:val="24"/>
          <w:szCs w:val="24"/>
        </w:rPr>
        <w:t>Native timber</w:t>
      </w:r>
    </w:p>
    <w:p w:rsidR="005B5171" w:rsidRPr="005B5171" w:rsidRDefault="005B5171" w:rsidP="005B5171">
      <w:pPr>
        <w:jc w:val="both"/>
        <w:rPr>
          <w:rFonts w:ascii="Segoe UI" w:hAnsi="Segoe UI" w:cs="Segoe UI"/>
        </w:rPr>
      </w:pPr>
      <w:r w:rsidRPr="005B5171">
        <w:rPr>
          <w:rFonts w:ascii="Segoe UI" w:hAnsi="Segoe UI" w:cs="Segoe UI"/>
        </w:rPr>
        <w:t xml:space="preserve">Timber harvesting in State forest is regulated under a management framework, which at its highest level is informed by the </w:t>
      </w:r>
      <w:r w:rsidRPr="005B5171">
        <w:rPr>
          <w:rFonts w:ascii="Segoe UI" w:hAnsi="Segoe UI" w:cs="Segoe UI"/>
          <w:i/>
        </w:rPr>
        <w:t>Sustainable Forests (Timber) Act 2004</w:t>
      </w:r>
      <w:r w:rsidRPr="005B5171">
        <w:rPr>
          <w:rFonts w:ascii="Segoe UI" w:hAnsi="Segoe UI" w:cs="Segoe UI"/>
        </w:rPr>
        <w:t xml:space="preserve">. The Act prescribes the process whereby timber resources on Crown land are allocated to </w:t>
      </w:r>
      <w:proofErr w:type="spellStart"/>
      <w:r w:rsidRPr="005B5171">
        <w:rPr>
          <w:rFonts w:ascii="Segoe UI" w:hAnsi="Segoe UI" w:cs="Segoe UI"/>
        </w:rPr>
        <w:t>VicForests</w:t>
      </w:r>
      <w:proofErr w:type="spellEnd"/>
      <w:r w:rsidRPr="005B5171">
        <w:rPr>
          <w:rFonts w:ascii="Segoe UI" w:hAnsi="Segoe UI" w:cs="Segoe UI"/>
        </w:rPr>
        <w:t xml:space="preserve"> via an Allocation Order. </w:t>
      </w:r>
      <w:proofErr w:type="spellStart"/>
      <w:r w:rsidRPr="005B5171">
        <w:rPr>
          <w:rFonts w:ascii="Segoe UI" w:hAnsi="Segoe UI" w:cs="Segoe UI"/>
        </w:rPr>
        <w:t>VicForests</w:t>
      </w:r>
      <w:proofErr w:type="spellEnd"/>
      <w:r w:rsidRPr="005B5171">
        <w:rPr>
          <w:rFonts w:ascii="Segoe UI" w:hAnsi="Segoe UI" w:cs="Segoe UI"/>
        </w:rPr>
        <w:t xml:space="preserve"> is required to comply with any conditions in the Allocation Order and Timber Release Plans, as well as complying with the </w:t>
      </w:r>
      <w:r w:rsidRPr="005B5171">
        <w:rPr>
          <w:rFonts w:ascii="Segoe UI" w:hAnsi="Segoe UI" w:cs="Segoe UI"/>
          <w:i/>
        </w:rPr>
        <w:t>Code of Practice for Timber Production 2014</w:t>
      </w:r>
      <w:r w:rsidRPr="005B5171">
        <w:rPr>
          <w:rFonts w:ascii="Segoe UI" w:hAnsi="Segoe UI" w:cs="Segoe UI"/>
        </w:rPr>
        <w:t xml:space="preserve">, which limits harvesting operations to a defined sustainable harvest level. </w:t>
      </w:r>
      <w:r w:rsidRPr="005B5171">
        <w:rPr>
          <w:rFonts w:ascii="Segoe UI" w:hAnsi="Segoe UI" w:cs="Segoe UI"/>
        </w:rPr>
        <w:fldChar w:fldCharType="begin"/>
      </w:r>
      <w:r w:rsidRPr="005B5171">
        <w:rPr>
          <w:rFonts w:ascii="Segoe UI" w:hAnsi="Segoe UI" w:cs="Segoe UI"/>
        </w:rPr>
        <w:instrText xml:space="preserve"> REF _Ref14440482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Figure </w:t>
      </w:r>
      <w:r w:rsidRPr="005B5171">
        <w:rPr>
          <w:rFonts w:ascii="Segoe UI" w:hAnsi="Segoe UI" w:cs="Segoe UI"/>
          <w:noProof/>
        </w:rPr>
        <w:t>34</w:t>
      </w:r>
      <w:r w:rsidRPr="005B5171">
        <w:rPr>
          <w:rFonts w:ascii="Segoe UI" w:hAnsi="Segoe UI" w:cs="Segoe UI"/>
        </w:rPr>
        <w:fldChar w:fldCharType="end"/>
      </w:r>
      <w:r w:rsidRPr="005B5171">
        <w:rPr>
          <w:rFonts w:ascii="Segoe UI" w:hAnsi="Segoe UI" w:cs="Segoe UI"/>
        </w:rPr>
        <w:t xml:space="preserve"> illustrates the regulatory framework.  </w:t>
      </w:r>
    </w:p>
    <w:p w:rsidR="005B5171" w:rsidRPr="005B5171" w:rsidRDefault="005B5171" w:rsidP="005B5171">
      <w:pPr>
        <w:shd w:val="clear" w:color="auto" w:fill="FFFFFF"/>
        <w:spacing w:after="100" w:afterAutospacing="1" w:line="240" w:lineRule="auto"/>
        <w:jc w:val="both"/>
        <w:rPr>
          <w:rFonts w:ascii="Segoe UI" w:eastAsia="Times New Roman" w:hAnsi="Segoe UI" w:cs="Segoe UI"/>
          <w:lang w:eastAsia="en-AU"/>
        </w:rPr>
      </w:pPr>
      <w:r w:rsidRPr="005B5171">
        <w:rPr>
          <w:rFonts w:ascii="Segoe UI" w:hAnsi="Segoe UI" w:cs="Segoe UI"/>
        </w:rPr>
        <w:t>On 7 November 2019, the Victorian Government announced a Victoria’s forest industry will transition fully from native timber</w:t>
      </w:r>
      <w:r w:rsidRPr="005B5171">
        <w:rPr>
          <w:rFonts w:ascii="Segoe UI" w:hAnsi="Segoe UI" w:cs="Segoe UI"/>
          <w:spacing w:val="-5"/>
          <w:shd w:val="clear" w:color="auto" w:fill="FFFFFF"/>
        </w:rPr>
        <w:t xml:space="preserve"> to plantation feedstock by 1 July 2030.</w:t>
      </w:r>
      <w:r w:rsidRPr="005B5171">
        <w:rPr>
          <w:rFonts w:ascii="Segoe UI" w:eastAsia="Times New Roman" w:hAnsi="Segoe UI" w:cs="Segoe UI"/>
          <w:lang w:eastAsia="en-AU"/>
        </w:rPr>
        <w:t xml:space="preserve"> The announcement represented the largest area of native forest protected from timber harvesting in more than 20 years with the immediate protection of all remaining old growth forest and more than 96,000 hectares of State forest inhabited by Greater Gliders, Leadbeater’s Possum and other threatened species. </w:t>
      </w:r>
    </w:p>
    <w:p w:rsidR="005B5171" w:rsidRPr="005B5171" w:rsidRDefault="005B5171" w:rsidP="005B5171">
      <w:pPr>
        <w:keepNext/>
        <w:jc w:val="both"/>
        <w:rPr>
          <w:rFonts w:ascii="Segoe UI" w:hAnsi="Segoe UI" w:cs="Segoe UI"/>
        </w:rPr>
      </w:pPr>
      <w:r w:rsidRPr="005B5171">
        <w:rPr>
          <w:rFonts w:ascii="Segoe UI" w:hAnsi="Segoe UI" w:cs="Segoe UI"/>
        </w:rPr>
        <w:t xml:space="preserve"> </w:t>
      </w:r>
      <w:r w:rsidRPr="005B5171">
        <w:rPr>
          <w:rFonts w:ascii="Segoe UI" w:hAnsi="Segoe UI" w:cs="Segoe UI"/>
          <w:noProof/>
        </w:rPr>
        <w:drawing>
          <wp:inline distT="0" distB="0" distL="0" distR="0" wp14:anchorId="6207FCB8" wp14:editId="677711C8">
            <wp:extent cx="5759450" cy="4940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759450" cy="4940300"/>
                    </a:xfrm>
                    <a:prstGeom prst="rect">
                      <a:avLst/>
                    </a:prstGeom>
                  </pic:spPr>
                </pic:pic>
              </a:graphicData>
            </a:graphic>
          </wp:inline>
        </w:drawing>
      </w:r>
    </w:p>
    <w:p w:rsidR="005B5171" w:rsidRPr="005B5171" w:rsidRDefault="005B5171" w:rsidP="005B5171">
      <w:pPr>
        <w:spacing w:after="200" w:line="240" w:lineRule="auto"/>
        <w:rPr>
          <w:rFonts w:ascii="Segoe UI Semibold" w:eastAsia="Times New Roman" w:hAnsi="Segoe UI Semibold" w:cs="Times New Roman"/>
          <w:color w:val="016295"/>
        </w:rPr>
      </w:pPr>
      <w:bookmarkStart w:id="53" w:name="_Ref14440482"/>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34</w:t>
      </w:r>
      <w:r w:rsidRPr="005B5171">
        <w:rPr>
          <w:rFonts w:ascii="Segoe UI Semibold" w:eastAsia="Times New Roman" w:hAnsi="Segoe UI Semibold" w:cs="Times New Roman"/>
          <w:noProof/>
          <w:color w:val="016295"/>
        </w:rPr>
        <w:fldChar w:fldCharType="end"/>
      </w:r>
      <w:bookmarkEnd w:id="53"/>
      <w:r w:rsidRPr="005B5171">
        <w:rPr>
          <w:rFonts w:ascii="Segoe UI Semibold" w:eastAsia="Times New Roman" w:hAnsi="Segoe UI Semibold" w:cs="Times New Roman"/>
          <w:color w:val="016295"/>
        </w:rPr>
        <w:t>: Framework for sustainable forest management and sustainable timber production (Source: DEPI now administered as DELWP).</w:t>
      </w:r>
    </w:p>
    <w:p w:rsidR="005B5171" w:rsidRPr="005B5171" w:rsidRDefault="005B5171" w:rsidP="005B5171">
      <w:pPr>
        <w:rPr>
          <w:rFonts w:ascii="Segoe UI" w:hAnsi="Segoe UI" w:cs="Segoe UI"/>
        </w:rPr>
      </w:pPr>
      <w:bookmarkStart w:id="54" w:name="_Hlk15048329"/>
      <w:r w:rsidRPr="005B5171">
        <w:rPr>
          <w:rFonts w:ascii="Segoe UI" w:hAnsi="Segoe UI" w:cs="Segoe UI"/>
        </w:rPr>
        <w:br w:type="page"/>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Sustainable yield, wood supply modelling and harvest limits</w:t>
      </w:r>
    </w:p>
    <w:p w:rsidR="005B5171" w:rsidRPr="005B5171" w:rsidRDefault="005B5171" w:rsidP="005B5171">
      <w:pPr>
        <w:jc w:val="both"/>
        <w:rPr>
          <w:rFonts w:ascii="Segoe UI" w:hAnsi="Segoe UI" w:cs="Segoe UI"/>
        </w:rPr>
      </w:pPr>
      <w:r w:rsidRPr="005B5171">
        <w:rPr>
          <w:rFonts w:ascii="Segoe UI" w:hAnsi="Segoe UI" w:cs="Segoe UI"/>
        </w:rPr>
        <w:t xml:space="preserve">Determining the sustainable yield in native forests requires complex modelling. It is underpinned by diverse data inputs (such as species mix, topography, aspect, etc.), sub-models, constraints, and adjustment factors (such as changes in the area and resource available through bushfires, increases in SPZs or SMZs or land tenure). More subtle influences, such as climate and other disturbances to the forest system, can also affect the sustainable yield that can be applied to native forests at local, regional or </w:t>
      </w:r>
      <w:proofErr w:type="spellStart"/>
      <w:r w:rsidRPr="005B5171">
        <w:rPr>
          <w:rFonts w:ascii="Segoe UI" w:hAnsi="Segoe UI" w:cs="Segoe UI"/>
        </w:rPr>
        <w:t>statewide</w:t>
      </w:r>
      <w:proofErr w:type="spellEnd"/>
      <w:r w:rsidRPr="005B5171">
        <w:rPr>
          <w:rFonts w:ascii="Segoe UI" w:hAnsi="Segoe UI" w:cs="Segoe UI"/>
        </w:rPr>
        <w:t xml:space="preserve"> scale.</w:t>
      </w:r>
    </w:p>
    <w:p w:rsidR="005B5171" w:rsidRPr="005B5171" w:rsidRDefault="005B5171" w:rsidP="005B5171">
      <w:pPr>
        <w:jc w:val="both"/>
        <w:rPr>
          <w:rFonts w:ascii="Segoe UI" w:hAnsi="Segoe UI" w:cs="Segoe UI"/>
        </w:rPr>
      </w:pPr>
      <w:r w:rsidRPr="005B5171">
        <w:rPr>
          <w:rFonts w:ascii="Segoe UI" w:hAnsi="Segoe UI" w:cs="Segoe UI"/>
          <w:i/>
        </w:rPr>
        <w:t>Australia’s State of the Forests Report 2018</w:t>
      </w:r>
      <w:r w:rsidRPr="005B5171">
        <w:rPr>
          <w:rFonts w:ascii="Segoe UI" w:hAnsi="Segoe UI" w:cs="Segoe UI"/>
          <w:b/>
        </w:rPr>
        <w:t xml:space="preserve"> </w:t>
      </w:r>
      <w:r w:rsidRPr="005B5171">
        <w:rPr>
          <w:rFonts w:ascii="Segoe UI" w:hAnsi="Segoe UI" w:cs="Segoe UI"/>
        </w:rPr>
        <w:t>defines sustainable yield as the:</w:t>
      </w:r>
    </w:p>
    <w:p w:rsidR="005B5171" w:rsidRPr="005B5171" w:rsidRDefault="005B5171" w:rsidP="005B5171">
      <w:pPr>
        <w:spacing w:line="250" w:lineRule="auto"/>
        <w:ind w:left="794" w:right="794"/>
        <w:jc w:val="both"/>
        <w:rPr>
          <w:rFonts w:ascii="Segoe UI" w:hAnsi="Segoe UI" w:cs="Segoe UI"/>
          <w:iCs/>
          <w:sz w:val="20"/>
          <w:szCs w:val="14"/>
        </w:rPr>
      </w:pPr>
      <w:r w:rsidRPr="005B5171">
        <w:rPr>
          <w:rFonts w:ascii="Segoe UI" w:hAnsi="Segoe UI" w:cs="Segoe UI"/>
          <w:iCs/>
          <w:sz w:val="20"/>
          <w:szCs w:val="14"/>
        </w:rPr>
        <w:t>annual yield of high-quality sawlogs from multiple-use public native forests … that can be removed each year while ensuring maintenance of the functioning of the native forest system as a whole and the supply of wood products in perpetuity.</w:t>
      </w:r>
    </w:p>
    <w:p w:rsidR="005B5171" w:rsidRPr="005B5171" w:rsidRDefault="005B5171" w:rsidP="005B5171">
      <w:pPr>
        <w:spacing w:line="250" w:lineRule="auto"/>
        <w:ind w:left="794" w:right="794"/>
        <w:jc w:val="both"/>
        <w:rPr>
          <w:rFonts w:ascii="Segoe UI" w:hAnsi="Segoe UI" w:cs="Segoe UI"/>
          <w:iCs/>
          <w:sz w:val="20"/>
          <w:szCs w:val="14"/>
        </w:rPr>
      </w:pPr>
      <w:r w:rsidRPr="005B5171">
        <w:rPr>
          <w:rFonts w:ascii="Segoe UI" w:hAnsi="Segoe UI" w:cs="Segoe UI"/>
          <w:iCs/>
          <w:sz w:val="20"/>
          <w:szCs w:val="14"/>
        </w:rPr>
        <w:t xml:space="preserve">(Montréal Process Implementation Group for Australia and NFI Steering Committee 2018, p. 17) </w:t>
      </w:r>
    </w:p>
    <w:p w:rsidR="005B5171" w:rsidRPr="005B5171" w:rsidRDefault="005B5171" w:rsidP="005B5171">
      <w:pPr>
        <w:jc w:val="both"/>
        <w:rPr>
          <w:rFonts w:ascii="Segoe UI" w:hAnsi="Segoe UI" w:cs="Segoe UI"/>
        </w:rPr>
      </w:pPr>
      <w:r w:rsidRPr="005B5171">
        <w:rPr>
          <w:rFonts w:ascii="Segoe UI" w:hAnsi="Segoe UI" w:cs="Segoe UI"/>
        </w:rPr>
        <w:t>Put simply, it is a measure of how much wood can be harvested from a forest over a long period of time, while maintaining wood supply levels and meeting sustainable use objectives for the forest (NSW Department of Primary Industries 2018). It is not static and requires regular updating through reconciliation with actual timber yields to ensure accuracy, currency and to account for changes in the level of timber resource available for harvesting.</w:t>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color w:val="13345C"/>
        </w:rPr>
        <w:t>Forests Act 1958</w:t>
      </w:r>
      <w:r w:rsidRPr="005B5171">
        <w:rPr>
          <w:rFonts w:ascii="Segoe UI" w:eastAsia="STZhongsong" w:hAnsi="Segoe UI" w:cs="Majalla UI"/>
          <w:i/>
          <w:color w:val="13345C"/>
        </w:rPr>
        <w:t xml:space="preserve"> and references to sustainable yield in Regional Forest Agreements</w:t>
      </w:r>
    </w:p>
    <w:p w:rsidR="005B5171" w:rsidRPr="005B5171" w:rsidRDefault="005B5171" w:rsidP="005B5171">
      <w:pPr>
        <w:jc w:val="both"/>
        <w:rPr>
          <w:rFonts w:ascii="Segoe UI" w:hAnsi="Segoe UI" w:cs="Segoe UI"/>
        </w:rPr>
      </w:pPr>
      <w:r w:rsidRPr="005B5171">
        <w:rPr>
          <w:rFonts w:ascii="Segoe UI" w:hAnsi="Segoe UI" w:cs="Segoe UI"/>
        </w:rPr>
        <w:t xml:space="preserve">From the commencement of the RFAs until 2004, the </w:t>
      </w:r>
      <w:r w:rsidRPr="005B5171">
        <w:rPr>
          <w:rFonts w:ascii="Segoe UI" w:hAnsi="Segoe UI" w:cs="Segoe UI"/>
          <w:i/>
        </w:rPr>
        <w:t>Forests Act 1958</w:t>
      </w:r>
      <w:r w:rsidRPr="005B5171">
        <w:rPr>
          <w:rFonts w:ascii="Segoe UI" w:hAnsi="Segoe UI" w:cs="Segoe UI"/>
        </w:rPr>
        <w:t xml:space="preserve"> (Vic), required a review of the sustainable yield every five years, or other such time within that five years as was considered appropriate, at a Forest Management Area (FMA) level. In the event of there being changes (or not) to the sustainable yield, the Governor in Council would be advised, and a revised sustainable yield level set.</w:t>
      </w:r>
    </w:p>
    <w:p w:rsidR="005B5171" w:rsidRPr="005B5171" w:rsidRDefault="005B5171" w:rsidP="005B5171">
      <w:pPr>
        <w:jc w:val="both"/>
        <w:rPr>
          <w:rFonts w:ascii="Segoe UI" w:hAnsi="Segoe UI" w:cs="Segoe UI"/>
        </w:rPr>
      </w:pPr>
      <w:r w:rsidRPr="005B5171">
        <w:rPr>
          <w:rFonts w:ascii="Segoe UI" w:hAnsi="Segoe UI" w:cs="Segoe UI"/>
        </w:rPr>
        <w:t>Sections 52A–C of the Act</w:t>
      </w:r>
      <w:r w:rsidRPr="005B5171">
        <w:rPr>
          <w:rFonts w:ascii="Segoe UI" w:hAnsi="Segoe UI" w:cs="Segoe UI"/>
          <w:i/>
        </w:rPr>
        <w:t xml:space="preserve"> </w:t>
      </w:r>
      <w:r w:rsidRPr="005B5171">
        <w:rPr>
          <w:rFonts w:ascii="Segoe UI" w:hAnsi="Segoe UI" w:cs="Segoe UI"/>
        </w:rPr>
        <w:t xml:space="preserve">specified that, over the longer term, for each timber supply period the level of timber harvested from an FMA should not exceed the sustainable yield specific to that area, with any changes to be applied gradually and in line with the </w:t>
      </w:r>
      <w:r w:rsidRPr="005B5171">
        <w:rPr>
          <w:rFonts w:ascii="Segoe UI" w:hAnsi="Segoe UI" w:cs="Segoe UI"/>
          <w:i/>
        </w:rPr>
        <w:t>Code of Practice for Timber Production 2014</w:t>
      </w:r>
      <w:r w:rsidRPr="005B5171">
        <w:rPr>
          <w:rFonts w:ascii="Segoe UI" w:hAnsi="Segoe UI" w:cs="Segoe UI"/>
        </w:rPr>
        <w:t>.</w:t>
      </w:r>
    </w:p>
    <w:p w:rsidR="005B5171" w:rsidRPr="005B5171" w:rsidRDefault="005B5171" w:rsidP="005B5171">
      <w:pPr>
        <w:jc w:val="both"/>
        <w:rPr>
          <w:rFonts w:ascii="Segoe UI" w:hAnsi="Segoe UI" w:cs="Segoe UI"/>
        </w:rPr>
      </w:pPr>
      <w:r w:rsidRPr="005B5171">
        <w:rPr>
          <w:rFonts w:ascii="Segoe UI" w:hAnsi="Segoe UI" w:cs="Segoe UI"/>
        </w:rPr>
        <w:t xml:space="preserve">All RFAs (via clause 45(e) of the Central Highlands RFA, clause 46(c) of the Gippsland and West RFAs, clause 45(c) of the North East RFA and clause 34 of the East Gippsland RFA), committed Victoria to ‘implement the Integrated Forest Planning System and </w:t>
      </w:r>
      <w:proofErr w:type="spellStart"/>
      <w:r w:rsidRPr="005B5171">
        <w:rPr>
          <w:rFonts w:ascii="Segoe UI" w:hAnsi="Segoe UI" w:cs="Segoe UI"/>
        </w:rPr>
        <w:t>Statewide</w:t>
      </w:r>
      <w:proofErr w:type="spellEnd"/>
      <w:r w:rsidRPr="005B5171">
        <w:rPr>
          <w:rFonts w:ascii="Segoe UI" w:hAnsi="Segoe UI" w:cs="Segoe UI"/>
        </w:rPr>
        <w:t xml:space="preserve"> Forest Resource Inventory (SFRI) in time for the next review of sustainable yield due in 2001’. Through clause 71 of the Central Highlands RFA, the Parties acknowledged that the Agreement was expected to provide as a minimum the current legislated sustainable yield of D+ sawlogs (415,000 m3 per annum) from the Dandenong, Central and Central Gippsland Forest Management Areas (FMAs) for the next twenty years, but recognised that sustainable yield levels in Victoria are subject to periodic review. </w:t>
      </w:r>
      <w:bookmarkStart w:id="55" w:name="_Hlk16084851"/>
    </w:p>
    <w:p w:rsidR="005B5171" w:rsidRPr="005B5171" w:rsidRDefault="005B5171" w:rsidP="005B5171">
      <w:pPr>
        <w:jc w:val="both"/>
        <w:rPr>
          <w:rFonts w:ascii="Segoe UI" w:hAnsi="Segoe UI" w:cs="Segoe UI"/>
        </w:rPr>
      </w:pPr>
      <w:r w:rsidRPr="005B5171">
        <w:rPr>
          <w:rFonts w:ascii="Segoe UI" w:hAnsi="Segoe UI" w:cs="Segoe UI"/>
        </w:rPr>
        <w:t xml:space="preserve">In the CRA documents, the total legislated sustainable yield determined for the whole of the state (where RFAs were in place, but excluding East Gippsland where data was not available) was 801,314 cubic metres/year, of which about half was from the Central Highlands. It should be noted that legislated sustainable yield volumes were recalculated when the initial RFAs were signed and have been regularly remodelled to account for fire and other disturbances to wood supply. </w:t>
      </w:r>
    </w:p>
    <w:p w:rsidR="005B5171" w:rsidRPr="005B5171" w:rsidRDefault="005B5171" w:rsidP="005B5171">
      <w:pPr>
        <w:spacing w:after="200" w:line="240" w:lineRule="auto"/>
        <w:rPr>
          <w:rFonts w:ascii="Segoe UI Semibold" w:eastAsia="Times New Roman" w:hAnsi="Segoe UI Semibold" w:cs="Times New Roman"/>
          <w:color w:val="016295"/>
        </w:rPr>
      </w:pPr>
      <w:bookmarkStart w:id="56" w:name="_Toc25660851"/>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69</w:t>
      </w:r>
      <w:r w:rsidRPr="005B5171">
        <w:rPr>
          <w:rFonts w:ascii="Segoe UI Semibold" w:eastAsia="Times New Roman" w:hAnsi="Segoe UI Semibold" w:cs="Times New Roman"/>
          <w:noProof/>
          <w:color w:val="016295"/>
        </w:rPr>
        <w:fldChar w:fldCharType="end"/>
      </w:r>
      <w:r w:rsidRPr="005B5171">
        <w:rPr>
          <w:rFonts w:ascii="Segoe UI Semibold" w:eastAsia="Times New Roman" w:hAnsi="Segoe UI Semibold" w:cs="Times New Roman"/>
          <w:color w:val="016295"/>
        </w:rPr>
        <w:t>: Legislated Sustainable yield of D+ logs across RFA regions (CRA)</w:t>
      </w:r>
      <w:bookmarkEnd w:id="56"/>
    </w:p>
    <w:tbl>
      <w:tblPr>
        <w:tblStyle w:val="xTable1"/>
        <w:tblW w:w="9355" w:type="dxa"/>
        <w:tblLayout w:type="fixed"/>
        <w:tblLook w:val="04A0" w:firstRow="1" w:lastRow="0" w:firstColumn="1" w:lastColumn="0" w:noHBand="0" w:noVBand="1"/>
      </w:tblPr>
      <w:tblGrid>
        <w:gridCol w:w="2551"/>
        <w:gridCol w:w="1134"/>
        <w:gridCol w:w="1134"/>
        <w:gridCol w:w="1134"/>
        <w:gridCol w:w="1134"/>
        <w:gridCol w:w="1134"/>
        <w:gridCol w:w="1134"/>
      </w:tblGrid>
      <w:tr w:rsidR="005B5171" w:rsidRPr="005B5171" w:rsidTr="000B1E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1" w:type="dxa"/>
          </w:tcPr>
          <w:p w:rsidR="005B5171" w:rsidRPr="005B5171" w:rsidRDefault="005B5171" w:rsidP="005B5171">
            <w:pPr>
              <w:rPr>
                <w:rFonts w:ascii="Segoe UI" w:hAnsi="Segoe UI" w:cs="Segoe UI"/>
              </w:rPr>
            </w:pPr>
            <w:r w:rsidRPr="005B5171">
              <w:rPr>
                <w:rFonts w:ascii="Segoe UI" w:hAnsi="Segoe UI" w:cs="Segoe UI"/>
              </w:rPr>
              <w:t>RFA</w:t>
            </w:r>
          </w:p>
        </w:tc>
        <w:tc>
          <w:tcPr>
            <w:tcW w:w="1134"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Central Highlands</w:t>
            </w:r>
          </w:p>
        </w:tc>
        <w:tc>
          <w:tcPr>
            <w:tcW w:w="1134"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East Gippsland</w:t>
            </w:r>
          </w:p>
        </w:tc>
        <w:tc>
          <w:tcPr>
            <w:tcW w:w="1134"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Gippsland</w:t>
            </w:r>
          </w:p>
        </w:tc>
        <w:tc>
          <w:tcPr>
            <w:tcW w:w="1134"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North East</w:t>
            </w:r>
          </w:p>
        </w:tc>
        <w:tc>
          <w:tcPr>
            <w:tcW w:w="1134"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West</w:t>
            </w:r>
          </w:p>
        </w:tc>
        <w:tc>
          <w:tcPr>
            <w:tcW w:w="1134"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Total</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5B5171" w:rsidRPr="005B5171" w:rsidRDefault="005B5171" w:rsidP="005B5171">
            <w:pPr>
              <w:rPr>
                <w:rFonts w:ascii="Segoe UI" w:hAnsi="Segoe UI" w:cs="Segoe UI"/>
              </w:rPr>
            </w:pPr>
            <w:r w:rsidRPr="005B5171">
              <w:rPr>
                <w:rFonts w:ascii="Segoe UI" w:hAnsi="Segoe UI" w:cs="Segoe UI"/>
              </w:rPr>
              <w:t>Sustainable Yields of Sawlogs (D+ Logs m</w:t>
            </w:r>
            <w:r w:rsidRPr="005B5171">
              <w:rPr>
                <w:rFonts w:ascii="Segoe UI" w:hAnsi="Segoe UI" w:cs="Segoe UI"/>
                <w:vertAlign w:val="superscript"/>
              </w:rPr>
              <w:t>3</w:t>
            </w:r>
            <w:r w:rsidRPr="005B5171">
              <w:rPr>
                <w:rFonts w:ascii="Segoe UI" w:hAnsi="Segoe UI" w:cs="Segoe UI"/>
              </w:rPr>
              <w:t>/year)</w:t>
            </w:r>
          </w:p>
        </w:tc>
        <w:tc>
          <w:tcPr>
            <w:tcW w:w="113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415,000</w:t>
            </w:r>
          </w:p>
        </w:tc>
        <w:tc>
          <w:tcPr>
            <w:tcW w:w="113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NO DATA</w:t>
            </w:r>
          </w:p>
        </w:tc>
        <w:tc>
          <w:tcPr>
            <w:tcW w:w="113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319,000</w:t>
            </w:r>
          </w:p>
        </w:tc>
        <w:tc>
          <w:tcPr>
            <w:tcW w:w="113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66,500</w:t>
            </w:r>
          </w:p>
        </w:tc>
        <w:tc>
          <w:tcPr>
            <w:tcW w:w="113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814</w:t>
            </w:r>
          </w:p>
        </w:tc>
        <w:tc>
          <w:tcPr>
            <w:tcW w:w="113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801,314</w:t>
            </w:r>
          </w:p>
        </w:tc>
      </w:tr>
    </w:tbl>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Note: D+ Log grade information: http://www.vicforests.com.au/static/uploads/files/vicforests-instructions-code-of-procedure-log-buyer-log-specifications-v2-5-wfrf.pdf</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Data source: Information derived from the CRAs accessed via the ABARES website.</w:t>
      </w:r>
    </w:p>
    <w:bookmarkEnd w:id="55"/>
    <w:p w:rsidR="005B5171" w:rsidRPr="005B5171" w:rsidRDefault="005B5171" w:rsidP="005B5171">
      <w:pPr>
        <w:jc w:val="both"/>
        <w:rPr>
          <w:rFonts w:ascii="Segoe UI" w:hAnsi="Segoe UI" w:cs="Segoe UI"/>
          <w:b/>
          <w:sz w:val="24"/>
          <w:szCs w:val="24"/>
        </w:rPr>
      </w:pPr>
      <w:r w:rsidRPr="005B5171">
        <w:rPr>
          <w:rFonts w:ascii="Segoe UI" w:hAnsi="Segoe UI" w:cs="Segoe UI"/>
        </w:rPr>
        <w:t xml:space="preserve">It should be noted, that all references to sustainable yield, or the requirements for it to be calculated within the Act, specifically sections 52A–E, were repealed in 2004. The specific requirement for a sustainable yield as provided for under the </w:t>
      </w:r>
      <w:r w:rsidRPr="005B5171">
        <w:rPr>
          <w:rFonts w:ascii="Segoe UI" w:hAnsi="Segoe UI" w:cs="Segoe UI"/>
          <w:i/>
        </w:rPr>
        <w:t>Forests Act 1958</w:t>
      </w:r>
      <w:r w:rsidRPr="005B5171">
        <w:rPr>
          <w:rFonts w:ascii="Segoe UI" w:hAnsi="Segoe UI" w:cs="Segoe UI"/>
        </w:rPr>
        <w:t xml:space="preserve"> was replaced by sustainability requirements under the </w:t>
      </w:r>
      <w:r w:rsidRPr="005B5171">
        <w:rPr>
          <w:rFonts w:ascii="Segoe UI" w:hAnsi="Segoe UI" w:cs="Segoe UI"/>
          <w:i/>
        </w:rPr>
        <w:t>Sustainable Forests (Timber) Act 2004</w:t>
      </w:r>
      <w:r w:rsidRPr="005B5171">
        <w:rPr>
          <w:rFonts w:ascii="Segoe UI" w:hAnsi="Segoe UI" w:cs="Segoe UI"/>
        </w:rPr>
        <w:t>.</w:t>
      </w:r>
    </w:p>
    <w:p w:rsidR="005B5171" w:rsidRPr="005B5171" w:rsidRDefault="005B5171" w:rsidP="005B5171">
      <w:pPr>
        <w:keepNext/>
        <w:keepLines/>
        <w:spacing w:before="40" w:after="0"/>
        <w:jc w:val="both"/>
        <w:outlineLvl w:val="5"/>
        <w:rPr>
          <w:rFonts w:ascii="Gill Sans MT" w:eastAsia="STZhongsong" w:hAnsi="Gill Sans MT" w:cs="Majalla UI"/>
          <w:i/>
          <w:iCs/>
          <w:color w:val="13345C"/>
        </w:rPr>
      </w:pPr>
      <w:r w:rsidRPr="005B5171">
        <w:rPr>
          <w:rFonts w:ascii="Gill Sans MT" w:eastAsia="STZhongsong" w:hAnsi="Gill Sans MT" w:cs="Majalla UI"/>
          <w:i/>
          <w:iCs/>
          <w:color w:val="13345C"/>
        </w:rPr>
        <w:t xml:space="preserve">The </w:t>
      </w:r>
      <w:r w:rsidRPr="005B5171">
        <w:rPr>
          <w:rFonts w:ascii="Gill Sans MT" w:eastAsia="STZhongsong" w:hAnsi="Gill Sans MT" w:cs="Majalla UI"/>
          <w:iCs/>
          <w:color w:val="13345C"/>
        </w:rPr>
        <w:t>Sustainable Forests (Timber) Act 2004</w:t>
      </w:r>
    </w:p>
    <w:p w:rsidR="005B5171" w:rsidRPr="005B5171" w:rsidRDefault="005B5171" w:rsidP="005B5171">
      <w:pPr>
        <w:jc w:val="both"/>
        <w:rPr>
          <w:rFonts w:ascii="Segoe UI" w:hAnsi="Segoe UI" w:cs="Segoe UI"/>
        </w:rPr>
      </w:pPr>
      <w:r w:rsidRPr="005B5171">
        <w:rPr>
          <w:rFonts w:ascii="Segoe UI" w:hAnsi="Segoe UI" w:cs="Segoe UI"/>
        </w:rPr>
        <w:t xml:space="preserve">The </w:t>
      </w:r>
      <w:r w:rsidRPr="005B5171">
        <w:rPr>
          <w:rFonts w:ascii="Segoe UI" w:hAnsi="Segoe UI" w:cs="Segoe UI"/>
          <w:i/>
        </w:rPr>
        <w:t>Sustainable Forests (Timber) Act 2004</w:t>
      </w:r>
      <w:r w:rsidRPr="005B5171">
        <w:rPr>
          <w:rFonts w:ascii="Segoe UI" w:hAnsi="Segoe UI" w:cs="Segoe UI"/>
        </w:rPr>
        <w:t xml:space="preserve"> (SFT Act) was introduced as part of a broad program of reforms for Victoria’s forest and timber industry, including the creation of </w:t>
      </w:r>
      <w:proofErr w:type="spellStart"/>
      <w:r w:rsidRPr="005B5171">
        <w:rPr>
          <w:rFonts w:ascii="Segoe UI" w:hAnsi="Segoe UI" w:cs="Segoe UI"/>
        </w:rPr>
        <w:t>VicForests</w:t>
      </w:r>
      <w:proofErr w:type="spellEnd"/>
      <w:r w:rsidRPr="005B5171">
        <w:rPr>
          <w:rFonts w:ascii="Segoe UI" w:hAnsi="Segoe UI" w:cs="Segoe UI"/>
        </w:rPr>
        <w:t xml:space="preserve"> in 2003. </w:t>
      </w:r>
      <w:proofErr w:type="spellStart"/>
      <w:r w:rsidRPr="005B5171">
        <w:rPr>
          <w:rFonts w:ascii="Segoe UI" w:hAnsi="Segoe UI" w:cs="Segoe UI"/>
        </w:rPr>
        <w:t>VicForests</w:t>
      </w:r>
      <w:proofErr w:type="spellEnd"/>
      <w:r w:rsidRPr="005B5171">
        <w:rPr>
          <w:rFonts w:ascii="Segoe UI" w:hAnsi="Segoe UI" w:cs="Segoe UI"/>
        </w:rPr>
        <w:t xml:space="preserve"> is a state-owned enterprise responsible for the sustainable harvest, regeneration and commercial sale of timber from Victoria’s public forests on behalf of the Victorian Government.</w:t>
      </w:r>
    </w:p>
    <w:p w:rsidR="005B5171" w:rsidRPr="005B5171" w:rsidRDefault="005B5171" w:rsidP="005B5171">
      <w:pPr>
        <w:jc w:val="both"/>
        <w:rPr>
          <w:rFonts w:ascii="Segoe UI" w:hAnsi="Segoe UI" w:cs="Segoe UI"/>
        </w:rPr>
      </w:pPr>
      <w:r w:rsidRPr="005B5171">
        <w:rPr>
          <w:rFonts w:ascii="Segoe UI" w:hAnsi="Segoe UI" w:cs="Segoe UI"/>
        </w:rPr>
        <w:t xml:space="preserve">The SFT Act provides a legislative framework for sustainable forest management and sustainable timber harvesting in State forests. Among other things, it permits the allocation of timber to </w:t>
      </w:r>
      <w:proofErr w:type="spellStart"/>
      <w:r w:rsidRPr="005B5171">
        <w:rPr>
          <w:rFonts w:ascii="Segoe UI" w:hAnsi="Segoe UI" w:cs="Segoe UI"/>
        </w:rPr>
        <w:t>VicForests</w:t>
      </w:r>
      <w:proofErr w:type="spellEnd"/>
      <w:r w:rsidRPr="005B5171">
        <w:rPr>
          <w:rFonts w:ascii="Segoe UI" w:hAnsi="Segoe UI" w:cs="Segoe UI"/>
        </w:rPr>
        <w:t xml:space="preserve"> from areas of State forest available for timber harvesting. Part 2 section 5 of the SFT Act outlines the principles for ecologically sustainable forest development, underpinned by section 11, which enables the Minister to establish a sustainability charter, and section 12, which specifies </w:t>
      </w:r>
      <w:proofErr w:type="spellStart"/>
      <w:r w:rsidRPr="005B5171">
        <w:rPr>
          <w:rFonts w:ascii="Segoe UI" w:hAnsi="Segoe UI" w:cs="Segoe UI"/>
        </w:rPr>
        <w:t>VicForests</w:t>
      </w:r>
      <w:proofErr w:type="spellEnd"/>
      <w:r w:rsidRPr="005B5171">
        <w:rPr>
          <w:rFonts w:ascii="Segoe UI" w:hAnsi="Segoe UI" w:cs="Segoe UI"/>
        </w:rPr>
        <w:t>’ is required to respond to such a charter.</w:t>
      </w:r>
    </w:p>
    <w:p w:rsidR="005B5171" w:rsidRPr="005B5171" w:rsidRDefault="005B5171" w:rsidP="005B5171">
      <w:pPr>
        <w:jc w:val="both"/>
        <w:rPr>
          <w:rFonts w:ascii="Segoe UI" w:hAnsi="Segoe UI" w:cs="Segoe UI"/>
        </w:rPr>
      </w:pPr>
      <w:r w:rsidRPr="005B5171">
        <w:rPr>
          <w:rFonts w:ascii="Segoe UI" w:hAnsi="Segoe UI" w:cs="Segoe UI"/>
        </w:rPr>
        <w:t xml:space="preserve">Since 2004, </w:t>
      </w:r>
      <w:proofErr w:type="spellStart"/>
      <w:r w:rsidRPr="005B5171">
        <w:rPr>
          <w:rFonts w:ascii="Segoe UI" w:hAnsi="Segoe UI" w:cs="Segoe UI"/>
        </w:rPr>
        <w:t>VicForests</w:t>
      </w:r>
      <w:proofErr w:type="spellEnd"/>
      <w:r w:rsidRPr="005B5171">
        <w:rPr>
          <w:rFonts w:ascii="Segoe UI" w:hAnsi="Segoe UI" w:cs="Segoe UI"/>
        </w:rPr>
        <w:t xml:space="preserve"> has operated under the SFT Act (and other relevant legal requirements) and has worked with government agencies and other stakeholders to achieve its corporate objectives within this framework.</w:t>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Eastern Victoria</w:t>
      </w:r>
    </w:p>
    <w:p w:rsidR="005B5171" w:rsidRPr="005B5171" w:rsidRDefault="005B5171" w:rsidP="005B5171">
      <w:pPr>
        <w:keepNext/>
        <w:keepLines/>
        <w:spacing w:before="40" w:after="0"/>
        <w:outlineLvl w:val="5"/>
        <w:rPr>
          <w:rFonts w:ascii="Gill Sans MT" w:eastAsia="STZhongsong" w:hAnsi="Gill Sans MT" w:cs="Majalla UI"/>
          <w:i/>
          <w:iCs/>
          <w:color w:val="13345C"/>
        </w:rPr>
      </w:pPr>
      <w:r w:rsidRPr="005B5171">
        <w:rPr>
          <w:rFonts w:ascii="Gill Sans MT" w:eastAsia="STZhongsong" w:hAnsi="Gill Sans MT" w:cs="Majalla UI"/>
          <w:i/>
          <w:iCs/>
          <w:color w:val="13345C"/>
        </w:rPr>
        <w:t>The Allocation Order</w:t>
      </w:r>
    </w:p>
    <w:p w:rsidR="005B5171" w:rsidRPr="005B5171" w:rsidRDefault="005B5171" w:rsidP="005B5171">
      <w:pPr>
        <w:jc w:val="both"/>
        <w:rPr>
          <w:rFonts w:ascii="Segoe UI" w:hAnsi="Segoe UI" w:cs="Segoe UI"/>
        </w:rPr>
      </w:pPr>
      <w:r w:rsidRPr="005B5171">
        <w:rPr>
          <w:rFonts w:ascii="Segoe UI" w:hAnsi="Segoe UI" w:cs="Segoe UI"/>
        </w:rPr>
        <w:t xml:space="preserve">The allocation and vesting of timber resources to </w:t>
      </w:r>
      <w:proofErr w:type="spellStart"/>
      <w:r w:rsidRPr="005B5171">
        <w:rPr>
          <w:rFonts w:ascii="Segoe UI" w:hAnsi="Segoe UI" w:cs="Segoe UI"/>
        </w:rPr>
        <w:t>VicForests</w:t>
      </w:r>
      <w:proofErr w:type="spellEnd"/>
      <w:r w:rsidRPr="005B5171">
        <w:rPr>
          <w:rFonts w:ascii="Segoe UI" w:hAnsi="Segoe UI" w:cs="Segoe UI"/>
        </w:rPr>
        <w:t xml:space="preserve">, for the purpose of harvesting and selling of the resources, is authorised through an Allocation Order (AO) issued by the Minister for Agriculture under Part 3, s. 13 of the SFT Act. The Allocation Order 2013 was last amended in April 2019 and applies only to State forest east of the Hume Highway where timber harvesting is a permitted forest use in all areas identified as GMZ or SMZ according to the Forest Management Zoning Scheme. </w:t>
      </w:r>
    </w:p>
    <w:p w:rsidR="005B5171" w:rsidRPr="005B5171" w:rsidRDefault="005B5171" w:rsidP="005B5171">
      <w:pPr>
        <w:keepNext/>
        <w:keepLines/>
        <w:spacing w:before="40" w:after="0"/>
        <w:outlineLvl w:val="5"/>
        <w:rPr>
          <w:rFonts w:ascii="Gill Sans MT" w:eastAsia="STZhongsong" w:hAnsi="Gill Sans MT" w:cs="Majalla UI"/>
          <w:i/>
          <w:iCs/>
          <w:color w:val="13345C"/>
        </w:rPr>
      </w:pPr>
      <w:r w:rsidRPr="005B5171">
        <w:rPr>
          <w:rFonts w:ascii="Gill Sans MT" w:eastAsia="STZhongsong" w:hAnsi="Gill Sans MT" w:cs="Majalla UI"/>
          <w:i/>
          <w:iCs/>
          <w:color w:val="13345C"/>
        </w:rPr>
        <w:t>Harvest area limits</w:t>
      </w:r>
    </w:p>
    <w:p w:rsidR="005B5171" w:rsidRPr="005B5171" w:rsidRDefault="005B5171" w:rsidP="005B5171">
      <w:pPr>
        <w:jc w:val="both"/>
        <w:rPr>
          <w:rFonts w:ascii="Segoe UI" w:hAnsi="Segoe UI" w:cs="Segoe UI"/>
        </w:rPr>
      </w:pPr>
      <w:r w:rsidRPr="005B5171">
        <w:rPr>
          <w:rFonts w:ascii="Segoe UI" w:hAnsi="Segoe UI" w:cs="Segoe UI"/>
        </w:rPr>
        <w:t xml:space="preserve">The AO specifies the area limits that </w:t>
      </w:r>
      <w:proofErr w:type="spellStart"/>
      <w:r w:rsidRPr="005B5171">
        <w:rPr>
          <w:rFonts w:ascii="Segoe UI" w:hAnsi="Segoe UI" w:cs="Segoe UI"/>
        </w:rPr>
        <w:t>VicForests</w:t>
      </w:r>
      <w:proofErr w:type="spellEnd"/>
      <w:r w:rsidRPr="005B5171">
        <w:rPr>
          <w:rFonts w:ascii="Segoe UI" w:hAnsi="Segoe UI" w:cs="Segoe UI"/>
        </w:rPr>
        <w:t xml:space="preserve"> may harvest in a defined time period. The first AO was released in August 2004 with subsequent amendments made in 2007 and 2010 to allow for salvage harvesting of major fire affected areas.</w:t>
      </w:r>
    </w:p>
    <w:p w:rsidR="005B5171" w:rsidRPr="005B5171" w:rsidRDefault="005B5171" w:rsidP="005B5171">
      <w:pPr>
        <w:jc w:val="both"/>
        <w:rPr>
          <w:rFonts w:ascii="Segoe UI" w:hAnsi="Segoe UI" w:cs="Segoe UI"/>
        </w:rPr>
      </w:pPr>
      <w:r w:rsidRPr="005B5171">
        <w:rPr>
          <w:rFonts w:ascii="Segoe UI" w:hAnsi="Segoe UI" w:cs="Segoe UI"/>
        </w:rPr>
        <w:t xml:space="preserve">The first AO specified the maximum area able to be harvested for each forest type for each five-year period over the following 15 years. The maximum harvest areas listed in the order were calculated based on meeting the timber supply schedule at that time and based on nett harvest area, that is, the actual footprint of the harvest area. </w:t>
      </w:r>
    </w:p>
    <w:p w:rsidR="005B5171" w:rsidRPr="005B5171" w:rsidRDefault="005B5171" w:rsidP="005B5171">
      <w:pPr>
        <w:jc w:val="both"/>
        <w:rPr>
          <w:rFonts w:ascii="Segoe UI" w:hAnsi="Segoe UI" w:cs="Segoe UI"/>
        </w:rPr>
      </w:pPr>
      <w:r w:rsidRPr="005B5171">
        <w:rPr>
          <w:rFonts w:ascii="Segoe UI" w:hAnsi="Segoe UI" w:cs="Segoe UI"/>
        </w:rPr>
        <w:t xml:space="preserve">From May 2010, changes were made to the method for defining harvest area limits. The AO outlines the five-year harvest area limit. This is calculated as the gross total area divided by the notional rotation age (83 years for ash and 112.6 years for mixed species) multiplied by five to convert to a five-year forest area limit. In this instance, gross harvest area is the total allocated area of the coupe and includes areas that can, and cannot or will not, be harvested – that is, areas protected under the </w:t>
      </w:r>
      <w:r w:rsidRPr="005B5171">
        <w:rPr>
          <w:rFonts w:ascii="Segoe UI" w:hAnsi="Segoe UI" w:cs="Segoe UI"/>
          <w:i/>
        </w:rPr>
        <w:t>Code of Practice for Timber Production 2014</w:t>
      </w:r>
      <w:r w:rsidRPr="005B5171">
        <w:rPr>
          <w:rFonts w:ascii="Segoe UI" w:hAnsi="Segoe UI" w:cs="Segoe UI"/>
        </w:rPr>
        <w:t xml:space="preserve"> and those where the timber available is not commercially suitable or commercially viable.</w:t>
      </w:r>
    </w:p>
    <w:p w:rsidR="005B5171" w:rsidRPr="005B5171" w:rsidRDefault="005B5171" w:rsidP="005B5171">
      <w:pPr>
        <w:jc w:val="both"/>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REF _Ref16245367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70</w:t>
      </w:r>
      <w:r w:rsidRPr="005B5171">
        <w:rPr>
          <w:rFonts w:ascii="Segoe UI" w:hAnsi="Segoe UI" w:cs="Segoe UI"/>
        </w:rPr>
        <w:fldChar w:fldCharType="end"/>
      </w:r>
      <w:r w:rsidRPr="005B5171">
        <w:rPr>
          <w:rFonts w:ascii="Segoe UI" w:hAnsi="Segoe UI" w:cs="Segoe UI"/>
        </w:rPr>
        <w:t xml:space="preserve"> and </w:t>
      </w:r>
      <w:r w:rsidRPr="005B5171">
        <w:rPr>
          <w:rFonts w:ascii="Segoe UI" w:hAnsi="Segoe UI" w:cs="Segoe UI"/>
        </w:rPr>
        <w:fldChar w:fldCharType="begin"/>
      </w:r>
      <w:r w:rsidRPr="005B5171">
        <w:rPr>
          <w:rFonts w:ascii="Segoe UI" w:hAnsi="Segoe UI" w:cs="Segoe UI"/>
        </w:rPr>
        <w:instrText xml:space="preserve"> REF _Ref16245370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71</w:t>
      </w:r>
      <w:r w:rsidRPr="005B5171">
        <w:rPr>
          <w:rFonts w:ascii="Segoe UI" w:hAnsi="Segoe UI" w:cs="Segoe UI"/>
        </w:rPr>
        <w:fldChar w:fldCharType="end"/>
      </w:r>
      <w:r w:rsidRPr="005B5171">
        <w:rPr>
          <w:rFonts w:ascii="Segoe UI" w:hAnsi="Segoe UI" w:cs="Segoe UI"/>
        </w:rPr>
        <w:t xml:space="preserve"> show the annual total areas harvested in eastern Victoria compared with the five-yearly harvest limits defined by the AOs applicable for the corresponding periods. It is important to note that the actual area harvested has always been less than the five-year harvest area limits would allow.  </w:t>
      </w:r>
    </w:p>
    <w:p w:rsidR="005B5171" w:rsidRPr="005B5171" w:rsidRDefault="005B5171" w:rsidP="005B5171">
      <w:pPr>
        <w:spacing w:after="200" w:line="240" w:lineRule="auto"/>
        <w:rPr>
          <w:rFonts w:ascii="Segoe UI Semibold" w:eastAsia="Times New Roman" w:hAnsi="Segoe UI Semibold" w:cs="Times New Roman"/>
          <w:color w:val="016295"/>
        </w:rPr>
      </w:pPr>
      <w:bookmarkStart w:id="57" w:name="_Ref16245367"/>
      <w:bookmarkStart w:id="58" w:name="_Toc25660852"/>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70</w:t>
      </w:r>
      <w:r w:rsidRPr="005B5171">
        <w:rPr>
          <w:rFonts w:ascii="Segoe UI Semibold" w:eastAsia="Times New Roman" w:hAnsi="Segoe UI Semibold" w:cs="Times New Roman"/>
          <w:noProof/>
          <w:color w:val="016295"/>
        </w:rPr>
        <w:fldChar w:fldCharType="end"/>
      </w:r>
      <w:bookmarkEnd w:id="57"/>
      <w:r w:rsidRPr="005B5171">
        <w:rPr>
          <w:rFonts w:ascii="Segoe UI Semibold" w:eastAsia="Times New Roman" w:hAnsi="Segoe UI Semibold" w:cs="Times New Roman"/>
          <w:color w:val="016295"/>
        </w:rPr>
        <w:t>: Harvest vs maximum Allocation Order area, 2004–05 to 2008–09</w:t>
      </w:r>
      <w:bookmarkEnd w:id="58"/>
    </w:p>
    <w:tbl>
      <w:tblPr>
        <w:tblW w:w="9356" w:type="dxa"/>
        <w:tblLayout w:type="fixed"/>
        <w:tblCellMar>
          <w:top w:w="57" w:type="dxa"/>
          <w:bottom w:w="57" w:type="dxa"/>
        </w:tblCellMar>
        <w:tblLook w:val="04A0" w:firstRow="1" w:lastRow="0" w:firstColumn="1" w:lastColumn="0" w:noHBand="0" w:noVBand="1"/>
      </w:tblPr>
      <w:tblGrid>
        <w:gridCol w:w="1417"/>
        <w:gridCol w:w="964"/>
        <w:gridCol w:w="964"/>
        <w:gridCol w:w="964"/>
        <w:gridCol w:w="964"/>
        <w:gridCol w:w="964"/>
        <w:gridCol w:w="851"/>
        <w:gridCol w:w="1276"/>
        <w:gridCol w:w="992"/>
      </w:tblGrid>
      <w:tr w:rsidR="005B5171" w:rsidRPr="005B5171" w:rsidTr="000B1EFD">
        <w:tc>
          <w:tcPr>
            <w:tcW w:w="1417" w:type="dxa"/>
            <w:shd w:val="clear" w:color="auto" w:fill="E2EFD9" w:themeFill="accent6" w:themeFillTint="33"/>
            <w:noWrap/>
            <w:tcMar>
              <w:left w:w="28" w:type="dxa"/>
              <w:right w:w="28" w:type="dxa"/>
            </w:tcMar>
          </w:tcPr>
          <w:p w:rsidR="005B5171" w:rsidRPr="005B5171" w:rsidRDefault="005B5171" w:rsidP="005B5171">
            <w:pPr>
              <w:rPr>
                <w:rFonts w:ascii="Segoe UI" w:hAnsi="Segoe UI" w:cs="Segoe UI"/>
              </w:rPr>
            </w:pPr>
          </w:p>
        </w:tc>
        <w:tc>
          <w:tcPr>
            <w:tcW w:w="5671" w:type="dxa"/>
            <w:gridSpan w:val="6"/>
            <w:tcBorders>
              <w:bottom w:val="single" w:sz="2" w:space="0" w:color="7F7F7F" w:themeColor="text1" w:themeTint="80"/>
            </w:tcBorders>
            <w:shd w:val="clear" w:color="auto" w:fill="E2EFD9" w:themeFill="accent6" w:themeFillTint="33"/>
            <w:noWrap/>
            <w:tcMar>
              <w:left w:w="28" w:type="dxa"/>
              <w:right w:w="28" w:type="dxa"/>
            </w:tcMar>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Actual harvested area (nett ha)</w:t>
            </w:r>
          </w:p>
        </w:tc>
        <w:tc>
          <w:tcPr>
            <w:tcW w:w="1276" w:type="dxa"/>
            <w:vMerge w:val="restart"/>
            <w:shd w:val="clear" w:color="auto" w:fill="E2EFD9" w:themeFill="accent6" w:themeFillTint="33"/>
            <w:tcMar>
              <w:left w:w="28" w:type="dxa"/>
              <w:right w:w="28" w:type="dxa"/>
            </w:tcMar>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AO maximum area for period (ha)</w:t>
            </w:r>
          </w:p>
        </w:tc>
        <w:tc>
          <w:tcPr>
            <w:tcW w:w="992" w:type="dxa"/>
            <w:vMerge w:val="restart"/>
            <w:shd w:val="clear" w:color="auto" w:fill="E2EFD9" w:themeFill="accent6" w:themeFillTint="33"/>
            <w:noWrap/>
            <w:tcMar>
              <w:left w:w="28" w:type="dxa"/>
              <w:right w:w="28" w:type="dxa"/>
            </w:tcMar>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p>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 xml:space="preserve"> per cent of Allocation</w:t>
            </w:r>
          </w:p>
        </w:tc>
      </w:tr>
      <w:tr w:rsidR="005B5171" w:rsidRPr="005B5171" w:rsidTr="000B1EFD">
        <w:tc>
          <w:tcPr>
            <w:tcW w:w="1417" w:type="dxa"/>
            <w:tcBorders>
              <w:bottom w:val="single" w:sz="4" w:space="0" w:color="7F7F7F" w:themeColor="text1" w:themeTint="80"/>
            </w:tcBorders>
            <w:shd w:val="clear" w:color="auto" w:fill="E2EFD9" w:themeFill="accent6" w:themeFillTint="33"/>
            <w:noWrap/>
            <w:tcMar>
              <w:left w:w="28" w:type="dxa"/>
              <w:right w:w="28" w:type="dxa"/>
            </w:tcMar>
            <w:vAlign w:val="bottom"/>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Forest type</w:t>
            </w:r>
          </w:p>
        </w:tc>
        <w:tc>
          <w:tcPr>
            <w:tcW w:w="964" w:type="dxa"/>
            <w:tcBorders>
              <w:top w:val="single" w:sz="2" w:space="0" w:color="7F7F7F" w:themeColor="text1" w:themeTint="80"/>
              <w:bottom w:val="single" w:sz="4" w:space="0" w:color="7F7F7F" w:themeColor="text1" w:themeTint="80"/>
            </w:tcBorders>
            <w:shd w:val="clear" w:color="auto" w:fill="E2EFD9" w:themeFill="accent6" w:themeFillTint="33"/>
            <w:noWrap/>
            <w:tcMar>
              <w:left w:w="28" w:type="dxa"/>
              <w:right w:w="28" w:type="dxa"/>
            </w:tcMar>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2004–05</w:t>
            </w:r>
          </w:p>
        </w:tc>
        <w:tc>
          <w:tcPr>
            <w:tcW w:w="964" w:type="dxa"/>
            <w:tcBorders>
              <w:top w:val="single" w:sz="2" w:space="0" w:color="7F7F7F" w:themeColor="text1" w:themeTint="80"/>
              <w:bottom w:val="single" w:sz="4" w:space="0" w:color="7F7F7F" w:themeColor="text1" w:themeTint="80"/>
            </w:tcBorders>
            <w:shd w:val="clear" w:color="auto" w:fill="E2EFD9" w:themeFill="accent6" w:themeFillTint="33"/>
            <w:noWrap/>
            <w:tcMar>
              <w:left w:w="28" w:type="dxa"/>
              <w:right w:w="28" w:type="dxa"/>
            </w:tcMar>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2005–06</w:t>
            </w:r>
          </w:p>
        </w:tc>
        <w:tc>
          <w:tcPr>
            <w:tcW w:w="964" w:type="dxa"/>
            <w:tcBorders>
              <w:top w:val="single" w:sz="2" w:space="0" w:color="7F7F7F" w:themeColor="text1" w:themeTint="80"/>
              <w:bottom w:val="single" w:sz="4" w:space="0" w:color="7F7F7F" w:themeColor="text1" w:themeTint="80"/>
            </w:tcBorders>
            <w:shd w:val="clear" w:color="auto" w:fill="E2EFD9" w:themeFill="accent6" w:themeFillTint="33"/>
            <w:noWrap/>
            <w:tcMar>
              <w:left w:w="28" w:type="dxa"/>
              <w:right w:w="28" w:type="dxa"/>
            </w:tcMar>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2006–07</w:t>
            </w:r>
          </w:p>
        </w:tc>
        <w:tc>
          <w:tcPr>
            <w:tcW w:w="964" w:type="dxa"/>
            <w:tcBorders>
              <w:top w:val="single" w:sz="2" w:space="0" w:color="7F7F7F" w:themeColor="text1" w:themeTint="80"/>
              <w:bottom w:val="single" w:sz="4" w:space="0" w:color="7F7F7F" w:themeColor="text1" w:themeTint="80"/>
            </w:tcBorders>
            <w:shd w:val="clear" w:color="auto" w:fill="E2EFD9" w:themeFill="accent6" w:themeFillTint="33"/>
            <w:noWrap/>
            <w:tcMar>
              <w:left w:w="28" w:type="dxa"/>
              <w:right w:w="28" w:type="dxa"/>
            </w:tcMar>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2007–08</w:t>
            </w:r>
          </w:p>
        </w:tc>
        <w:tc>
          <w:tcPr>
            <w:tcW w:w="964" w:type="dxa"/>
            <w:tcBorders>
              <w:top w:val="single" w:sz="2" w:space="0" w:color="7F7F7F" w:themeColor="text1" w:themeTint="80"/>
              <w:bottom w:val="single" w:sz="4" w:space="0" w:color="7F7F7F" w:themeColor="text1" w:themeTint="80"/>
            </w:tcBorders>
            <w:shd w:val="clear" w:color="auto" w:fill="E2EFD9" w:themeFill="accent6" w:themeFillTint="33"/>
            <w:noWrap/>
            <w:tcMar>
              <w:left w:w="28" w:type="dxa"/>
              <w:right w:w="28" w:type="dxa"/>
            </w:tcMar>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2008–09</w:t>
            </w:r>
          </w:p>
        </w:tc>
        <w:tc>
          <w:tcPr>
            <w:tcW w:w="851" w:type="dxa"/>
            <w:tcBorders>
              <w:top w:val="single" w:sz="2" w:space="0" w:color="7F7F7F" w:themeColor="text1" w:themeTint="80"/>
              <w:bottom w:val="single" w:sz="4" w:space="0" w:color="7F7F7F" w:themeColor="text1" w:themeTint="80"/>
            </w:tcBorders>
            <w:shd w:val="clear" w:color="auto" w:fill="E2EFD9" w:themeFill="accent6" w:themeFillTint="33"/>
            <w:noWrap/>
            <w:tcMar>
              <w:left w:w="28" w:type="dxa"/>
              <w:right w:w="28" w:type="dxa"/>
            </w:tcMar>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Total</w:t>
            </w:r>
          </w:p>
        </w:tc>
        <w:tc>
          <w:tcPr>
            <w:tcW w:w="1276" w:type="dxa"/>
            <w:vMerge/>
            <w:tcBorders>
              <w:bottom w:val="single" w:sz="4" w:space="0" w:color="7F7F7F" w:themeColor="text1" w:themeTint="80"/>
            </w:tcBorders>
            <w:shd w:val="clear" w:color="auto" w:fill="E2EFD9" w:themeFill="accent6" w:themeFillTint="33"/>
            <w:noWrap/>
            <w:tcMar>
              <w:left w:w="28" w:type="dxa"/>
              <w:right w:w="28" w:type="dxa"/>
            </w:tcMar>
          </w:tcPr>
          <w:p w:rsidR="005B5171" w:rsidRPr="005B5171" w:rsidRDefault="005B5171" w:rsidP="005B5171">
            <w:pPr>
              <w:spacing w:after="0" w:line="240" w:lineRule="auto"/>
              <w:jc w:val="center"/>
              <w:rPr>
                <w:rFonts w:ascii="Segoe UI" w:eastAsia="Calibri" w:hAnsi="Segoe UI" w:cs="Calibri"/>
                <w:sz w:val="19"/>
                <w:szCs w:val="19"/>
                <w:lang w:eastAsia="en-AU"/>
              </w:rPr>
            </w:pPr>
          </w:p>
        </w:tc>
        <w:tc>
          <w:tcPr>
            <w:tcW w:w="992" w:type="dxa"/>
            <w:vMerge/>
            <w:tcBorders>
              <w:bottom w:val="single" w:sz="4" w:space="0" w:color="7F7F7F" w:themeColor="text1" w:themeTint="80"/>
            </w:tcBorders>
            <w:shd w:val="clear" w:color="auto" w:fill="E2EFD9" w:themeFill="accent6" w:themeFillTint="33"/>
            <w:noWrap/>
            <w:tcMar>
              <w:left w:w="28" w:type="dxa"/>
              <w:right w:w="28" w:type="dxa"/>
            </w:tcMar>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p>
        </w:tc>
      </w:tr>
      <w:tr w:rsidR="005B5171" w:rsidRPr="005B5171" w:rsidTr="000B1EFD">
        <w:tc>
          <w:tcPr>
            <w:tcW w:w="1417"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 xml:space="preserve">Ash </w:t>
            </w:r>
          </w:p>
        </w:tc>
        <w:tc>
          <w:tcPr>
            <w:tcW w:w="964"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1,271</w:t>
            </w:r>
          </w:p>
        </w:tc>
        <w:tc>
          <w:tcPr>
            <w:tcW w:w="964"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1,078</w:t>
            </w:r>
          </w:p>
        </w:tc>
        <w:tc>
          <w:tcPr>
            <w:tcW w:w="964"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850</w:t>
            </w:r>
          </w:p>
        </w:tc>
        <w:tc>
          <w:tcPr>
            <w:tcW w:w="964"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1,022</w:t>
            </w:r>
          </w:p>
        </w:tc>
        <w:tc>
          <w:tcPr>
            <w:tcW w:w="964"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933</w:t>
            </w:r>
          </w:p>
        </w:tc>
        <w:tc>
          <w:tcPr>
            <w:tcW w:w="851"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5,154</w:t>
            </w:r>
          </w:p>
        </w:tc>
        <w:tc>
          <w:tcPr>
            <w:tcW w:w="1276"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7,810</w:t>
            </w:r>
          </w:p>
        </w:tc>
        <w:tc>
          <w:tcPr>
            <w:tcW w:w="992"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66</w:t>
            </w:r>
          </w:p>
        </w:tc>
      </w:tr>
      <w:tr w:rsidR="005B5171" w:rsidRPr="005B5171" w:rsidTr="000B1EFD">
        <w:tc>
          <w:tcPr>
            <w:tcW w:w="1417" w:type="dxa"/>
            <w:tcBorders>
              <w:top w:val="single" w:sz="4" w:space="0" w:color="7F7F7F" w:themeColor="text1" w:themeTint="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Mixed species</w:t>
            </w:r>
          </w:p>
        </w:tc>
        <w:tc>
          <w:tcPr>
            <w:tcW w:w="964"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2,520</w:t>
            </w:r>
          </w:p>
        </w:tc>
        <w:tc>
          <w:tcPr>
            <w:tcW w:w="964"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2,701</w:t>
            </w:r>
          </w:p>
        </w:tc>
        <w:tc>
          <w:tcPr>
            <w:tcW w:w="964"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2,325</w:t>
            </w:r>
          </w:p>
        </w:tc>
        <w:tc>
          <w:tcPr>
            <w:tcW w:w="964"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2,366</w:t>
            </w:r>
          </w:p>
        </w:tc>
        <w:tc>
          <w:tcPr>
            <w:tcW w:w="964"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2,424</w:t>
            </w:r>
          </w:p>
        </w:tc>
        <w:tc>
          <w:tcPr>
            <w:tcW w:w="851"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12,336</w:t>
            </w:r>
          </w:p>
        </w:tc>
        <w:tc>
          <w:tcPr>
            <w:tcW w:w="1276"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21,660</w:t>
            </w:r>
          </w:p>
        </w:tc>
        <w:tc>
          <w:tcPr>
            <w:tcW w:w="992"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57</w:t>
            </w:r>
          </w:p>
        </w:tc>
      </w:tr>
    </w:tbl>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Note: Additional 6, 110 ha (of an approved allocation order of 56,540 ha) harvested to salvage timber from on fire affected stands.</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Source: DSE (2010).</w:t>
      </w:r>
    </w:p>
    <w:p w:rsidR="005B5171" w:rsidRPr="005B5171" w:rsidRDefault="005B5171" w:rsidP="005B5171">
      <w:pPr>
        <w:spacing w:after="200" w:line="240" w:lineRule="auto"/>
        <w:rPr>
          <w:rFonts w:ascii="Segoe UI Semibold" w:eastAsia="Times New Roman" w:hAnsi="Segoe UI Semibold" w:cs="Times New Roman"/>
          <w:color w:val="016295"/>
        </w:rPr>
      </w:pPr>
      <w:bookmarkStart w:id="59" w:name="_Ref16245370"/>
      <w:bookmarkStart w:id="60" w:name="_Toc25660853"/>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71</w:t>
      </w:r>
      <w:r w:rsidRPr="005B5171">
        <w:rPr>
          <w:rFonts w:ascii="Segoe UI Semibold" w:eastAsia="Times New Roman" w:hAnsi="Segoe UI Semibold" w:cs="Times New Roman"/>
          <w:noProof/>
          <w:color w:val="016295"/>
        </w:rPr>
        <w:fldChar w:fldCharType="end"/>
      </w:r>
      <w:bookmarkEnd w:id="59"/>
      <w:r w:rsidRPr="005B5171">
        <w:rPr>
          <w:rFonts w:ascii="Segoe UI Semibold" w:eastAsia="Times New Roman" w:hAnsi="Segoe UI Semibold" w:cs="Times New Roman"/>
          <w:color w:val="016295"/>
        </w:rPr>
        <w:t>: Harvest vs maximum Allocation Order area, 2009–10 to 2012–13</w:t>
      </w:r>
      <w:bookmarkEnd w:id="60"/>
    </w:p>
    <w:tbl>
      <w:tblPr>
        <w:tblW w:w="9356" w:type="dxa"/>
        <w:tblLayout w:type="fixed"/>
        <w:tblCellMar>
          <w:top w:w="57" w:type="dxa"/>
          <w:bottom w:w="57" w:type="dxa"/>
        </w:tblCellMar>
        <w:tblLook w:val="04A0" w:firstRow="1" w:lastRow="0" w:firstColumn="1" w:lastColumn="0" w:noHBand="0" w:noVBand="1"/>
      </w:tblPr>
      <w:tblGrid>
        <w:gridCol w:w="1417"/>
        <w:gridCol w:w="1020"/>
        <w:gridCol w:w="1020"/>
        <w:gridCol w:w="1020"/>
        <w:gridCol w:w="1020"/>
        <w:gridCol w:w="1024"/>
        <w:gridCol w:w="1701"/>
        <w:gridCol w:w="1134"/>
      </w:tblGrid>
      <w:tr w:rsidR="005B5171" w:rsidRPr="005B5171" w:rsidTr="000B1EFD">
        <w:tc>
          <w:tcPr>
            <w:tcW w:w="1417" w:type="dxa"/>
            <w:shd w:val="clear" w:color="auto" w:fill="E2EFD9" w:themeFill="accent6" w:themeFillTint="33"/>
            <w:noWrap/>
          </w:tcPr>
          <w:p w:rsidR="005B5171" w:rsidRPr="005B5171" w:rsidRDefault="005B5171" w:rsidP="005B5171">
            <w:pPr>
              <w:rPr>
                <w:rFonts w:ascii="Segoe UI" w:hAnsi="Segoe UI" w:cs="Segoe UI"/>
              </w:rPr>
            </w:pPr>
          </w:p>
        </w:tc>
        <w:tc>
          <w:tcPr>
            <w:tcW w:w="5104" w:type="dxa"/>
            <w:gridSpan w:val="5"/>
            <w:tcBorders>
              <w:bottom w:val="single" w:sz="2" w:space="0" w:color="7F7F7F" w:themeColor="text1" w:themeTint="80"/>
            </w:tcBorders>
            <w:shd w:val="clear" w:color="auto" w:fill="E2EFD9" w:themeFill="accent6" w:themeFillTint="33"/>
            <w:noWrap/>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Actual harvested area (gross ha)</w:t>
            </w:r>
          </w:p>
        </w:tc>
        <w:tc>
          <w:tcPr>
            <w:tcW w:w="1701" w:type="dxa"/>
            <w:vMerge w:val="restart"/>
            <w:shd w:val="clear" w:color="auto" w:fill="E2EFD9" w:themeFill="accent6" w:themeFillTint="33"/>
            <w:noWrap/>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AO Maximum harvest area for period (hectares)</w:t>
            </w:r>
            <w:r w:rsidRPr="005B5171">
              <w:rPr>
                <w:rFonts w:ascii="Segoe UI" w:eastAsia="Calibri" w:hAnsi="Segoe UI" w:cs="Calibri"/>
                <w:sz w:val="19"/>
                <w:szCs w:val="19"/>
                <w:lang w:eastAsia="en-AU"/>
              </w:rPr>
              <w:br/>
              <w:t xml:space="preserve">(5 </w:t>
            </w:r>
            <w:proofErr w:type="spellStart"/>
            <w:r w:rsidRPr="005B5171">
              <w:rPr>
                <w:rFonts w:ascii="Segoe UI" w:eastAsia="Calibri" w:hAnsi="Segoe UI" w:cs="Calibri"/>
                <w:sz w:val="19"/>
                <w:szCs w:val="19"/>
                <w:lang w:eastAsia="en-AU"/>
              </w:rPr>
              <w:t>yrs</w:t>
            </w:r>
            <w:proofErr w:type="spellEnd"/>
            <w:r w:rsidRPr="005B5171">
              <w:rPr>
                <w:rFonts w:ascii="Segoe UI" w:eastAsia="Calibri" w:hAnsi="Segoe UI" w:cs="Calibri"/>
                <w:sz w:val="19"/>
                <w:szCs w:val="19"/>
                <w:lang w:eastAsia="en-AU"/>
              </w:rPr>
              <w:t>)</w:t>
            </w:r>
          </w:p>
        </w:tc>
        <w:tc>
          <w:tcPr>
            <w:tcW w:w="1134" w:type="dxa"/>
            <w:vMerge w:val="restart"/>
            <w:shd w:val="clear" w:color="auto" w:fill="E2EFD9" w:themeFill="accent6" w:themeFillTint="33"/>
            <w:noWrap/>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 xml:space="preserve"> per cent of Allocation</w:t>
            </w:r>
          </w:p>
        </w:tc>
      </w:tr>
      <w:tr w:rsidR="005B5171" w:rsidRPr="005B5171" w:rsidTr="000B1EFD">
        <w:tc>
          <w:tcPr>
            <w:tcW w:w="1417" w:type="dxa"/>
            <w:tcBorders>
              <w:bottom w:val="single" w:sz="4" w:space="0" w:color="7F7F7F" w:themeColor="text1" w:themeTint="80"/>
            </w:tcBorders>
            <w:shd w:val="clear" w:color="auto" w:fill="E2EFD9" w:themeFill="accent6" w:themeFillTint="33"/>
            <w:noWrap/>
            <w:vAlign w:val="bottom"/>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Forest type</w:t>
            </w:r>
          </w:p>
        </w:tc>
        <w:tc>
          <w:tcPr>
            <w:tcW w:w="1020" w:type="dxa"/>
            <w:tcBorders>
              <w:top w:val="single" w:sz="2" w:space="0" w:color="7F7F7F" w:themeColor="text1" w:themeTint="80"/>
              <w:bottom w:val="single" w:sz="4" w:space="0" w:color="7F7F7F" w:themeColor="text1" w:themeTint="80"/>
            </w:tcBorders>
            <w:shd w:val="clear" w:color="auto" w:fill="E2EFD9" w:themeFill="accent6" w:themeFillTint="33"/>
            <w:noWrap/>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2009–10</w:t>
            </w:r>
          </w:p>
        </w:tc>
        <w:tc>
          <w:tcPr>
            <w:tcW w:w="1020" w:type="dxa"/>
            <w:tcBorders>
              <w:top w:val="single" w:sz="2" w:space="0" w:color="7F7F7F" w:themeColor="text1" w:themeTint="80"/>
              <w:bottom w:val="single" w:sz="4" w:space="0" w:color="7F7F7F" w:themeColor="text1" w:themeTint="80"/>
            </w:tcBorders>
            <w:shd w:val="clear" w:color="auto" w:fill="E2EFD9" w:themeFill="accent6" w:themeFillTint="33"/>
            <w:noWrap/>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2010–11</w:t>
            </w:r>
          </w:p>
        </w:tc>
        <w:tc>
          <w:tcPr>
            <w:tcW w:w="1020" w:type="dxa"/>
            <w:tcBorders>
              <w:top w:val="single" w:sz="2" w:space="0" w:color="7F7F7F" w:themeColor="text1" w:themeTint="80"/>
              <w:bottom w:val="single" w:sz="4" w:space="0" w:color="7F7F7F" w:themeColor="text1" w:themeTint="80"/>
            </w:tcBorders>
            <w:shd w:val="clear" w:color="auto" w:fill="E2EFD9" w:themeFill="accent6" w:themeFillTint="33"/>
            <w:noWrap/>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2011–12</w:t>
            </w:r>
          </w:p>
        </w:tc>
        <w:tc>
          <w:tcPr>
            <w:tcW w:w="1020" w:type="dxa"/>
            <w:tcBorders>
              <w:top w:val="single" w:sz="2" w:space="0" w:color="7F7F7F" w:themeColor="text1" w:themeTint="80"/>
              <w:bottom w:val="single" w:sz="4" w:space="0" w:color="7F7F7F" w:themeColor="text1" w:themeTint="80"/>
            </w:tcBorders>
            <w:shd w:val="clear" w:color="auto" w:fill="E2EFD9" w:themeFill="accent6" w:themeFillTint="33"/>
            <w:noWrap/>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2012–13</w:t>
            </w:r>
          </w:p>
        </w:tc>
        <w:tc>
          <w:tcPr>
            <w:tcW w:w="1024" w:type="dxa"/>
            <w:tcBorders>
              <w:top w:val="single" w:sz="2" w:space="0" w:color="7F7F7F" w:themeColor="text1" w:themeTint="80"/>
              <w:bottom w:val="single" w:sz="4" w:space="0" w:color="7F7F7F" w:themeColor="text1" w:themeTint="80"/>
            </w:tcBorders>
            <w:shd w:val="clear" w:color="auto" w:fill="E2EFD9" w:themeFill="accent6" w:themeFillTint="33"/>
            <w:noWrap/>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Total</w:t>
            </w:r>
          </w:p>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 xml:space="preserve">(4 </w:t>
            </w:r>
            <w:proofErr w:type="spellStart"/>
            <w:r w:rsidRPr="005B5171">
              <w:rPr>
                <w:rFonts w:ascii="Segoe UI" w:eastAsia="Calibri" w:hAnsi="Segoe UI" w:cs="Calibri"/>
                <w:sz w:val="19"/>
                <w:szCs w:val="19"/>
                <w:lang w:eastAsia="en-AU"/>
              </w:rPr>
              <w:t>yrs</w:t>
            </w:r>
            <w:proofErr w:type="spellEnd"/>
            <w:r w:rsidRPr="005B5171">
              <w:rPr>
                <w:rFonts w:ascii="Segoe UI" w:eastAsia="Calibri" w:hAnsi="Segoe UI" w:cs="Calibri"/>
                <w:sz w:val="19"/>
                <w:szCs w:val="19"/>
                <w:lang w:eastAsia="en-AU"/>
              </w:rPr>
              <w:t>)</w:t>
            </w:r>
          </w:p>
        </w:tc>
        <w:tc>
          <w:tcPr>
            <w:tcW w:w="1701" w:type="dxa"/>
            <w:vMerge/>
            <w:tcBorders>
              <w:bottom w:val="single" w:sz="4" w:space="0" w:color="7F7F7F" w:themeColor="text1" w:themeTint="80"/>
            </w:tcBorders>
            <w:shd w:val="clear" w:color="auto" w:fill="E2EFD9" w:themeFill="accent6" w:themeFillTint="33"/>
            <w:noWrap/>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p>
        </w:tc>
        <w:tc>
          <w:tcPr>
            <w:tcW w:w="1134" w:type="dxa"/>
            <w:vMerge/>
            <w:tcBorders>
              <w:bottom w:val="single" w:sz="4" w:space="0" w:color="7F7F7F" w:themeColor="text1" w:themeTint="80"/>
            </w:tcBorders>
            <w:shd w:val="clear" w:color="auto" w:fill="E2EFD9" w:themeFill="accent6" w:themeFillTint="33"/>
            <w:noWrap/>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p>
        </w:tc>
      </w:tr>
      <w:tr w:rsidR="005B5171" w:rsidRPr="005B5171" w:rsidTr="000B1EFD">
        <w:tc>
          <w:tcPr>
            <w:tcW w:w="1417"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bookmarkStart w:id="61" w:name="_Hlk16150070"/>
            <w:r w:rsidRPr="005B5171">
              <w:rPr>
                <w:rFonts w:ascii="Segoe UI" w:eastAsia="Calibri" w:hAnsi="Segoe UI" w:cs="Calibri"/>
                <w:sz w:val="19"/>
                <w:szCs w:val="19"/>
                <w:lang w:eastAsia="en-AU"/>
              </w:rPr>
              <w:t xml:space="preserve">Ash </w:t>
            </w:r>
          </w:p>
        </w:tc>
        <w:tc>
          <w:tcPr>
            <w:tcW w:w="1020"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3,712</w:t>
            </w:r>
          </w:p>
        </w:tc>
        <w:tc>
          <w:tcPr>
            <w:tcW w:w="1020"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2,776</w:t>
            </w:r>
          </w:p>
        </w:tc>
        <w:tc>
          <w:tcPr>
            <w:tcW w:w="1020"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3,238</w:t>
            </w:r>
          </w:p>
        </w:tc>
        <w:tc>
          <w:tcPr>
            <w:tcW w:w="1020"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2,594</w:t>
            </w:r>
          </w:p>
        </w:tc>
        <w:tc>
          <w:tcPr>
            <w:tcW w:w="1024"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12,629</w:t>
            </w:r>
          </w:p>
        </w:tc>
        <w:tc>
          <w:tcPr>
            <w:tcW w:w="1701"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17,400</w:t>
            </w:r>
          </w:p>
        </w:tc>
        <w:tc>
          <w:tcPr>
            <w:tcW w:w="1134"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71</w:t>
            </w:r>
          </w:p>
        </w:tc>
      </w:tr>
      <w:tr w:rsidR="005B5171" w:rsidRPr="005B5171" w:rsidTr="000B1EFD">
        <w:tc>
          <w:tcPr>
            <w:tcW w:w="1417" w:type="dxa"/>
            <w:tcBorders>
              <w:top w:val="single" w:sz="4" w:space="0" w:color="7F7F7F" w:themeColor="text1" w:themeTint="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Mixed species</w:t>
            </w:r>
          </w:p>
        </w:tc>
        <w:tc>
          <w:tcPr>
            <w:tcW w:w="1020"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5,880</w:t>
            </w:r>
          </w:p>
        </w:tc>
        <w:tc>
          <w:tcPr>
            <w:tcW w:w="1020"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5,032</w:t>
            </w:r>
          </w:p>
        </w:tc>
        <w:tc>
          <w:tcPr>
            <w:tcW w:w="1020"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3,525</w:t>
            </w:r>
          </w:p>
        </w:tc>
        <w:tc>
          <w:tcPr>
            <w:tcW w:w="1020"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2,724</w:t>
            </w:r>
          </w:p>
        </w:tc>
        <w:tc>
          <w:tcPr>
            <w:tcW w:w="1024"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9,332</w:t>
            </w:r>
          </w:p>
        </w:tc>
        <w:tc>
          <w:tcPr>
            <w:tcW w:w="1701"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71,800</w:t>
            </w:r>
          </w:p>
        </w:tc>
        <w:tc>
          <w:tcPr>
            <w:tcW w:w="1134"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24</w:t>
            </w:r>
          </w:p>
        </w:tc>
      </w:tr>
    </w:tbl>
    <w:bookmarkEnd w:id="61"/>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Notes: </w:t>
      </w:r>
      <w:r w:rsidRPr="005B5171">
        <w:rPr>
          <w:rFonts w:ascii="Segoe UI" w:eastAsia="STZhongsong" w:hAnsi="Segoe UI" w:cs="Segoe UI"/>
          <w:bCs/>
          <w:sz w:val="18"/>
          <w:szCs w:val="18"/>
          <w:lang w:eastAsia="ko-KR"/>
        </w:rPr>
        <w:tab/>
        <w:t xml:space="preserve">The coupe area listed above includes forest stands impacted by fire. </w:t>
      </w:r>
    </w:p>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ab/>
      </w:r>
      <w:r w:rsidRPr="005B5171">
        <w:rPr>
          <w:rFonts w:ascii="Segoe UI" w:eastAsia="STZhongsong" w:hAnsi="Segoe UI" w:cs="Segoe UI"/>
          <w:bCs/>
          <w:sz w:val="18"/>
          <w:szCs w:val="18"/>
          <w:lang w:eastAsia="ko-KR"/>
        </w:rPr>
        <w:tab/>
        <w:t xml:space="preserve">A gross area harvest figure retrospectively applied for 2009-10. </w:t>
      </w:r>
    </w:p>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ab/>
      </w:r>
      <w:r w:rsidRPr="005B5171">
        <w:rPr>
          <w:rFonts w:ascii="Segoe UI" w:eastAsia="STZhongsong" w:hAnsi="Segoe UI" w:cs="Segoe UI"/>
          <w:bCs/>
          <w:sz w:val="18"/>
          <w:szCs w:val="18"/>
          <w:lang w:eastAsia="ko-KR"/>
        </w:rPr>
        <w:tab/>
        <w:t>Four years only due to new AO being issued on 1 October 2013.</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Source: Department of Economic Development, Jobs, Transport and Resources (DEDJTR) (2017). Internal</w:t>
      </w:r>
    </w:p>
    <w:p w:rsidR="005B5171" w:rsidRPr="005B5171" w:rsidRDefault="005B5171" w:rsidP="005B5171">
      <w:pPr>
        <w:spacing w:after="200" w:line="240" w:lineRule="auto"/>
        <w:rPr>
          <w:rFonts w:ascii="Segoe UI Semibold" w:eastAsia="Times New Roman" w:hAnsi="Segoe UI Semibold" w:cs="Times New Roman"/>
          <w:color w:val="016295"/>
        </w:rPr>
      </w:pPr>
      <w:bookmarkStart w:id="62" w:name="_Ref16245741"/>
      <w:bookmarkStart w:id="63" w:name="_Toc25660854"/>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72</w:t>
      </w:r>
      <w:r w:rsidRPr="005B5171">
        <w:rPr>
          <w:rFonts w:ascii="Segoe UI Semibold" w:eastAsia="Times New Roman" w:hAnsi="Segoe UI Semibold" w:cs="Times New Roman"/>
          <w:noProof/>
          <w:color w:val="016295"/>
        </w:rPr>
        <w:fldChar w:fldCharType="end"/>
      </w:r>
      <w:bookmarkEnd w:id="62"/>
      <w:r w:rsidRPr="005B5171">
        <w:rPr>
          <w:rFonts w:ascii="Segoe UI Semibold" w:eastAsia="Times New Roman" w:hAnsi="Segoe UI Semibold" w:cs="Times New Roman"/>
          <w:color w:val="016295"/>
        </w:rPr>
        <w:t>: Harvest vs maximum Allocation Order area, 2013–14 to 2016–17</w:t>
      </w:r>
      <w:bookmarkEnd w:id="63"/>
    </w:p>
    <w:tbl>
      <w:tblPr>
        <w:tblW w:w="9356" w:type="dxa"/>
        <w:tblLayout w:type="fixed"/>
        <w:tblCellMar>
          <w:top w:w="85" w:type="dxa"/>
          <w:bottom w:w="85" w:type="dxa"/>
        </w:tblCellMar>
        <w:tblLook w:val="04A0" w:firstRow="1" w:lastRow="0" w:firstColumn="1" w:lastColumn="0" w:noHBand="0" w:noVBand="1"/>
      </w:tblPr>
      <w:tblGrid>
        <w:gridCol w:w="1256"/>
        <w:gridCol w:w="964"/>
        <w:gridCol w:w="964"/>
        <w:gridCol w:w="964"/>
        <w:gridCol w:w="964"/>
        <w:gridCol w:w="964"/>
        <w:gridCol w:w="870"/>
        <w:gridCol w:w="1276"/>
        <w:gridCol w:w="1134"/>
      </w:tblGrid>
      <w:tr w:rsidR="005B5171" w:rsidRPr="005B5171" w:rsidTr="000B1EFD">
        <w:tc>
          <w:tcPr>
            <w:tcW w:w="1256" w:type="dxa"/>
            <w:shd w:val="clear" w:color="auto" w:fill="E2EFD9" w:themeFill="accent6" w:themeFillTint="33"/>
            <w:noWrap/>
            <w:tcMar>
              <w:left w:w="57" w:type="dxa"/>
              <w:right w:w="57" w:type="dxa"/>
            </w:tcMar>
          </w:tcPr>
          <w:p w:rsidR="005B5171" w:rsidRPr="005B5171" w:rsidRDefault="005B5171" w:rsidP="005B5171">
            <w:pPr>
              <w:rPr>
                <w:rFonts w:ascii="Segoe UI" w:hAnsi="Segoe UI" w:cs="Segoe UI"/>
              </w:rPr>
            </w:pPr>
          </w:p>
        </w:tc>
        <w:tc>
          <w:tcPr>
            <w:tcW w:w="5690" w:type="dxa"/>
            <w:gridSpan w:val="6"/>
            <w:tcBorders>
              <w:bottom w:val="single" w:sz="2" w:space="0" w:color="7F7F7F" w:themeColor="text1" w:themeTint="80"/>
            </w:tcBorders>
            <w:shd w:val="clear" w:color="auto" w:fill="E2EFD9" w:themeFill="accent6" w:themeFillTint="33"/>
            <w:noWrap/>
            <w:tcMar>
              <w:left w:w="57" w:type="dxa"/>
              <w:right w:w="57" w:type="dxa"/>
            </w:tcMar>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Actual harvested area (gross hectares)</w:t>
            </w:r>
          </w:p>
        </w:tc>
        <w:tc>
          <w:tcPr>
            <w:tcW w:w="1276" w:type="dxa"/>
            <w:vMerge w:val="restart"/>
            <w:shd w:val="clear" w:color="auto" w:fill="E2EFD9" w:themeFill="accent6" w:themeFillTint="33"/>
            <w:noWrap/>
            <w:tcMar>
              <w:left w:w="57" w:type="dxa"/>
              <w:right w:w="57" w:type="dxa"/>
            </w:tcMar>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AO Maximum harvest area for period (ha)</w:t>
            </w:r>
          </w:p>
        </w:tc>
        <w:tc>
          <w:tcPr>
            <w:tcW w:w="1134" w:type="dxa"/>
            <w:vMerge w:val="restart"/>
            <w:shd w:val="clear" w:color="auto" w:fill="E2EFD9" w:themeFill="accent6" w:themeFillTint="33"/>
            <w:noWrap/>
            <w:tcMar>
              <w:left w:w="57" w:type="dxa"/>
              <w:right w:w="57" w:type="dxa"/>
            </w:tcMar>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 xml:space="preserve"> per cent of Allocation</w:t>
            </w:r>
          </w:p>
        </w:tc>
      </w:tr>
      <w:tr w:rsidR="005B5171" w:rsidRPr="005B5171" w:rsidTr="000B1EFD">
        <w:tc>
          <w:tcPr>
            <w:tcW w:w="1256" w:type="dxa"/>
            <w:tcBorders>
              <w:bottom w:val="single" w:sz="4" w:space="0" w:color="7F7F7F" w:themeColor="text1" w:themeTint="80"/>
            </w:tcBorders>
            <w:shd w:val="clear" w:color="auto" w:fill="E2EFD9" w:themeFill="accent6" w:themeFillTint="33"/>
            <w:noWrap/>
            <w:tcMar>
              <w:left w:w="57" w:type="dxa"/>
              <w:right w:w="57" w:type="dxa"/>
            </w:tcMar>
            <w:vAlign w:val="bottom"/>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Forest type</w:t>
            </w:r>
          </w:p>
        </w:tc>
        <w:tc>
          <w:tcPr>
            <w:tcW w:w="964" w:type="dxa"/>
            <w:tcBorders>
              <w:top w:val="single" w:sz="2" w:space="0" w:color="7F7F7F" w:themeColor="text1" w:themeTint="80"/>
              <w:bottom w:val="single" w:sz="4" w:space="0" w:color="7F7F7F" w:themeColor="text1" w:themeTint="80"/>
            </w:tcBorders>
            <w:shd w:val="clear" w:color="auto" w:fill="E2EFD9" w:themeFill="accent6" w:themeFillTint="33"/>
            <w:noWrap/>
            <w:tcMar>
              <w:left w:w="57" w:type="dxa"/>
              <w:right w:w="57" w:type="dxa"/>
            </w:tcMar>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2013–14</w:t>
            </w:r>
          </w:p>
        </w:tc>
        <w:tc>
          <w:tcPr>
            <w:tcW w:w="964" w:type="dxa"/>
            <w:tcBorders>
              <w:top w:val="single" w:sz="2" w:space="0" w:color="7F7F7F" w:themeColor="text1" w:themeTint="80"/>
              <w:bottom w:val="single" w:sz="4" w:space="0" w:color="7F7F7F" w:themeColor="text1" w:themeTint="80"/>
            </w:tcBorders>
            <w:shd w:val="clear" w:color="auto" w:fill="E2EFD9" w:themeFill="accent6" w:themeFillTint="33"/>
            <w:noWrap/>
            <w:tcMar>
              <w:left w:w="57" w:type="dxa"/>
              <w:right w:w="57" w:type="dxa"/>
            </w:tcMar>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2014–15</w:t>
            </w:r>
          </w:p>
        </w:tc>
        <w:tc>
          <w:tcPr>
            <w:tcW w:w="964" w:type="dxa"/>
            <w:tcBorders>
              <w:top w:val="single" w:sz="2" w:space="0" w:color="7F7F7F" w:themeColor="text1" w:themeTint="80"/>
              <w:bottom w:val="single" w:sz="4" w:space="0" w:color="7F7F7F" w:themeColor="text1" w:themeTint="80"/>
            </w:tcBorders>
            <w:shd w:val="clear" w:color="auto" w:fill="E2EFD9" w:themeFill="accent6" w:themeFillTint="33"/>
            <w:noWrap/>
            <w:tcMar>
              <w:left w:w="57" w:type="dxa"/>
              <w:right w:w="57" w:type="dxa"/>
            </w:tcMar>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2015–16</w:t>
            </w:r>
          </w:p>
        </w:tc>
        <w:tc>
          <w:tcPr>
            <w:tcW w:w="964" w:type="dxa"/>
            <w:tcBorders>
              <w:top w:val="single" w:sz="2" w:space="0" w:color="7F7F7F" w:themeColor="text1" w:themeTint="80"/>
              <w:bottom w:val="single" w:sz="4" w:space="0" w:color="7F7F7F" w:themeColor="text1" w:themeTint="80"/>
            </w:tcBorders>
            <w:shd w:val="clear" w:color="auto" w:fill="E2EFD9" w:themeFill="accent6" w:themeFillTint="33"/>
            <w:noWrap/>
            <w:tcMar>
              <w:left w:w="57" w:type="dxa"/>
              <w:right w:w="57" w:type="dxa"/>
            </w:tcMar>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2016–17</w:t>
            </w:r>
          </w:p>
        </w:tc>
        <w:tc>
          <w:tcPr>
            <w:tcW w:w="964" w:type="dxa"/>
            <w:tcBorders>
              <w:top w:val="single" w:sz="2" w:space="0" w:color="7F7F7F" w:themeColor="text1" w:themeTint="80"/>
              <w:bottom w:val="single" w:sz="4" w:space="0" w:color="7F7F7F" w:themeColor="text1" w:themeTint="80"/>
            </w:tcBorders>
            <w:shd w:val="clear" w:color="auto" w:fill="E2EFD9" w:themeFill="accent6" w:themeFillTint="33"/>
            <w:noWrap/>
            <w:tcMar>
              <w:left w:w="57" w:type="dxa"/>
              <w:right w:w="57" w:type="dxa"/>
            </w:tcMar>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2017–18</w:t>
            </w:r>
          </w:p>
        </w:tc>
        <w:tc>
          <w:tcPr>
            <w:tcW w:w="870" w:type="dxa"/>
            <w:tcBorders>
              <w:top w:val="single" w:sz="2" w:space="0" w:color="7F7F7F" w:themeColor="text1" w:themeTint="80"/>
              <w:bottom w:val="single" w:sz="4" w:space="0" w:color="7F7F7F" w:themeColor="text1" w:themeTint="80"/>
            </w:tcBorders>
            <w:shd w:val="clear" w:color="auto" w:fill="E2EFD9" w:themeFill="accent6" w:themeFillTint="33"/>
            <w:noWrap/>
            <w:tcMar>
              <w:left w:w="57" w:type="dxa"/>
              <w:right w:w="57" w:type="dxa"/>
            </w:tcMar>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Total</w:t>
            </w:r>
          </w:p>
        </w:tc>
        <w:tc>
          <w:tcPr>
            <w:tcW w:w="1276" w:type="dxa"/>
            <w:vMerge/>
            <w:tcBorders>
              <w:bottom w:val="single" w:sz="4" w:space="0" w:color="7F7F7F" w:themeColor="text1" w:themeTint="80"/>
            </w:tcBorders>
            <w:shd w:val="clear" w:color="auto" w:fill="E2EFD9" w:themeFill="accent6" w:themeFillTint="33"/>
            <w:noWrap/>
            <w:tcMar>
              <w:left w:w="57" w:type="dxa"/>
              <w:right w:w="57" w:type="dxa"/>
            </w:tcMar>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p>
        </w:tc>
        <w:tc>
          <w:tcPr>
            <w:tcW w:w="1134" w:type="dxa"/>
            <w:vMerge/>
            <w:tcBorders>
              <w:bottom w:val="single" w:sz="4" w:space="0" w:color="7F7F7F" w:themeColor="text1" w:themeTint="80"/>
            </w:tcBorders>
            <w:shd w:val="clear" w:color="auto" w:fill="E2EFD9" w:themeFill="accent6" w:themeFillTint="33"/>
            <w:noWrap/>
            <w:tcMar>
              <w:left w:w="57" w:type="dxa"/>
              <w:right w:w="57" w:type="dxa"/>
            </w:tcMar>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p>
        </w:tc>
      </w:tr>
      <w:tr w:rsidR="005B5171" w:rsidRPr="005B5171" w:rsidTr="000B1EFD">
        <w:tc>
          <w:tcPr>
            <w:tcW w:w="1256"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Ash</w:t>
            </w:r>
          </w:p>
        </w:tc>
        <w:tc>
          <w:tcPr>
            <w:tcW w:w="964"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2,090</w:t>
            </w:r>
          </w:p>
        </w:tc>
        <w:tc>
          <w:tcPr>
            <w:tcW w:w="964"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2,273</w:t>
            </w:r>
          </w:p>
        </w:tc>
        <w:tc>
          <w:tcPr>
            <w:tcW w:w="964"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2,583</w:t>
            </w:r>
          </w:p>
        </w:tc>
        <w:tc>
          <w:tcPr>
            <w:tcW w:w="964"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2,386</w:t>
            </w:r>
          </w:p>
        </w:tc>
        <w:tc>
          <w:tcPr>
            <w:tcW w:w="964"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1,988</w:t>
            </w:r>
          </w:p>
        </w:tc>
        <w:tc>
          <w:tcPr>
            <w:tcW w:w="870"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11,319</w:t>
            </w:r>
          </w:p>
        </w:tc>
        <w:tc>
          <w:tcPr>
            <w:tcW w:w="1276"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14,200</w:t>
            </w:r>
          </w:p>
        </w:tc>
        <w:tc>
          <w:tcPr>
            <w:tcW w:w="1134" w:type="dxa"/>
            <w:tcBorders>
              <w:top w:val="single" w:sz="4" w:space="0" w:color="7F7F7F" w:themeColor="text1" w:themeTint="80"/>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80</w:t>
            </w:r>
          </w:p>
        </w:tc>
      </w:tr>
      <w:tr w:rsidR="005B5171" w:rsidRPr="005B5171" w:rsidTr="000B1EFD">
        <w:tc>
          <w:tcPr>
            <w:tcW w:w="1256" w:type="dxa"/>
            <w:tcBorders>
              <w:top w:val="single" w:sz="4" w:space="0" w:color="7F7F7F" w:themeColor="text1" w:themeTint="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Mixed species</w:t>
            </w:r>
          </w:p>
        </w:tc>
        <w:tc>
          <w:tcPr>
            <w:tcW w:w="964"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2,034</w:t>
            </w:r>
          </w:p>
        </w:tc>
        <w:tc>
          <w:tcPr>
            <w:tcW w:w="964"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2,820</w:t>
            </w:r>
          </w:p>
        </w:tc>
        <w:tc>
          <w:tcPr>
            <w:tcW w:w="964"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2,847</w:t>
            </w:r>
          </w:p>
        </w:tc>
        <w:tc>
          <w:tcPr>
            <w:tcW w:w="964"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3,003</w:t>
            </w:r>
          </w:p>
        </w:tc>
        <w:tc>
          <w:tcPr>
            <w:tcW w:w="964"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3,638</w:t>
            </w:r>
          </w:p>
        </w:tc>
        <w:tc>
          <w:tcPr>
            <w:tcW w:w="870"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14,344</w:t>
            </w:r>
          </w:p>
        </w:tc>
        <w:tc>
          <w:tcPr>
            <w:tcW w:w="1276"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70,000</w:t>
            </w:r>
          </w:p>
        </w:tc>
        <w:tc>
          <w:tcPr>
            <w:tcW w:w="1134"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20</w:t>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w:t>
      </w:r>
      <w:bookmarkStart w:id="64" w:name="_Hlk18328822"/>
      <w:proofErr w:type="spellStart"/>
      <w:r w:rsidRPr="005B5171">
        <w:rPr>
          <w:rFonts w:ascii="Segoe UI" w:eastAsia="STZhongsong" w:hAnsi="Segoe UI" w:cs="Segoe UI"/>
          <w:bCs/>
          <w:sz w:val="18"/>
          <w:szCs w:val="18"/>
          <w:lang w:eastAsia="ko-KR"/>
        </w:rPr>
        <w:t>VicForests</w:t>
      </w:r>
      <w:proofErr w:type="spellEnd"/>
      <w:r w:rsidRPr="005B5171">
        <w:rPr>
          <w:rFonts w:ascii="Segoe UI" w:eastAsia="STZhongsong" w:hAnsi="Segoe UI" w:cs="Segoe UI"/>
          <w:bCs/>
          <w:sz w:val="18"/>
          <w:szCs w:val="18"/>
          <w:lang w:eastAsia="ko-KR"/>
        </w:rPr>
        <w:t xml:space="preserve"> (2018a). </w:t>
      </w:r>
      <w:bookmarkEnd w:id="64"/>
    </w:p>
    <w:p w:rsidR="005B5171" w:rsidRPr="005B5171" w:rsidRDefault="005B5171" w:rsidP="005B5171">
      <w:pPr>
        <w:jc w:val="both"/>
        <w:rPr>
          <w:rFonts w:ascii="Segoe UI" w:hAnsi="Segoe UI" w:cs="Segoe UI"/>
        </w:rPr>
      </w:pPr>
      <w:r w:rsidRPr="005B5171">
        <w:rPr>
          <w:rFonts w:ascii="Segoe UI" w:hAnsi="Segoe UI" w:cs="Segoe UI"/>
        </w:rPr>
        <w:t>The current AO (revised April 2019) specifies a gross five-year harvest area limit of 14,200 hectares for ash forest type, and 70,000 hectares for mixed species forest type (</w:t>
      </w:r>
      <w:r w:rsidRPr="005B5171">
        <w:rPr>
          <w:rFonts w:ascii="Segoe UI" w:hAnsi="Segoe UI" w:cs="Segoe UI"/>
        </w:rPr>
        <w:fldChar w:fldCharType="begin"/>
      </w:r>
      <w:r w:rsidRPr="005B5171">
        <w:rPr>
          <w:rFonts w:ascii="Segoe UI" w:hAnsi="Segoe UI" w:cs="Segoe UI"/>
        </w:rPr>
        <w:instrText xml:space="preserve"> REF _Ref16245741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72</w:t>
      </w:r>
      <w:r w:rsidRPr="005B5171">
        <w:rPr>
          <w:rFonts w:ascii="Segoe UI" w:hAnsi="Segoe UI" w:cs="Segoe UI"/>
        </w:rPr>
        <w:fldChar w:fldCharType="end"/>
      </w:r>
      <w:r w:rsidRPr="005B5171">
        <w:rPr>
          <w:rFonts w:ascii="Segoe UI" w:hAnsi="Segoe UI" w:cs="Segoe UI"/>
        </w:rPr>
        <w:t>).</w:t>
      </w:r>
    </w:p>
    <w:p w:rsidR="005B5171" w:rsidRPr="005B5171" w:rsidRDefault="005B5171" w:rsidP="005B5171">
      <w:pPr>
        <w:keepNext/>
        <w:keepLines/>
        <w:spacing w:before="40" w:after="0"/>
        <w:outlineLvl w:val="5"/>
        <w:rPr>
          <w:rFonts w:ascii="Gill Sans MT" w:eastAsia="STZhongsong" w:hAnsi="Gill Sans MT" w:cs="Majalla UI"/>
          <w:i/>
          <w:iCs/>
          <w:color w:val="13345C"/>
        </w:rPr>
      </w:pPr>
      <w:r w:rsidRPr="005B5171">
        <w:rPr>
          <w:rFonts w:ascii="Gill Sans MT" w:eastAsia="STZhongsong" w:hAnsi="Gill Sans MT" w:cs="Majalla UI"/>
          <w:i/>
          <w:iCs/>
          <w:color w:val="13345C"/>
        </w:rPr>
        <w:t xml:space="preserve">Timber resource planning  </w:t>
      </w:r>
    </w:p>
    <w:p w:rsidR="005B5171" w:rsidRPr="005B5171" w:rsidRDefault="005B5171" w:rsidP="005B5171">
      <w:pPr>
        <w:jc w:val="both"/>
        <w:rPr>
          <w:rFonts w:ascii="Segoe UI" w:hAnsi="Segoe UI" w:cs="Segoe UI"/>
        </w:rPr>
      </w:pPr>
      <w:r w:rsidRPr="005B5171">
        <w:rPr>
          <w:rFonts w:ascii="Segoe UI" w:hAnsi="Segoe UI" w:cs="Segoe UI"/>
        </w:rPr>
        <w:t xml:space="preserve">A Timber Release Plan (TRP) is </w:t>
      </w:r>
      <w:proofErr w:type="spellStart"/>
      <w:r w:rsidRPr="005B5171">
        <w:rPr>
          <w:rFonts w:ascii="Segoe UI" w:hAnsi="Segoe UI" w:cs="Segoe UI"/>
        </w:rPr>
        <w:t>VicForests</w:t>
      </w:r>
      <w:proofErr w:type="spellEnd"/>
      <w:r w:rsidRPr="005B5171">
        <w:rPr>
          <w:rFonts w:ascii="Segoe UI" w:hAnsi="Segoe UI" w:cs="Segoe UI"/>
        </w:rPr>
        <w:t xml:space="preserve">’ strategic plan that identifies the likely location and extent of timber harvest operations over the next three years. </w:t>
      </w:r>
    </w:p>
    <w:p w:rsidR="005B5171" w:rsidRPr="005B5171" w:rsidRDefault="005B5171" w:rsidP="005B5171">
      <w:pPr>
        <w:jc w:val="both"/>
        <w:rPr>
          <w:rFonts w:ascii="Segoe UI" w:hAnsi="Segoe UI" w:cs="Segoe UI"/>
        </w:rPr>
      </w:pPr>
      <w:r w:rsidRPr="005B5171">
        <w:rPr>
          <w:rFonts w:ascii="Segoe UI" w:hAnsi="Segoe UI" w:cs="Segoe UI"/>
        </w:rPr>
        <w:t xml:space="preserve">Prior to October 2013, the process for allocating and vesting the timber resource in </w:t>
      </w:r>
      <w:proofErr w:type="spellStart"/>
      <w:r w:rsidRPr="005B5171">
        <w:rPr>
          <w:rFonts w:ascii="Segoe UI" w:hAnsi="Segoe UI" w:cs="Segoe UI"/>
        </w:rPr>
        <w:t>VicForests</w:t>
      </w:r>
      <w:proofErr w:type="spellEnd"/>
      <w:r w:rsidRPr="005B5171">
        <w:rPr>
          <w:rFonts w:ascii="Segoe UI" w:hAnsi="Segoe UI" w:cs="Segoe UI"/>
        </w:rPr>
        <w:t xml:space="preserve"> involved two-steps; requiring both an AO and subsequent approval of a TRP by the then Minister for Agriculture and Primary Industries. DPI reviewed the SFT Act in 2012, and it was amended in 2013 to enable a one-step allocation process, whereby once the Minister for Agriculture has issued and gazetted the AO vesting the timber resource to </w:t>
      </w:r>
      <w:proofErr w:type="spellStart"/>
      <w:r w:rsidRPr="005B5171">
        <w:rPr>
          <w:rFonts w:ascii="Segoe UI" w:hAnsi="Segoe UI" w:cs="Segoe UI"/>
        </w:rPr>
        <w:t>VicForests</w:t>
      </w:r>
      <w:proofErr w:type="spellEnd"/>
      <w:r w:rsidRPr="005B5171">
        <w:rPr>
          <w:rFonts w:ascii="Segoe UI" w:hAnsi="Segoe UI" w:cs="Segoe UI"/>
        </w:rPr>
        <w:t xml:space="preserve">, </w:t>
      </w:r>
      <w:proofErr w:type="spellStart"/>
      <w:r w:rsidRPr="005B5171">
        <w:rPr>
          <w:rFonts w:ascii="Segoe UI" w:hAnsi="Segoe UI" w:cs="Segoe UI"/>
        </w:rPr>
        <w:t>VicForests</w:t>
      </w:r>
      <w:proofErr w:type="spellEnd"/>
      <w:r w:rsidRPr="005B5171">
        <w:rPr>
          <w:rFonts w:ascii="Segoe UI" w:hAnsi="Segoe UI" w:cs="Segoe UI"/>
        </w:rPr>
        <w:t xml:space="preserve"> develops and publishes a TRP. The TRP no longer forms part of the approval, issue or gazettal process. </w:t>
      </w:r>
    </w:p>
    <w:p w:rsidR="005B5171" w:rsidRPr="005B5171" w:rsidRDefault="005B5171" w:rsidP="005B5171">
      <w:pPr>
        <w:jc w:val="both"/>
        <w:rPr>
          <w:rFonts w:ascii="Segoe UI" w:hAnsi="Segoe UI" w:cs="Segoe UI"/>
          <w:b/>
        </w:rPr>
      </w:pPr>
      <w:r w:rsidRPr="005B5171">
        <w:rPr>
          <w:rFonts w:ascii="Segoe UI" w:hAnsi="Segoe UI" w:cs="Segoe UI"/>
        </w:rPr>
        <w:t xml:space="preserve">Using the location and extent of the timber resources and the harvest area limits set by the AO, </w:t>
      </w:r>
      <w:proofErr w:type="spellStart"/>
      <w:r w:rsidRPr="005B5171">
        <w:rPr>
          <w:rFonts w:ascii="Segoe UI" w:hAnsi="Segoe UI" w:cs="Segoe UI"/>
        </w:rPr>
        <w:t>VicForests</w:t>
      </w:r>
      <w:proofErr w:type="spellEnd"/>
      <w:r w:rsidRPr="005B5171">
        <w:rPr>
          <w:rFonts w:ascii="Segoe UI" w:hAnsi="Segoe UI" w:cs="Segoe UI"/>
        </w:rPr>
        <w:t xml:space="preserve"> is then develops wood supply models and Resource Outlooks. </w:t>
      </w:r>
    </w:p>
    <w:p w:rsidR="005B5171" w:rsidRPr="005B5171" w:rsidRDefault="005B5171" w:rsidP="005B5171">
      <w:pPr>
        <w:keepNext/>
        <w:keepLines/>
        <w:spacing w:before="40" w:after="40"/>
        <w:outlineLvl w:val="4"/>
        <w:rPr>
          <w:rFonts w:ascii="Segoe UI" w:eastAsia="STZhongsong" w:hAnsi="Segoe UI" w:cs="Majalla UI"/>
          <w:i/>
          <w:color w:val="13345C"/>
        </w:rPr>
      </w:pPr>
      <w:proofErr w:type="spellStart"/>
      <w:r w:rsidRPr="005B5171">
        <w:rPr>
          <w:rFonts w:ascii="Segoe UI" w:eastAsia="STZhongsong" w:hAnsi="Segoe UI" w:cs="Majalla UI"/>
          <w:i/>
          <w:color w:val="13345C"/>
        </w:rPr>
        <w:t>VicForests</w:t>
      </w:r>
      <w:proofErr w:type="spellEnd"/>
      <w:r w:rsidRPr="005B5171">
        <w:rPr>
          <w:rFonts w:ascii="Segoe UI" w:eastAsia="STZhongsong" w:hAnsi="Segoe UI" w:cs="Majalla UI"/>
          <w:i/>
          <w:color w:val="13345C"/>
        </w:rPr>
        <w:t>’ strategic wood supply models</w:t>
      </w:r>
    </w:p>
    <w:p w:rsidR="005B5171" w:rsidRPr="005B5171" w:rsidRDefault="005B5171" w:rsidP="005B5171">
      <w:pPr>
        <w:jc w:val="both"/>
        <w:rPr>
          <w:rFonts w:ascii="Segoe UI" w:hAnsi="Segoe UI" w:cs="Segoe UI"/>
        </w:rPr>
      </w:pPr>
      <w:r w:rsidRPr="005B5171">
        <w:rPr>
          <w:rFonts w:ascii="Segoe UI" w:hAnsi="Segoe UI" w:cs="Segoe UI"/>
        </w:rPr>
        <w:t xml:space="preserve">To meet the requirements of the SFT Act, in addition to supporting its own operational, commercial and forest management activities, </w:t>
      </w:r>
      <w:proofErr w:type="spellStart"/>
      <w:r w:rsidRPr="005B5171">
        <w:rPr>
          <w:rFonts w:ascii="Segoe UI" w:hAnsi="Segoe UI" w:cs="Segoe UI"/>
        </w:rPr>
        <w:t>VicForests</w:t>
      </w:r>
      <w:proofErr w:type="spellEnd"/>
      <w:r w:rsidRPr="005B5171">
        <w:rPr>
          <w:rFonts w:ascii="Segoe UI" w:hAnsi="Segoe UI" w:cs="Segoe UI"/>
        </w:rPr>
        <w:t xml:space="preserve"> has developed, and now maintains, a strategic wood supply model. This model is critical to providing </w:t>
      </w:r>
      <w:proofErr w:type="spellStart"/>
      <w:r w:rsidRPr="005B5171">
        <w:rPr>
          <w:rFonts w:ascii="Segoe UI" w:hAnsi="Segoe UI" w:cs="Segoe UI"/>
        </w:rPr>
        <w:t>VicForests</w:t>
      </w:r>
      <w:proofErr w:type="spellEnd"/>
      <w:r w:rsidRPr="005B5171">
        <w:rPr>
          <w:rFonts w:ascii="Segoe UI" w:hAnsi="Segoe UI" w:cs="Segoe UI"/>
        </w:rPr>
        <w:t>, industry and government with Resource Outlooks.</w:t>
      </w:r>
    </w:p>
    <w:p w:rsidR="005B5171" w:rsidRPr="005B5171" w:rsidRDefault="005B5171" w:rsidP="005B5171">
      <w:pPr>
        <w:keepNext/>
        <w:spacing w:line="240" w:lineRule="auto"/>
        <w:rPr>
          <w:rFonts w:ascii="Segoe UI" w:hAnsi="Segoe UI" w:cs="Segoe UI"/>
        </w:rPr>
      </w:pPr>
      <w:r w:rsidRPr="005B5171">
        <w:rPr>
          <w:rFonts w:ascii="Segoe UI" w:hAnsi="Segoe UI" w:cs="Segoe UI"/>
          <w:noProof/>
        </w:rPr>
        <w:drawing>
          <wp:inline distT="0" distB="0" distL="0" distR="0" wp14:anchorId="5DF217EC" wp14:editId="2B8C92A6">
            <wp:extent cx="5688330" cy="1000125"/>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5688330" cy="1000125"/>
                    </a:xfrm>
                    <a:prstGeom prst="rect">
                      <a:avLst/>
                    </a:prstGeom>
                    <a:noFill/>
                  </pic:spPr>
                </pic:pic>
              </a:graphicData>
            </a:graphic>
          </wp:inline>
        </w:drawing>
      </w:r>
    </w:p>
    <w:p w:rsidR="005B5171" w:rsidRPr="005B5171" w:rsidRDefault="005B5171" w:rsidP="005B5171">
      <w:pPr>
        <w:spacing w:after="200" w:line="240" w:lineRule="auto"/>
        <w:rPr>
          <w:rFonts w:ascii="Segoe UI Semibold" w:eastAsia="Times New Roman" w:hAnsi="Segoe UI Semibold" w:cs="Times New Roman"/>
          <w:color w:val="016295"/>
        </w:rPr>
      </w:pPr>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35</w:t>
      </w:r>
      <w:r w:rsidRPr="005B5171">
        <w:rPr>
          <w:rFonts w:ascii="Segoe UI Semibold" w:eastAsia="Times New Roman" w:hAnsi="Segoe UI Semibold" w:cs="Times New Roman"/>
          <w:noProof/>
          <w:color w:val="016295"/>
        </w:rPr>
        <w:fldChar w:fldCharType="end"/>
      </w:r>
      <w:r w:rsidRPr="005B5171">
        <w:rPr>
          <w:rFonts w:ascii="Segoe UI Semibold" w:eastAsia="Times New Roman" w:hAnsi="Segoe UI Semibold" w:cs="Times New Roman"/>
          <w:color w:val="016295"/>
        </w:rPr>
        <w:t>: Strategic wood supply model and Resource Outlook process</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w:t>
      </w:r>
      <w:proofErr w:type="spellStart"/>
      <w:r w:rsidRPr="005B5171">
        <w:rPr>
          <w:rFonts w:ascii="Segoe UI" w:eastAsia="STZhongsong" w:hAnsi="Segoe UI" w:cs="Segoe UI"/>
          <w:bCs/>
          <w:sz w:val="18"/>
          <w:szCs w:val="18"/>
          <w:lang w:eastAsia="ko-KR"/>
        </w:rPr>
        <w:t>VicForests</w:t>
      </w:r>
      <w:proofErr w:type="spellEnd"/>
      <w:r w:rsidRPr="005B5171">
        <w:rPr>
          <w:rFonts w:ascii="Segoe UI" w:eastAsia="STZhongsong" w:hAnsi="Segoe UI" w:cs="Segoe UI"/>
          <w:bCs/>
          <w:sz w:val="18"/>
          <w:szCs w:val="18"/>
          <w:lang w:eastAsia="ko-KR"/>
        </w:rPr>
        <w:t xml:space="preserve"> (</w:t>
      </w:r>
      <w:hyperlink r:id="rId18" w:history="1">
        <w:r w:rsidRPr="005B5171">
          <w:rPr>
            <w:rFonts w:ascii="Segoe UI" w:eastAsia="STZhongsong" w:hAnsi="Segoe UI" w:cs="Segoe UI"/>
            <w:bCs/>
            <w:color w:val="0257BE"/>
            <w:sz w:val="18"/>
            <w:szCs w:val="18"/>
            <w:lang w:eastAsia="ko-KR"/>
          </w:rPr>
          <w:t>http://www.vicforests.com.au/planning-1/resource-outlook-2017</w:t>
        </w:r>
      </w:hyperlink>
      <w:r w:rsidRPr="005B5171">
        <w:rPr>
          <w:rFonts w:ascii="Segoe UI" w:eastAsia="STZhongsong" w:hAnsi="Segoe UI" w:cs="Segoe UI"/>
          <w:bCs/>
          <w:sz w:val="18"/>
          <w:szCs w:val="18"/>
          <w:lang w:eastAsia="ko-KR"/>
        </w:rPr>
        <w:t xml:space="preserve">). </w:t>
      </w:r>
    </w:p>
    <w:p w:rsidR="005B5171" w:rsidRPr="005B5171" w:rsidRDefault="005B5171" w:rsidP="005B5171">
      <w:pPr>
        <w:jc w:val="both"/>
        <w:rPr>
          <w:rFonts w:ascii="Segoe UI" w:hAnsi="Segoe UI" w:cs="Segoe UI"/>
        </w:rPr>
      </w:pPr>
      <w:r w:rsidRPr="005B5171">
        <w:rPr>
          <w:rFonts w:ascii="Segoe UI" w:hAnsi="Segoe UI" w:cs="Segoe UI"/>
        </w:rPr>
        <w:t>The strategic wood supply model is used to evaluate timber supply over a 100-year period and is updated regularly. The results inform future sales contracts and guide harvesting in the landscape.</w:t>
      </w:r>
      <w:r w:rsidRPr="005B5171">
        <w:rPr>
          <w:rFonts w:ascii="Segoe UI" w:hAnsi="Segoe UI" w:cs="Segoe UI"/>
          <w:vertAlign w:val="superscript"/>
        </w:rPr>
        <w:footnoteReference w:id="3"/>
      </w:r>
    </w:p>
    <w:p w:rsidR="005B5171" w:rsidRPr="005B5171" w:rsidRDefault="005B5171" w:rsidP="005B5171">
      <w:pPr>
        <w:jc w:val="both"/>
        <w:rPr>
          <w:rFonts w:ascii="Segoe UI" w:hAnsi="Segoe UI" w:cs="Segoe UI"/>
          <w:lang w:eastAsia="en-AU"/>
        </w:rPr>
      </w:pPr>
      <w:proofErr w:type="spellStart"/>
      <w:r w:rsidRPr="005B5171">
        <w:rPr>
          <w:rFonts w:ascii="Segoe UI" w:hAnsi="Segoe UI" w:cs="Segoe UI"/>
          <w:lang w:eastAsia="en-AU"/>
        </w:rPr>
        <w:t>VicForests</w:t>
      </w:r>
      <w:proofErr w:type="spellEnd"/>
      <w:r w:rsidRPr="005B5171">
        <w:rPr>
          <w:rFonts w:ascii="Segoe UI" w:hAnsi="Segoe UI" w:cs="Segoe UI"/>
          <w:lang w:eastAsia="en-AU"/>
        </w:rPr>
        <w:t>’ strategic wood supply model relies upon a range of systems and processes to develop forecasts of the volumes of timber able to be sustainably supplied from the available forest in the medium and long term.</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 xml:space="preserve">In simple terms, the process considers how much forest is available, how much timber is currently contained in these forests, how much it is predicted to grow over time and how much timber is likely to be produced by the time of expected harvest. </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The strategic wood supply model is updated regularly to account for changes in the resource base (as was formerly the case when calculating sustainable yield) and includes market conditions in the short to medium term. It includes:</w:t>
      </w:r>
    </w:p>
    <w:p w:rsidR="005B5171" w:rsidRPr="0070586C" w:rsidRDefault="005B5171" w:rsidP="0070586C">
      <w:pPr>
        <w:pStyle w:val="ListParagraph"/>
        <w:numPr>
          <w:ilvl w:val="0"/>
          <w:numId w:val="44"/>
        </w:numPr>
        <w:ind w:left="851" w:hanging="567"/>
      </w:pPr>
      <w:r w:rsidRPr="0070586C">
        <w:t>changes to the forest description (what the forest looks like)</w:t>
      </w:r>
    </w:p>
    <w:p w:rsidR="005B5171" w:rsidRPr="0070586C" w:rsidRDefault="005B5171" w:rsidP="0070586C">
      <w:pPr>
        <w:pStyle w:val="ListParagraph"/>
        <w:numPr>
          <w:ilvl w:val="0"/>
          <w:numId w:val="44"/>
        </w:numPr>
        <w:ind w:left="851" w:hanging="567"/>
      </w:pPr>
      <w:r w:rsidRPr="0070586C">
        <w:t>harvesting, bushfires and other events that can alter the age and structure of the forest</w:t>
      </w:r>
    </w:p>
    <w:p w:rsidR="005B5171" w:rsidRPr="0070586C" w:rsidRDefault="005B5171" w:rsidP="0070586C">
      <w:pPr>
        <w:pStyle w:val="ListParagraph"/>
        <w:numPr>
          <w:ilvl w:val="0"/>
          <w:numId w:val="44"/>
        </w:numPr>
        <w:ind w:left="851" w:hanging="567"/>
      </w:pPr>
      <w:r w:rsidRPr="0070586C">
        <w:t>data about the forest structure and mix of tree species (derived from remote sensing)</w:t>
      </w:r>
    </w:p>
    <w:p w:rsidR="005B5171" w:rsidRPr="0070586C" w:rsidRDefault="005B5171" w:rsidP="0070586C">
      <w:pPr>
        <w:pStyle w:val="ListParagraph"/>
        <w:numPr>
          <w:ilvl w:val="0"/>
          <w:numId w:val="44"/>
        </w:numPr>
        <w:ind w:left="851" w:hanging="567"/>
      </w:pPr>
      <w:r w:rsidRPr="0070586C">
        <w:t>information about the amount of timber that may be produced by monitoring current timber harvesting activity</w:t>
      </w:r>
    </w:p>
    <w:p w:rsidR="005B5171" w:rsidRPr="0070586C" w:rsidRDefault="005B5171" w:rsidP="0070586C">
      <w:pPr>
        <w:pStyle w:val="ListParagraph"/>
        <w:numPr>
          <w:ilvl w:val="0"/>
          <w:numId w:val="44"/>
        </w:numPr>
        <w:ind w:left="851" w:hanging="567"/>
      </w:pPr>
      <w:r w:rsidRPr="0070586C">
        <w:t>changes to the available area due to regulatory and policy decisions.</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 xml:space="preserve">Various scenarios are tested to determine likely impacts on the quantity of timber that can be harvested, future timber supply and long-term sustainability. Risk factors that have the potential to impact on timber resource availability are also included and built into the model.  </w:t>
      </w:r>
    </w:p>
    <w:p w:rsidR="005B5171" w:rsidRPr="005B5171" w:rsidRDefault="005B5171" w:rsidP="005B5171">
      <w:pPr>
        <w:jc w:val="both"/>
        <w:rPr>
          <w:rFonts w:ascii="Segoe UI" w:hAnsi="Segoe UI" w:cs="Segoe UI"/>
        </w:rPr>
      </w:pPr>
      <w:r w:rsidRPr="005B5171">
        <w:rPr>
          <w:rFonts w:ascii="Segoe UI" w:hAnsi="Segoe UI" w:cs="Segoe UI"/>
        </w:rPr>
        <w:t xml:space="preserve">The overall trajectory of harvest volumes in more recent times has been decreasing, with harvest volumes in 2018 approximately 800, 000 cubic metres less than those in 2005. A significant reduction in harvest volumes is apparent after the 2009 Black Saturday bushfires. However, in 2010 there was a spike in volume from salvage harvesting in the Central Highlands and East Gippsland. Since 2013, overall volumes have remained largely stable as a requirement to honour existing supply commitments. The volume data is supplied in full in appendix </w:t>
      </w:r>
      <w:r w:rsidRPr="005B5171">
        <w:rPr>
          <w:rFonts w:ascii="Segoe UI" w:hAnsi="Segoe UI" w:cs="Segoe UI"/>
        </w:rPr>
        <w:fldChar w:fldCharType="begin"/>
      </w:r>
      <w:r w:rsidRPr="005B5171">
        <w:rPr>
          <w:rFonts w:ascii="Segoe UI" w:hAnsi="Segoe UI" w:cs="Segoe UI"/>
        </w:rPr>
        <w:instrText xml:space="preserve"> REF _Ref14775659 \w \h  \* MERGEFORMAT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8</w:t>
      </w:r>
      <w:r w:rsidRPr="005B5171">
        <w:rPr>
          <w:rFonts w:ascii="Segoe UI" w:hAnsi="Segoe UI" w:cs="Segoe UI"/>
        </w:rPr>
        <w:fldChar w:fldCharType="end"/>
      </w:r>
      <w:r w:rsidRPr="005B5171">
        <w:rPr>
          <w:rFonts w:ascii="Segoe UI" w:hAnsi="Segoe UI" w:cs="Segoe UI"/>
        </w:rPr>
        <w:t>.</w:t>
      </w:r>
    </w:p>
    <w:p w:rsidR="005B5171" w:rsidRPr="005B5171" w:rsidRDefault="005B5171" w:rsidP="005B5171">
      <w:pPr>
        <w:keepNext/>
        <w:keepLines/>
        <w:spacing w:before="40" w:after="40"/>
        <w:outlineLvl w:val="4"/>
        <w:rPr>
          <w:rFonts w:ascii="Segoe UI" w:eastAsia="STZhongsong" w:hAnsi="Segoe UI" w:cs="Majalla UI"/>
          <w:i/>
          <w:color w:val="13345C"/>
        </w:rPr>
      </w:pPr>
      <w:bookmarkStart w:id="65" w:name="_Hlk18329039"/>
      <w:proofErr w:type="spellStart"/>
      <w:r w:rsidRPr="005B5171">
        <w:rPr>
          <w:rFonts w:ascii="Segoe UI" w:eastAsia="STZhongsong" w:hAnsi="Segoe UI" w:cs="Majalla UI"/>
          <w:i/>
          <w:color w:val="13345C"/>
        </w:rPr>
        <w:t>VicForests</w:t>
      </w:r>
      <w:proofErr w:type="spellEnd"/>
      <w:r w:rsidRPr="005B5171">
        <w:rPr>
          <w:rFonts w:ascii="Segoe UI" w:eastAsia="STZhongsong" w:hAnsi="Segoe UI" w:cs="Majalla UI"/>
          <w:i/>
          <w:color w:val="13345C"/>
        </w:rPr>
        <w:t>’ Resource Outlook</w:t>
      </w:r>
    </w:p>
    <w:p w:rsidR="005B5171" w:rsidRPr="005B5171" w:rsidRDefault="005B5171" w:rsidP="005B5171">
      <w:pPr>
        <w:jc w:val="both"/>
        <w:rPr>
          <w:rFonts w:ascii="Segoe UI" w:hAnsi="Segoe UI" w:cs="Segoe UI"/>
        </w:rPr>
      </w:pPr>
      <w:proofErr w:type="spellStart"/>
      <w:r w:rsidRPr="005B5171">
        <w:rPr>
          <w:rFonts w:ascii="Segoe UI" w:hAnsi="Segoe UI" w:cs="Segoe UI"/>
        </w:rPr>
        <w:t>VicForests</w:t>
      </w:r>
      <w:proofErr w:type="spellEnd"/>
      <w:r w:rsidRPr="005B5171">
        <w:rPr>
          <w:rFonts w:ascii="Segoe UI" w:hAnsi="Segoe UI" w:cs="Segoe UI"/>
        </w:rPr>
        <w:t xml:space="preserve">’ Resource Outlook is a forecast that indicates how much sawlog timber is able to be commercially supplied from the </w:t>
      </w:r>
      <w:r w:rsidRPr="005B5171">
        <w:rPr>
          <w:rFonts w:ascii="Segoe UI" w:hAnsi="Segoe UI" w:cs="Segoe UI"/>
          <w:lang w:val="en"/>
        </w:rPr>
        <w:t>State</w:t>
      </w:r>
      <w:r w:rsidRPr="005B5171">
        <w:rPr>
          <w:rFonts w:ascii="Segoe UI" w:hAnsi="Segoe UI" w:cs="Segoe UI"/>
        </w:rPr>
        <w:t xml:space="preserve"> forests in eastern Victoria in the medium term on a sustainable basis. It is used by </w:t>
      </w:r>
      <w:proofErr w:type="spellStart"/>
      <w:r w:rsidRPr="005B5171">
        <w:rPr>
          <w:rFonts w:ascii="Segoe UI" w:hAnsi="Segoe UI" w:cs="Segoe UI"/>
        </w:rPr>
        <w:t>VicForests</w:t>
      </w:r>
      <w:proofErr w:type="spellEnd"/>
      <w:r w:rsidRPr="005B5171">
        <w:rPr>
          <w:rFonts w:ascii="Segoe UI" w:hAnsi="Segoe UI" w:cs="Segoe UI"/>
        </w:rPr>
        <w:t xml:space="preserve"> to guide the volume of timber that is made available to the market based on species group – ash and mixed species.</w:t>
      </w:r>
    </w:p>
    <w:p w:rsidR="005B5171" w:rsidRPr="005B5171" w:rsidRDefault="005B5171" w:rsidP="005B5171">
      <w:pPr>
        <w:jc w:val="both"/>
        <w:rPr>
          <w:rFonts w:ascii="Segoe UI" w:hAnsi="Segoe UI" w:cstheme="minorHAnsi"/>
        </w:rPr>
      </w:pPr>
      <w:proofErr w:type="spellStart"/>
      <w:r w:rsidRPr="005B5171">
        <w:rPr>
          <w:rFonts w:ascii="Segoe UI" w:hAnsi="Segoe UI" w:cs="Segoe UI"/>
        </w:rPr>
        <w:t>VicForests</w:t>
      </w:r>
      <w:proofErr w:type="spellEnd"/>
      <w:r w:rsidRPr="005B5171">
        <w:rPr>
          <w:rFonts w:ascii="Segoe UI" w:hAnsi="Segoe UI" w:cs="Segoe UI"/>
        </w:rPr>
        <w:t xml:space="preserve"> updates the Resource Outlook before releasing timber in a significant timber sales event.  Similarly, the Resource Outlook is normally updated after significant events that could change the resource base (such as bushfires) and which may have resulted in changes to the assumptions used to that underpin the strategic model.</w:t>
      </w:r>
      <w:r w:rsidRPr="005B5171">
        <w:rPr>
          <w:rFonts w:ascii="Segoe UI" w:hAnsi="Segoe UI" w:cstheme="minorHAnsi"/>
        </w:rPr>
        <w:t xml:space="preserve"> </w:t>
      </w:r>
      <w:proofErr w:type="spellStart"/>
      <w:r w:rsidRPr="005B5171">
        <w:rPr>
          <w:rFonts w:ascii="Segoe UI" w:hAnsi="Segoe UI" w:cs="Segoe UI"/>
        </w:rPr>
        <w:t>VicForests</w:t>
      </w:r>
      <w:proofErr w:type="spellEnd"/>
      <w:r w:rsidRPr="005B5171">
        <w:rPr>
          <w:rFonts w:ascii="Segoe UI" w:hAnsi="Segoe UI" w:cs="Segoe UI"/>
        </w:rPr>
        <w:t>’ most recent Resource Outlook was published in 2017.</w:t>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 xml:space="preserve">Independent reviews of </w:t>
      </w:r>
      <w:proofErr w:type="spellStart"/>
      <w:r w:rsidRPr="005B5171">
        <w:rPr>
          <w:rFonts w:ascii="Segoe UI" w:eastAsia="STZhongsong" w:hAnsi="Segoe UI" w:cs="Majalla UI"/>
          <w:i/>
          <w:color w:val="13345C"/>
        </w:rPr>
        <w:t>VicForests</w:t>
      </w:r>
      <w:proofErr w:type="spellEnd"/>
      <w:r w:rsidRPr="005B5171">
        <w:rPr>
          <w:rFonts w:ascii="Segoe UI" w:eastAsia="STZhongsong" w:hAnsi="Segoe UI" w:cs="Majalla UI"/>
          <w:i/>
          <w:color w:val="13345C"/>
        </w:rPr>
        <w:t>’ sustainable wood supply model and Resource Outlook process</w:t>
      </w:r>
    </w:p>
    <w:p w:rsidR="005B5171" w:rsidRPr="005B5171" w:rsidRDefault="005B5171" w:rsidP="005B5171">
      <w:pPr>
        <w:jc w:val="both"/>
        <w:rPr>
          <w:rFonts w:ascii="Segoe UI" w:hAnsi="Segoe UI" w:cs="Segoe UI"/>
        </w:rPr>
      </w:pPr>
      <w:r w:rsidRPr="005B5171">
        <w:rPr>
          <w:rFonts w:ascii="Segoe UI" w:hAnsi="Segoe UI" w:cs="Segoe UI"/>
        </w:rPr>
        <w:t xml:space="preserve">Since 2010, when the Victorian Government delegated responsibility for determining harvest volumes to </w:t>
      </w:r>
      <w:proofErr w:type="spellStart"/>
      <w:r w:rsidRPr="005B5171">
        <w:rPr>
          <w:rFonts w:ascii="Segoe UI" w:hAnsi="Segoe UI" w:cs="Segoe UI"/>
        </w:rPr>
        <w:t>VicForests</w:t>
      </w:r>
      <w:proofErr w:type="spellEnd"/>
      <w:r w:rsidRPr="005B5171">
        <w:rPr>
          <w:rFonts w:ascii="Segoe UI" w:hAnsi="Segoe UI" w:cs="Segoe UI"/>
        </w:rPr>
        <w:t>, the outlined process has been reviewed for its reliability, durability and accountability by both the Victorian Auditor-General’s Office (December 2013) and the Victorian Environmental Assessment Council (VEAC) (April 2017). On each occasion, the methodology, processes, assumptions, interpretation and reporting has been analysed in significant detail to determine both general compliance with the SFT Act and associated legislation, codes and prescriptions, but also to identify and provide advice on areas for improvement.</w:t>
      </w:r>
    </w:p>
    <w:p w:rsidR="005B5171" w:rsidRPr="005B5171" w:rsidRDefault="005B5171" w:rsidP="005B5171">
      <w:pPr>
        <w:jc w:val="both"/>
        <w:rPr>
          <w:rFonts w:ascii="Segoe UI" w:hAnsi="Segoe UI" w:cs="Segoe UI"/>
        </w:rPr>
      </w:pPr>
      <w:r w:rsidRPr="005B5171">
        <w:rPr>
          <w:rFonts w:ascii="Segoe UI" w:hAnsi="Segoe UI" w:cs="Segoe UI"/>
        </w:rPr>
        <w:t xml:space="preserve">In its assessment report, VEAC identified that the modelling approach used by </w:t>
      </w:r>
      <w:proofErr w:type="spellStart"/>
      <w:r w:rsidRPr="005B5171">
        <w:rPr>
          <w:rFonts w:ascii="Segoe UI" w:hAnsi="Segoe UI" w:cs="Segoe UI"/>
        </w:rPr>
        <w:t>VicForests</w:t>
      </w:r>
      <w:proofErr w:type="spellEnd"/>
      <w:r w:rsidRPr="005B5171">
        <w:rPr>
          <w:rFonts w:ascii="Segoe UI" w:hAnsi="Segoe UI" w:cs="Segoe UI"/>
        </w:rPr>
        <w:t xml:space="preserve"> is widely used for modelling estimated sustainable fibre and wood supply levels and applies industry-standard modelling tools, makes appropriate assumptions and produces reasonable estimates resulting in a wood supply modelling process that is rigorous and repeatable. VEAC’s views were consistent with the Auditor-General’s review of Victoria’s strategic wood supply modelling process that found that the modelling approach is sound, the assumptions that underpin the approach are appropriate, and the sustainable harvest levels are reasonable. </w:t>
      </w:r>
    </w:p>
    <w:p w:rsidR="005B5171" w:rsidRPr="005B5171" w:rsidRDefault="005B5171" w:rsidP="005B5171">
      <w:pPr>
        <w:keepNext/>
        <w:keepLines/>
        <w:spacing w:before="40" w:after="0"/>
        <w:outlineLvl w:val="5"/>
        <w:rPr>
          <w:rFonts w:ascii="Gill Sans MT" w:eastAsia="STZhongsong" w:hAnsi="Gill Sans MT" w:cs="Majalla UI"/>
          <w:i/>
          <w:iCs/>
          <w:color w:val="13345C"/>
        </w:rPr>
      </w:pPr>
      <w:bookmarkStart w:id="66" w:name="_Hlk18329996"/>
      <w:r w:rsidRPr="005B5171">
        <w:rPr>
          <w:rFonts w:ascii="Gill Sans MT" w:eastAsia="STZhongsong" w:hAnsi="Gill Sans MT" w:cs="Majalla UI"/>
          <w:i/>
          <w:iCs/>
          <w:color w:val="13345C"/>
        </w:rPr>
        <w:t>Harvest volumes</w:t>
      </w:r>
    </w:p>
    <w:p w:rsidR="005B5171" w:rsidRPr="005B5171" w:rsidRDefault="005B5171" w:rsidP="005B5171">
      <w:pPr>
        <w:jc w:val="both"/>
        <w:rPr>
          <w:rFonts w:ascii="Segoe UI" w:hAnsi="Segoe UI" w:cs="Segoe UI"/>
        </w:rPr>
      </w:pPr>
      <w:r w:rsidRPr="005B5171">
        <w:rPr>
          <w:rFonts w:ascii="Segoe UI" w:hAnsi="Segoe UI" w:cs="Segoe UI"/>
        </w:rPr>
        <w:t xml:space="preserve">The volume of D+ sawlogs harvested from eastern Victoria RFA regions has decreased from 532, 300 cubic metres in 2004–05 to 230, 800 cubic metres in 2018–19, as outlined in </w:t>
      </w:r>
      <w:r w:rsidRPr="0070586C">
        <w:rPr>
          <w:rFonts w:ascii="Segoe UI" w:hAnsi="Segoe UI" w:cs="Segoe UI"/>
        </w:rPr>
        <w:fldChar w:fldCharType="begin"/>
      </w:r>
      <w:r w:rsidRPr="0070586C">
        <w:rPr>
          <w:rFonts w:ascii="Segoe UI" w:hAnsi="Segoe UI" w:cs="Segoe UI"/>
        </w:rPr>
        <w:instrText xml:space="preserve"> REF _Ref18938271 \h </w:instrText>
      </w:r>
      <w:r w:rsidR="0070586C" w:rsidRPr="0070586C">
        <w:rPr>
          <w:rFonts w:ascii="Segoe UI" w:hAnsi="Segoe UI" w:cs="Segoe UI"/>
        </w:rPr>
        <w:instrText xml:space="preserve"> \* MERGEFORMAT </w:instrText>
      </w:r>
      <w:r w:rsidRPr="0070586C">
        <w:rPr>
          <w:rFonts w:ascii="Segoe UI" w:hAnsi="Segoe UI" w:cs="Segoe UI"/>
        </w:rPr>
      </w:r>
      <w:r w:rsidRPr="0070586C">
        <w:rPr>
          <w:rFonts w:ascii="Segoe UI" w:hAnsi="Segoe UI" w:cs="Segoe UI"/>
        </w:rPr>
        <w:fldChar w:fldCharType="separate"/>
      </w:r>
      <w:r w:rsidRPr="0070586C">
        <w:rPr>
          <w:rFonts w:ascii="Segoe UI" w:hAnsi="Segoe UI" w:cs="Segoe UI"/>
          <w14:textOutline w14:w="9525" w14:cap="rnd" w14:cmpd="sng" w14:algn="ctr">
            <w14:solidFill>
              <w14:srgbClr w14:val="0070C0"/>
            </w14:solidFill>
            <w14:prstDash w14:val="solid"/>
            <w14:bevel/>
          </w14:textOutline>
        </w:rPr>
        <w:t xml:space="preserve">Figure </w:t>
      </w:r>
      <w:r w:rsidRPr="0070586C">
        <w:rPr>
          <w:rFonts w:ascii="Segoe UI" w:hAnsi="Segoe UI" w:cs="Segoe UI"/>
          <w:noProof/>
          <w14:textOutline w14:w="9525" w14:cap="rnd" w14:cmpd="sng" w14:algn="ctr">
            <w14:solidFill>
              <w14:srgbClr w14:val="0070C0"/>
            </w14:solidFill>
            <w14:prstDash w14:val="solid"/>
            <w14:bevel/>
          </w14:textOutline>
        </w:rPr>
        <w:t>36</w:t>
      </w:r>
      <w:r w:rsidRPr="0070586C">
        <w:rPr>
          <w:rFonts w:ascii="Segoe UI" w:hAnsi="Segoe UI" w:cs="Segoe UI"/>
        </w:rPr>
        <w:fldChar w:fldCharType="end"/>
      </w:r>
      <w:r w:rsidRPr="0070586C">
        <w:rPr>
          <w:rFonts w:ascii="Segoe UI" w:hAnsi="Segoe UI" w:cs="Segoe UI"/>
        </w:rPr>
        <w:t>. The calculated sustainable yield over the corresponding period has also declined from 51</w:t>
      </w:r>
      <w:r w:rsidRPr="005B5171">
        <w:rPr>
          <w:rFonts w:ascii="Segoe UI" w:hAnsi="Segoe UI" w:cs="Segoe UI"/>
        </w:rPr>
        <w:t xml:space="preserve">7, 400 cubic metres in 2004–05 to 253, 000 cubic metres. This apparent decline is in part because the 2008 </w:t>
      </w:r>
      <w:proofErr w:type="spellStart"/>
      <w:r w:rsidRPr="005B5171">
        <w:rPr>
          <w:rFonts w:ascii="Segoe UI" w:hAnsi="Segoe UI" w:cs="Segoe UI"/>
        </w:rPr>
        <w:t>JoSHL</w:t>
      </w:r>
      <w:proofErr w:type="spellEnd"/>
      <w:r w:rsidRPr="005B5171">
        <w:rPr>
          <w:rFonts w:ascii="Segoe UI" w:hAnsi="Segoe UI" w:cs="Segoe UI"/>
        </w:rPr>
        <w:t xml:space="preserve"> forecast included all timber that could be environmentally sustainably harvested, whereas subsequent sustainable harvest level determinations were only for the merchantable portion of that timber.  Declines in the resource outlook are also due to changes in resource availability as harvestable areas have been reduced through the impacts of fire and zoning changes for the protection of Baw </w:t>
      </w:r>
      <w:proofErr w:type="spellStart"/>
      <w:r w:rsidRPr="005B5171">
        <w:rPr>
          <w:rFonts w:ascii="Segoe UI" w:hAnsi="Segoe UI" w:cs="Segoe UI"/>
        </w:rPr>
        <w:t>Baw</w:t>
      </w:r>
      <w:proofErr w:type="spellEnd"/>
      <w:r w:rsidRPr="005B5171">
        <w:rPr>
          <w:rFonts w:ascii="Segoe UI" w:hAnsi="Segoe UI" w:cs="Segoe UI"/>
        </w:rPr>
        <w:t xml:space="preserve"> Frog and Leadbeater’s Possum (including the ongoing reservation of Leadbeater’s Possum colonies and including an allowance for future detections). </w:t>
      </w:r>
    </w:p>
    <w:p w:rsidR="005B5171" w:rsidRPr="005B5171" w:rsidRDefault="005B5171" w:rsidP="005B5171">
      <w:pPr>
        <w:jc w:val="both"/>
        <w:rPr>
          <w:rFonts w:ascii="Segoe UI" w:hAnsi="Segoe UI" w:cs="Segoe UI"/>
        </w:rPr>
      </w:pPr>
      <w:r w:rsidRPr="005B5171">
        <w:rPr>
          <w:rFonts w:ascii="Segoe UI" w:hAnsi="Segoe UI" w:cs="Segoe UI"/>
        </w:rPr>
        <w:t xml:space="preserve">When compared across the total period (harvest years 2004–05 to 2018–19), cumulative harvest volumes have not exceeded the cumulative sustainable yield for the period. Only two seasons, 2004–05 and 2017–18, recorded harvest levels that exceeded the sustainable yield applicable to that year, but these were balanced by lower harvest levels in other years. These overcuts, each equivalent to less than 5 per cent of the corresponding sustainable yield, enabled </w:t>
      </w:r>
      <w:proofErr w:type="spellStart"/>
      <w:r w:rsidRPr="005B5171">
        <w:rPr>
          <w:rFonts w:ascii="Segoe UI" w:hAnsi="Segoe UI" w:cs="Segoe UI"/>
        </w:rPr>
        <w:t>VicForests</w:t>
      </w:r>
      <w:proofErr w:type="spellEnd"/>
      <w:r w:rsidRPr="005B5171">
        <w:rPr>
          <w:rFonts w:ascii="Segoe UI" w:hAnsi="Segoe UI" w:cs="Segoe UI"/>
        </w:rPr>
        <w:t xml:space="preserve"> to balance contracted commitments over the life of sales agreements.  </w:t>
      </w:r>
    </w:p>
    <w:p w:rsidR="005B5171" w:rsidRPr="005B5171" w:rsidRDefault="005B5171" w:rsidP="005B5171">
      <w:pPr>
        <w:rPr>
          <w:rFonts w:ascii="Segoe UI" w:hAnsi="Segoe UI" w:cs="Segoe UI"/>
        </w:rPr>
      </w:pPr>
      <w:r w:rsidRPr="005B5171">
        <w:rPr>
          <w:rFonts w:ascii="Segoe UI" w:hAnsi="Segoe UI" w:cs="Segoe UI"/>
          <w:noProof/>
          <w:bdr w:val="single" w:sz="4" w:space="0" w:color="auto"/>
        </w:rPr>
        <w:drawing>
          <wp:inline distT="0" distB="0" distL="0" distR="0" wp14:anchorId="4AE2C2F2" wp14:editId="785D932E">
            <wp:extent cx="5759450" cy="32245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59450" cy="3224530"/>
                    </a:xfrm>
                    <a:prstGeom prst="rect">
                      <a:avLst/>
                    </a:prstGeom>
                    <a:noFill/>
                    <a:ln>
                      <a:noFill/>
                    </a:ln>
                  </pic:spPr>
                </pic:pic>
              </a:graphicData>
            </a:graphic>
          </wp:inline>
        </w:drawing>
      </w:r>
      <w:bookmarkStart w:id="67" w:name="_Ref18938271"/>
      <w:r w:rsidRPr="005B5171">
        <w:rPr>
          <w:rFonts w:ascii="Segoe UI" w:hAnsi="Segoe UI" w:cs="Segoe UI"/>
          <w:color w:val="0070C0"/>
          <w14:textOutline w14:w="9525" w14:cap="rnd" w14:cmpd="sng" w14:algn="ctr">
            <w14:solidFill>
              <w14:srgbClr w14:val="0070C0"/>
            </w14:solidFill>
            <w14:prstDash w14:val="solid"/>
            <w14:bevel/>
          </w14:textOutline>
        </w:rPr>
        <w:t xml:space="preserve">Figure </w:t>
      </w:r>
      <w:r w:rsidRPr="005B5171">
        <w:rPr>
          <w:rFonts w:ascii="Segoe UI" w:hAnsi="Segoe UI" w:cs="Segoe UI"/>
          <w:color w:val="0070C0"/>
          <w14:textOutline w14:w="9525" w14:cap="rnd" w14:cmpd="sng" w14:algn="ctr">
            <w14:solidFill>
              <w14:srgbClr w14:val="0070C0"/>
            </w14:solidFill>
            <w14:prstDash w14:val="solid"/>
            <w14:bevel/>
          </w14:textOutline>
        </w:rPr>
        <w:fldChar w:fldCharType="begin"/>
      </w:r>
      <w:r w:rsidRPr="005B5171">
        <w:rPr>
          <w:rFonts w:ascii="Segoe UI" w:hAnsi="Segoe UI" w:cs="Segoe UI"/>
          <w:color w:val="0070C0"/>
          <w14:textOutline w14:w="9525" w14:cap="rnd" w14:cmpd="sng" w14:algn="ctr">
            <w14:solidFill>
              <w14:srgbClr w14:val="0070C0"/>
            </w14:solidFill>
            <w14:prstDash w14:val="solid"/>
            <w14:bevel/>
          </w14:textOutline>
        </w:rPr>
        <w:instrText xml:space="preserve"> SEQ Figure \* ARABIC </w:instrText>
      </w:r>
      <w:r w:rsidRPr="005B5171">
        <w:rPr>
          <w:rFonts w:ascii="Segoe UI" w:hAnsi="Segoe UI" w:cs="Segoe UI"/>
          <w:color w:val="0070C0"/>
          <w14:textOutline w14:w="9525" w14:cap="rnd" w14:cmpd="sng" w14:algn="ctr">
            <w14:solidFill>
              <w14:srgbClr w14:val="0070C0"/>
            </w14:solidFill>
            <w14:prstDash w14:val="solid"/>
            <w14:bevel/>
          </w14:textOutline>
        </w:rPr>
        <w:fldChar w:fldCharType="separate"/>
      </w:r>
      <w:r w:rsidRPr="005B5171">
        <w:rPr>
          <w:rFonts w:ascii="Segoe UI" w:hAnsi="Segoe UI" w:cs="Segoe UI"/>
          <w:noProof/>
          <w:color w:val="0070C0"/>
          <w14:textOutline w14:w="9525" w14:cap="rnd" w14:cmpd="sng" w14:algn="ctr">
            <w14:solidFill>
              <w14:srgbClr w14:val="0070C0"/>
            </w14:solidFill>
            <w14:prstDash w14:val="solid"/>
            <w14:bevel/>
          </w14:textOutline>
        </w:rPr>
        <w:t>36</w:t>
      </w:r>
      <w:r w:rsidRPr="005B5171">
        <w:rPr>
          <w:rFonts w:ascii="Segoe UI" w:hAnsi="Segoe UI" w:cs="Segoe UI"/>
          <w:noProof/>
          <w:color w:val="0070C0"/>
          <w14:textOutline w14:w="9525" w14:cap="rnd" w14:cmpd="sng" w14:algn="ctr">
            <w14:solidFill>
              <w14:srgbClr w14:val="0070C0"/>
            </w14:solidFill>
            <w14:prstDash w14:val="solid"/>
            <w14:bevel/>
          </w14:textOutline>
        </w:rPr>
        <w:fldChar w:fldCharType="end"/>
      </w:r>
      <w:bookmarkEnd w:id="67"/>
      <w:r w:rsidRPr="005B5171">
        <w:rPr>
          <w:rFonts w:ascii="Segoe UI" w:hAnsi="Segoe UI" w:cs="Segoe UI"/>
          <w:color w:val="0070C0"/>
          <w14:textOutline w14:w="9525" w14:cap="rnd" w14:cmpd="sng" w14:algn="ctr">
            <w14:solidFill>
              <w14:srgbClr w14:val="0070C0"/>
            </w14:solidFill>
            <w14:prstDash w14:val="solid"/>
            <w14:bevel/>
          </w14:textOutline>
        </w:rPr>
        <w:t>: Harvest volume and sustainable yield 2005–19</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w:t>
      </w:r>
      <w:proofErr w:type="spellStart"/>
      <w:r w:rsidRPr="005B5171">
        <w:rPr>
          <w:rFonts w:ascii="Segoe UI" w:eastAsia="STZhongsong" w:hAnsi="Segoe UI" w:cs="Segoe UI"/>
          <w:bCs/>
          <w:sz w:val="18"/>
          <w:szCs w:val="18"/>
          <w:lang w:eastAsia="ko-KR"/>
        </w:rPr>
        <w:t>VicForests</w:t>
      </w:r>
      <w:proofErr w:type="spellEnd"/>
      <w:r w:rsidRPr="005B5171">
        <w:rPr>
          <w:rFonts w:ascii="Segoe UI" w:eastAsia="STZhongsong" w:hAnsi="Segoe UI" w:cs="Segoe UI"/>
          <w:bCs/>
          <w:sz w:val="18"/>
          <w:szCs w:val="18"/>
          <w:lang w:eastAsia="ko-KR"/>
        </w:rPr>
        <w:t xml:space="preserve"> Resource Outlooks from 2011, 2012, 2013, 2014, 2016–17, pre-2011: Joint sustainable Harvest Levels (</w:t>
      </w:r>
      <w:proofErr w:type="spellStart"/>
      <w:r w:rsidRPr="005B5171">
        <w:rPr>
          <w:rFonts w:ascii="Segoe UI" w:eastAsia="STZhongsong" w:hAnsi="Segoe UI" w:cs="Segoe UI"/>
          <w:bCs/>
          <w:sz w:val="18"/>
          <w:szCs w:val="18"/>
          <w:lang w:eastAsia="ko-KR"/>
        </w:rPr>
        <w:t>JoSHL</w:t>
      </w:r>
      <w:proofErr w:type="spellEnd"/>
      <w:r w:rsidRPr="005B5171">
        <w:rPr>
          <w:rFonts w:ascii="Segoe UI" w:eastAsia="STZhongsong" w:hAnsi="Segoe UI" w:cs="Segoe UI"/>
          <w:bCs/>
          <w:sz w:val="18"/>
          <w:szCs w:val="18"/>
          <w:lang w:eastAsia="ko-KR"/>
        </w:rPr>
        <w:t xml:space="preserve">). </w:t>
      </w:r>
      <w:bookmarkEnd w:id="65"/>
      <w:bookmarkEnd w:id="66"/>
      <w:r w:rsidRPr="005B5171">
        <w:rPr>
          <w:rFonts w:ascii="Segoe UI" w:eastAsia="STZhongsong" w:hAnsi="Segoe UI" w:cs="Segoe UI"/>
          <w:bCs/>
          <w:sz w:val="18"/>
          <w:szCs w:val="18"/>
          <w:lang w:eastAsia="ko-KR"/>
        </w:rPr>
        <w:t xml:space="preserve">(NB 2008 </w:t>
      </w:r>
      <w:proofErr w:type="spellStart"/>
      <w:r w:rsidRPr="005B5171">
        <w:rPr>
          <w:rFonts w:ascii="Segoe UI" w:eastAsia="STZhongsong" w:hAnsi="Segoe UI" w:cs="Segoe UI"/>
          <w:bCs/>
          <w:sz w:val="18"/>
          <w:szCs w:val="18"/>
          <w:lang w:eastAsia="ko-KR"/>
        </w:rPr>
        <w:t>JoSHL</w:t>
      </w:r>
      <w:proofErr w:type="spellEnd"/>
      <w:r w:rsidRPr="005B5171">
        <w:rPr>
          <w:rFonts w:ascii="Segoe UI" w:eastAsia="STZhongsong" w:hAnsi="Segoe UI" w:cs="Segoe UI"/>
          <w:bCs/>
          <w:sz w:val="18"/>
          <w:szCs w:val="18"/>
          <w:lang w:eastAsia="ko-KR"/>
        </w:rPr>
        <w:t xml:space="preserve"> figures were calculated on a different basis from subsequent sustainable yield levels.)</w:t>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Western Victoria</w:t>
      </w:r>
    </w:p>
    <w:p w:rsidR="005B5171" w:rsidRPr="005B5171" w:rsidRDefault="005B5171" w:rsidP="005B5171">
      <w:pPr>
        <w:keepNext/>
        <w:keepLines/>
        <w:spacing w:before="40" w:after="0"/>
        <w:outlineLvl w:val="5"/>
        <w:rPr>
          <w:rFonts w:ascii="Gill Sans MT" w:eastAsia="STZhongsong" w:hAnsi="Gill Sans MT" w:cs="Majalla UI"/>
          <w:i/>
          <w:iCs/>
          <w:color w:val="13345C"/>
        </w:rPr>
      </w:pPr>
      <w:r w:rsidRPr="005B5171">
        <w:rPr>
          <w:rFonts w:ascii="Gill Sans MT" w:eastAsia="STZhongsong" w:hAnsi="Gill Sans MT" w:cs="Majalla UI"/>
          <w:i/>
          <w:iCs/>
          <w:color w:val="13345C"/>
        </w:rPr>
        <w:t>Context</w:t>
      </w:r>
    </w:p>
    <w:p w:rsidR="005B5171" w:rsidRPr="005B5171" w:rsidRDefault="005B5171" w:rsidP="005B5171">
      <w:pPr>
        <w:jc w:val="both"/>
        <w:rPr>
          <w:rFonts w:ascii="Segoe UI" w:hAnsi="Segoe UI" w:cs="Segoe UI"/>
        </w:rPr>
      </w:pPr>
      <w:r w:rsidRPr="005B5171">
        <w:rPr>
          <w:rFonts w:ascii="Segoe UI" w:hAnsi="Segoe UI" w:cs="Segoe UI"/>
        </w:rPr>
        <w:t xml:space="preserve">The AO does not cover the western areas of Victoria. The allocation of timber resources is instead subject to a different method of determination, allocation and approval process to that undertaken in eastern Victoria. In the west, the Timber Utilisation Plan (as outlined below on page </w:t>
      </w:r>
      <w:r w:rsidRPr="005B5171">
        <w:rPr>
          <w:rFonts w:ascii="Segoe UI" w:hAnsi="Segoe UI" w:cs="Segoe UI"/>
        </w:rPr>
        <w:fldChar w:fldCharType="begin"/>
      </w:r>
      <w:r w:rsidRPr="005B5171">
        <w:rPr>
          <w:rFonts w:ascii="Segoe UI" w:hAnsi="Segoe UI" w:cs="Segoe UI"/>
        </w:rPr>
        <w:instrText xml:space="preserve"> PAGEREF _Ref30753101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noProof/>
        </w:rPr>
        <w:t>202</w:t>
      </w:r>
      <w:r w:rsidRPr="005B5171">
        <w:rPr>
          <w:rFonts w:ascii="Segoe UI" w:hAnsi="Segoe UI" w:cs="Segoe UI"/>
        </w:rPr>
        <w:fldChar w:fldCharType="end"/>
      </w:r>
      <w:r w:rsidRPr="005B5171">
        <w:rPr>
          <w:rFonts w:ascii="Segoe UI" w:hAnsi="Segoe UI" w:cs="Segoe UI"/>
        </w:rPr>
        <w:t>) applies to State forest covered by the West Victoria RFA but also areas in the north-west where there is no RFA in place (</w:t>
      </w:r>
      <w:r w:rsidRPr="005B5171">
        <w:rPr>
          <w:rFonts w:ascii="Segoe UI" w:hAnsi="Segoe UI" w:cs="Segoe UI"/>
        </w:rPr>
        <w:fldChar w:fldCharType="begin"/>
      </w:r>
      <w:r w:rsidRPr="005B5171">
        <w:rPr>
          <w:rFonts w:ascii="Segoe UI" w:hAnsi="Segoe UI" w:cs="Segoe UI"/>
        </w:rPr>
        <w:instrText xml:space="preserve"> REF _Ref19023112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Figure </w:t>
      </w:r>
      <w:r w:rsidRPr="005B5171">
        <w:rPr>
          <w:rFonts w:ascii="Segoe UI" w:hAnsi="Segoe UI" w:cs="Segoe UI"/>
          <w:noProof/>
        </w:rPr>
        <w:t>37</w:t>
      </w:r>
      <w:r w:rsidRPr="005B5171">
        <w:rPr>
          <w:rFonts w:ascii="Segoe UI" w:hAnsi="Segoe UI" w:cs="Segoe UI"/>
        </w:rPr>
        <w:fldChar w:fldCharType="end"/>
      </w:r>
      <w:r w:rsidRPr="005B5171">
        <w:rPr>
          <w:rFonts w:ascii="Segoe UI" w:hAnsi="Segoe UI" w:cs="Segoe UI"/>
        </w:rPr>
        <w:t>).</w:t>
      </w:r>
    </w:p>
    <w:p w:rsidR="005B5171" w:rsidRPr="005B5171" w:rsidRDefault="005B5171" w:rsidP="005B5171">
      <w:pPr>
        <w:jc w:val="both"/>
        <w:rPr>
          <w:rFonts w:ascii="Segoe UI" w:hAnsi="Segoe UI" w:cs="Segoe UI"/>
        </w:rPr>
      </w:pPr>
      <w:r w:rsidRPr="005B5171">
        <w:rPr>
          <w:rFonts w:ascii="Segoe UI" w:hAnsi="Segoe UI" w:cs="Segoe UI"/>
        </w:rPr>
        <w:t>The products derived from harvested areas in western Victoria are often specialised in nature and cannot be readily sourced elsewhere. The operations are small in scale and are driven by local demand.</w:t>
      </w:r>
    </w:p>
    <w:p w:rsidR="005B5171" w:rsidRPr="005B5171" w:rsidRDefault="005B5171" w:rsidP="005B5171">
      <w:pPr>
        <w:jc w:val="both"/>
        <w:rPr>
          <w:rFonts w:ascii="Segoe UI" w:hAnsi="Segoe UI" w:cs="Segoe UI"/>
          <w:szCs w:val="24"/>
        </w:rPr>
      </w:pPr>
      <w:r w:rsidRPr="005B5171">
        <w:rPr>
          <w:rFonts w:ascii="Segoe UI" w:hAnsi="Segoe UI" w:cs="Segoe UI"/>
          <w:szCs w:val="24"/>
        </w:rPr>
        <w:t xml:space="preserve">The West Victoria RFA was signed in March 2000, </w:t>
      </w:r>
      <w:r w:rsidRPr="005B5171">
        <w:rPr>
          <w:rFonts w:ascii="Segoe UI" w:hAnsi="Segoe UI" w:cs="Segoe UI"/>
        </w:rPr>
        <w:t xml:space="preserve">encompassing the Portland, </w:t>
      </w:r>
      <w:proofErr w:type="spellStart"/>
      <w:r w:rsidRPr="005B5171">
        <w:rPr>
          <w:rFonts w:ascii="Segoe UI" w:hAnsi="Segoe UI" w:cs="Segoe UI"/>
        </w:rPr>
        <w:t>Otways</w:t>
      </w:r>
      <w:proofErr w:type="spellEnd"/>
      <w:r w:rsidRPr="005B5171">
        <w:rPr>
          <w:rFonts w:ascii="Segoe UI" w:hAnsi="Segoe UI" w:cs="Segoe UI"/>
        </w:rPr>
        <w:t xml:space="preserve"> and Midlands FMAs, the southern half of the Horsham FMA and a small section of the Central FMA. Since then,</w:t>
      </w:r>
      <w:r w:rsidRPr="005B5171">
        <w:rPr>
          <w:rFonts w:ascii="Segoe UI" w:hAnsi="Segoe UI" w:cs="Segoe UI"/>
          <w:szCs w:val="24"/>
        </w:rPr>
        <w:t xml:space="preserve"> harvesting has ceased in the Portland (2003) and </w:t>
      </w:r>
      <w:proofErr w:type="spellStart"/>
      <w:r w:rsidRPr="005B5171">
        <w:rPr>
          <w:rFonts w:ascii="Segoe UI" w:hAnsi="Segoe UI" w:cs="Segoe UI"/>
          <w:szCs w:val="24"/>
        </w:rPr>
        <w:t>Otways</w:t>
      </w:r>
      <w:proofErr w:type="spellEnd"/>
      <w:r w:rsidRPr="005B5171">
        <w:rPr>
          <w:rFonts w:ascii="Segoe UI" w:hAnsi="Segoe UI" w:cs="Segoe UI"/>
          <w:szCs w:val="24"/>
        </w:rPr>
        <w:t xml:space="preserve"> (2008) FMAs, is limited in the Horsham FMA and is restricted only to a small area within the Midlands FMA.</w:t>
      </w:r>
    </w:p>
    <w:p w:rsidR="005B5171" w:rsidRPr="005B5171" w:rsidRDefault="005B5171" w:rsidP="005B5171">
      <w:pPr>
        <w:jc w:val="both"/>
        <w:rPr>
          <w:rFonts w:ascii="Segoe UI" w:hAnsi="Segoe UI" w:cs="Segoe UI"/>
        </w:rPr>
      </w:pPr>
      <w:r w:rsidRPr="005B5171">
        <w:rPr>
          <w:rFonts w:ascii="Segoe UI" w:hAnsi="Segoe UI" w:cs="Segoe UI"/>
        </w:rPr>
        <w:t xml:space="preserve">As outlined previously, all references to sustainable yield, or the requirements for it to be calculated, within the </w:t>
      </w:r>
      <w:r w:rsidRPr="005B5171">
        <w:rPr>
          <w:rFonts w:ascii="Segoe UI" w:hAnsi="Segoe UI" w:cs="Segoe UI"/>
          <w:i/>
        </w:rPr>
        <w:t>Forests Act 1958</w:t>
      </w:r>
      <w:r w:rsidRPr="005B5171">
        <w:rPr>
          <w:rFonts w:ascii="Segoe UI" w:hAnsi="Segoe UI" w:cs="Segoe UI"/>
        </w:rPr>
        <w:t xml:space="preserve"> were repealed in 2004 and replaced by the </w:t>
      </w:r>
      <w:r w:rsidRPr="005B5171">
        <w:rPr>
          <w:rFonts w:ascii="Segoe UI" w:hAnsi="Segoe UI" w:cs="Segoe UI"/>
          <w:i/>
        </w:rPr>
        <w:t>Sustainable Forests (Timber) Act 2004</w:t>
      </w:r>
      <w:r w:rsidRPr="005B5171">
        <w:rPr>
          <w:rFonts w:ascii="Segoe UI" w:hAnsi="Segoe UI" w:cs="Segoe UI"/>
        </w:rPr>
        <w:t xml:space="preserve">. </w:t>
      </w:r>
    </w:p>
    <w:p w:rsidR="005B5171" w:rsidRPr="005B5171" w:rsidRDefault="005B5171" w:rsidP="005B5171">
      <w:pPr>
        <w:keepNext/>
        <w:rPr>
          <w:rFonts w:ascii="Segoe UI" w:hAnsi="Segoe UI" w:cs="Segoe UI"/>
        </w:rPr>
      </w:pPr>
      <w:r w:rsidRPr="005B5171">
        <w:rPr>
          <w:rFonts w:ascii="Segoe UI" w:hAnsi="Segoe UI" w:cs="Segoe UI"/>
          <w:noProof/>
        </w:rPr>
        <w:drawing>
          <wp:inline distT="0" distB="0" distL="0" distR="0" wp14:anchorId="38E440AD" wp14:editId="2791F528">
            <wp:extent cx="5759450" cy="405447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759450" cy="4054475"/>
                    </a:xfrm>
                    <a:prstGeom prst="rect">
                      <a:avLst/>
                    </a:prstGeom>
                  </pic:spPr>
                </pic:pic>
              </a:graphicData>
            </a:graphic>
          </wp:inline>
        </w:drawing>
      </w:r>
    </w:p>
    <w:p w:rsidR="005B5171" w:rsidRPr="005B5171" w:rsidRDefault="005B5171" w:rsidP="005B5171">
      <w:pPr>
        <w:spacing w:after="200" w:line="240" w:lineRule="auto"/>
        <w:rPr>
          <w:rFonts w:ascii="Segoe UI Semibold" w:eastAsia="Times New Roman" w:hAnsi="Segoe UI Semibold" w:cs="Times New Roman"/>
          <w:color w:val="016295"/>
        </w:rPr>
      </w:pPr>
      <w:bookmarkStart w:id="68" w:name="_Ref19023112"/>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37</w:t>
      </w:r>
      <w:r w:rsidRPr="005B5171">
        <w:rPr>
          <w:rFonts w:ascii="Segoe UI Semibold" w:eastAsia="Times New Roman" w:hAnsi="Segoe UI Semibold" w:cs="Times New Roman"/>
          <w:noProof/>
          <w:color w:val="016295"/>
        </w:rPr>
        <w:fldChar w:fldCharType="end"/>
      </w:r>
      <w:bookmarkEnd w:id="68"/>
      <w:r w:rsidRPr="005B5171">
        <w:rPr>
          <w:rFonts w:ascii="Segoe UI Semibold" w:eastAsia="Times New Roman" w:hAnsi="Segoe UI Semibold" w:cs="Times New Roman"/>
          <w:color w:val="016295"/>
        </w:rPr>
        <w:t>: Forest Management Areas and RFA areas</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DELWP Corporate spatial data library. </w:t>
      </w:r>
    </w:p>
    <w:p w:rsidR="005B5171" w:rsidRPr="005B5171" w:rsidRDefault="005B5171" w:rsidP="005B5171">
      <w:pPr>
        <w:keepNext/>
        <w:keepLines/>
        <w:spacing w:before="40" w:after="0"/>
        <w:outlineLvl w:val="5"/>
        <w:rPr>
          <w:rFonts w:ascii="Gill Sans MT" w:eastAsia="STZhongsong" w:hAnsi="Gill Sans MT" w:cs="Majalla UI"/>
          <w:i/>
          <w:iCs/>
          <w:color w:val="13345C"/>
        </w:rPr>
      </w:pPr>
      <w:r w:rsidRPr="005B5171">
        <w:rPr>
          <w:rFonts w:ascii="Gill Sans MT" w:eastAsia="STZhongsong" w:hAnsi="Gill Sans MT" w:cs="Majalla UI"/>
          <w:i/>
          <w:iCs/>
          <w:color w:val="13345C"/>
        </w:rPr>
        <w:t>Sustainable yield estimates</w:t>
      </w:r>
    </w:p>
    <w:p w:rsidR="005B5171" w:rsidRPr="005B5171" w:rsidRDefault="005B5171" w:rsidP="005B5171">
      <w:pPr>
        <w:jc w:val="both"/>
        <w:rPr>
          <w:rFonts w:ascii="Segoe UI" w:hAnsi="Segoe UI" w:cs="Segoe UI"/>
        </w:rPr>
      </w:pPr>
      <w:r w:rsidRPr="005B5171">
        <w:rPr>
          <w:rFonts w:ascii="Segoe UI" w:hAnsi="Segoe UI" w:cs="Segoe UI"/>
          <w:szCs w:val="24"/>
        </w:rPr>
        <w:t xml:space="preserve">Section 72 of the West Victoria RFA (March 2000) </w:t>
      </w:r>
      <w:r w:rsidRPr="005B5171">
        <w:rPr>
          <w:rFonts w:ascii="Segoe UI" w:hAnsi="Segoe UI" w:cs="Segoe UI"/>
        </w:rPr>
        <w:t>outlined that 77,900 cubic metres of D+ sawlogs could be expected to be provided annually made up of 40,000 cubic metres (Midlands), 27,000 cubic metres (</w:t>
      </w:r>
      <w:proofErr w:type="spellStart"/>
      <w:r w:rsidRPr="005B5171">
        <w:rPr>
          <w:rFonts w:ascii="Segoe UI" w:hAnsi="Segoe UI" w:cs="Segoe UI"/>
        </w:rPr>
        <w:t>Otways</w:t>
      </w:r>
      <w:proofErr w:type="spellEnd"/>
      <w:r w:rsidRPr="005B5171">
        <w:rPr>
          <w:rFonts w:ascii="Segoe UI" w:hAnsi="Segoe UI" w:cs="Segoe UI"/>
        </w:rPr>
        <w:t xml:space="preserve">), 10,000 cubic metres (Portland) and 900 cubic metres (Horsham). </w:t>
      </w:r>
    </w:p>
    <w:p w:rsidR="005B5171" w:rsidRPr="005B5171" w:rsidRDefault="005B5171" w:rsidP="005B5171">
      <w:pPr>
        <w:jc w:val="both"/>
        <w:rPr>
          <w:rFonts w:ascii="Segoe UI" w:hAnsi="Segoe UI" w:cs="Segoe UI"/>
        </w:rPr>
      </w:pPr>
      <w:r w:rsidRPr="005B5171">
        <w:rPr>
          <w:rFonts w:ascii="Segoe UI" w:hAnsi="Segoe UI" w:cs="Segoe UI"/>
        </w:rPr>
        <w:t xml:space="preserve">In 2002, revised D+ sawlog estimated sustainable resource for all western Victoria (including those areas not covered by the RFA) were determined as outlined in </w:t>
      </w:r>
      <w:r w:rsidRPr="005B5171">
        <w:rPr>
          <w:rFonts w:ascii="Segoe UI" w:hAnsi="Segoe UI" w:cs="Segoe UI"/>
        </w:rPr>
        <w:fldChar w:fldCharType="begin"/>
      </w:r>
      <w:r w:rsidRPr="005B5171">
        <w:rPr>
          <w:rFonts w:ascii="Segoe UI" w:hAnsi="Segoe UI" w:cs="Segoe UI"/>
        </w:rPr>
        <w:instrText xml:space="preserve"> REF _Ref16244926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73</w:t>
      </w:r>
      <w:r w:rsidRPr="005B5171">
        <w:rPr>
          <w:rFonts w:ascii="Segoe UI" w:hAnsi="Segoe UI" w:cs="Segoe UI"/>
        </w:rPr>
        <w:fldChar w:fldCharType="end"/>
      </w:r>
      <w:r w:rsidRPr="005B5171">
        <w:rPr>
          <w:rFonts w:ascii="Segoe UI" w:hAnsi="Segoe UI" w:cs="Segoe UI"/>
        </w:rPr>
        <w:t xml:space="preserve"> below. Timber resource information by FMA – including forest area available for timber production, eucalypt species (Red Gum/Box-Ironbark/Sugar Gum/mixed species), growth stage and standing volume estimates – was used as the basis for determining the estimated sustainable resource.</w:t>
      </w:r>
    </w:p>
    <w:p w:rsidR="005B5171" w:rsidRPr="005B5171" w:rsidRDefault="005B5171" w:rsidP="005B5171">
      <w:pPr>
        <w:rPr>
          <w:rFonts w:ascii="Segoe UI" w:hAnsi="Segoe UI" w:cs="Segoe UI"/>
        </w:rPr>
      </w:pPr>
      <w:r w:rsidRPr="005B5171">
        <w:rPr>
          <w:rFonts w:ascii="Segoe UI" w:hAnsi="Segoe UI" w:cs="Segoe UI"/>
        </w:rPr>
        <w:br w:type="page"/>
      </w:r>
    </w:p>
    <w:p w:rsidR="005B5171" w:rsidRPr="005B5171" w:rsidRDefault="005B5171" w:rsidP="005B5171">
      <w:pPr>
        <w:spacing w:after="200" w:line="240" w:lineRule="auto"/>
        <w:rPr>
          <w:rFonts w:ascii="Segoe UI Semibold" w:eastAsia="Times New Roman" w:hAnsi="Segoe UI Semibold" w:cs="Times New Roman"/>
          <w:color w:val="016295"/>
        </w:rPr>
      </w:pPr>
      <w:bookmarkStart w:id="69" w:name="_Ref16244926"/>
      <w:bookmarkStart w:id="70" w:name="_Toc25660855"/>
      <w:bookmarkStart w:id="71" w:name="_Hlk16151173"/>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73</w:t>
      </w:r>
      <w:r w:rsidRPr="005B5171">
        <w:rPr>
          <w:rFonts w:ascii="Segoe UI Semibold" w:eastAsia="Times New Roman" w:hAnsi="Segoe UI Semibold" w:cs="Times New Roman"/>
          <w:noProof/>
          <w:color w:val="016295"/>
        </w:rPr>
        <w:fldChar w:fldCharType="end"/>
      </w:r>
      <w:bookmarkEnd w:id="69"/>
      <w:r w:rsidRPr="005B5171">
        <w:rPr>
          <w:rFonts w:ascii="Segoe UI Semibold" w:eastAsia="Times New Roman" w:hAnsi="Segoe UI Semibold" w:cs="Times New Roman"/>
          <w:color w:val="016295"/>
        </w:rPr>
        <w:t>: 2002 estimate of sawlog sustainable yield – western Victoria</w:t>
      </w:r>
      <w:bookmarkEnd w:id="70"/>
    </w:p>
    <w:tbl>
      <w:tblPr>
        <w:tblStyle w:val="xTable1"/>
        <w:tblW w:w="6804" w:type="dxa"/>
        <w:tblLayout w:type="fixed"/>
        <w:tblLook w:val="04E0" w:firstRow="1" w:lastRow="1" w:firstColumn="1" w:lastColumn="0" w:noHBand="0" w:noVBand="1"/>
      </w:tblPr>
      <w:tblGrid>
        <w:gridCol w:w="1701"/>
        <w:gridCol w:w="1701"/>
        <w:gridCol w:w="3402"/>
      </w:tblGrid>
      <w:tr w:rsidR="005B5171" w:rsidRPr="005B5171" w:rsidTr="000B1E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5B5171" w:rsidRPr="005B5171" w:rsidRDefault="005B5171" w:rsidP="005B5171">
            <w:pPr>
              <w:rPr>
                <w:rFonts w:ascii="Segoe UI" w:hAnsi="Segoe UI" w:cs="Segoe UI"/>
              </w:rPr>
            </w:pPr>
            <w:r w:rsidRPr="005B5171">
              <w:rPr>
                <w:rFonts w:ascii="Segoe UI" w:hAnsi="Segoe UI" w:cs="Segoe UI"/>
              </w:rPr>
              <w:t>FMA</w:t>
            </w:r>
            <w:r w:rsidRPr="005B5171">
              <w:rPr>
                <w:rFonts w:ascii="Segoe UI" w:hAnsi="Segoe UI" w:cs="Segoe UI"/>
                <w:position w:val="8"/>
              </w:rPr>
              <w:t>a</w:t>
            </w:r>
          </w:p>
        </w:tc>
        <w:tc>
          <w:tcPr>
            <w:tcW w:w="1701"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State forest area</w:t>
            </w:r>
          </w:p>
        </w:tc>
        <w:tc>
          <w:tcPr>
            <w:tcW w:w="3402"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Estimated D+ sawlog sustainable resource (m</w:t>
            </w:r>
            <w:r w:rsidRPr="005B5171">
              <w:rPr>
                <w:rFonts w:ascii="Segoe UI" w:hAnsi="Segoe UI" w:cs="Segoe UI"/>
                <w:vertAlign w:val="superscript"/>
              </w:rPr>
              <w:t>3</w:t>
            </w:r>
            <w:r w:rsidRPr="005B5171">
              <w:rPr>
                <w:rFonts w:ascii="Segoe UI" w:hAnsi="Segoe UI" w:cs="Segoe UI"/>
              </w:rPr>
              <w:t>/year)</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proofErr w:type="spellStart"/>
            <w:r w:rsidRPr="005B5171">
              <w:rPr>
                <w:rFonts w:ascii="Segoe UI" w:hAnsi="Segoe UI" w:cs="Segoe UI"/>
              </w:rPr>
              <w:t>Otways</w:t>
            </w:r>
            <w:proofErr w:type="spellEnd"/>
          </w:p>
        </w:tc>
        <w:tc>
          <w:tcPr>
            <w:tcW w:w="1701" w:type="dxa"/>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c>
          <w:tcPr>
            <w:tcW w:w="3402"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27,100</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r w:rsidRPr="005B5171">
              <w:rPr>
                <w:rFonts w:ascii="Segoe UI" w:hAnsi="Segoe UI" w:cs="Segoe UI"/>
              </w:rPr>
              <w:t>Portland</w:t>
            </w:r>
          </w:p>
        </w:tc>
        <w:tc>
          <w:tcPr>
            <w:tcW w:w="1701" w:type="dxa"/>
          </w:tcPr>
          <w:p w:rsidR="005B5171" w:rsidRPr="005B5171" w:rsidRDefault="005B5171" w:rsidP="005B5171">
            <w:pPr>
              <w:cnfStyle w:val="000000010000" w:firstRow="0" w:lastRow="0" w:firstColumn="0" w:lastColumn="0" w:oddVBand="0" w:evenVBand="0" w:oddHBand="0" w:evenHBand="1" w:firstRowFirstColumn="0" w:firstRowLastColumn="0" w:lastRowFirstColumn="0" w:lastRowLastColumn="0"/>
              <w:rPr>
                <w:rFonts w:ascii="Segoe UI" w:hAnsi="Segoe UI" w:cs="Segoe UI"/>
              </w:rPr>
            </w:pPr>
          </w:p>
        </w:tc>
        <w:tc>
          <w:tcPr>
            <w:tcW w:w="3402"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7,600</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r w:rsidRPr="005B5171">
              <w:rPr>
                <w:rFonts w:ascii="Segoe UI" w:hAnsi="Segoe UI" w:cs="Segoe UI"/>
              </w:rPr>
              <w:t>Horsham</w:t>
            </w:r>
          </w:p>
        </w:tc>
        <w:tc>
          <w:tcPr>
            <w:tcW w:w="1701" w:type="dxa"/>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c>
          <w:tcPr>
            <w:tcW w:w="3402"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900</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r w:rsidRPr="005B5171">
              <w:rPr>
                <w:rFonts w:ascii="Segoe UI" w:hAnsi="Segoe UI" w:cs="Segoe UI"/>
              </w:rPr>
              <w:t>Midlands</w:t>
            </w:r>
          </w:p>
        </w:tc>
        <w:tc>
          <w:tcPr>
            <w:tcW w:w="1701" w:type="dxa"/>
          </w:tcPr>
          <w:p w:rsidR="005B5171" w:rsidRPr="005B5171" w:rsidRDefault="005B5171" w:rsidP="005B5171">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Wombat</w:t>
            </w:r>
          </w:p>
        </w:tc>
        <w:tc>
          <w:tcPr>
            <w:tcW w:w="3402"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7,000</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p>
        </w:tc>
        <w:tc>
          <w:tcPr>
            <w:tcW w:w="1701" w:type="dxa"/>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Mt Cole</w:t>
            </w:r>
          </w:p>
        </w:tc>
        <w:tc>
          <w:tcPr>
            <w:tcW w:w="3402"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800</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p>
        </w:tc>
        <w:tc>
          <w:tcPr>
            <w:tcW w:w="1701" w:type="dxa"/>
          </w:tcPr>
          <w:p w:rsidR="005B5171" w:rsidRPr="005B5171" w:rsidRDefault="005B5171" w:rsidP="005B5171">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Other</w:t>
            </w:r>
          </w:p>
        </w:tc>
        <w:tc>
          <w:tcPr>
            <w:tcW w:w="3402"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800</w:t>
            </w:r>
          </w:p>
        </w:tc>
      </w:tr>
      <w:tr w:rsidR="005B5171" w:rsidRPr="005B5171" w:rsidTr="000B1EF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r w:rsidRPr="005B5171">
              <w:rPr>
                <w:rFonts w:ascii="Segoe UI" w:hAnsi="Segoe UI" w:cs="Segoe UI"/>
              </w:rPr>
              <w:t>TOTAL</w:t>
            </w:r>
          </w:p>
        </w:tc>
        <w:tc>
          <w:tcPr>
            <w:tcW w:w="1701" w:type="dxa"/>
          </w:tcPr>
          <w:p w:rsidR="005B5171" w:rsidRPr="005B5171" w:rsidRDefault="005B5171" w:rsidP="005B5171">
            <w:pPr>
              <w:cnfStyle w:val="010000000000" w:firstRow="0" w:lastRow="1" w:firstColumn="0" w:lastColumn="0" w:oddVBand="0" w:evenVBand="0" w:oddHBand="0" w:evenHBand="0" w:firstRowFirstColumn="0" w:firstRowLastColumn="0" w:lastRowFirstColumn="0" w:lastRowLastColumn="0"/>
              <w:rPr>
                <w:rFonts w:ascii="Segoe UI" w:hAnsi="Segoe UI" w:cs="Segoe UI"/>
              </w:rPr>
            </w:pPr>
          </w:p>
        </w:tc>
        <w:tc>
          <w:tcPr>
            <w:tcW w:w="3402" w:type="dxa"/>
            <w:vAlign w:val="center"/>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44,200</w:t>
            </w:r>
          </w:p>
        </w:tc>
      </w:tr>
    </w:tbl>
    <w:p w:rsidR="005B5171" w:rsidRPr="005B5171" w:rsidRDefault="005B5171" w:rsidP="005B5171">
      <w:pPr>
        <w:tabs>
          <w:tab w:val="left" w:pos="426"/>
        </w:tabs>
        <w:spacing w:before="80"/>
        <w:contextualSpacing/>
        <w:rPr>
          <w:rFonts w:ascii="Segoe UI" w:eastAsia="STZhongsong" w:hAnsi="Segoe UI" w:cs="Segoe UI"/>
          <w:b/>
          <w:bCs/>
          <w:sz w:val="18"/>
          <w:szCs w:val="18"/>
          <w:lang w:eastAsia="ko-KR"/>
        </w:rPr>
      </w:pPr>
      <w:r w:rsidRPr="005B5171">
        <w:rPr>
          <w:rFonts w:ascii="Segoe UI" w:eastAsia="STZhongsong" w:hAnsi="Segoe UI" w:cs="Segoe UI"/>
          <w:bCs/>
          <w:sz w:val="18"/>
          <w:szCs w:val="18"/>
          <w:lang w:eastAsia="ko-KR"/>
        </w:rPr>
        <w:t>a</w:t>
      </w:r>
      <w:r w:rsidRPr="005B5171">
        <w:rPr>
          <w:rFonts w:ascii="Segoe UI" w:eastAsia="STZhongsong" w:hAnsi="Segoe UI" w:cs="Segoe UI"/>
          <w:bCs/>
          <w:sz w:val="18"/>
          <w:szCs w:val="18"/>
          <w:lang w:eastAsia="ko-KR"/>
        </w:rPr>
        <w:tab/>
        <w:t>Mid-Murray FMA is not covered by the western Victoria RFA.</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Source: Review of Commercial Forestry Management in Western Victoria, DEPI, August 2013.</w:t>
      </w:r>
    </w:p>
    <w:bookmarkEnd w:id="71"/>
    <w:p w:rsidR="005B5171" w:rsidRPr="005B5171" w:rsidRDefault="005B5171" w:rsidP="005B5171">
      <w:pPr>
        <w:jc w:val="both"/>
        <w:rPr>
          <w:rFonts w:ascii="Segoe UI" w:hAnsi="Segoe UI" w:cs="Segoe UI"/>
        </w:rPr>
      </w:pPr>
      <w:r w:rsidRPr="005B5171">
        <w:rPr>
          <w:rFonts w:ascii="Segoe UI" w:hAnsi="Segoe UI" w:cs="Segoe UI"/>
        </w:rPr>
        <w:t xml:space="preserve">As a result of the cessation of forest harvesting in the </w:t>
      </w:r>
      <w:proofErr w:type="spellStart"/>
      <w:r w:rsidRPr="005B5171">
        <w:rPr>
          <w:rFonts w:ascii="Segoe UI" w:hAnsi="Segoe UI" w:cs="Segoe UI"/>
        </w:rPr>
        <w:t>Otways</w:t>
      </w:r>
      <w:proofErr w:type="spellEnd"/>
      <w:r w:rsidRPr="005B5171">
        <w:rPr>
          <w:rFonts w:ascii="Segoe UI" w:hAnsi="Segoe UI" w:cs="Segoe UI"/>
        </w:rPr>
        <w:t xml:space="preserve"> and Portland FMAs and in advance of delegating responsibility for forest utilisation in western Victoria to </w:t>
      </w:r>
      <w:proofErr w:type="spellStart"/>
      <w:r w:rsidRPr="005B5171">
        <w:rPr>
          <w:rFonts w:ascii="Segoe UI" w:hAnsi="Segoe UI" w:cs="Segoe UI"/>
        </w:rPr>
        <w:t>VicForests</w:t>
      </w:r>
      <w:proofErr w:type="spellEnd"/>
      <w:r w:rsidRPr="005B5171">
        <w:rPr>
          <w:rFonts w:ascii="Segoe UI" w:hAnsi="Segoe UI" w:cs="Segoe UI"/>
        </w:rPr>
        <w:t xml:space="preserve">, a revised estimate of sustainable harvest levels was made in 2013, as outlined in </w:t>
      </w:r>
      <w:r w:rsidRPr="005B5171">
        <w:rPr>
          <w:rFonts w:ascii="Segoe UI" w:hAnsi="Segoe UI" w:cs="Segoe UI"/>
        </w:rPr>
        <w:fldChar w:fldCharType="begin"/>
      </w:r>
      <w:r w:rsidRPr="005B5171">
        <w:rPr>
          <w:rFonts w:ascii="Segoe UI" w:hAnsi="Segoe UI" w:cs="Segoe UI"/>
        </w:rPr>
        <w:instrText xml:space="preserve"> REF _Ref16246043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74</w:t>
      </w:r>
      <w:r w:rsidRPr="005B5171">
        <w:rPr>
          <w:rFonts w:ascii="Segoe UI" w:hAnsi="Segoe UI" w:cs="Segoe UI"/>
        </w:rPr>
        <w:fldChar w:fldCharType="end"/>
      </w:r>
      <w:r w:rsidRPr="005B5171">
        <w:rPr>
          <w:rFonts w:ascii="Segoe UI" w:hAnsi="Segoe UI" w:cs="Segoe UI"/>
        </w:rPr>
        <w:t xml:space="preserve">. This was based on a desktop assessment that accounted for updated data availability and changes in area available for harvesting from the identification and allocation of new environmental conservation areas and amendments to forest management plans.  </w:t>
      </w:r>
    </w:p>
    <w:p w:rsidR="005B5171" w:rsidRPr="005B5171" w:rsidRDefault="005B5171" w:rsidP="005B5171">
      <w:pPr>
        <w:spacing w:after="200" w:line="240" w:lineRule="auto"/>
        <w:rPr>
          <w:rFonts w:ascii="Segoe UI Semibold" w:eastAsia="Times New Roman" w:hAnsi="Segoe UI Semibold" w:cs="Times New Roman"/>
          <w:color w:val="016295"/>
        </w:rPr>
      </w:pPr>
      <w:bookmarkStart w:id="72" w:name="_Ref16246043"/>
      <w:bookmarkStart w:id="73" w:name="_Toc25660856"/>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74</w:t>
      </w:r>
      <w:r w:rsidRPr="005B5171">
        <w:rPr>
          <w:rFonts w:ascii="Segoe UI Semibold" w:eastAsia="Times New Roman" w:hAnsi="Segoe UI Semibold" w:cs="Times New Roman"/>
          <w:noProof/>
          <w:color w:val="016295"/>
        </w:rPr>
        <w:fldChar w:fldCharType="end"/>
      </w:r>
      <w:bookmarkEnd w:id="72"/>
      <w:r w:rsidRPr="005B5171">
        <w:rPr>
          <w:rFonts w:ascii="Segoe UI Semibold" w:eastAsia="Times New Roman" w:hAnsi="Segoe UI Semibold" w:cs="Times New Roman"/>
          <w:color w:val="016295"/>
        </w:rPr>
        <w:t>: 2013 estimate of sawlog sustainable yield – western Victoria</w:t>
      </w:r>
      <w:bookmarkEnd w:id="73"/>
    </w:p>
    <w:tbl>
      <w:tblPr>
        <w:tblStyle w:val="xTable1"/>
        <w:tblW w:w="6804" w:type="dxa"/>
        <w:tblLayout w:type="fixed"/>
        <w:tblLook w:val="04E0" w:firstRow="1" w:lastRow="1" w:firstColumn="1" w:lastColumn="0" w:noHBand="0" w:noVBand="1"/>
      </w:tblPr>
      <w:tblGrid>
        <w:gridCol w:w="1701"/>
        <w:gridCol w:w="1701"/>
        <w:gridCol w:w="3402"/>
      </w:tblGrid>
      <w:tr w:rsidR="005B5171" w:rsidRPr="005B5171" w:rsidTr="000B1E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5B5171" w:rsidRPr="005B5171" w:rsidRDefault="005B5171" w:rsidP="005B5171">
            <w:pPr>
              <w:rPr>
                <w:rFonts w:ascii="Segoe UI" w:hAnsi="Segoe UI" w:cs="Segoe UI"/>
              </w:rPr>
            </w:pPr>
            <w:r w:rsidRPr="005B5171">
              <w:rPr>
                <w:rFonts w:ascii="Segoe UI" w:hAnsi="Segoe UI" w:cs="Segoe UI"/>
              </w:rPr>
              <w:t>FMA</w:t>
            </w:r>
            <w:r w:rsidRPr="005B5171">
              <w:rPr>
                <w:rFonts w:ascii="Segoe UI" w:hAnsi="Segoe UI" w:cs="Segoe UI"/>
                <w:position w:val="8"/>
              </w:rPr>
              <w:t>a</w:t>
            </w:r>
          </w:p>
        </w:tc>
        <w:tc>
          <w:tcPr>
            <w:tcW w:w="1701"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State forest area</w:t>
            </w:r>
          </w:p>
        </w:tc>
        <w:tc>
          <w:tcPr>
            <w:tcW w:w="3402"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Estimated D+ sawlog sustainable resource (m</w:t>
            </w:r>
            <w:r w:rsidRPr="005B5171">
              <w:rPr>
                <w:rFonts w:ascii="Segoe UI" w:hAnsi="Segoe UI" w:cs="Segoe UI"/>
                <w:vertAlign w:val="superscript"/>
              </w:rPr>
              <w:t>3</w:t>
            </w:r>
            <w:r w:rsidRPr="005B5171">
              <w:rPr>
                <w:rFonts w:ascii="Segoe UI" w:hAnsi="Segoe UI" w:cs="Segoe UI"/>
              </w:rPr>
              <w:t>/year)</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proofErr w:type="spellStart"/>
            <w:r w:rsidRPr="005B5171">
              <w:rPr>
                <w:rFonts w:ascii="Segoe UI" w:hAnsi="Segoe UI" w:cs="Segoe UI"/>
              </w:rPr>
              <w:t>Otways</w:t>
            </w:r>
            <w:proofErr w:type="spellEnd"/>
          </w:p>
        </w:tc>
        <w:tc>
          <w:tcPr>
            <w:tcW w:w="1701" w:type="dxa"/>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c>
          <w:tcPr>
            <w:tcW w:w="3402"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r w:rsidRPr="005B5171">
              <w:rPr>
                <w:rFonts w:ascii="Segoe UI" w:hAnsi="Segoe UI" w:cs="Segoe UI"/>
              </w:rPr>
              <w:t>Portland</w:t>
            </w:r>
            <w:r w:rsidRPr="005B5171">
              <w:rPr>
                <w:rFonts w:ascii="Segoe UI" w:hAnsi="Segoe UI" w:cs="Segoe UI"/>
                <w:position w:val="8"/>
              </w:rPr>
              <w:t>b</w:t>
            </w:r>
          </w:p>
        </w:tc>
        <w:tc>
          <w:tcPr>
            <w:tcW w:w="1701" w:type="dxa"/>
          </w:tcPr>
          <w:p w:rsidR="005B5171" w:rsidRPr="005B5171" w:rsidRDefault="005B5171" w:rsidP="005B5171">
            <w:pPr>
              <w:cnfStyle w:val="000000010000" w:firstRow="0" w:lastRow="0" w:firstColumn="0" w:lastColumn="0" w:oddVBand="0" w:evenVBand="0" w:oddHBand="0" w:evenHBand="1" w:firstRowFirstColumn="0" w:firstRowLastColumn="0" w:lastRowFirstColumn="0" w:lastRowLastColumn="0"/>
              <w:rPr>
                <w:rFonts w:ascii="Segoe UI" w:hAnsi="Segoe UI" w:cs="Segoe UI"/>
              </w:rPr>
            </w:pPr>
          </w:p>
        </w:tc>
        <w:tc>
          <w:tcPr>
            <w:tcW w:w="3402"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6,600</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r w:rsidRPr="005B5171">
              <w:rPr>
                <w:rFonts w:ascii="Segoe UI" w:hAnsi="Segoe UI" w:cs="Segoe UI"/>
              </w:rPr>
              <w:t>Horsham</w:t>
            </w:r>
          </w:p>
        </w:tc>
        <w:tc>
          <w:tcPr>
            <w:tcW w:w="1701" w:type="dxa"/>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c>
          <w:tcPr>
            <w:tcW w:w="3402"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400</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r w:rsidRPr="005B5171">
              <w:rPr>
                <w:rFonts w:ascii="Segoe UI" w:hAnsi="Segoe UI" w:cs="Segoe UI"/>
              </w:rPr>
              <w:t>Midlands</w:t>
            </w:r>
            <w:r w:rsidRPr="005B5171">
              <w:rPr>
                <w:rFonts w:ascii="Segoe UI" w:hAnsi="Segoe UI" w:cs="Segoe UI"/>
                <w:position w:val="8"/>
              </w:rPr>
              <w:t>c</w:t>
            </w:r>
          </w:p>
        </w:tc>
        <w:tc>
          <w:tcPr>
            <w:tcW w:w="1701" w:type="dxa"/>
            <w:vAlign w:val="bottom"/>
          </w:tcPr>
          <w:p w:rsidR="005B5171" w:rsidRPr="005B5171" w:rsidRDefault="005B5171" w:rsidP="005B5171">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Wombat</w:t>
            </w:r>
          </w:p>
        </w:tc>
        <w:tc>
          <w:tcPr>
            <w:tcW w:w="3402" w:type="dxa"/>
            <w:vAlign w:val="bottom"/>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p>
        </w:tc>
        <w:tc>
          <w:tcPr>
            <w:tcW w:w="1701" w:type="dxa"/>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Mt Cole</w:t>
            </w:r>
          </w:p>
        </w:tc>
        <w:tc>
          <w:tcPr>
            <w:tcW w:w="3402"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1,500</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p>
        </w:tc>
        <w:tc>
          <w:tcPr>
            <w:tcW w:w="1701" w:type="dxa"/>
          </w:tcPr>
          <w:p w:rsidR="005B5171" w:rsidRPr="005B5171" w:rsidRDefault="005B5171" w:rsidP="005B5171">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Other</w:t>
            </w:r>
          </w:p>
        </w:tc>
        <w:tc>
          <w:tcPr>
            <w:tcW w:w="3402"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1,000</w:t>
            </w:r>
          </w:p>
        </w:tc>
      </w:tr>
      <w:tr w:rsidR="005B5171" w:rsidRPr="005B5171" w:rsidTr="000B1EF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r w:rsidRPr="005B5171">
              <w:rPr>
                <w:rFonts w:ascii="Segoe UI" w:hAnsi="Segoe UI" w:cs="Segoe UI"/>
              </w:rPr>
              <w:t>TOTAL</w:t>
            </w:r>
          </w:p>
        </w:tc>
        <w:tc>
          <w:tcPr>
            <w:tcW w:w="1701" w:type="dxa"/>
          </w:tcPr>
          <w:p w:rsidR="005B5171" w:rsidRPr="005B5171" w:rsidRDefault="005B5171" w:rsidP="005B5171">
            <w:pPr>
              <w:cnfStyle w:val="010000000000" w:firstRow="0" w:lastRow="1" w:firstColumn="0" w:lastColumn="0" w:oddVBand="0" w:evenVBand="0" w:oddHBand="0" w:evenHBand="0" w:firstRowFirstColumn="0" w:firstRowLastColumn="0" w:lastRowFirstColumn="0" w:lastRowLastColumn="0"/>
              <w:rPr>
                <w:rFonts w:ascii="Segoe UI" w:hAnsi="Segoe UI" w:cs="Segoe UI"/>
              </w:rPr>
            </w:pPr>
          </w:p>
        </w:tc>
        <w:tc>
          <w:tcPr>
            <w:tcW w:w="3402" w:type="dxa"/>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9,500</w:t>
            </w:r>
          </w:p>
        </w:tc>
      </w:tr>
    </w:tbl>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Notes:</w:t>
      </w:r>
    </w:p>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a</w:t>
      </w:r>
      <w:r w:rsidRPr="005B5171">
        <w:rPr>
          <w:rFonts w:ascii="Segoe UI" w:eastAsia="STZhongsong" w:hAnsi="Segoe UI" w:cs="Segoe UI"/>
          <w:bCs/>
          <w:sz w:val="18"/>
          <w:szCs w:val="18"/>
          <w:lang w:eastAsia="ko-KR"/>
        </w:rPr>
        <w:tab/>
        <w:t>Mid-Murray FMA is not covered by the western Victoria RFA</w:t>
      </w:r>
      <w:r w:rsidRPr="005B5171">
        <w:rPr>
          <w:rFonts w:ascii="Segoe UI" w:eastAsia="STZhongsong" w:hAnsi="Segoe UI" w:cs="Segoe UI"/>
          <w:bCs/>
          <w:sz w:val="18"/>
          <w:szCs w:val="18"/>
          <w:lang w:eastAsia="ko-KR"/>
        </w:rPr>
        <w:br/>
        <w:t>b</w:t>
      </w:r>
      <w:r w:rsidRPr="005B5171">
        <w:rPr>
          <w:rFonts w:ascii="Segoe UI" w:eastAsia="STZhongsong" w:hAnsi="Segoe UI" w:cs="Segoe UI"/>
          <w:bCs/>
          <w:sz w:val="18"/>
          <w:szCs w:val="18"/>
          <w:lang w:eastAsia="ko-KR"/>
        </w:rPr>
        <w:tab/>
        <w:t>Minimal harvesting only</w:t>
      </w:r>
      <w:r w:rsidRPr="005B5171">
        <w:rPr>
          <w:rFonts w:ascii="Segoe UI" w:eastAsia="STZhongsong" w:hAnsi="Segoe UI" w:cs="Segoe UI"/>
          <w:bCs/>
          <w:sz w:val="18"/>
          <w:szCs w:val="18"/>
          <w:lang w:eastAsia="ko-KR"/>
        </w:rPr>
        <w:br/>
        <w:t>c</w:t>
      </w:r>
      <w:r w:rsidRPr="005B5171">
        <w:rPr>
          <w:rFonts w:ascii="Segoe UI" w:eastAsia="STZhongsong" w:hAnsi="Segoe UI" w:cs="Segoe UI"/>
          <w:bCs/>
          <w:sz w:val="18"/>
          <w:szCs w:val="18"/>
          <w:lang w:eastAsia="ko-KR"/>
        </w:rPr>
        <w:tab/>
        <w:t>Sawlog no longer harvested</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Source: Review of Commercial Forestry Management in Western Victoria, DEPI, August 2013</w:t>
      </w:r>
    </w:p>
    <w:p w:rsidR="005B5171" w:rsidRPr="005B5171" w:rsidRDefault="005B5171" w:rsidP="005B5171">
      <w:pPr>
        <w:keepNext/>
        <w:keepLines/>
        <w:spacing w:before="40" w:after="0"/>
        <w:outlineLvl w:val="5"/>
        <w:rPr>
          <w:rFonts w:ascii="Gill Sans MT" w:eastAsia="STZhongsong" w:hAnsi="Gill Sans MT" w:cs="Majalla UI"/>
          <w:i/>
          <w:iCs/>
          <w:color w:val="13345C"/>
        </w:rPr>
      </w:pPr>
      <w:bookmarkStart w:id="74" w:name="_Ref30753101"/>
      <w:r w:rsidRPr="005B5171">
        <w:rPr>
          <w:rFonts w:ascii="Gill Sans MT" w:eastAsia="STZhongsong" w:hAnsi="Gill Sans MT" w:cs="Majalla UI"/>
          <w:i/>
          <w:iCs/>
          <w:color w:val="13345C"/>
        </w:rPr>
        <w:t>Wood and Timber Utilisation Plans</w:t>
      </w:r>
      <w:bookmarkEnd w:id="74"/>
    </w:p>
    <w:p w:rsidR="005B5171" w:rsidRPr="005B5171" w:rsidRDefault="005B5171" w:rsidP="005B5171">
      <w:pPr>
        <w:jc w:val="both"/>
        <w:rPr>
          <w:rFonts w:ascii="Segoe UI" w:hAnsi="Segoe UI" w:cs="Segoe UI"/>
        </w:rPr>
      </w:pPr>
      <w:r w:rsidRPr="005B5171">
        <w:rPr>
          <w:rFonts w:ascii="Segoe UI" w:hAnsi="Segoe UI" w:cs="Segoe UI"/>
        </w:rPr>
        <w:t xml:space="preserve">Since November 2014, </w:t>
      </w:r>
      <w:proofErr w:type="spellStart"/>
      <w:r w:rsidRPr="005B5171">
        <w:rPr>
          <w:rFonts w:ascii="Segoe UI" w:hAnsi="Segoe UI" w:cs="Segoe UI"/>
        </w:rPr>
        <w:t>VicForests</w:t>
      </w:r>
      <w:proofErr w:type="spellEnd"/>
      <w:r w:rsidRPr="005B5171">
        <w:rPr>
          <w:rFonts w:ascii="Segoe UI" w:hAnsi="Segoe UI" w:cs="Segoe UI"/>
        </w:rPr>
        <w:t xml:space="preserve"> has been responsible for Community Forestry Operations, specifically managing the harvesting, regeneration and sale of wood from public land in western Victoria. Community Forestry Operations provide the opportunity for local products to be sourced and utilised locally under forest produce licences issued by </w:t>
      </w:r>
      <w:proofErr w:type="spellStart"/>
      <w:r w:rsidRPr="005B5171">
        <w:rPr>
          <w:rFonts w:ascii="Segoe UI" w:hAnsi="Segoe UI" w:cs="Segoe UI"/>
        </w:rPr>
        <w:t>VicForests</w:t>
      </w:r>
      <w:proofErr w:type="spellEnd"/>
      <w:r w:rsidRPr="005B5171">
        <w:rPr>
          <w:rFonts w:ascii="Segoe UI" w:hAnsi="Segoe UI" w:cs="Segoe UI"/>
        </w:rPr>
        <w:t xml:space="preserve"> under delegation from the Minister for Agriculture and in accordance with the </w:t>
      </w:r>
      <w:r w:rsidRPr="005B5171">
        <w:rPr>
          <w:rFonts w:ascii="Segoe UI" w:hAnsi="Segoe UI" w:cs="Segoe UI"/>
          <w:i/>
        </w:rPr>
        <w:t xml:space="preserve">Forests Act 1958 </w:t>
      </w:r>
      <w:r w:rsidRPr="005B5171">
        <w:rPr>
          <w:rFonts w:ascii="Segoe UI" w:hAnsi="Segoe UI" w:cs="Segoe UI"/>
        </w:rPr>
        <w:t xml:space="preserve">(Vic). </w:t>
      </w:r>
    </w:p>
    <w:p w:rsidR="005B5171" w:rsidRPr="005B5171" w:rsidRDefault="005B5171" w:rsidP="005B5171">
      <w:pPr>
        <w:jc w:val="both"/>
        <w:rPr>
          <w:rFonts w:ascii="Segoe UI" w:hAnsi="Segoe UI" w:cs="Segoe UI"/>
        </w:rPr>
      </w:pPr>
      <w:r w:rsidRPr="005B5171">
        <w:rPr>
          <w:rFonts w:ascii="Segoe UI" w:hAnsi="Segoe UI" w:cs="Segoe UI"/>
        </w:rPr>
        <w:t>Prior to that time, timber harvesting was the responsibility of DEPI (now DELWP), whereby coupes identified and planned for harvesting were placed on a three-year Wood Utilisation Plan (WUP) based on the sustainable yield outlined in the RFA and the licence commitments of processors in the region.</w:t>
      </w:r>
    </w:p>
    <w:p w:rsidR="005B5171" w:rsidRPr="005B5171" w:rsidRDefault="005B5171" w:rsidP="005B5171">
      <w:pPr>
        <w:jc w:val="both"/>
        <w:rPr>
          <w:rFonts w:ascii="Segoe UI" w:hAnsi="Segoe UI" w:cs="Segoe UI"/>
        </w:rPr>
      </w:pPr>
      <w:r w:rsidRPr="005B5171">
        <w:rPr>
          <w:rFonts w:ascii="Segoe UI" w:hAnsi="Segoe UI" w:cs="Segoe UI"/>
        </w:rPr>
        <w:t xml:space="preserve">To make a clear distinction between areas approved under the former arrangements and those approved by </w:t>
      </w:r>
      <w:proofErr w:type="spellStart"/>
      <w:r w:rsidRPr="005B5171">
        <w:rPr>
          <w:rFonts w:ascii="Segoe UI" w:hAnsi="Segoe UI" w:cs="Segoe UI"/>
        </w:rPr>
        <w:t>VicForests</w:t>
      </w:r>
      <w:proofErr w:type="spellEnd"/>
      <w:r w:rsidRPr="005B5171">
        <w:rPr>
          <w:rFonts w:ascii="Segoe UI" w:hAnsi="Segoe UI" w:cs="Segoe UI"/>
        </w:rPr>
        <w:t xml:space="preserve">, the WUP has been replaced by the Timber Utilisation Plan (TUP). The TUP, like the WUP, lists </w:t>
      </w:r>
      <w:proofErr w:type="spellStart"/>
      <w:r w:rsidRPr="005B5171">
        <w:rPr>
          <w:rFonts w:ascii="Segoe UI" w:hAnsi="Segoe UI" w:cs="Segoe UI"/>
        </w:rPr>
        <w:t>VicForests</w:t>
      </w:r>
      <w:proofErr w:type="spellEnd"/>
      <w:r w:rsidRPr="005B5171">
        <w:rPr>
          <w:rFonts w:ascii="Segoe UI" w:hAnsi="Segoe UI" w:cs="Segoe UI"/>
        </w:rPr>
        <w:t xml:space="preserve">’ planned harvesting and regeneration activities for a period of up to five years. It is updated annually to maintain </w:t>
      </w:r>
      <w:proofErr w:type="spellStart"/>
      <w:r w:rsidRPr="005B5171">
        <w:rPr>
          <w:rFonts w:ascii="Segoe UI" w:hAnsi="Segoe UI" w:cs="Segoe UI"/>
        </w:rPr>
        <w:t>VicForests</w:t>
      </w:r>
      <w:proofErr w:type="spellEnd"/>
      <w:r w:rsidRPr="005B5171">
        <w:rPr>
          <w:rFonts w:ascii="Segoe UI" w:hAnsi="Segoe UI" w:cs="Segoe UI"/>
        </w:rPr>
        <w:t>’ ability to meet supply commitments in the short and medium term.</w:t>
      </w:r>
    </w:p>
    <w:p w:rsidR="005B5171" w:rsidRPr="005B5171" w:rsidRDefault="005B5171" w:rsidP="005B5171">
      <w:pPr>
        <w:keepNext/>
        <w:keepLines/>
        <w:spacing w:before="40" w:after="0"/>
        <w:outlineLvl w:val="5"/>
        <w:rPr>
          <w:rFonts w:ascii="Gill Sans MT" w:eastAsia="STZhongsong" w:hAnsi="Gill Sans MT" w:cs="Majalla UI"/>
          <w:i/>
          <w:iCs/>
          <w:color w:val="13345C"/>
        </w:rPr>
      </w:pPr>
      <w:r w:rsidRPr="005B5171">
        <w:rPr>
          <w:rFonts w:ascii="Gill Sans MT" w:eastAsia="STZhongsong" w:hAnsi="Gill Sans MT" w:cs="Majalla UI"/>
          <w:i/>
          <w:iCs/>
          <w:color w:val="13345C"/>
        </w:rPr>
        <w:t>Harvest volumes</w:t>
      </w:r>
    </w:p>
    <w:p w:rsidR="005B5171" w:rsidRPr="005B5171" w:rsidRDefault="005B5171" w:rsidP="005B5171">
      <w:pPr>
        <w:jc w:val="both"/>
        <w:rPr>
          <w:rFonts w:ascii="Segoe UI" w:hAnsi="Segoe UI" w:cs="Segoe UI"/>
        </w:rPr>
      </w:pPr>
      <w:r w:rsidRPr="005B5171">
        <w:rPr>
          <w:rFonts w:ascii="Segoe UI" w:hAnsi="Segoe UI" w:cs="Segoe UI"/>
        </w:rPr>
        <w:t xml:space="preserve">Harvesting operations under TUP are generally applied for small-scale forestry operations and service the community need. </w:t>
      </w:r>
      <w:r w:rsidRPr="005B5171">
        <w:rPr>
          <w:rFonts w:ascii="Segoe UI" w:hAnsi="Segoe UI" w:cs="Segoe UI"/>
        </w:rPr>
        <w:fldChar w:fldCharType="begin"/>
      </w:r>
      <w:r w:rsidRPr="005B5171">
        <w:rPr>
          <w:rFonts w:ascii="Segoe UI" w:hAnsi="Segoe UI" w:cs="Segoe UI"/>
        </w:rPr>
        <w:instrText xml:space="preserve"> REF _Ref14706564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75</w:t>
      </w:r>
      <w:r w:rsidRPr="005B5171">
        <w:rPr>
          <w:rFonts w:ascii="Segoe UI" w:hAnsi="Segoe UI" w:cs="Segoe UI"/>
        </w:rPr>
        <w:fldChar w:fldCharType="end"/>
      </w:r>
      <w:r w:rsidRPr="005B5171">
        <w:rPr>
          <w:rFonts w:ascii="Segoe UI" w:hAnsi="Segoe UI" w:cs="Segoe UI"/>
        </w:rPr>
        <w:t xml:space="preserve"> provides information on the harvest volumes in the West RFA. </w:t>
      </w:r>
    </w:p>
    <w:p w:rsidR="005B5171" w:rsidRPr="005B5171" w:rsidRDefault="005B5171" w:rsidP="005B5171">
      <w:pPr>
        <w:spacing w:after="200" w:line="240" w:lineRule="auto"/>
        <w:rPr>
          <w:rFonts w:ascii="Segoe UI Semibold" w:eastAsia="Times New Roman" w:hAnsi="Segoe UI Semibold" w:cs="Times New Roman"/>
          <w:color w:val="016295"/>
        </w:rPr>
      </w:pPr>
      <w:bookmarkStart w:id="75" w:name="_Ref14706564"/>
      <w:bookmarkStart w:id="76" w:name="_Toc25660857"/>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75</w:t>
      </w:r>
      <w:r w:rsidRPr="005B5171">
        <w:rPr>
          <w:rFonts w:ascii="Segoe UI Semibold" w:eastAsia="Times New Roman" w:hAnsi="Segoe UI Semibold" w:cs="Times New Roman"/>
          <w:noProof/>
          <w:color w:val="016295"/>
        </w:rPr>
        <w:fldChar w:fldCharType="end"/>
      </w:r>
      <w:bookmarkEnd w:id="75"/>
      <w:r w:rsidRPr="005B5171">
        <w:rPr>
          <w:rFonts w:ascii="Segoe UI Semibold" w:eastAsia="Times New Roman" w:hAnsi="Segoe UI Semibold" w:cs="Times New Roman"/>
          <w:color w:val="016295"/>
        </w:rPr>
        <w:t>: Harvest volumes in the West RFA</w:t>
      </w:r>
      <w:bookmarkEnd w:id="76"/>
    </w:p>
    <w:tbl>
      <w:tblPr>
        <w:tblStyle w:val="xTable1"/>
        <w:tblW w:w="9186" w:type="dxa"/>
        <w:tblLayout w:type="fixed"/>
        <w:tblLook w:val="04A0" w:firstRow="1" w:lastRow="0" w:firstColumn="1" w:lastColumn="0" w:noHBand="0" w:noVBand="1"/>
      </w:tblPr>
      <w:tblGrid>
        <w:gridCol w:w="1531"/>
        <w:gridCol w:w="1531"/>
        <w:gridCol w:w="1531"/>
        <w:gridCol w:w="1531"/>
        <w:gridCol w:w="1531"/>
        <w:gridCol w:w="1531"/>
      </w:tblGrid>
      <w:tr w:rsidR="005B5171" w:rsidRPr="005B5171" w:rsidTr="000B1EF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531" w:type="dxa"/>
            <w:hideMark/>
          </w:tcPr>
          <w:p w:rsidR="005B5171" w:rsidRPr="005B5171" w:rsidRDefault="005B5171" w:rsidP="005B5171">
            <w:pPr>
              <w:rPr>
                <w:rFonts w:ascii="Segoe UI" w:hAnsi="Segoe UI" w:cs="Segoe UI"/>
              </w:rPr>
            </w:pPr>
            <w:r w:rsidRPr="005B5171">
              <w:rPr>
                <w:rFonts w:ascii="Segoe UI" w:hAnsi="Segoe UI" w:cs="Segoe UI"/>
              </w:rPr>
              <w:t>Year</w:t>
            </w:r>
          </w:p>
        </w:tc>
        <w:tc>
          <w:tcPr>
            <w:tcW w:w="1531"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Fencing (each)</w:t>
            </w:r>
          </w:p>
        </w:tc>
        <w:tc>
          <w:tcPr>
            <w:tcW w:w="1531"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Firewood (m</w:t>
            </w:r>
            <w:r w:rsidRPr="005B5171">
              <w:rPr>
                <w:rFonts w:ascii="Segoe UI" w:hAnsi="Segoe UI" w:cs="Segoe UI"/>
                <w:vertAlign w:val="superscript"/>
              </w:rPr>
              <w:t>3</w:t>
            </w:r>
            <w:r w:rsidRPr="005B5171">
              <w:rPr>
                <w:rFonts w:ascii="Segoe UI" w:hAnsi="Segoe UI" w:cs="Segoe UI"/>
              </w:rPr>
              <w:t>)</w:t>
            </w:r>
          </w:p>
        </w:tc>
        <w:tc>
          <w:tcPr>
            <w:tcW w:w="1531"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Sawlog (m</w:t>
            </w:r>
            <w:r w:rsidRPr="005B5171">
              <w:rPr>
                <w:rFonts w:ascii="Segoe UI" w:hAnsi="Segoe UI" w:cs="Segoe UI"/>
                <w:vertAlign w:val="superscript"/>
              </w:rPr>
              <w:t>3</w:t>
            </w:r>
            <w:r w:rsidRPr="005B5171">
              <w:rPr>
                <w:rFonts w:ascii="Segoe UI" w:hAnsi="Segoe UI" w:cs="Segoe UI"/>
              </w:rPr>
              <w:t>)</w:t>
            </w:r>
          </w:p>
        </w:tc>
        <w:tc>
          <w:tcPr>
            <w:tcW w:w="1531"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Residuals (m</w:t>
            </w:r>
            <w:r w:rsidRPr="005B5171">
              <w:rPr>
                <w:rFonts w:ascii="Segoe UI" w:hAnsi="Segoe UI" w:cs="Segoe UI"/>
                <w:vertAlign w:val="superscript"/>
              </w:rPr>
              <w:t>3</w:t>
            </w:r>
            <w:r w:rsidRPr="005B5171">
              <w:rPr>
                <w:rFonts w:ascii="Segoe UI" w:hAnsi="Segoe UI" w:cs="Segoe UI"/>
              </w:rPr>
              <w:t>)</w:t>
            </w:r>
          </w:p>
        </w:tc>
        <w:tc>
          <w:tcPr>
            <w:tcW w:w="1531"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Residual log (lineal m)</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hideMark/>
          </w:tcPr>
          <w:p w:rsidR="005B5171" w:rsidRPr="005B5171" w:rsidRDefault="005B5171" w:rsidP="005B5171">
            <w:pPr>
              <w:rPr>
                <w:rFonts w:ascii="Segoe UI" w:hAnsi="Segoe UI" w:cs="Segoe UI"/>
              </w:rPr>
            </w:pPr>
            <w:r w:rsidRPr="005B5171">
              <w:rPr>
                <w:rFonts w:ascii="Segoe UI" w:hAnsi="Segoe UI" w:cs="Segoe UI"/>
              </w:rPr>
              <w:t>2008</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2,164</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1,782</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496</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96</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442</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hideMark/>
          </w:tcPr>
          <w:p w:rsidR="005B5171" w:rsidRPr="005B5171" w:rsidRDefault="005B5171" w:rsidP="005B5171">
            <w:pPr>
              <w:rPr>
                <w:rFonts w:ascii="Segoe UI" w:hAnsi="Segoe UI" w:cs="Segoe UI"/>
              </w:rPr>
            </w:pPr>
            <w:r w:rsidRPr="005B5171">
              <w:rPr>
                <w:rFonts w:ascii="Segoe UI" w:hAnsi="Segoe UI" w:cs="Segoe UI"/>
              </w:rPr>
              <w:t>2009</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1,718</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3,109</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308</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109</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329</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hideMark/>
          </w:tcPr>
          <w:p w:rsidR="005B5171" w:rsidRPr="005B5171" w:rsidRDefault="005B5171" w:rsidP="005B5171">
            <w:pPr>
              <w:rPr>
                <w:rFonts w:ascii="Segoe UI" w:hAnsi="Segoe UI" w:cs="Segoe UI"/>
              </w:rPr>
            </w:pPr>
            <w:r w:rsidRPr="005B5171">
              <w:rPr>
                <w:rFonts w:ascii="Segoe UI" w:hAnsi="Segoe UI" w:cs="Segoe UI"/>
              </w:rPr>
              <w:t>2010</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392</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3,064</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585</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226</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hideMark/>
          </w:tcPr>
          <w:p w:rsidR="005B5171" w:rsidRPr="005B5171" w:rsidRDefault="005B5171" w:rsidP="005B5171">
            <w:pPr>
              <w:rPr>
                <w:rFonts w:ascii="Segoe UI" w:hAnsi="Segoe UI" w:cs="Segoe UI"/>
              </w:rPr>
            </w:pPr>
            <w:r w:rsidRPr="005B5171">
              <w:rPr>
                <w:rFonts w:ascii="Segoe UI" w:hAnsi="Segoe UI" w:cs="Segoe UI"/>
              </w:rPr>
              <w:t>2011</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2,923</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3,540</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838</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290</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506</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hideMark/>
          </w:tcPr>
          <w:p w:rsidR="005B5171" w:rsidRPr="005B5171" w:rsidRDefault="005B5171" w:rsidP="005B5171">
            <w:pPr>
              <w:rPr>
                <w:rFonts w:ascii="Segoe UI" w:hAnsi="Segoe UI" w:cs="Segoe UI"/>
              </w:rPr>
            </w:pPr>
            <w:r w:rsidRPr="005B5171">
              <w:rPr>
                <w:rFonts w:ascii="Segoe UI" w:hAnsi="Segoe UI" w:cs="Segoe UI"/>
              </w:rPr>
              <w:t>2012</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1,084</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4,846</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382</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147</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740</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hideMark/>
          </w:tcPr>
          <w:p w:rsidR="005B5171" w:rsidRPr="005B5171" w:rsidRDefault="005B5171" w:rsidP="005B5171">
            <w:pPr>
              <w:rPr>
                <w:rFonts w:ascii="Segoe UI" w:hAnsi="Segoe UI" w:cs="Segoe UI"/>
              </w:rPr>
            </w:pPr>
            <w:r w:rsidRPr="005B5171">
              <w:rPr>
                <w:rFonts w:ascii="Segoe UI" w:hAnsi="Segoe UI" w:cs="Segoe UI"/>
              </w:rPr>
              <w:t>2013</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1,176</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6,379</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922</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100</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893</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hideMark/>
          </w:tcPr>
          <w:p w:rsidR="005B5171" w:rsidRPr="005B5171" w:rsidRDefault="005B5171" w:rsidP="005B5171">
            <w:pPr>
              <w:rPr>
                <w:rFonts w:ascii="Segoe UI" w:hAnsi="Segoe UI" w:cs="Segoe UI"/>
              </w:rPr>
            </w:pPr>
            <w:r w:rsidRPr="005B5171">
              <w:rPr>
                <w:rFonts w:ascii="Segoe UI" w:hAnsi="Segoe UI" w:cs="Segoe UI"/>
              </w:rPr>
              <w:t>2014</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259</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8,067</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1,417</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81</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1,770</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hideMark/>
          </w:tcPr>
          <w:p w:rsidR="005B5171" w:rsidRPr="005B5171" w:rsidRDefault="005B5171" w:rsidP="005B5171">
            <w:pPr>
              <w:rPr>
                <w:rFonts w:ascii="Segoe UI" w:hAnsi="Segoe UI" w:cs="Segoe UI"/>
              </w:rPr>
            </w:pPr>
            <w:r w:rsidRPr="005B5171">
              <w:rPr>
                <w:rFonts w:ascii="Segoe UI" w:hAnsi="Segoe UI" w:cs="Segoe UI"/>
              </w:rPr>
              <w:t>2015</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1,257</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7,307</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1,040</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34</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1,641</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hideMark/>
          </w:tcPr>
          <w:p w:rsidR="005B5171" w:rsidRPr="005B5171" w:rsidRDefault="005B5171" w:rsidP="005B5171">
            <w:pPr>
              <w:rPr>
                <w:rFonts w:ascii="Segoe UI" w:hAnsi="Segoe UI" w:cs="Segoe UI"/>
              </w:rPr>
            </w:pPr>
            <w:r w:rsidRPr="005B5171">
              <w:rPr>
                <w:rFonts w:ascii="Segoe UI" w:hAnsi="Segoe UI" w:cs="Segoe UI"/>
              </w:rPr>
              <w:t>2016</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1,135</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8,632</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1,285</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85</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848</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hideMark/>
          </w:tcPr>
          <w:p w:rsidR="005B5171" w:rsidRPr="005B5171" w:rsidRDefault="005B5171" w:rsidP="005B5171">
            <w:pPr>
              <w:rPr>
                <w:rFonts w:ascii="Segoe UI" w:hAnsi="Segoe UI" w:cs="Segoe UI"/>
              </w:rPr>
            </w:pPr>
            <w:r w:rsidRPr="005B5171">
              <w:rPr>
                <w:rFonts w:ascii="Segoe UI" w:hAnsi="Segoe UI" w:cs="Segoe UI"/>
              </w:rPr>
              <w:t>2017</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704</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6,282</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1,247</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839</w:t>
            </w:r>
          </w:p>
        </w:tc>
        <w:tc>
          <w:tcPr>
            <w:tcW w:w="1531" w:type="dxa"/>
            <w:vAlign w:val="cente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1,009</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hideMark/>
          </w:tcPr>
          <w:p w:rsidR="005B5171" w:rsidRPr="005B5171" w:rsidRDefault="005B5171" w:rsidP="005B5171">
            <w:pPr>
              <w:rPr>
                <w:rFonts w:ascii="Segoe UI" w:hAnsi="Segoe UI" w:cs="Segoe UI"/>
              </w:rPr>
            </w:pPr>
            <w:r w:rsidRPr="005B5171">
              <w:rPr>
                <w:rFonts w:ascii="Segoe UI" w:hAnsi="Segoe UI" w:cs="Segoe UI"/>
              </w:rPr>
              <w:t>2018</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274</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7,797</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1,430</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1,155</w:t>
            </w:r>
          </w:p>
        </w:tc>
        <w:tc>
          <w:tcPr>
            <w:tcW w:w="1531" w:type="dxa"/>
            <w:vAlign w:val="cente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658</w:t>
            </w:r>
          </w:p>
        </w:tc>
      </w:tr>
    </w:tbl>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Note: Data from Mildura, Bendigo and Mid-Murray FMA not included as they are outside the WEST RFA area. </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w:t>
      </w:r>
      <w:proofErr w:type="spellStart"/>
      <w:r w:rsidRPr="005B5171">
        <w:rPr>
          <w:rFonts w:ascii="Segoe UI" w:eastAsia="STZhongsong" w:hAnsi="Segoe UI" w:cs="Segoe UI"/>
          <w:bCs/>
          <w:sz w:val="18"/>
          <w:szCs w:val="18"/>
          <w:lang w:eastAsia="ko-KR"/>
        </w:rPr>
        <w:t>VicForests</w:t>
      </w:r>
      <w:proofErr w:type="spellEnd"/>
      <w:r w:rsidRPr="005B5171">
        <w:rPr>
          <w:rFonts w:ascii="Segoe UI" w:eastAsia="STZhongsong" w:hAnsi="Segoe UI" w:cs="Segoe UI"/>
          <w:bCs/>
          <w:sz w:val="18"/>
          <w:szCs w:val="18"/>
          <w:lang w:eastAsia="ko-KR"/>
        </w:rPr>
        <w:t xml:space="preserve"> (2019). </w:t>
      </w:r>
    </w:p>
    <w:p w:rsidR="005B5171" w:rsidRPr="005B5171" w:rsidRDefault="005B5171" w:rsidP="005B5171">
      <w:pPr>
        <w:rPr>
          <w:rFonts w:ascii="Segoe UI" w:eastAsia="STZhongsong" w:hAnsi="Segoe UI" w:cs="Segoe UI"/>
          <w:bCs/>
          <w:sz w:val="18"/>
          <w:szCs w:val="18"/>
          <w:lang w:eastAsia="ko-KR"/>
        </w:rPr>
      </w:pPr>
      <w:r w:rsidRPr="005B5171">
        <w:rPr>
          <w:rFonts w:ascii="Segoe UI" w:hAnsi="Segoe UI" w:cs="Segoe UI"/>
        </w:rPr>
        <w:br w:type="page"/>
      </w:r>
    </w:p>
    <w:bookmarkEnd w:id="54"/>
    <w:p w:rsidR="005B5171" w:rsidRPr="005B5171" w:rsidRDefault="005B5171" w:rsidP="005B5171">
      <w:pPr>
        <w:keepNext/>
        <w:spacing w:before="120" w:after="120" w:line="240" w:lineRule="auto"/>
        <w:jc w:val="both"/>
        <w:outlineLvl w:val="3"/>
        <w:rPr>
          <w:rFonts w:ascii="Segoe UI" w:hAnsi="Segoe UI" w:cs="Segoe UI"/>
          <w:i/>
          <w:sz w:val="24"/>
          <w:szCs w:val="24"/>
        </w:rPr>
      </w:pPr>
      <w:r w:rsidRPr="005B5171">
        <w:rPr>
          <w:rFonts w:ascii="Segoe UI" w:hAnsi="Segoe UI" w:cs="Segoe UI"/>
          <w:i/>
          <w:sz w:val="24"/>
          <w:szCs w:val="24"/>
        </w:rPr>
        <w:t>Plantation timber</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 xml:space="preserve">In 2017–18, approximately 7.8 million cubic metres of plantation timber was harvested in Victoria. Approximately 46 per cent of this was hardwood and 54 per cent, softwood (ABARES 2019). This generally aligns with the proportion of plantations that are hardwood (47 per cent per cent) and softwood (53 per cent). Almost all hardwood logs are used for pulp (over 99 per cent per cent) and 51 per cent of softwood harvest volume is processed as sawlog. As a proportion of Victoria’s total plantation harvest, </w:t>
      </w:r>
      <w:r w:rsidRPr="005B5171">
        <w:rPr>
          <w:rFonts w:ascii="Segoe UI" w:hAnsi="Segoe UI" w:cs="Segoe UI"/>
          <w:bCs/>
        </w:rPr>
        <w:t>45 per cent</w:t>
      </w:r>
      <w:r w:rsidRPr="005B5171">
        <w:rPr>
          <w:rFonts w:ascii="Segoe UI" w:hAnsi="Segoe UI" w:cs="Segoe UI"/>
          <w:lang w:eastAsia="en-AU"/>
        </w:rPr>
        <w:t xml:space="preserve"> is </w:t>
      </w:r>
      <w:r w:rsidRPr="005B5171">
        <w:rPr>
          <w:rFonts w:ascii="Segoe UI" w:hAnsi="Segoe UI" w:cs="Segoe UI"/>
          <w:bCs/>
        </w:rPr>
        <w:t xml:space="preserve">hardwood </w:t>
      </w:r>
      <w:proofErr w:type="spellStart"/>
      <w:r w:rsidRPr="005B5171">
        <w:rPr>
          <w:rFonts w:ascii="Segoe UI" w:hAnsi="Segoe UI" w:cs="Segoe UI"/>
          <w:bCs/>
        </w:rPr>
        <w:t>pulplogs</w:t>
      </w:r>
      <w:proofErr w:type="spellEnd"/>
      <w:r w:rsidRPr="005B5171">
        <w:rPr>
          <w:rFonts w:ascii="Segoe UI" w:hAnsi="Segoe UI" w:cs="Segoe UI"/>
          <w:bCs/>
        </w:rPr>
        <w:t xml:space="preserve">, 28 per cent is softwood sawlogs and 26 per cent is softwood </w:t>
      </w:r>
      <w:proofErr w:type="spellStart"/>
      <w:r w:rsidRPr="005B5171">
        <w:rPr>
          <w:rFonts w:ascii="Segoe UI" w:hAnsi="Segoe UI" w:cs="Segoe UI"/>
          <w:lang w:eastAsia="en-AU"/>
        </w:rPr>
        <w:t>pulplogs</w:t>
      </w:r>
      <w:proofErr w:type="spellEnd"/>
      <w:r w:rsidRPr="005B5171">
        <w:rPr>
          <w:rFonts w:ascii="Segoe UI" w:hAnsi="Segoe UI" w:cs="Segoe UI"/>
          <w:lang w:eastAsia="en-AU"/>
        </w:rPr>
        <w:t xml:space="preserve"> (</w:t>
      </w:r>
      <w:r w:rsidRPr="005B5171">
        <w:rPr>
          <w:rFonts w:ascii="Segoe UI" w:hAnsi="Segoe UI" w:cs="Segoe UI"/>
          <w:lang w:eastAsia="en-AU"/>
        </w:rPr>
        <w:fldChar w:fldCharType="begin"/>
      </w:r>
      <w:r w:rsidRPr="005B5171">
        <w:rPr>
          <w:rFonts w:ascii="Segoe UI" w:hAnsi="Segoe UI" w:cs="Segoe UI"/>
          <w:lang w:eastAsia="en-AU"/>
        </w:rPr>
        <w:instrText xml:space="preserve"> REF _Ref14193449 \h  \* MERGEFORMAT </w:instrText>
      </w:r>
      <w:r w:rsidRPr="005B5171">
        <w:rPr>
          <w:rFonts w:ascii="Segoe UI" w:hAnsi="Segoe UI" w:cs="Segoe UI"/>
          <w:lang w:eastAsia="en-AU"/>
        </w:rPr>
      </w:r>
      <w:r w:rsidRPr="005B5171">
        <w:rPr>
          <w:rFonts w:ascii="Segoe UI" w:hAnsi="Segoe UI" w:cs="Segoe UI"/>
          <w:lang w:eastAsia="en-AU"/>
        </w:rPr>
        <w:fldChar w:fldCharType="separate"/>
      </w:r>
      <w:r w:rsidRPr="005B5171">
        <w:rPr>
          <w:rFonts w:ascii="Segoe UI" w:hAnsi="Segoe UI" w:cs="Segoe UI"/>
        </w:rPr>
        <w:t xml:space="preserve">Table </w:t>
      </w:r>
      <w:r w:rsidRPr="005B5171">
        <w:rPr>
          <w:rFonts w:ascii="Segoe UI" w:hAnsi="Segoe UI" w:cs="Segoe UI"/>
          <w:noProof/>
        </w:rPr>
        <w:t>76</w:t>
      </w:r>
      <w:r w:rsidRPr="005B5171">
        <w:rPr>
          <w:rFonts w:ascii="Segoe UI" w:hAnsi="Segoe UI" w:cs="Segoe UI"/>
          <w:lang w:eastAsia="en-AU"/>
        </w:rPr>
        <w:fldChar w:fldCharType="end"/>
      </w:r>
      <w:r w:rsidRPr="005B5171">
        <w:rPr>
          <w:rFonts w:ascii="Segoe UI" w:hAnsi="Segoe UI" w:cs="Segoe UI"/>
          <w:lang w:eastAsia="en-AU"/>
        </w:rPr>
        <w:t>).</w:t>
      </w:r>
    </w:p>
    <w:p w:rsidR="005B5171" w:rsidRPr="005B5171" w:rsidRDefault="005B5171" w:rsidP="005B5171">
      <w:pPr>
        <w:jc w:val="both"/>
        <w:rPr>
          <w:rFonts w:ascii="Segoe UI" w:hAnsi="Segoe UI" w:cs="Segoe UI"/>
        </w:rPr>
      </w:pPr>
      <w:r w:rsidRPr="005B5171">
        <w:rPr>
          <w:rFonts w:ascii="Segoe UI" w:hAnsi="Segoe UI" w:cs="Segoe UI"/>
        </w:rPr>
        <w:t xml:space="preserve">The volume of plantation logs harvested from each RFA region is unknown as these figures are calculated through ABARES plantation statistics, which do not disaggregate into RFA regions. In the absence of volume estimate, we may consider the proportional area based on volume, where around 60 per cent comes from the West RFA region, around 20 per cent from Gippsland, and around 15 per cent from the North East. However, without information on the maturity of plantations and expected harvest date it is difficult to accurately attribute an annual harvest volume to each region. </w:t>
      </w:r>
    </w:p>
    <w:p w:rsidR="005B5171" w:rsidRPr="005B5171" w:rsidRDefault="005B5171" w:rsidP="005B5171">
      <w:pPr>
        <w:spacing w:after="200" w:line="240" w:lineRule="auto"/>
        <w:rPr>
          <w:rFonts w:ascii="Segoe UI Semibold" w:eastAsia="Times New Roman" w:hAnsi="Segoe UI Semibold" w:cs="Times New Roman"/>
          <w:bCs/>
          <w:color w:val="016295"/>
        </w:rPr>
      </w:pPr>
      <w:bookmarkStart w:id="77" w:name="_Ref14193449"/>
      <w:bookmarkStart w:id="78" w:name="_Toc25660858"/>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76</w:t>
      </w:r>
      <w:r w:rsidRPr="005B5171">
        <w:rPr>
          <w:rFonts w:ascii="Segoe UI Semibold" w:eastAsia="Times New Roman" w:hAnsi="Segoe UI Semibold" w:cs="Times New Roman"/>
          <w:noProof/>
          <w:color w:val="016295"/>
        </w:rPr>
        <w:fldChar w:fldCharType="end"/>
      </w:r>
      <w:bookmarkEnd w:id="77"/>
      <w:r w:rsidRPr="005B5171">
        <w:rPr>
          <w:rFonts w:ascii="Segoe UI Semibold" w:eastAsia="Times New Roman" w:hAnsi="Segoe UI Semibold" w:cs="Times New Roman"/>
          <w:color w:val="016295"/>
        </w:rPr>
        <w:t>: Plantation timber harvest volume, 2017–18</w:t>
      </w:r>
      <w:bookmarkEnd w:id="78"/>
    </w:p>
    <w:tbl>
      <w:tblPr>
        <w:tblStyle w:val="xTable1"/>
        <w:tblW w:w="8220" w:type="dxa"/>
        <w:tblLayout w:type="fixed"/>
        <w:tblLook w:val="04E0" w:firstRow="1" w:lastRow="1" w:firstColumn="1" w:lastColumn="0" w:noHBand="0" w:noVBand="1"/>
      </w:tblPr>
      <w:tblGrid>
        <w:gridCol w:w="1644"/>
        <w:gridCol w:w="1644"/>
        <w:gridCol w:w="1644"/>
        <w:gridCol w:w="1644"/>
        <w:gridCol w:w="1644"/>
      </w:tblGrid>
      <w:tr w:rsidR="005B5171" w:rsidRPr="005B5171" w:rsidTr="000B1E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4" w:type="dxa"/>
            <w:tcBorders>
              <w:top w:val="nil"/>
              <w:bottom w:val="single" w:sz="4" w:space="0" w:color="7F7F7F" w:themeColor="text1" w:themeTint="80"/>
            </w:tcBorders>
          </w:tcPr>
          <w:p w:rsidR="005B5171" w:rsidRPr="005B5171" w:rsidRDefault="005B5171" w:rsidP="005B5171">
            <w:pPr>
              <w:rPr>
                <w:rFonts w:ascii="Segoe UI" w:hAnsi="Segoe UI" w:cs="Segoe UI"/>
              </w:rPr>
            </w:pPr>
            <w:r w:rsidRPr="005B5171">
              <w:rPr>
                <w:rFonts w:ascii="Segoe UI" w:hAnsi="Segoe UI" w:cs="Segoe UI"/>
              </w:rPr>
              <w:t>Plantation type</w:t>
            </w:r>
          </w:p>
        </w:tc>
        <w:tc>
          <w:tcPr>
            <w:tcW w:w="1644"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Grade</w:t>
            </w:r>
          </w:p>
        </w:tc>
        <w:tc>
          <w:tcPr>
            <w:tcW w:w="1644"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Harvest volume (m</w:t>
            </w:r>
            <w:r w:rsidRPr="005B5171">
              <w:rPr>
                <w:rFonts w:ascii="Segoe UI" w:hAnsi="Segoe UI" w:cs="Segoe UI"/>
                <w:vertAlign w:val="superscript"/>
              </w:rPr>
              <w:t>3</w:t>
            </w:r>
            <w:r w:rsidRPr="005B5171">
              <w:rPr>
                <w:rFonts w:ascii="Segoe UI" w:hAnsi="Segoe UI" w:cs="Segoe UI"/>
              </w:rPr>
              <w:t>)</w:t>
            </w:r>
          </w:p>
        </w:tc>
        <w:tc>
          <w:tcPr>
            <w:tcW w:w="1644"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 xml:space="preserve"> per cent of total plantation type harvest volume</w:t>
            </w:r>
          </w:p>
        </w:tc>
        <w:tc>
          <w:tcPr>
            <w:tcW w:w="1644"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 xml:space="preserve"> per cent of total harvest volume</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7F7F7F" w:themeColor="text1" w:themeTint="80"/>
            </w:tcBorders>
          </w:tcPr>
          <w:p w:rsidR="005B5171" w:rsidRPr="005B5171" w:rsidRDefault="005B5171" w:rsidP="005B5171">
            <w:pPr>
              <w:rPr>
                <w:rFonts w:ascii="Segoe UI" w:hAnsi="Segoe UI" w:cs="Segoe UI"/>
              </w:rPr>
            </w:pPr>
            <w:r w:rsidRPr="005B5171">
              <w:rPr>
                <w:rFonts w:ascii="Segoe UI" w:hAnsi="Segoe UI" w:cs="Segoe UI"/>
              </w:rPr>
              <w:t>Hardwood</w:t>
            </w:r>
          </w:p>
        </w:tc>
        <w:tc>
          <w:tcPr>
            <w:tcW w:w="1644" w:type="dxa"/>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Sawlog</w:t>
            </w:r>
          </w:p>
        </w:tc>
        <w:tc>
          <w:tcPr>
            <w:tcW w:w="164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32,982</w:t>
            </w:r>
          </w:p>
        </w:tc>
        <w:tc>
          <w:tcPr>
            <w:tcW w:w="164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w:t>
            </w:r>
          </w:p>
        </w:tc>
        <w:tc>
          <w:tcPr>
            <w:tcW w:w="164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&lt;1</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nil"/>
            </w:tcBorders>
          </w:tcPr>
          <w:p w:rsidR="005B5171" w:rsidRPr="005B5171" w:rsidRDefault="005B5171" w:rsidP="005B5171">
            <w:pPr>
              <w:rPr>
                <w:rFonts w:ascii="Segoe UI" w:hAnsi="Segoe UI" w:cs="Segoe UI"/>
              </w:rPr>
            </w:pPr>
          </w:p>
        </w:tc>
        <w:tc>
          <w:tcPr>
            <w:tcW w:w="1644" w:type="dxa"/>
          </w:tcPr>
          <w:p w:rsidR="005B5171" w:rsidRPr="005B5171" w:rsidRDefault="005B5171" w:rsidP="005B5171">
            <w:pPr>
              <w:cnfStyle w:val="000000010000" w:firstRow="0" w:lastRow="0" w:firstColumn="0" w:lastColumn="0" w:oddVBand="0" w:evenVBand="0" w:oddHBand="0" w:evenHBand="1" w:firstRowFirstColumn="0" w:firstRowLastColumn="0" w:lastRowFirstColumn="0" w:lastRowLastColumn="0"/>
              <w:rPr>
                <w:rFonts w:ascii="Segoe UI" w:hAnsi="Segoe UI" w:cs="Segoe UI"/>
              </w:rPr>
            </w:pPr>
            <w:proofErr w:type="spellStart"/>
            <w:r w:rsidRPr="005B5171">
              <w:rPr>
                <w:rFonts w:ascii="Segoe UI" w:hAnsi="Segoe UI" w:cs="Segoe UI"/>
              </w:rPr>
              <w:t>Pulplog</w:t>
            </w:r>
            <w:proofErr w:type="spellEnd"/>
          </w:p>
        </w:tc>
        <w:tc>
          <w:tcPr>
            <w:tcW w:w="1644"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3,544,230</w:t>
            </w:r>
          </w:p>
        </w:tc>
        <w:tc>
          <w:tcPr>
            <w:tcW w:w="1644"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99</w:t>
            </w:r>
          </w:p>
        </w:tc>
        <w:tc>
          <w:tcPr>
            <w:tcW w:w="1644"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45</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7F7F7F" w:themeColor="text1" w:themeTint="80"/>
            </w:tcBorders>
          </w:tcPr>
          <w:p w:rsidR="005B5171" w:rsidRPr="005B5171" w:rsidRDefault="005B5171" w:rsidP="005B5171">
            <w:pPr>
              <w:rPr>
                <w:rFonts w:ascii="Segoe UI" w:hAnsi="Segoe UI" w:cs="Segoe UI"/>
              </w:rPr>
            </w:pPr>
          </w:p>
        </w:tc>
        <w:tc>
          <w:tcPr>
            <w:tcW w:w="1644" w:type="dxa"/>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Other</w:t>
            </w:r>
          </w:p>
        </w:tc>
        <w:tc>
          <w:tcPr>
            <w:tcW w:w="164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64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c>
          <w:tcPr>
            <w:tcW w:w="164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7F7F7F" w:themeColor="text1" w:themeTint="80"/>
              <w:bottom w:val="nil"/>
            </w:tcBorders>
          </w:tcPr>
          <w:p w:rsidR="005B5171" w:rsidRPr="005B5171" w:rsidRDefault="005B5171" w:rsidP="005B5171">
            <w:pPr>
              <w:rPr>
                <w:rFonts w:ascii="Segoe UI" w:hAnsi="Segoe UI" w:cs="Segoe UI"/>
              </w:rPr>
            </w:pPr>
            <w:r w:rsidRPr="005B5171">
              <w:rPr>
                <w:rFonts w:ascii="Segoe UI" w:hAnsi="Segoe UI" w:cs="Segoe UI"/>
              </w:rPr>
              <w:t>Softwood</w:t>
            </w:r>
          </w:p>
        </w:tc>
        <w:tc>
          <w:tcPr>
            <w:tcW w:w="1644" w:type="dxa"/>
          </w:tcPr>
          <w:p w:rsidR="005B5171" w:rsidRPr="005B5171" w:rsidRDefault="005B5171" w:rsidP="005B5171">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Sawlog</w:t>
            </w:r>
          </w:p>
        </w:tc>
        <w:tc>
          <w:tcPr>
            <w:tcW w:w="1644"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2,168,339</w:t>
            </w:r>
          </w:p>
        </w:tc>
        <w:tc>
          <w:tcPr>
            <w:tcW w:w="1644"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51</w:t>
            </w:r>
          </w:p>
        </w:tc>
        <w:tc>
          <w:tcPr>
            <w:tcW w:w="1644"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28</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nil"/>
            </w:tcBorders>
          </w:tcPr>
          <w:p w:rsidR="005B5171" w:rsidRPr="005B5171" w:rsidRDefault="005B5171" w:rsidP="005B5171">
            <w:pPr>
              <w:rPr>
                <w:rFonts w:ascii="Segoe UI" w:hAnsi="Segoe UI" w:cs="Segoe UI"/>
              </w:rPr>
            </w:pPr>
          </w:p>
        </w:tc>
        <w:tc>
          <w:tcPr>
            <w:tcW w:w="1644" w:type="dxa"/>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proofErr w:type="spellStart"/>
            <w:r w:rsidRPr="005B5171">
              <w:rPr>
                <w:rFonts w:ascii="Segoe UI" w:hAnsi="Segoe UI" w:cs="Segoe UI"/>
              </w:rPr>
              <w:t>Pulplog</w:t>
            </w:r>
            <w:proofErr w:type="spellEnd"/>
          </w:p>
        </w:tc>
        <w:tc>
          <w:tcPr>
            <w:tcW w:w="164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2,014,549</w:t>
            </w:r>
          </w:p>
        </w:tc>
        <w:tc>
          <w:tcPr>
            <w:tcW w:w="164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47</w:t>
            </w:r>
          </w:p>
        </w:tc>
        <w:tc>
          <w:tcPr>
            <w:tcW w:w="164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26</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7F7F7F" w:themeColor="text1" w:themeTint="80"/>
            </w:tcBorders>
          </w:tcPr>
          <w:p w:rsidR="005B5171" w:rsidRPr="005B5171" w:rsidRDefault="005B5171" w:rsidP="005B5171">
            <w:pPr>
              <w:rPr>
                <w:rFonts w:ascii="Segoe UI" w:hAnsi="Segoe UI" w:cs="Segoe UI"/>
              </w:rPr>
            </w:pPr>
          </w:p>
        </w:tc>
        <w:tc>
          <w:tcPr>
            <w:tcW w:w="1644" w:type="dxa"/>
          </w:tcPr>
          <w:p w:rsidR="005B5171" w:rsidRPr="005B5171" w:rsidRDefault="005B5171" w:rsidP="005B5171">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Other</w:t>
            </w:r>
          </w:p>
        </w:tc>
        <w:tc>
          <w:tcPr>
            <w:tcW w:w="1644"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79,028</w:t>
            </w:r>
          </w:p>
        </w:tc>
        <w:tc>
          <w:tcPr>
            <w:tcW w:w="1644"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w:t>
            </w:r>
          </w:p>
        </w:tc>
        <w:tc>
          <w:tcPr>
            <w:tcW w:w="1644"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w:t>
            </w:r>
          </w:p>
        </w:tc>
      </w:tr>
      <w:tr w:rsidR="005B5171" w:rsidRPr="005B5171" w:rsidTr="000B1EF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7F7F7F" w:themeColor="text1" w:themeTint="80"/>
            </w:tcBorders>
          </w:tcPr>
          <w:p w:rsidR="005B5171" w:rsidRPr="005B5171" w:rsidRDefault="005B5171" w:rsidP="005B5171">
            <w:pPr>
              <w:rPr>
                <w:rFonts w:ascii="Segoe UI" w:hAnsi="Segoe UI" w:cs="Segoe UI"/>
              </w:rPr>
            </w:pPr>
            <w:r w:rsidRPr="005B5171">
              <w:rPr>
                <w:rFonts w:ascii="Segoe UI" w:hAnsi="Segoe UI" w:cs="Segoe UI"/>
              </w:rPr>
              <w:t>Total</w:t>
            </w:r>
          </w:p>
        </w:tc>
        <w:tc>
          <w:tcPr>
            <w:tcW w:w="1644" w:type="dxa"/>
          </w:tcPr>
          <w:p w:rsidR="005B5171" w:rsidRPr="005B5171" w:rsidRDefault="005B5171" w:rsidP="005B5171">
            <w:pPr>
              <w:cnfStyle w:val="010000000000" w:firstRow="0" w:lastRow="1" w:firstColumn="0" w:lastColumn="0" w:oddVBand="0" w:evenVBand="0" w:oddHBand="0" w:evenHBand="0" w:firstRowFirstColumn="0" w:firstRowLastColumn="0" w:lastRowFirstColumn="0" w:lastRowLastColumn="0"/>
              <w:rPr>
                <w:rFonts w:ascii="Segoe UI" w:hAnsi="Segoe UI" w:cs="Segoe UI"/>
              </w:rPr>
            </w:pPr>
          </w:p>
        </w:tc>
        <w:tc>
          <w:tcPr>
            <w:tcW w:w="1644" w:type="dxa"/>
            <w:vAlign w:val="center"/>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fldChar w:fldCharType="begin"/>
            </w:r>
            <w:r w:rsidRPr="005B5171">
              <w:rPr>
                <w:rFonts w:ascii="Segoe UI" w:eastAsia="Calibri" w:hAnsi="Segoe UI" w:cs="Calibri"/>
                <w:szCs w:val="19"/>
                <w:lang w:eastAsia="en-AU"/>
              </w:rPr>
              <w:instrText xml:space="preserve"> =SUM(ABOVE) </w:instrText>
            </w:r>
            <w:r w:rsidRPr="005B5171">
              <w:rPr>
                <w:rFonts w:ascii="Segoe UI" w:eastAsia="Calibri" w:hAnsi="Segoe UI" w:cs="Calibri"/>
                <w:szCs w:val="19"/>
                <w:lang w:eastAsia="en-AU"/>
              </w:rPr>
              <w:fldChar w:fldCharType="separate"/>
            </w:r>
            <w:r w:rsidRPr="005B5171">
              <w:rPr>
                <w:rFonts w:ascii="Segoe UI" w:eastAsia="Calibri" w:hAnsi="Segoe UI" w:cs="Calibri"/>
                <w:szCs w:val="19"/>
                <w:lang w:eastAsia="en-AU"/>
              </w:rPr>
              <w:t>7,839,128</w:t>
            </w:r>
            <w:r w:rsidRPr="005B5171">
              <w:rPr>
                <w:rFonts w:ascii="Segoe UI" w:eastAsia="Calibri" w:hAnsi="Segoe UI" w:cs="Calibri"/>
                <w:szCs w:val="19"/>
                <w:lang w:eastAsia="en-AU"/>
              </w:rPr>
              <w:fldChar w:fldCharType="end"/>
            </w:r>
          </w:p>
        </w:tc>
        <w:tc>
          <w:tcPr>
            <w:tcW w:w="1644" w:type="dxa"/>
            <w:vAlign w:val="center"/>
          </w:tcPr>
          <w:p w:rsidR="005B5171" w:rsidRPr="005B5171" w:rsidRDefault="005B5171" w:rsidP="005B5171">
            <w:pPr>
              <w:cnfStyle w:val="010000000000" w:firstRow="0" w:lastRow="1" w:firstColumn="0" w:lastColumn="0" w:oddVBand="0" w:evenVBand="0" w:oddHBand="0" w:evenHBand="0" w:firstRowFirstColumn="0" w:firstRowLastColumn="0" w:lastRowFirstColumn="0" w:lastRowLastColumn="0"/>
              <w:rPr>
                <w:rFonts w:ascii="Segoe UI" w:hAnsi="Segoe UI" w:cs="Segoe UI"/>
              </w:rPr>
            </w:pPr>
          </w:p>
        </w:tc>
        <w:tc>
          <w:tcPr>
            <w:tcW w:w="1644" w:type="dxa"/>
            <w:vAlign w:val="center"/>
          </w:tcPr>
          <w:p w:rsidR="005B5171" w:rsidRPr="005B5171" w:rsidRDefault="005B5171" w:rsidP="005B5171">
            <w:pPr>
              <w:cnfStyle w:val="010000000000" w:firstRow="0" w:lastRow="1" w:firstColumn="0" w:lastColumn="0" w:oddVBand="0" w:evenVBand="0" w:oddHBand="0" w:evenHBand="0" w:firstRowFirstColumn="0" w:firstRowLastColumn="0" w:lastRowFirstColumn="0" w:lastRowLastColumn="0"/>
              <w:rPr>
                <w:rFonts w:ascii="Segoe UI" w:hAnsi="Segoe UI" w:cs="Segoe UI"/>
              </w:rPr>
            </w:pP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Source: ABARES 2018a Forest and wood product statistics</w:t>
      </w:r>
    </w:p>
    <w:p w:rsidR="005B5171" w:rsidRPr="005B5171" w:rsidRDefault="005B5171" w:rsidP="005B5171">
      <w:pPr>
        <w:spacing w:after="480" w:line="276" w:lineRule="auto"/>
        <w:rPr>
          <w:rFonts w:ascii="Segoe UI" w:hAnsi="Segoe UI" w:cs="Segoe UI"/>
          <w:b/>
          <w:color w:val="000000" w:themeColor="text1"/>
          <w:sz w:val="24"/>
          <w:szCs w:val="24"/>
        </w:rPr>
      </w:pPr>
      <w:r w:rsidRPr="005B5171">
        <w:rPr>
          <w:rFonts w:ascii="Segoe UI" w:hAnsi="Segoe UI" w:cs="Segoe UI"/>
        </w:rPr>
        <w:br w:type="page"/>
      </w:r>
    </w:p>
    <w:p w:rsidR="005B5171" w:rsidRPr="005B5171" w:rsidRDefault="005B5171" w:rsidP="005B5171">
      <w:pPr>
        <w:keepNext/>
        <w:spacing w:before="240" w:after="240" w:line="240" w:lineRule="auto"/>
        <w:outlineLvl w:val="2"/>
        <w:rPr>
          <w:rFonts w:ascii="Segoe UI" w:hAnsi="Segoe UI" w:cs="Segoe UI"/>
          <w:b/>
          <w:color w:val="000000"/>
          <w:sz w:val="24"/>
          <w:szCs w:val="24"/>
        </w:rPr>
      </w:pPr>
      <w:bookmarkStart w:id="79" w:name="_Toc11768333"/>
      <w:bookmarkStart w:id="80" w:name="_Toc30492029"/>
      <w:bookmarkStart w:id="81" w:name="_Toc33002127"/>
      <w:r w:rsidRPr="005B5171">
        <w:rPr>
          <w:rFonts w:ascii="Segoe UI" w:hAnsi="Segoe UI" w:cs="Segoe UI"/>
          <w:b/>
          <w:color w:val="000000"/>
          <w:sz w:val="24"/>
          <w:szCs w:val="24"/>
        </w:rPr>
        <w:t>Indicator 2.1d: Annual removal of non-wood forest products compared to the level determined to be sustainable</w:t>
      </w:r>
      <w:bookmarkEnd w:id="79"/>
      <w:bookmarkEnd w:id="80"/>
      <w:bookmarkEnd w:id="81"/>
    </w:p>
    <w:p w:rsidR="005B5171" w:rsidRPr="005B5171" w:rsidRDefault="005B5171" w:rsidP="005B5171">
      <w:pPr>
        <w:jc w:val="both"/>
        <w:rPr>
          <w:rFonts w:ascii="Segoe UI" w:hAnsi="Segoe UI" w:cs="Segoe UI"/>
        </w:rPr>
      </w:pPr>
      <w:r w:rsidRPr="005B5171">
        <w:rPr>
          <w:rFonts w:ascii="Segoe UI" w:hAnsi="Segoe UI" w:cs="Segoe UI"/>
        </w:rPr>
        <w:t xml:space="preserve">This indicator assesses the sustainability of harvesting of non-wood forest products. This includes herbaceous plants and tree ferns, tree components (such as seed, leaves or bark), mineral extraction and honey. </w:t>
      </w:r>
    </w:p>
    <w:p w:rsidR="005B5171" w:rsidRPr="005B5171" w:rsidRDefault="005B5171" w:rsidP="005B5171">
      <w:pPr>
        <w:keepNext/>
        <w:spacing w:before="120" w:after="120" w:line="240" w:lineRule="auto"/>
        <w:jc w:val="both"/>
        <w:outlineLvl w:val="3"/>
        <w:rPr>
          <w:rFonts w:ascii="Segoe UI" w:hAnsi="Segoe UI" w:cs="Segoe UI"/>
          <w:i/>
          <w:sz w:val="24"/>
          <w:szCs w:val="24"/>
        </w:rPr>
      </w:pPr>
      <w:r w:rsidRPr="005B5171">
        <w:rPr>
          <w:rFonts w:ascii="Segoe UI" w:hAnsi="Segoe UI" w:cs="Segoe UI"/>
          <w:i/>
          <w:sz w:val="24"/>
          <w:szCs w:val="24"/>
          <w:lang w:eastAsia="en-AU"/>
        </w:rPr>
        <w:t xml:space="preserve">Plant </w:t>
      </w:r>
      <w:r w:rsidRPr="005B5171">
        <w:rPr>
          <w:rFonts w:ascii="Segoe UI" w:hAnsi="Segoe UI" w:cs="Segoe UI"/>
          <w:i/>
          <w:sz w:val="24"/>
          <w:szCs w:val="24"/>
        </w:rPr>
        <w:t>material</w:t>
      </w:r>
      <w:r w:rsidRPr="005B5171">
        <w:rPr>
          <w:rFonts w:ascii="Segoe UI" w:hAnsi="Segoe UI" w:cs="Segoe UI"/>
          <w:i/>
          <w:sz w:val="24"/>
          <w:szCs w:val="24"/>
          <w:lang w:eastAsia="en-AU"/>
        </w:rPr>
        <w:t xml:space="preserve"> (non-timber)</w:t>
      </w:r>
    </w:p>
    <w:p w:rsidR="005B5171" w:rsidRPr="005B5171" w:rsidRDefault="005B5171" w:rsidP="005B5171">
      <w:pPr>
        <w:jc w:val="both"/>
        <w:rPr>
          <w:rFonts w:ascii="Segoe UI" w:hAnsi="Segoe UI" w:cs="Segoe UI"/>
        </w:rPr>
      </w:pPr>
      <w:r w:rsidRPr="005B5171">
        <w:rPr>
          <w:rFonts w:ascii="Segoe UI" w:hAnsi="Segoe UI" w:cs="Segoe UI"/>
        </w:rPr>
        <w:t>The handling of protected flora</w:t>
      </w:r>
      <w:r w:rsidRPr="005B5171">
        <w:rPr>
          <w:rFonts w:ascii="Segoe UI" w:hAnsi="Segoe UI" w:cs="Segoe UI"/>
          <w:vertAlign w:val="superscript"/>
        </w:rPr>
        <w:footnoteReference w:id="4"/>
      </w:r>
      <w:r w:rsidRPr="005B5171">
        <w:rPr>
          <w:rFonts w:ascii="Segoe UI" w:hAnsi="Segoe UI" w:cs="Segoe UI"/>
        </w:rPr>
        <w:t xml:space="preserve"> is regulated by DELWP to ensure that any harvesting or loss is ecologically sustainable. Under the FFG Act, a Protected Flora Licence or Permit from one of the regional offices of DELWP is required in order to collect protected native plants or undertake activities on </w:t>
      </w:r>
      <w:r w:rsidRPr="005B5171">
        <w:rPr>
          <w:rFonts w:ascii="Segoe UI" w:hAnsi="Segoe UI" w:cs="Segoe UI"/>
          <w:bCs/>
        </w:rPr>
        <w:t>public land</w:t>
      </w:r>
      <w:r w:rsidRPr="005B5171">
        <w:rPr>
          <w:rFonts w:ascii="Segoe UI" w:hAnsi="Segoe UI" w:cs="Segoe UI"/>
          <w:b/>
          <w:bCs/>
        </w:rPr>
        <w:t xml:space="preserve"> </w:t>
      </w:r>
      <w:r w:rsidRPr="005B5171">
        <w:rPr>
          <w:rFonts w:ascii="Segoe UI" w:hAnsi="Segoe UI" w:cs="Segoe UI"/>
        </w:rPr>
        <w:t xml:space="preserve">which might kill, injure or disturb protected native plants. </w:t>
      </w:r>
    </w:p>
    <w:p w:rsidR="005B5171" w:rsidRPr="005B5171" w:rsidRDefault="005B5171" w:rsidP="005B5171">
      <w:pPr>
        <w:jc w:val="both"/>
        <w:rPr>
          <w:rFonts w:ascii="Segoe UI" w:hAnsi="Segoe UI" w:cs="Segoe UI"/>
        </w:rPr>
      </w:pPr>
      <w:r w:rsidRPr="005B5171">
        <w:rPr>
          <w:rFonts w:ascii="Segoe UI" w:hAnsi="Segoe UI" w:cs="Segoe UI"/>
        </w:rPr>
        <w:t>In most cases, licence or permit applications are successful. However, DELWP may place conditions on the licence or permit, such as restricting the amount of protected flora that can be taken, the area from which it can be taken or the collection methods that can be used. In the case of works, DELWP may place conditions on a licence or permit which serve to avoid or minimise the loss of protected flora or to make good any disturbance caused.</w:t>
      </w:r>
    </w:p>
    <w:p w:rsidR="005B5171" w:rsidRPr="005B5171" w:rsidRDefault="005B5171" w:rsidP="005B5171">
      <w:pPr>
        <w:keepNext/>
        <w:spacing w:before="120" w:after="120" w:line="240" w:lineRule="auto"/>
        <w:jc w:val="both"/>
        <w:outlineLvl w:val="3"/>
        <w:rPr>
          <w:rFonts w:ascii="Times New Roman" w:hAnsi="Times New Roman" w:cs="Times New Roman"/>
          <w:i/>
          <w:sz w:val="24"/>
          <w:szCs w:val="24"/>
          <w:lang w:eastAsia="en-AU"/>
        </w:rPr>
      </w:pPr>
      <w:r w:rsidRPr="005B5171">
        <w:rPr>
          <w:rFonts w:ascii="Segoe UI" w:hAnsi="Segoe UI" w:cs="Segoe UI"/>
          <w:i/>
          <w:sz w:val="24"/>
          <w:szCs w:val="24"/>
          <w:lang w:eastAsia="en-AU"/>
        </w:rPr>
        <w:t>Other forest products</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For other forest produce, a Forest Produce Licence is required and DELWP is responsible for licensing relevant items. While the Minister for Energy, Environment and Climate Change and the Minister for Agriculture both have the delegation to issue Forest Produce Licences for forest produce (mentioned above) in the GMZ/SMZ, the collection of forest produce in SPZ areas is not permitted. DELWP, on behalf of the Minister for Energy, Environment and Climate Change, issues Forest Produce Licences for non-wood forest products in areas where such activities are permitted, generally in mixed-use forest outside SPZ.</w:t>
      </w:r>
    </w:p>
    <w:p w:rsidR="005B5171" w:rsidRPr="005B5171" w:rsidRDefault="005B5171" w:rsidP="005B5171">
      <w:pPr>
        <w:rPr>
          <w:rFonts w:ascii="Segoe UI" w:hAnsi="Segoe UI" w:cs="Segoe UI"/>
        </w:rPr>
      </w:pPr>
      <w:r w:rsidRPr="005B5171">
        <w:rPr>
          <w:rFonts w:ascii="Segoe UI" w:hAnsi="Segoe UI" w:cs="Segoe UI"/>
          <w:lang w:eastAsia="en-AU"/>
        </w:rPr>
        <w:t xml:space="preserve">A non-exhaustive list of licences granted for non-wood forest products is provided in </w:t>
      </w:r>
      <w:r w:rsidRPr="005B5171">
        <w:rPr>
          <w:rFonts w:ascii="Segoe UI" w:hAnsi="Segoe UI" w:cs="Segoe UI"/>
          <w:lang w:eastAsia="en-AU"/>
        </w:rPr>
        <w:fldChar w:fldCharType="begin"/>
      </w:r>
      <w:r w:rsidRPr="005B5171">
        <w:rPr>
          <w:rFonts w:ascii="Segoe UI" w:hAnsi="Segoe UI" w:cs="Segoe UI"/>
          <w:lang w:eastAsia="en-AU"/>
        </w:rPr>
        <w:instrText xml:space="preserve"> REF _Ref14530005 \h </w:instrText>
      </w:r>
      <w:r w:rsidRPr="005B5171">
        <w:rPr>
          <w:rFonts w:ascii="Segoe UI" w:hAnsi="Segoe UI" w:cs="Segoe UI"/>
          <w:lang w:eastAsia="en-AU"/>
        </w:rPr>
      </w:r>
      <w:r w:rsidRPr="005B5171">
        <w:rPr>
          <w:rFonts w:ascii="Segoe UI" w:hAnsi="Segoe UI" w:cs="Segoe UI"/>
          <w:lang w:eastAsia="en-AU"/>
        </w:rPr>
        <w:fldChar w:fldCharType="separate"/>
      </w:r>
      <w:r w:rsidRPr="005B5171">
        <w:rPr>
          <w:rFonts w:ascii="Segoe UI" w:hAnsi="Segoe UI" w:cs="Segoe UI"/>
        </w:rPr>
        <w:t xml:space="preserve">Table </w:t>
      </w:r>
      <w:r w:rsidRPr="005B5171">
        <w:rPr>
          <w:rFonts w:ascii="Segoe UI" w:hAnsi="Segoe UI" w:cs="Segoe UI"/>
          <w:noProof/>
        </w:rPr>
        <w:t>77</w:t>
      </w:r>
      <w:r w:rsidRPr="005B5171">
        <w:rPr>
          <w:rFonts w:ascii="Segoe UI" w:hAnsi="Segoe UI" w:cs="Segoe UI"/>
          <w:lang w:eastAsia="en-AU"/>
        </w:rPr>
        <w:fldChar w:fldCharType="end"/>
      </w:r>
      <w:r w:rsidRPr="005B5171">
        <w:rPr>
          <w:rFonts w:ascii="Segoe UI" w:hAnsi="Segoe UI" w:cs="Segoe UI"/>
          <w:lang w:eastAsia="en-AU"/>
        </w:rPr>
        <w:t xml:space="preserve">; however, information on ceiling levels for licence provision is not recorded. </w:t>
      </w:r>
    </w:p>
    <w:p w:rsidR="005B5171" w:rsidRPr="005B5171" w:rsidRDefault="005B5171" w:rsidP="005B5171">
      <w:pPr>
        <w:rPr>
          <w:rFonts w:ascii="Segoe UI Semibold" w:eastAsia="Segoe UI" w:hAnsi="Segoe UI Semibold" w:cs="Segoe UI Semibold"/>
          <w:color w:val="006295"/>
        </w:rPr>
        <w:sectPr w:rsidR="005B5171" w:rsidRPr="005B5171" w:rsidSect="005B5171">
          <w:footerReference w:type="default" r:id="rId21"/>
          <w:pgSz w:w="11906" w:h="16838" w:code="9"/>
          <w:pgMar w:top="1418" w:right="1418" w:bottom="1418" w:left="1418" w:header="737" w:footer="680" w:gutter="0"/>
          <w:pgNumType w:start="175"/>
          <w:cols w:space="708"/>
          <w:docGrid w:linePitch="360"/>
        </w:sectPr>
      </w:pPr>
    </w:p>
    <w:p w:rsidR="005B5171" w:rsidRPr="005B5171" w:rsidRDefault="005B5171" w:rsidP="005B5171">
      <w:pPr>
        <w:spacing w:after="200" w:line="240" w:lineRule="auto"/>
        <w:rPr>
          <w:rFonts w:ascii="Segoe UI Semibold" w:eastAsia="Times New Roman" w:hAnsi="Segoe UI Semibold" w:cs="Times New Roman"/>
          <w:color w:val="016295"/>
        </w:rPr>
      </w:pPr>
      <w:bookmarkStart w:id="82" w:name="_Ref14530005"/>
      <w:bookmarkStart w:id="83" w:name="_Toc25660859"/>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77</w:t>
      </w:r>
      <w:r w:rsidRPr="005B5171">
        <w:rPr>
          <w:rFonts w:ascii="Segoe UI Semibold" w:eastAsia="Times New Roman" w:hAnsi="Segoe UI Semibold" w:cs="Times New Roman"/>
          <w:noProof/>
          <w:color w:val="016295"/>
        </w:rPr>
        <w:fldChar w:fldCharType="end"/>
      </w:r>
      <w:bookmarkEnd w:id="82"/>
      <w:r w:rsidRPr="005B5171">
        <w:rPr>
          <w:rFonts w:ascii="Segoe UI Semibold" w:eastAsia="Times New Roman" w:hAnsi="Segoe UI Semibold" w:cs="Times New Roman"/>
          <w:color w:val="016295"/>
        </w:rPr>
        <w:t>: Register of Forest Produce Licences issued by RFA</w:t>
      </w:r>
      <w:bookmarkEnd w:id="83"/>
    </w:p>
    <w:tbl>
      <w:tblPr>
        <w:tblStyle w:val="xTable1"/>
        <w:tblW w:w="14737" w:type="dxa"/>
        <w:tblLayout w:type="fixed"/>
        <w:tblLook w:val="06A0" w:firstRow="1" w:lastRow="0" w:firstColumn="1" w:lastColumn="0" w:noHBand="1" w:noVBand="1"/>
      </w:tblPr>
      <w:tblGrid>
        <w:gridCol w:w="3251"/>
        <w:gridCol w:w="1989"/>
        <w:gridCol w:w="2126"/>
        <w:gridCol w:w="1701"/>
        <w:gridCol w:w="1418"/>
        <w:gridCol w:w="1696"/>
        <w:gridCol w:w="2556"/>
      </w:tblGrid>
      <w:tr w:rsidR="005B5171" w:rsidRPr="005B5171" w:rsidTr="000B1E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vAlign w:val="center"/>
          </w:tcPr>
          <w:p w:rsidR="005B5171" w:rsidRPr="005B5171" w:rsidRDefault="005B5171" w:rsidP="005B5171">
            <w:pPr>
              <w:rPr>
                <w:rFonts w:ascii="Segoe UI" w:eastAsia="Segoe UI" w:hAnsi="Segoe UI" w:cs="Segoe UI"/>
                <w:bCs/>
                <w:sz w:val="16"/>
                <w:szCs w:val="16"/>
              </w:rPr>
            </w:pPr>
            <w:r w:rsidRPr="005B5171">
              <w:rPr>
                <w:rFonts w:ascii="Segoe UI" w:eastAsia="Segoe UI" w:hAnsi="Segoe UI" w:cs="Segoe UI"/>
                <w:bCs/>
                <w:sz w:val="16"/>
                <w:szCs w:val="16"/>
              </w:rPr>
              <w:t>Forest Produce Type</w:t>
            </w:r>
          </w:p>
        </w:tc>
        <w:tc>
          <w:tcPr>
            <w:tcW w:w="0" w:type="dxa"/>
            <w:vAlign w:val="center"/>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eastAsia="Segoe UI" w:hAnsi="Segoe UI" w:cs="Segoe UI"/>
                <w:bCs/>
                <w:sz w:val="16"/>
                <w:szCs w:val="16"/>
              </w:rPr>
            </w:pPr>
            <w:r w:rsidRPr="005B5171">
              <w:rPr>
                <w:rFonts w:ascii="Segoe UI" w:eastAsia="Segoe UI" w:hAnsi="Segoe UI" w:cs="Segoe UI"/>
                <w:bCs/>
                <w:sz w:val="16"/>
                <w:szCs w:val="16"/>
              </w:rPr>
              <w:t>Commercial or Minor</w:t>
            </w:r>
          </w:p>
        </w:tc>
        <w:tc>
          <w:tcPr>
            <w:tcW w:w="0"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eastAsia="Segoe UI" w:hAnsi="Segoe UI" w:cs="Segoe UI"/>
                <w:bCs/>
                <w:sz w:val="16"/>
                <w:szCs w:val="16"/>
              </w:rPr>
            </w:pPr>
            <w:r w:rsidRPr="005B5171">
              <w:rPr>
                <w:rFonts w:ascii="Segoe UI" w:eastAsia="Segoe UI" w:hAnsi="Segoe UI" w:cs="Segoe UI"/>
                <w:bCs/>
                <w:sz w:val="16"/>
                <w:szCs w:val="16"/>
              </w:rPr>
              <w:t>Application Date</w:t>
            </w:r>
          </w:p>
        </w:tc>
        <w:tc>
          <w:tcPr>
            <w:tcW w:w="0"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eastAsia="Segoe UI" w:hAnsi="Segoe UI" w:cs="Segoe UI"/>
                <w:bCs/>
                <w:sz w:val="16"/>
                <w:szCs w:val="16"/>
              </w:rPr>
            </w:pPr>
            <w:r w:rsidRPr="005B5171">
              <w:rPr>
                <w:rFonts w:ascii="Segoe UI" w:eastAsia="Segoe UI" w:hAnsi="Segoe UI" w:cs="Segoe UI"/>
                <w:bCs/>
                <w:sz w:val="16"/>
                <w:szCs w:val="16"/>
              </w:rPr>
              <w:t>Quantity</w:t>
            </w:r>
          </w:p>
        </w:tc>
        <w:tc>
          <w:tcPr>
            <w:tcW w:w="0"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eastAsia="Segoe UI" w:hAnsi="Segoe UI" w:cs="Segoe UI"/>
                <w:bCs/>
                <w:sz w:val="16"/>
                <w:szCs w:val="16"/>
              </w:rPr>
            </w:pPr>
            <w:r w:rsidRPr="005B5171">
              <w:rPr>
                <w:rFonts w:ascii="Segoe UI" w:eastAsia="Segoe UI" w:hAnsi="Segoe UI" w:cs="Segoe UI"/>
                <w:bCs/>
                <w:sz w:val="16"/>
                <w:szCs w:val="16"/>
              </w:rPr>
              <w:t>Units</w:t>
            </w:r>
          </w:p>
        </w:tc>
        <w:tc>
          <w:tcPr>
            <w:tcW w:w="0"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eastAsia="Segoe UI" w:hAnsi="Segoe UI" w:cs="Segoe UI"/>
                <w:bCs/>
                <w:sz w:val="16"/>
                <w:szCs w:val="16"/>
              </w:rPr>
            </w:pPr>
            <w:r w:rsidRPr="005B5171">
              <w:rPr>
                <w:rFonts w:ascii="Segoe UI" w:eastAsia="Segoe UI" w:hAnsi="Segoe UI" w:cs="Segoe UI"/>
                <w:bCs/>
                <w:sz w:val="16"/>
                <w:szCs w:val="16"/>
              </w:rPr>
              <w:t>Royalty ($/unit)</w:t>
            </w:r>
          </w:p>
        </w:tc>
        <w:tc>
          <w:tcPr>
            <w:tcW w:w="0"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eastAsia="Segoe UI" w:hAnsi="Segoe UI" w:cs="Segoe UI"/>
                <w:bCs/>
                <w:sz w:val="16"/>
                <w:szCs w:val="16"/>
              </w:rPr>
            </w:pPr>
            <w:r w:rsidRPr="005B5171">
              <w:rPr>
                <w:rFonts w:ascii="Segoe UI" w:eastAsia="Segoe UI" w:hAnsi="Segoe UI" w:cs="Segoe UI"/>
                <w:bCs/>
                <w:sz w:val="16"/>
                <w:szCs w:val="16"/>
              </w:rPr>
              <w:t>RFA</w:t>
            </w:r>
          </w:p>
        </w:tc>
      </w:tr>
      <w:tr w:rsidR="005B5171" w:rsidRPr="005B5171" w:rsidTr="000B1EFD">
        <w:tc>
          <w:tcPr>
            <w:cnfStyle w:val="001000000000" w:firstRow="0" w:lastRow="0" w:firstColumn="1" w:lastColumn="0" w:oddVBand="0" w:evenVBand="0" w:oddHBand="0" w:evenHBand="0" w:firstRowFirstColumn="0" w:firstRowLastColumn="0" w:lastRowFirstColumn="0" w:lastRowLastColumn="0"/>
            <w:tcW w:w="3251" w:type="dxa"/>
            <w:vMerge w:val="restart"/>
          </w:tcPr>
          <w:p w:rsidR="005B5171" w:rsidRPr="005B5171" w:rsidRDefault="005B5171" w:rsidP="005B5171">
            <w:pPr>
              <w:rPr>
                <w:rFonts w:ascii="Segoe UI" w:hAnsi="Segoe UI" w:cs="Segoe UI"/>
                <w:sz w:val="18"/>
                <w:szCs w:val="18"/>
              </w:rPr>
            </w:pPr>
            <w:r w:rsidRPr="005B5171">
              <w:rPr>
                <w:rFonts w:ascii="Segoe UI" w:eastAsia="Segoe UI" w:hAnsi="Segoe UI" w:cs="Segoe UI"/>
                <w:sz w:val="18"/>
                <w:szCs w:val="18"/>
              </w:rPr>
              <w:t>Grass Tree Fronds</w:t>
            </w:r>
          </w:p>
        </w:tc>
        <w:tc>
          <w:tcPr>
            <w:tcW w:w="1989" w:type="dxa"/>
            <w:vMerge w:val="restart"/>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Commercial</w:t>
            </w:r>
          </w:p>
        </w:tc>
        <w:tc>
          <w:tcPr>
            <w:tcW w:w="212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2016</w:t>
            </w:r>
          </w:p>
        </w:tc>
        <w:tc>
          <w:tcPr>
            <w:tcW w:w="1701"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1,000</w:t>
            </w:r>
          </w:p>
        </w:tc>
        <w:tc>
          <w:tcPr>
            <w:tcW w:w="1418" w:type="dxa"/>
            <w:vMerge w:val="restart"/>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Bunches</w:t>
            </w:r>
          </w:p>
        </w:tc>
        <w:tc>
          <w:tcPr>
            <w:tcW w:w="169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2.1</w:t>
            </w:r>
          </w:p>
        </w:tc>
        <w:tc>
          <w:tcPr>
            <w:tcW w:w="2556" w:type="dxa"/>
            <w:vMerge w:val="restart"/>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West</w:t>
            </w:r>
          </w:p>
        </w:tc>
      </w:tr>
      <w:tr w:rsidR="005B5171" w:rsidRPr="005B5171" w:rsidTr="000B1EFD">
        <w:tc>
          <w:tcPr>
            <w:cnfStyle w:val="001000000000" w:firstRow="0" w:lastRow="0" w:firstColumn="1" w:lastColumn="0" w:oddVBand="0" w:evenVBand="0" w:oddHBand="0" w:evenHBand="0" w:firstRowFirstColumn="0" w:firstRowLastColumn="0" w:lastRowFirstColumn="0" w:lastRowLastColumn="0"/>
            <w:tcW w:w="3251" w:type="dxa"/>
            <w:vMerge/>
          </w:tcPr>
          <w:p w:rsidR="005B5171" w:rsidRPr="005B5171" w:rsidRDefault="005B5171" w:rsidP="005B5171">
            <w:pPr>
              <w:rPr>
                <w:rFonts w:ascii="Segoe UI" w:hAnsi="Segoe UI" w:cs="Segoe UI"/>
                <w:sz w:val="18"/>
                <w:szCs w:val="18"/>
              </w:rPr>
            </w:pPr>
          </w:p>
        </w:tc>
        <w:tc>
          <w:tcPr>
            <w:tcW w:w="1989" w:type="dxa"/>
            <w:vMerge/>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12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2017</w:t>
            </w:r>
          </w:p>
        </w:tc>
        <w:tc>
          <w:tcPr>
            <w:tcW w:w="1701"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1,000</w:t>
            </w:r>
          </w:p>
        </w:tc>
        <w:tc>
          <w:tcPr>
            <w:tcW w:w="1418" w:type="dxa"/>
            <w:vMerge/>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169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2.2</w:t>
            </w:r>
          </w:p>
        </w:tc>
        <w:tc>
          <w:tcPr>
            <w:tcW w:w="2556" w:type="dxa"/>
            <w:vMerge/>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5B5171" w:rsidRPr="005B5171" w:rsidTr="000B1EFD">
        <w:tc>
          <w:tcPr>
            <w:cnfStyle w:val="001000000000" w:firstRow="0" w:lastRow="0" w:firstColumn="1" w:lastColumn="0" w:oddVBand="0" w:evenVBand="0" w:oddHBand="0" w:evenHBand="0" w:firstRowFirstColumn="0" w:firstRowLastColumn="0" w:lastRowFirstColumn="0" w:lastRowLastColumn="0"/>
            <w:tcW w:w="3251" w:type="dxa"/>
            <w:vMerge/>
          </w:tcPr>
          <w:p w:rsidR="005B5171" w:rsidRPr="005B5171" w:rsidRDefault="005B5171" w:rsidP="005B5171">
            <w:pPr>
              <w:rPr>
                <w:rFonts w:ascii="Segoe UI" w:hAnsi="Segoe UI" w:cs="Segoe UI"/>
                <w:sz w:val="18"/>
                <w:szCs w:val="18"/>
              </w:rPr>
            </w:pPr>
          </w:p>
        </w:tc>
        <w:tc>
          <w:tcPr>
            <w:tcW w:w="1989" w:type="dxa"/>
            <w:vMerge/>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12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2018</w:t>
            </w:r>
          </w:p>
        </w:tc>
        <w:tc>
          <w:tcPr>
            <w:tcW w:w="1701"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1,000</w:t>
            </w:r>
          </w:p>
        </w:tc>
        <w:tc>
          <w:tcPr>
            <w:tcW w:w="1418" w:type="dxa"/>
            <w:vMerge/>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169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2.24</w:t>
            </w:r>
          </w:p>
        </w:tc>
        <w:tc>
          <w:tcPr>
            <w:tcW w:w="2556" w:type="dxa"/>
            <w:vMerge/>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5B5171" w:rsidRPr="005B5171" w:rsidTr="000B1EFD">
        <w:tc>
          <w:tcPr>
            <w:cnfStyle w:val="001000000000" w:firstRow="0" w:lastRow="0" w:firstColumn="1" w:lastColumn="0" w:oddVBand="0" w:evenVBand="0" w:oddHBand="0" w:evenHBand="0" w:firstRowFirstColumn="0" w:firstRowLastColumn="0" w:lastRowFirstColumn="0" w:lastRowLastColumn="0"/>
            <w:tcW w:w="3251" w:type="dxa"/>
            <w:vMerge w:val="restart"/>
          </w:tcPr>
          <w:p w:rsidR="005B5171" w:rsidRPr="005B5171" w:rsidRDefault="005B5171" w:rsidP="005B5171">
            <w:pPr>
              <w:rPr>
                <w:rFonts w:ascii="Segoe UI" w:hAnsi="Segoe UI" w:cs="Segoe UI"/>
                <w:sz w:val="18"/>
                <w:szCs w:val="18"/>
              </w:rPr>
            </w:pPr>
            <w:r w:rsidRPr="005B5171">
              <w:rPr>
                <w:rFonts w:ascii="Segoe UI" w:eastAsia="Segoe UI" w:hAnsi="Segoe UI" w:cs="Segoe UI"/>
                <w:sz w:val="18"/>
                <w:szCs w:val="18"/>
              </w:rPr>
              <w:t xml:space="preserve">Seed Capsules - </w:t>
            </w:r>
            <w:r w:rsidRPr="005B5171">
              <w:rPr>
                <w:rFonts w:ascii="Segoe UI" w:eastAsia="Segoe UI" w:hAnsi="Segoe UI" w:cs="Segoe UI"/>
                <w:i/>
                <w:sz w:val="18"/>
                <w:szCs w:val="18"/>
              </w:rPr>
              <w:t xml:space="preserve">E. </w:t>
            </w:r>
            <w:proofErr w:type="spellStart"/>
            <w:r w:rsidRPr="005B5171">
              <w:rPr>
                <w:rFonts w:ascii="Segoe UI" w:eastAsia="Segoe UI" w:hAnsi="Segoe UI" w:cs="Segoe UI"/>
                <w:i/>
                <w:sz w:val="18"/>
                <w:szCs w:val="18"/>
              </w:rPr>
              <w:t>nitens</w:t>
            </w:r>
            <w:proofErr w:type="spellEnd"/>
          </w:p>
        </w:tc>
        <w:tc>
          <w:tcPr>
            <w:tcW w:w="1989" w:type="dxa"/>
            <w:vMerge w:val="restart"/>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Commercial</w:t>
            </w:r>
          </w:p>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p>
        </w:tc>
        <w:tc>
          <w:tcPr>
            <w:tcW w:w="212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2016</w:t>
            </w:r>
          </w:p>
        </w:tc>
        <w:tc>
          <w:tcPr>
            <w:tcW w:w="1701"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200</w:t>
            </w:r>
          </w:p>
        </w:tc>
        <w:tc>
          <w:tcPr>
            <w:tcW w:w="1418" w:type="dxa"/>
            <w:vMerge w:val="restart"/>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kg</w:t>
            </w:r>
          </w:p>
        </w:tc>
        <w:tc>
          <w:tcPr>
            <w:tcW w:w="169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11.09</w:t>
            </w:r>
          </w:p>
        </w:tc>
        <w:tc>
          <w:tcPr>
            <w:tcW w:w="2556" w:type="dxa"/>
            <w:vMerge w:val="restart"/>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Gippsland, Central Highlands</w:t>
            </w:r>
          </w:p>
        </w:tc>
      </w:tr>
      <w:tr w:rsidR="005B5171" w:rsidRPr="005B5171" w:rsidTr="000B1EFD">
        <w:tc>
          <w:tcPr>
            <w:cnfStyle w:val="001000000000" w:firstRow="0" w:lastRow="0" w:firstColumn="1" w:lastColumn="0" w:oddVBand="0" w:evenVBand="0" w:oddHBand="0" w:evenHBand="0" w:firstRowFirstColumn="0" w:firstRowLastColumn="0" w:lastRowFirstColumn="0" w:lastRowLastColumn="0"/>
            <w:tcW w:w="3251" w:type="dxa"/>
            <w:vMerge/>
          </w:tcPr>
          <w:p w:rsidR="005B5171" w:rsidRPr="005B5171" w:rsidRDefault="005B5171" w:rsidP="005B5171">
            <w:pPr>
              <w:rPr>
                <w:rFonts w:ascii="Segoe UI" w:hAnsi="Segoe UI" w:cs="Segoe UI"/>
                <w:sz w:val="18"/>
                <w:szCs w:val="18"/>
              </w:rPr>
            </w:pPr>
          </w:p>
        </w:tc>
        <w:tc>
          <w:tcPr>
            <w:tcW w:w="1989" w:type="dxa"/>
            <w:vMerge/>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12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2017</w:t>
            </w:r>
          </w:p>
        </w:tc>
        <w:tc>
          <w:tcPr>
            <w:tcW w:w="1701"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200</w:t>
            </w:r>
          </w:p>
        </w:tc>
        <w:tc>
          <w:tcPr>
            <w:tcW w:w="1418" w:type="dxa"/>
            <w:vMerge/>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169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11.09</w:t>
            </w:r>
          </w:p>
        </w:tc>
        <w:tc>
          <w:tcPr>
            <w:tcW w:w="2556" w:type="dxa"/>
            <w:vMerge/>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5B5171" w:rsidRPr="005B5171" w:rsidTr="000B1EFD">
        <w:tc>
          <w:tcPr>
            <w:cnfStyle w:val="001000000000" w:firstRow="0" w:lastRow="0" w:firstColumn="1" w:lastColumn="0" w:oddVBand="0" w:evenVBand="0" w:oddHBand="0" w:evenHBand="0" w:firstRowFirstColumn="0" w:firstRowLastColumn="0" w:lastRowFirstColumn="0" w:lastRowLastColumn="0"/>
            <w:tcW w:w="3251" w:type="dxa"/>
            <w:vMerge/>
          </w:tcPr>
          <w:p w:rsidR="005B5171" w:rsidRPr="005B5171" w:rsidRDefault="005B5171" w:rsidP="005B5171">
            <w:pPr>
              <w:rPr>
                <w:rFonts w:ascii="Segoe UI" w:hAnsi="Segoe UI" w:cs="Segoe UI"/>
                <w:sz w:val="18"/>
                <w:szCs w:val="18"/>
              </w:rPr>
            </w:pPr>
          </w:p>
        </w:tc>
        <w:tc>
          <w:tcPr>
            <w:tcW w:w="1989" w:type="dxa"/>
            <w:vMerge/>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12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2018</w:t>
            </w:r>
          </w:p>
        </w:tc>
        <w:tc>
          <w:tcPr>
            <w:tcW w:w="1701"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p>
        </w:tc>
        <w:tc>
          <w:tcPr>
            <w:tcW w:w="1418" w:type="dxa"/>
            <w:vMerge/>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169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11.56</w:t>
            </w:r>
          </w:p>
        </w:tc>
        <w:tc>
          <w:tcPr>
            <w:tcW w:w="2556" w:type="dxa"/>
            <w:vMerge/>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5B5171" w:rsidRPr="005B5171" w:rsidTr="000B1EFD">
        <w:tc>
          <w:tcPr>
            <w:cnfStyle w:val="001000000000" w:firstRow="0" w:lastRow="0" w:firstColumn="1" w:lastColumn="0" w:oddVBand="0" w:evenVBand="0" w:oddHBand="0" w:evenHBand="0" w:firstRowFirstColumn="0" w:firstRowLastColumn="0" w:lastRowFirstColumn="0" w:lastRowLastColumn="0"/>
            <w:tcW w:w="3251" w:type="dxa"/>
            <w:vMerge w:val="restart"/>
          </w:tcPr>
          <w:p w:rsidR="005B5171" w:rsidRPr="005B5171" w:rsidRDefault="005B5171" w:rsidP="005B5171">
            <w:pPr>
              <w:rPr>
                <w:rFonts w:ascii="Segoe UI" w:hAnsi="Segoe UI" w:cs="Segoe UI"/>
                <w:sz w:val="18"/>
                <w:szCs w:val="18"/>
              </w:rPr>
            </w:pPr>
            <w:r w:rsidRPr="005B5171">
              <w:rPr>
                <w:rFonts w:ascii="Segoe UI" w:eastAsia="Segoe UI" w:hAnsi="Segoe UI" w:cs="Segoe UI"/>
                <w:sz w:val="18"/>
                <w:szCs w:val="18"/>
              </w:rPr>
              <w:t xml:space="preserve">Seed Capsules - </w:t>
            </w:r>
            <w:r w:rsidRPr="005B5171">
              <w:rPr>
                <w:rFonts w:ascii="Segoe UI" w:eastAsia="Segoe UI" w:hAnsi="Segoe UI" w:cs="Segoe UI"/>
                <w:i/>
                <w:sz w:val="18"/>
                <w:szCs w:val="18"/>
              </w:rPr>
              <w:t xml:space="preserve">E. </w:t>
            </w:r>
            <w:proofErr w:type="spellStart"/>
            <w:r w:rsidRPr="005B5171">
              <w:rPr>
                <w:rFonts w:ascii="Segoe UI" w:eastAsia="Segoe UI" w:hAnsi="Segoe UI" w:cs="Segoe UI"/>
                <w:i/>
                <w:sz w:val="18"/>
                <w:szCs w:val="18"/>
              </w:rPr>
              <w:t>bosistoana</w:t>
            </w:r>
            <w:proofErr w:type="spellEnd"/>
          </w:p>
        </w:tc>
        <w:tc>
          <w:tcPr>
            <w:tcW w:w="1989" w:type="dxa"/>
            <w:vMerge w:val="restart"/>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Commercial</w:t>
            </w:r>
          </w:p>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p>
        </w:tc>
        <w:tc>
          <w:tcPr>
            <w:tcW w:w="212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2016</w:t>
            </w:r>
          </w:p>
        </w:tc>
        <w:tc>
          <w:tcPr>
            <w:tcW w:w="1701"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100</w:t>
            </w:r>
          </w:p>
        </w:tc>
        <w:tc>
          <w:tcPr>
            <w:tcW w:w="1418" w:type="dxa"/>
            <w:vMerge w:val="restart"/>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kg</w:t>
            </w:r>
          </w:p>
        </w:tc>
        <w:tc>
          <w:tcPr>
            <w:tcW w:w="169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2.46</w:t>
            </w:r>
          </w:p>
        </w:tc>
        <w:tc>
          <w:tcPr>
            <w:tcW w:w="2556" w:type="dxa"/>
            <w:vMerge w:val="restart"/>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East Gippsland</w:t>
            </w:r>
          </w:p>
        </w:tc>
      </w:tr>
      <w:tr w:rsidR="005B5171" w:rsidRPr="005B5171" w:rsidTr="000B1EFD">
        <w:tc>
          <w:tcPr>
            <w:cnfStyle w:val="001000000000" w:firstRow="0" w:lastRow="0" w:firstColumn="1" w:lastColumn="0" w:oddVBand="0" w:evenVBand="0" w:oddHBand="0" w:evenHBand="0" w:firstRowFirstColumn="0" w:firstRowLastColumn="0" w:lastRowFirstColumn="0" w:lastRowLastColumn="0"/>
            <w:tcW w:w="3251" w:type="dxa"/>
            <w:vMerge/>
          </w:tcPr>
          <w:p w:rsidR="005B5171" w:rsidRPr="005B5171" w:rsidRDefault="005B5171" w:rsidP="005B5171">
            <w:pPr>
              <w:rPr>
                <w:rFonts w:ascii="Segoe UI" w:hAnsi="Segoe UI" w:cs="Segoe UI"/>
                <w:sz w:val="18"/>
                <w:szCs w:val="18"/>
              </w:rPr>
            </w:pPr>
          </w:p>
        </w:tc>
        <w:tc>
          <w:tcPr>
            <w:tcW w:w="1989" w:type="dxa"/>
            <w:vMerge/>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12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2018</w:t>
            </w:r>
          </w:p>
        </w:tc>
        <w:tc>
          <w:tcPr>
            <w:tcW w:w="1701"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50</w:t>
            </w:r>
          </w:p>
        </w:tc>
        <w:tc>
          <w:tcPr>
            <w:tcW w:w="1418" w:type="dxa"/>
            <w:vMerge/>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169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2.46</w:t>
            </w:r>
          </w:p>
        </w:tc>
        <w:tc>
          <w:tcPr>
            <w:tcW w:w="2556" w:type="dxa"/>
            <w:vMerge/>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5B5171" w:rsidRPr="005B5171" w:rsidTr="000B1EFD">
        <w:tc>
          <w:tcPr>
            <w:cnfStyle w:val="001000000000" w:firstRow="0" w:lastRow="0" w:firstColumn="1" w:lastColumn="0" w:oddVBand="0" w:evenVBand="0" w:oddHBand="0" w:evenHBand="0" w:firstRowFirstColumn="0" w:firstRowLastColumn="0" w:lastRowFirstColumn="0" w:lastRowLastColumn="0"/>
            <w:tcW w:w="3251" w:type="dxa"/>
            <w:vMerge w:val="restart"/>
          </w:tcPr>
          <w:p w:rsidR="005B5171" w:rsidRPr="005B5171" w:rsidRDefault="005B5171" w:rsidP="005B5171">
            <w:pPr>
              <w:rPr>
                <w:rFonts w:ascii="Segoe UI" w:hAnsi="Segoe UI" w:cs="Segoe UI"/>
                <w:sz w:val="18"/>
                <w:szCs w:val="18"/>
              </w:rPr>
            </w:pPr>
            <w:r w:rsidRPr="005B5171">
              <w:rPr>
                <w:rFonts w:ascii="Segoe UI" w:eastAsia="Segoe UI" w:hAnsi="Segoe UI" w:cs="Segoe UI"/>
                <w:sz w:val="18"/>
                <w:szCs w:val="18"/>
              </w:rPr>
              <w:t>Firewood Salvage - VicRoads</w:t>
            </w:r>
          </w:p>
        </w:tc>
        <w:tc>
          <w:tcPr>
            <w:tcW w:w="1989" w:type="dxa"/>
            <w:vMerge w:val="restart"/>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Commercial</w:t>
            </w:r>
          </w:p>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p>
        </w:tc>
        <w:tc>
          <w:tcPr>
            <w:tcW w:w="212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2017</w:t>
            </w:r>
          </w:p>
        </w:tc>
        <w:tc>
          <w:tcPr>
            <w:tcW w:w="1701"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Salvage</w:t>
            </w:r>
          </w:p>
        </w:tc>
        <w:tc>
          <w:tcPr>
            <w:tcW w:w="1418" w:type="dxa"/>
            <w:vMerge w:val="restart"/>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tonnes</w:t>
            </w:r>
          </w:p>
        </w:tc>
        <w:tc>
          <w:tcPr>
            <w:tcW w:w="169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11.8</w:t>
            </w:r>
          </w:p>
        </w:tc>
        <w:tc>
          <w:tcPr>
            <w:tcW w:w="2556" w:type="dxa"/>
            <w:vMerge w:val="restart"/>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East Gippsland</w:t>
            </w:r>
          </w:p>
        </w:tc>
      </w:tr>
      <w:tr w:rsidR="005B5171" w:rsidRPr="005B5171" w:rsidTr="000B1EFD">
        <w:tc>
          <w:tcPr>
            <w:cnfStyle w:val="001000000000" w:firstRow="0" w:lastRow="0" w:firstColumn="1" w:lastColumn="0" w:oddVBand="0" w:evenVBand="0" w:oddHBand="0" w:evenHBand="0" w:firstRowFirstColumn="0" w:firstRowLastColumn="0" w:lastRowFirstColumn="0" w:lastRowLastColumn="0"/>
            <w:tcW w:w="3251" w:type="dxa"/>
            <w:vMerge/>
          </w:tcPr>
          <w:p w:rsidR="005B5171" w:rsidRPr="005B5171" w:rsidRDefault="005B5171" w:rsidP="005B5171">
            <w:pPr>
              <w:rPr>
                <w:rFonts w:ascii="Segoe UI" w:hAnsi="Segoe UI" w:cs="Segoe UI"/>
                <w:sz w:val="18"/>
                <w:szCs w:val="18"/>
              </w:rPr>
            </w:pPr>
          </w:p>
        </w:tc>
        <w:tc>
          <w:tcPr>
            <w:tcW w:w="1989" w:type="dxa"/>
            <w:vMerge/>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12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2019</w:t>
            </w:r>
          </w:p>
        </w:tc>
        <w:tc>
          <w:tcPr>
            <w:tcW w:w="1701"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300</w:t>
            </w:r>
          </w:p>
        </w:tc>
        <w:tc>
          <w:tcPr>
            <w:tcW w:w="1418" w:type="dxa"/>
            <w:vMerge/>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169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14.3</w:t>
            </w:r>
          </w:p>
        </w:tc>
        <w:tc>
          <w:tcPr>
            <w:tcW w:w="2556" w:type="dxa"/>
            <w:vMerge/>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5B5171" w:rsidRPr="005B5171" w:rsidTr="000B1EFD">
        <w:tc>
          <w:tcPr>
            <w:cnfStyle w:val="001000000000" w:firstRow="0" w:lastRow="0" w:firstColumn="1" w:lastColumn="0" w:oddVBand="0" w:evenVBand="0" w:oddHBand="0" w:evenHBand="0" w:firstRowFirstColumn="0" w:firstRowLastColumn="0" w:lastRowFirstColumn="0" w:lastRowLastColumn="0"/>
            <w:tcW w:w="3251" w:type="dxa"/>
          </w:tcPr>
          <w:p w:rsidR="005B5171" w:rsidRPr="005B5171" w:rsidRDefault="005B5171" w:rsidP="005B5171">
            <w:pPr>
              <w:rPr>
                <w:rFonts w:ascii="Segoe UI" w:hAnsi="Segoe UI" w:cs="Segoe UI"/>
                <w:sz w:val="18"/>
                <w:szCs w:val="18"/>
              </w:rPr>
            </w:pPr>
            <w:r w:rsidRPr="005B5171">
              <w:rPr>
                <w:rFonts w:ascii="Segoe UI" w:eastAsia="Segoe UI" w:hAnsi="Segoe UI" w:cs="Segoe UI"/>
                <w:sz w:val="18"/>
                <w:szCs w:val="18"/>
              </w:rPr>
              <w:t xml:space="preserve">Seed Capsules - </w:t>
            </w:r>
            <w:r w:rsidRPr="005B5171">
              <w:rPr>
                <w:rFonts w:ascii="Segoe UI" w:eastAsia="Segoe UI" w:hAnsi="Segoe UI" w:cs="Segoe UI"/>
                <w:i/>
                <w:sz w:val="18"/>
                <w:szCs w:val="18"/>
              </w:rPr>
              <w:t xml:space="preserve">E. </w:t>
            </w:r>
            <w:proofErr w:type="spellStart"/>
            <w:r w:rsidRPr="005B5171">
              <w:rPr>
                <w:rFonts w:ascii="Segoe UI" w:eastAsia="Segoe UI" w:hAnsi="Segoe UI" w:cs="Segoe UI"/>
                <w:i/>
                <w:sz w:val="18"/>
                <w:szCs w:val="18"/>
              </w:rPr>
              <w:t>cypellocarpa</w:t>
            </w:r>
            <w:proofErr w:type="spellEnd"/>
          </w:p>
        </w:tc>
        <w:tc>
          <w:tcPr>
            <w:tcW w:w="1989" w:type="dxa"/>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Commercial</w:t>
            </w:r>
          </w:p>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p>
        </w:tc>
        <w:tc>
          <w:tcPr>
            <w:tcW w:w="212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2017</w:t>
            </w:r>
          </w:p>
        </w:tc>
        <w:tc>
          <w:tcPr>
            <w:tcW w:w="1701"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20</w:t>
            </w:r>
          </w:p>
        </w:tc>
        <w:tc>
          <w:tcPr>
            <w:tcW w:w="1418"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kg</w:t>
            </w:r>
          </w:p>
        </w:tc>
        <w:tc>
          <w:tcPr>
            <w:tcW w:w="169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11.09</w:t>
            </w:r>
          </w:p>
        </w:tc>
        <w:tc>
          <w:tcPr>
            <w:tcW w:w="2556" w:type="dxa"/>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East Gippsland</w:t>
            </w:r>
          </w:p>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p>
        </w:tc>
      </w:tr>
      <w:tr w:rsidR="005B5171" w:rsidRPr="005B5171" w:rsidTr="000B1EFD">
        <w:tc>
          <w:tcPr>
            <w:cnfStyle w:val="001000000000" w:firstRow="0" w:lastRow="0" w:firstColumn="1" w:lastColumn="0" w:oddVBand="0" w:evenVBand="0" w:oddHBand="0" w:evenHBand="0" w:firstRowFirstColumn="0" w:firstRowLastColumn="0" w:lastRowFirstColumn="0" w:lastRowLastColumn="0"/>
            <w:tcW w:w="3251" w:type="dxa"/>
          </w:tcPr>
          <w:p w:rsidR="005B5171" w:rsidRPr="005B5171" w:rsidRDefault="005B5171" w:rsidP="005B5171">
            <w:pPr>
              <w:rPr>
                <w:rFonts w:ascii="Segoe UI" w:hAnsi="Segoe UI" w:cs="Segoe UI"/>
                <w:sz w:val="18"/>
                <w:szCs w:val="18"/>
              </w:rPr>
            </w:pPr>
            <w:r w:rsidRPr="005B5171">
              <w:rPr>
                <w:rFonts w:ascii="Segoe UI" w:eastAsia="Segoe UI" w:hAnsi="Segoe UI" w:cs="Segoe UI"/>
                <w:sz w:val="18"/>
                <w:szCs w:val="18"/>
              </w:rPr>
              <w:t>Seed Extracted</w:t>
            </w:r>
          </w:p>
        </w:tc>
        <w:tc>
          <w:tcPr>
            <w:tcW w:w="1989" w:type="dxa"/>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Commercial</w:t>
            </w:r>
          </w:p>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p>
        </w:tc>
        <w:tc>
          <w:tcPr>
            <w:tcW w:w="212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2018</w:t>
            </w:r>
          </w:p>
        </w:tc>
        <w:tc>
          <w:tcPr>
            <w:tcW w:w="1701"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150</w:t>
            </w:r>
          </w:p>
        </w:tc>
        <w:tc>
          <w:tcPr>
            <w:tcW w:w="1418"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kg</w:t>
            </w:r>
          </w:p>
        </w:tc>
        <w:tc>
          <w:tcPr>
            <w:tcW w:w="169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40.05</w:t>
            </w:r>
          </w:p>
        </w:tc>
        <w:tc>
          <w:tcPr>
            <w:tcW w:w="2556" w:type="dxa"/>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Central Highlands</w:t>
            </w:r>
          </w:p>
        </w:tc>
      </w:tr>
      <w:tr w:rsidR="005B5171" w:rsidRPr="005B5171" w:rsidTr="000B1EFD">
        <w:tc>
          <w:tcPr>
            <w:cnfStyle w:val="001000000000" w:firstRow="0" w:lastRow="0" w:firstColumn="1" w:lastColumn="0" w:oddVBand="0" w:evenVBand="0" w:oddHBand="0" w:evenHBand="0" w:firstRowFirstColumn="0" w:firstRowLastColumn="0" w:lastRowFirstColumn="0" w:lastRowLastColumn="0"/>
            <w:tcW w:w="3251" w:type="dxa"/>
          </w:tcPr>
          <w:p w:rsidR="005B5171" w:rsidRPr="005B5171" w:rsidRDefault="005B5171" w:rsidP="005B5171">
            <w:pPr>
              <w:rPr>
                <w:rFonts w:ascii="Segoe UI" w:hAnsi="Segoe UI" w:cs="Segoe UI"/>
                <w:sz w:val="18"/>
                <w:szCs w:val="18"/>
              </w:rPr>
            </w:pPr>
            <w:r w:rsidRPr="005B5171">
              <w:rPr>
                <w:rFonts w:ascii="Segoe UI" w:eastAsia="Segoe UI" w:hAnsi="Segoe UI" w:cs="Segoe UI"/>
                <w:sz w:val="18"/>
                <w:szCs w:val="18"/>
              </w:rPr>
              <w:t xml:space="preserve">Seed Capsules </w:t>
            </w:r>
            <w:r w:rsidRPr="005B5171">
              <w:rPr>
                <w:rFonts w:ascii="Segoe UI" w:eastAsia="Segoe UI" w:hAnsi="Segoe UI" w:cs="Segoe UI"/>
                <w:i/>
                <w:sz w:val="18"/>
                <w:szCs w:val="18"/>
              </w:rPr>
              <w:t xml:space="preserve">- E. </w:t>
            </w:r>
            <w:proofErr w:type="spellStart"/>
            <w:r w:rsidRPr="005B5171">
              <w:rPr>
                <w:rFonts w:ascii="Segoe UI" w:eastAsia="Segoe UI" w:hAnsi="Segoe UI" w:cs="Segoe UI"/>
                <w:i/>
                <w:sz w:val="18"/>
                <w:szCs w:val="18"/>
              </w:rPr>
              <w:t>globoidea</w:t>
            </w:r>
            <w:proofErr w:type="spellEnd"/>
          </w:p>
        </w:tc>
        <w:tc>
          <w:tcPr>
            <w:tcW w:w="1989" w:type="dxa"/>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Commercial</w:t>
            </w:r>
          </w:p>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p>
        </w:tc>
        <w:tc>
          <w:tcPr>
            <w:tcW w:w="212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2018</w:t>
            </w:r>
          </w:p>
        </w:tc>
        <w:tc>
          <w:tcPr>
            <w:tcW w:w="1701"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50</w:t>
            </w:r>
          </w:p>
        </w:tc>
        <w:tc>
          <w:tcPr>
            <w:tcW w:w="1418"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kg</w:t>
            </w:r>
          </w:p>
        </w:tc>
        <w:tc>
          <w:tcPr>
            <w:tcW w:w="169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2.46</w:t>
            </w:r>
          </w:p>
        </w:tc>
        <w:tc>
          <w:tcPr>
            <w:tcW w:w="2556" w:type="dxa"/>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East Gippsland</w:t>
            </w:r>
          </w:p>
        </w:tc>
      </w:tr>
      <w:tr w:rsidR="005B5171" w:rsidRPr="005B5171" w:rsidTr="000B1EFD">
        <w:tc>
          <w:tcPr>
            <w:cnfStyle w:val="001000000000" w:firstRow="0" w:lastRow="0" w:firstColumn="1" w:lastColumn="0" w:oddVBand="0" w:evenVBand="0" w:oddHBand="0" w:evenHBand="0" w:firstRowFirstColumn="0" w:firstRowLastColumn="0" w:lastRowFirstColumn="0" w:lastRowLastColumn="0"/>
            <w:tcW w:w="3251" w:type="dxa"/>
          </w:tcPr>
          <w:p w:rsidR="005B5171" w:rsidRPr="005B5171" w:rsidRDefault="005B5171" w:rsidP="005B5171">
            <w:pPr>
              <w:rPr>
                <w:rFonts w:ascii="Segoe UI" w:hAnsi="Segoe UI" w:cs="Segoe UI"/>
                <w:sz w:val="18"/>
                <w:szCs w:val="18"/>
              </w:rPr>
            </w:pPr>
            <w:r w:rsidRPr="005B5171">
              <w:rPr>
                <w:rFonts w:ascii="Segoe UI" w:eastAsia="Segoe UI" w:hAnsi="Segoe UI" w:cs="Segoe UI"/>
                <w:sz w:val="18"/>
                <w:szCs w:val="18"/>
              </w:rPr>
              <w:t xml:space="preserve">Leaf material - </w:t>
            </w:r>
            <w:r w:rsidRPr="005B5171">
              <w:rPr>
                <w:rFonts w:ascii="Segoe UI" w:eastAsia="Segoe UI" w:hAnsi="Segoe UI" w:cs="Segoe UI"/>
                <w:i/>
                <w:sz w:val="18"/>
                <w:szCs w:val="18"/>
              </w:rPr>
              <w:t>E. radiata</w:t>
            </w:r>
          </w:p>
        </w:tc>
        <w:tc>
          <w:tcPr>
            <w:tcW w:w="1989" w:type="dxa"/>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Minor</w:t>
            </w:r>
          </w:p>
        </w:tc>
        <w:tc>
          <w:tcPr>
            <w:tcW w:w="212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2019</w:t>
            </w:r>
          </w:p>
        </w:tc>
        <w:tc>
          <w:tcPr>
            <w:tcW w:w="1701"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2</w:t>
            </w:r>
          </w:p>
        </w:tc>
        <w:tc>
          <w:tcPr>
            <w:tcW w:w="1418"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kg</w:t>
            </w:r>
          </w:p>
        </w:tc>
        <w:tc>
          <w:tcPr>
            <w:tcW w:w="1696" w:type="dxa"/>
          </w:tcPr>
          <w:p w:rsidR="005B5171" w:rsidRPr="005B5171" w:rsidRDefault="005B5171" w:rsidP="005B5171">
            <w:pPr>
              <w:jc w:val="cente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Waived</w:t>
            </w:r>
          </w:p>
        </w:tc>
        <w:tc>
          <w:tcPr>
            <w:tcW w:w="2556" w:type="dxa"/>
          </w:tcPr>
          <w:p w:rsidR="005B5171" w:rsidRPr="005B5171" w:rsidRDefault="005B5171" w:rsidP="005B5171">
            <w:pPr>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8"/>
                <w:szCs w:val="18"/>
              </w:rPr>
            </w:pPr>
            <w:r w:rsidRPr="005B5171">
              <w:rPr>
                <w:rFonts w:ascii="Segoe UI" w:eastAsia="Segoe UI" w:hAnsi="Segoe UI" w:cs="Segoe UI"/>
                <w:sz w:val="18"/>
                <w:szCs w:val="18"/>
              </w:rPr>
              <w:t>Central Highlands</w:t>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Source: Office of Deputy Secretary – Regional Services – Fire and Land State-wide Coordination (Contact: Judy L Alexander)</w:t>
      </w:r>
    </w:p>
    <w:p w:rsidR="005B5171" w:rsidRPr="005B5171" w:rsidRDefault="005B5171" w:rsidP="005B5171">
      <w:pPr>
        <w:rPr>
          <w:rFonts w:ascii="Segoe UI" w:hAnsi="Segoe UI" w:cs="Segoe UI"/>
        </w:rPr>
        <w:sectPr w:rsidR="005B5171" w:rsidRPr="005B5171" w:rsidSect="00E53AAA">
          <w:headerReference w:type="default" r:id="rId22"/>
          <w:pgSz w:w="16838" w:h="11906" w:orient="landscape" w:code="9"/>
          <w:pgMar w:top="1418" w:right="1418" w:bottom="1418" w:left="1418" w:header="737" w:footer="680" w:gutter="0"/>
          <w:cols w:space="708"/>
          <w:docGrid w:linePitch="360"/>
        </w:sectPr>
      </w:pPr>
    </w:p>
    <w:p w:rsidR="005B5171" w:rsidRPr="005B5171" w:rsidRDefault="005B5171" w:rsidP="005B5171">
      <w:pPr>
        <w:keepNext/>
        <w:spacing w:before="120" w:after="120" w:line="240" w:lineRule="auto"/>
        <w:jc w:val="both"/>
        <w:outlineLvl w:val="3"/>
        <w:rPr>
          <w:rFonts w:ascii="Segoe UI" w:hAnsi="Segoe UI" w:cs="Segoe UI"/>
          <w:i/>
          <w:sz w:val="24"/>
          <w:szCs w:val="24"/>
          <w:lang w:eastAsia="en-AU"/>
        </w:rPr>
      </w:pPr>
      <w:bookmarkStart w:id="84" w:name="_Toc11768334"/>
      <w:r w:rsidRPr="005B5171">
        <w:rPr>
          <w:rFonts w:ascii="Segoe UI" w:hAnsi="Segoe UI" w:cs="Segoe UI"/>
          <w:i/>
          <w:sz w:val="24"/>
          <w:szCs w:val="24"/>
          <w:lang w:eastAsia="en-AU"/>
        </w:rPr>
        <w:t>Earth resources</w:t>
      </w:r>
    </w:p>
    <w:p w:rsidR="005B5171" w:rsidRPr="005B5171" w:rsidRDefault="005B5171" w:rsidP="005B5171">
      <w:pPr>
        <w:jc w:val="both"/>
        <w:rPr>
          <w:rFonts w:ascii="Segoe UI" w:hAnsi="Segoe UI" w:cs="Segoe UI"/>
        </w:rPr>
      </w:pPr>
      <w:r w:rsidRPr="005B5171">
        <w:rPr>
          <w:rFonts w:ascii="Segoe UI" w:hAnsi="Segoe UI" w:cs="Segoe UI"/>
        </w:rPr>
        <w:t>Earth Resources Regulation is Victoria’s regulator of exploration, mining, quarrying, petroleum, recreational prospecting and other earth resource activities. It operates within DJPR and undertakes the assessment and authorisation of earth resource projects in close collaboration with other regulators and agencies within the Victorian Government. Regulation protects local communities and the environment, thus facilitating the safe provision of business and job opportunities across the five RFA regions.</w:t>
      </w:r>
    </w:p>
    <w:p w:rsidR="005B5171" w:rsidRPr="005B5171" w:rsidRDefault="005B5171" w:rsidP="005B5171">
      <w:pPr>
        <w:jc w:val="both"/>
        <w:rPr>
          <w:rFonts w:ascii="Segoe UI" w:hAnsi="Segoe UI" w:cs="Segoe UI"/>
        </w:rPr>
      </w:pPr>
      <w:r w:rsidRPr="005B5171">
        <w:rPr>
          <w:rFonts w:ascii="Segoe UI" w:hAnsi="Segoe UI" w:cs="Segoe UI"/>
        </w:rPr>
        <w:t>There are a range of tenement types that require licensing across Victoria (</w:t>
      </w:r>
      <w:r w:rsidRPr="005B5171">
        <w:rPr>
          <w:rFonts w:ascii="Segoe UI" w:hAnsi="Segoe UI" w:cs="Segoe UI"/>
        </w:rPr>
        <w:fldChar w:fldCharType="begin"/>
      </w:r>
      <w:r w:rsidRPr="005B5171">
        <w:rPr>
          <w:rFonts w:ascii="Segoe UI" w:hAnsi="Segoe UI" w:cs="Segoe UI"/>
        </w:rPr>
        <w:instrText xml:space="preserve"> REF _Ref15535798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78</w:t>
      </w:r>
      <w:r w:rsidRPr="005B5171">
        <w:rPr>
          <w:rFonts w:ascii="Segoe UI" w:hAnsi="Segoe UI" w:cs="Segoe UI"/>
        </w:rPr>
        <w:fldChar w:fldCharType="end"/>
      </w:r>
      <w:r w:rsidRPr="005B5171">
        <w:rPr>
          <w:rFonts w:ascii="Segoe UI" w:hAnsi="Segoe UI" w:cs="Segoe UI"/>
        </w:rPr>
        <w:t>). The number of both exploration and mining licences have decreased since 2011–12, while prospecting and retention licensing has increased.</w:t>
      </w:r>
    </w:p>
    <w:p w:rsidR="005B5171" w:rsidRPr="005B5171" w:rsidRDefault="005B5171" w:rsidP="005B5171">
      <w:pPr>
        <w:spacing w:after="200" w:line="240" w:lineRule="auto"/>
        <w:rPr>
          <w:rFonts w:ascii="Segoe UI Semibold" w:eastAsia="Times New Roman" w:hAnsi="Segoe UI Semibold" w:cs="Times New Roman"/>
          <w:color w:val="016295"/>
        </w:rPr>
      </w:pPr>
      <w:bookmarkStart w:id="85" w:name="_Ref15535798"/>
      <w:bookmarkStart w:id="86" w:name="_Toc25660860"/>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78</w:t>
      </w:r>
      <w:r w:rsidRPr="005B5171">
        <w:rPr>
          <w:rFonts w:ascii="Segoe UI Semibold" w:eastAsia="Times New Roman" w:hAnsi="Segoe UI Semibold" w:cs="Times New Roman"/>
          <w:noProof/>
          <w:color w:val="016295"/>
        </w:rPr>
        <w:fldChar w:fldCharType="end"/>
      </w:r>
      <w:bookmarkEnd w:id="85"/>
      <w:r w:rsidRPr="005B5171">
        <w:rPr>
          <w:rFonts w:ascii="Segoe UI Semibold" w:eastAsia="Times New Roman" w:hAnsi="Segoe UI Semibold" w:cs="Times New Roman"/>
          <w:noProof/>
          <w:color w:val="016295"/>
        </w:rPr>
        <w:t>:</w:t>
      </w:r>
      <w:r w:rsidRPr="005B5171">
        <w:rPr>
          <w:rFonts w:ascii="Segoe UI Semibold" w:eastAsia="Times New Roman" w:hAnsi="Segoe UI Semibold" w:cs="Times New Roman"/>
          <w:color w:val="016295"/>
        </w:rPr>
        <w:t xml:space="preserve"> Mineral tenement licences current as at 30 June 2018 for Victoria</w:t>
      </w:r>
      <w:bookmarkEnd w:id="86"/>
    </w:p>
    <w:tbl>
      <w:tblPr>
        <w:tblStyle w:val="TableGrid"/>
        <w:tblW w:w="0" w:type="auto"/>
        <w:tblBorders>
          <w:left w:val="none" w:sz="0" w:space="0" w:color="auto"/>
          <w:right w:val="none" w:sz="0" w:space="0" w:color="auto"/>
        </w:tblBorders>
        <w:tblLayout w:type="fixed"/>
        <w:tblCellMar>
          <w:top w:w="85" w:type="dxa"/>
          <w:bottom w:w="85" w:type="dxa"/>
        </w:tblCellMar>
        <w:tblLook w:val="04A0" w:firstRow="1" w:lastRow="0" w:firstColumn="1" w:lastColumn="0" w:noHBand="0" w:noVBand="1"/>
      </w:tblPr>
      <w:tblGrid>
        <w:gridCol w:w="1192"/>
        <w:gridCol w:w="677"/>
        <w:gridCol w:w="677"/>
        <w:gridCol w:w="677"/>
        <w:gridCol w:w="605"/>
        <w:gridCol w:w="746"/>
        <w:gridCol w:w="746"/>
        <w:gridCol w:w="746"/>
        <w:gridCol w:w="746"/>
        <w:gridCol w:w="746"/>
        <w:gridCol w:w="746"/>
        <w:gridCol w:w="746"/>
      </w:tblGrid>
      <w:tr w:rsidR="005B5171" w:rsidRPr="005B5171" w:rsidTr="000B1EFD">
        <w:tc>
          <w:tcPr>
            <w:tcW w:w="11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Mar>
              <w:left w:w="28" w:type="dxa"/>
              <w:right w:w="28" w:type="dxa"/>
            </w:tcMar>
            <w:vAlign w:val="bottom"/>
          </w:tcPr>
          <w:p w:rsidR="005B5171" w:rsidRPr="005B5171" w:rsidRDefault="005B5171" w:rsidP="005B5171">
            <w:pPr>
              <w:rPr>
                <w:rFonts w:ascii="Segoe UI" w:hAnsi="Segoe UI" w:cs="Segoe UI"/>
                <w:bCs/>
                <w:sz w:val="18"/>
                <w:szCs w:val="18"/>
              </w:rPr>
            </w:pPr>
            <w:r w:rsidRPr="005B5171">
              <w:rPr>
                <w:rFonts w:ascii="Segoe UI" w:hAnsi="Segoe UI" w:cs="Segoe UI"/>
                <w:bCs/>
                <w:sz w:val="18"/>
                <w:szCs w:val="18"/>
              </w:rPr>
              <w:t>Tenement type</w:t>
            </w:r>
          </w:p>
        </w:tc>
        <w:tc>
          <w:tcPr>
            <w:tcW w:w="6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Mar>
              <w:left w:w="28" w:type="dxa"/>
              <w:right w:w="28" w:type="dxa"/>
            </w:tcMar>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2007</w:t>
            </w:r>
            <w:r w:rsidRPr="005B5171">
              <w:rPr>
                <w:rFonts w:ascii="Segoe UI" w:hAnsi="Segoe UI" w:cs="Segoe UI"/>
              </w:rPr>
              <w:t>–</w:t>
            </w:r>
            <w:r w:rsidRPr="005B5171">
              <w:rPr>
                <w:rFonts w:ascii="Segoe UI" w:hAnsi="Segoe UI" w:cs="Segoe UI"/>
                <w:bCs/>
                <w:sz w:val="18"/>
                <w:szCs w:val="18"/>
              </w:rPr>
              <w:t>08</w:t>
            </w:r>
          </w:p>
        </w:tc>
        <w:tc>
          <w:tcPr>
            <w:tcW w:w="6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Mar>
              <w:left w:w="28" w:type="dxa"/>
              <w:right w:w="28" w:type="dxa"/>
            </w:tcMar>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2008</w:t>
            </w:r>
            <w:r w:rsidRPr="005B5171">
              <w:rPr>
                <w:rFonts w:ascii="Segoe UI" w:hAnsi="Segoe UI" w:cs="Segoe UI"/>
              </w:rPr>
              <w:t>–</w:t>
            </w:r>
            <w:r w:rsidRPr="005B5171">
              <w:rPr>
                <w:rFonts w:ascii="Segoe UI" w:hAnsi="Segoe UI" w:cs="Segoe UI"/>
                <w:bCs/>
                <w:sz w:val="18"/>
                <w:szCs w:val="18"/>
              </w:rPr>
              <w:t>09</w:t>
            </w:r>
          </w:p>
        </w:tc>
        <w:tc>
          <w:tcPr>
            <w:tcW w:w="6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Mar>
              <w:left w:w="28" w:type="dxa"/>
              <w:right w:w="28" w:type="dxa"/>
            </w:tcMar>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2009</w:t>
            </w:r>
            <w:r w:rsidRPr="005B5171">
              <w:rPr>
                <w:rFonts w:ascii="Segoe UI" w:hAnsi="Segoe UI" w:cs="Segoe UI"/>
              </w:rPr>
              <w:t>–</w:t>
            </w:r>
            <w:r w:rsidRPr="005B5171">
              <w:rPr>
                <w:rFonts w:ascii="Segoe UI" w:hAnsi="Segoe UI" w:cs="Segoe UI"/>
                <w:bCs/>
                <w:sz w:val="18"/>
                <w:szCs w:val="18"/>
              </w:rPr>
              <w:t>10</w:t>
            </w:r>
          </w:p>
        </w:tc>
        <w:tc>
          <w:tcPr>
            <w:tcW w:w="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Mar>
              <w:left w:w="28" w:type="dxa"/>
              <w:right w:w="28" w:type="dxa"/>
            </w:tcMar>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2010</w:t>
            </w:r>
            <w:r w:rsidRPr="005B5171">
              <w:rPr>
                <w:rFonts w:ascii="Segoe UI" w:hAnsi="Segoe UI" w:cs="Segoe UI"/>
              </w:rPr>
              <w:t>–</w:t>
            </w:r>
            <w:r w:rsidRPr="005B5171">
              <w:rPr>
                <w:rFonts w:ascii="Segoe UI" w:hAnsi="Segoe UI" w:cs="Segoe UI"/>
                <w:bCs/>
                <w:sz w:val="18"/>
                <w:szCs w:val="18"/>
              </w:rPr>
              <w:t>11</w:t>
            </w:r>
          </w:p>
        </w:tc>
        <w:tc>
          <w:tcPr>
            <w:tcW w:w="7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Mar>
              <w:left w:w="28" w:type="dxa"/>
              <w:right w:w="28" w:type="dxa"/>
            </w:tcMar>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2011</w:t>
            </w:r>
            <w:r w:rsidRPr="005B5171">
              <w:rPr>
                <w:rFonts w:ascii="Segoe UI" w:hAnsi="Segoe UI" w:cs="Segoe UI"/>
              </w:rPr>
              <w:t>–</w:t>
            </w:r>
            <w:r w:rsidRPr="005B5171">
              <w:rPr>
                <w:rFonts w:ascii="Segoe UI" w:hAnsi="Segoe UI" w:cs="Segoe UI"/>
                <w:bCs/>
                <w:sz w:val="18"/>
                <w:szCs w:val="18"/>
              </w:rPr>
              <w:t>12</w:t>
            </w:r>
          </w:p>
        </w:tc>
        <w:tc>
          <w:tcPr>
            <w:tcW w:w="7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Mar>
              <w:left w:w="28" w:type="dxa"/>
              <w:right w:w="28" w:type="dxa"/>
            </w:tcMar>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2012</w:t>
            </w:r>
            <w:r w:rsidRPr="005B5171">
              <w:rPr>
                <w:rFonts w:ascii="Segoe UI" w:hAnsi="Segoe UI" w:cs="Segoe UI"/>
              </w:rPr>
              <w:t>–</w:t>
            </w:r>
            <w:r w:rsidRPr="005B5171">
              <w:rPr>
                <w:rFonts w:ascii="Segoe UI" w:hAnsi="Segoe UI" w:cs="Segoe UI"/>
                <w:bCs/>
                <w:sz w:val="18"/>
                <w:szCs w:val="18"/>
              </w:rPr>
              <w:t>13</w:t>
            </w:r>
          </w:p>
        </w:tc>
        <w:tc>
          <w:tcPr>
            <w:tcW w:w="7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Mar>
              <w:left w:w="28" w:type="dxa"/>
              <w:right w:w="28" w:type="dxa"/>
            </w:tcMar>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2013</w:t>
            </w:r>
            <w:r w:rsidRPr="005B5171">
              <w:rPr>
                <w:rFonts w:ascii="Segoe UI" w:hAnsi="Segoe UI" w:cs="Segoe UI"/>
              </w:rPr>
              <w:t>–</w:t>
            </w:r>
            <w:r w:rsidRPr="005B5171">
              <w:rPr>
                <w:rFonts w:ascii="Segoe UI" w:hAnsi="Segoe UI" w:cs="Segoe UI"/>
                <w:bCs/>
                <w:sz w:val="18"/>
                <w:szCs w:val="18"/>
              </w:rPr>
              <w:t>14</w:t>
            </w:r>
          </w:p>
        </w:tc>
        <w:tc>
          <w:tcPr>
            <w:tcW w:w="7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Mar>
              <w:left w:w="28" w:type="dxa"/>
              <w:right w:w="28" w:type="dxa"/>
            </w:tcMar>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2014</w:t>
            </w:r>
            <w:r w:rsidRPr="005B5171">
              <w:rPr>
                <w:rFonts w:ascii="Segoe UI" w:hAnsi="Segoe UI" w:cs="Segoe UI"/>
              </w:rPr>
              <w:t>–</w:t>
            </w:r>
            <w:r w:rsidRPr="005B5171">
              <w:rPr>
                <w:rFonts w:ascii="Segoe UI" w:hAnsi="Segoe UI" w:cs="Segoe UI"/>
                <w:bCs/>
                <w:sz w:val="18"/>
                <w:szCs w:val="18"/>
              </w:rPr>
              <w:t>15</w:t>
            </w:r>
          </w:p>
        </w:tc>
        <w:tc>
          <w:tcPr>
            <w:tcW w:w="7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Mar>
              <w:left w:w="28" w:type="dxa"/>
              <w:right w:w="28" w:type="dxa"/>
            </w:tcMar>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2015</w:t>
            </w:r>
            <w:r w:rsidRPr="005B5171">
              <w:rPr>
                <w:rFonts w:ascii="Segoe UI" w:hAnsi="Segoe UI" w:cs="Segoe UI"/>
              </w:rPr>
              <w:t>–</w:t>
            </w:r>
            <w:r w:rsidRPr="005B5171">
              <w:rPr>
                <w:rFonts w:ascii="Segoe UI" w:hAnsi="Segoe UI" w:cs="Segoe UI"/>
                <w:bCs/>
                <w:sz w:val="18"/>
                <w:szCs w:val="18"/>
              </w:rPr>
              <w:t>16</w:t>
            </w:r>
          </w:p>
        </w:tc>
        <w:tc>
          <w:tcPr>
            <w:tcW w:w="7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Mar>
              <w:left w:w="28" w:type="dxa"/>
              <w:right w:w="28" w:type="dxa"/>
            </w:tcMar>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2016</w:t>
            </w:r>
            <w:r w:rsidRPr="005B5171">
              <w:rPr>
                <w:rFonts w:ascii="Segoe UI" w:hAnsi="Segoe UI" w:cs="Segoe UI"/>
              </w:rPr>
              <w:t>–</w:t>
            </w:r>
            <w:r w:rsidRPr="005B5171">
              <w:rPr>
                <w:rFonts w:ascii="Segoe UI" w:hAnsi="Segoe UI" w:cs="Segoe UI"/>
                <w:bCs/>
                <w:sz w:val="18"/>
                <w:szCs w:val="18"/>
              </w:rPr>
              <w:t>17</w:t>
            </w:r>
          </w:p>
        </w:tc>
        <w:tc>
          <w:tcPr>
            <w:tcW w:w="7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Mar>
              <w:left w:w="28" w:type="dxa"/>
              <w:right w:w="28" w:type="dxa"/>
            </w:tcMar>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2017</w:t>
            </w:r>
            <w:r w:rsidRPr="005B5171">
              <w:rPr>
                <w:rFonts w:ascii="Segoe UI" w:hAnsi="Segoe UI" w:cs="Segoe UI"/>
              </w:rPr>
              <w:t>–</w:t>
            </w:r>
            <w:r w:rsidRPr="005B5171">
              <w:rPr>
                <w:rFonts w:ascii="Segoe UI" w:hAnsi="Segoe UI" w:cs="Segoe UI"/>
                <w:bCs/>
                <w:sz w:val="18"/>
                <w:szCs w:val="18"/>
              </w:rPr>
              <w:t>18</w:t>
            </w:r>
          </w:p>
        </w:tc>
      </w:tr>
      <w:tr w:rsidR="005B5171" w:rsidRPr="005B5171" w:rsidTr="000B1EFD">
        <w:tc>
          <w:tcPr>
            <w:tcW w:w="1192" w:type="dxa"/>
            <w:tcBorders>
              <w:top w:val="single" w:sz="8" w:space="0" w:color="FFFFFF" w:themeColor="background1"/>
            </w:tcBorders>
          </w:tcPr>
          <w:p w:rsidR="005B5171" w:rsidRPr="005B5171" w:rsidRDefault="005B5171" w:rsidP="005B5171">
            <w:pPr>
              <w:rPr>
                <w:rFonts w:ascii="Segoe UI" w:hAnsi="Segoe UI" w:cs="Segoe UI"/>
                <w:bCs/>
                <w:sz w:val="18"/>
                <w:szCs w:val="18"/>
              </w:rPr>
            </w:pPr>
            <w:r w:rsidRPr="005B5171">
              <w:rPr>
                <w:rFonts w:ascii="Segoe UI" w:hAnsi="Segoe UI" w:cs="Segoe UI"/>
                <w:bCs/>
                <w:sz w:val="18"/>
                <w:szCs w:val="18"/>
              </w:rPr>
              <w:t>Exploration licences</w:t>
            </w:r>
          </w:p>
        </w:tc>
        <w:tc>
          <w:tcPr>
            <w:tcW w:w="677" w:type="dxa"/>
            <w:tcBorders>
              <w:top w:val="single" w:sz="8" w:space="0" w:color="FFFFFF" w:themeColor="background1"/>
            </w:tcBorders>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280</w:t>
            </w:r>
          </w:p>
        </w:tc>
        <w:tc>
          <w:tcPr>
            <w:tcW w:w="677" w:type="dxa"/>
            <w:tcBorders>
              <w:top w:val="single" w:sz="8" w:space="0" w:color="FFFFFF" w:themeColor="background1"/>
            </w:tcBorders>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326</w:t>
            </w:r>
          </w:p>
        </w:tc>
        <w:tc>
          <w:tcPr>
            <w:tcW w:w="677" w:type="dxa"/>
            <w:tcBorders>
              <w:top w:val="single" w:sz="8" w:space="0" w:color="FFFFFF" w:themeColor="background1"/>
            </w:tcBorders>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298</w:t>
            </w:r>
          </w:p>
        </w:tc>
        <w:tc>
          <w:tcPr>
            <w:tcW w:w="605" w:type="dxa"/>
            <w:tcBorders>
              <w:top w:val="single" w:sz="8" w:space="0" w:color="FFFFFF" w:themeColor="background1"/>
            </w:tcBorders>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285</w:t>
            </w:r>
          </w:p>
        </w:tc>
        <w:tc>
          <w:tcPr>
            <w:tcW w:w="746" w:type="dxa"/>
            <w:tcBorders>
              <w:top w:val="single" w:sz="8" w:space="0" w:color="FFFFFF" w:themeColor="background1"/>
            </w:tcBorders>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326</w:t>
            </w:r>
          </w:p>
        </w:tc>
        <w:tc>
          <w:tcPr>
            <w:tcW w:w="746" w:type="dxa"/>
            <w:tcBorders>
              <w:top w:val="single" w:sz="8" w:space="0" w:color="FFFFFF" w:themeColor="background1"/>
            </w:tcBorders>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311</w:t>
            </w:r>
          </w:p>
        </w:tc>
        <w:tc>
          <w:tcPr>
            <w:tcW w:w="746" w:type="dxa"/>
            <w:tcBorders>
              <w:top w:val="single" w:sz="8" w:space="0" w:color="FFFFFF" w:themeColor="background1"/>
            </w:tcBorders>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271</w:t>
            </w:r>
          </w:p>
        </w:tc>
        <w:tc>
          <w:tcPr>
            <w:tcW w:w="746" w:type="dxa"/>
            <w:tcBorders>
              <w:top w:val="single" w:sz="8" w:space="0" w:color="FFFFFF" w:themeColor="background1"/>
            </w:tcBorders>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247</w:t>
            </w:r>
          </w:p>
        </w:tc>
        <w:tc>
          <w:tcPr>
            <w:tcW w:w="746" w:type="dxa"/>
            <w:tcBorders>
              <w:top w:val="single" w:sz="8" w:space="0" w:color="FFFFFF" w:themeColor="background1"/>
            </w:tcBorders>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211</w:t>
            </w:r>
          </w:p>
        </w:tc>
        <w:tc>
          <w:tcPr>
            <w:tcW w:w="746" w:type="dxa"/>
            <w:tcBorders>
              <w:top w:val="single" w:sz="8" w:space="0" w:color="FFFFFF" w:themeColor="background1"/>
            </w:tcBorders>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180</w:t>
            </w:r>
          </w:p>
        </w:tc>
        <w:tc>
          <w:tcPr>
            <w:tcW w:w="746" w:type="dxa"/>
            <w:tcBorders>
              <w:top w:val="single" w:sz="8" w:space="0" w:color="FFFFFF" w:themeColor="background1"/>
            </w:tcBorders>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200</w:t>
            </w:r>
          </w:p>
        </w:tc>
      </w:tr>
      <w:tr w:rsidR="005B5171" w:rsidRPr="005B5171" w:rsidTr="000B1EFD">
        <w:tc>
          <w:tcPr>
            <w:tcW w:w="1192" w:type="dxa"/>
          </w:tcPr>
          <w:p w:rsidR="005B5171" w:rsidRPr="005B5171" w:rsidRDefault="005B5171" w:rsidP="005B5171">
            <w:pPr>
              <w:rPr>
                <w:rFonts w:ascii="Segoe UI" w:hAnsi="Segoe UI" w:cs="Segoe UI"/>
                <w:bCs/>
                <w:sz w:val="18"/>
                <w:szCs w:val="18"/>
              </w:rPr>
            </w:pPr>
            <w:r w:rsidRPr="005B5171">
              <w:rPr>
                <w:rFonts w:ascii="Segoe UI" w:hAnsi="Segoe UI" w:cs="Segoe UI"/>
                <w:bCs/>
                <w:sz w:val="18"/>
                <w:szCs w:val="18"/>
              </w:rPr>
              <w:t>Mining licences</w:t>
            </w:r>
          </w:p>
        </w:tc>
        <w:tc>
          <w:tcPr>
            <w:tcW w:w="677"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240</w:t>
            </w:r>
          </w:p>
        </w:tc>
        <w:tc>
          <w:tcPr>
            <w:tcW w:w="677"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236</w:t>
            </w:r>
          </w:p>
        </w:tc>
        <w:tc>
          <w:tcPr>
            <w:tcW w:w="677"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211</w:t>
            </w:r>
          </w:p>
        </w:tc>
        <w:tc>
          <w:tcPr>
            <w:tcW w:w="605"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216</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208</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212</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191</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171</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170</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162</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156</w:t>
            </w:r>
          </w:p>
        </w:tc>
      </w:tr>
      <w:tr w:rsidR="005B5171" w:rsidRPr="005B5171" w:rsidTr="000B1EFD">
        <w:tc>
          <w:tcPr>
            <w:tcW w:w="1192" w:type="dxa"/>
          </w:tcPr>
          <w:p w:rsidR="005B5171" w:rsidRPr="005B5171" w:rsidRDefault="005B5171" w:rsidP="005B5171">
            <w:pPr>
              <w:rPr>
                <w:rFonts w:ascii="Segoe UI" w:hAnsi="Segoe UI" w:cs="Segoe UI"/>
                <w:bCs/>
                <w:sz w:val="18"/>
                <w:szCs w:val="18"/>
              </w:rPr>
            </w:pPr>
            <w:r w:rsidRPr="005B5171">
              <w:rPr>
                <w:rFonts w:ascii="Segoe UI" w:hAnsi="Segoe UI" w:cs="Segoe UI"/>
                <w:bCs/>
                <w:sz w:val="18"/>
                <w:szCs w:val="18"/>
              </w:rPr>
              <w:t>Prospecting Licences</w:t>
            </w:r>
          </w:p>
        </w:tc>
        <w:tc>
          <w:tcPr>
            <w:tcW w:w="677"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n/a</w:t>
            </w:r>
          </w:p>
        </w:tc>
        <w:tc>
          <w:tcPr>
            <w:tcW w:w="677"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n/a</w:t>
            </w:r>
          </w:p>
        </w:tc>
        <w:tc>
          <w:tcPr>
            <w:tcW w:w="677"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n/a</w:t>
            </w:r>
          </w:p>
        </w:tc>
        <w:tc>
          <w:tcPr>
            <w:tcW w:w="605"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n/a</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1</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13</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31</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41</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51</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54</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59</w:t>
            </w:r>
          </w:p>
        </w:tc>
      </w:tr>
      <w:tr w:rsidR="005B5171" w:rsidRPr="005B5171" w:rsidTr="000B1EFD">
        <w:tc>
          <w:tcPr>
            <w:tcW w:w="1192" w:type="dxa"/>
          </w:tcPr>
          <w:p w:rsidR="005B5171" w:rsidRPr="005B5171" w:rsidRDefault="005B5171" w:rsidP="005B5171">
            <w:pPr>
              <w:rPr>
                <w:rFonts w:ascii="Segoe UI" w:hAnsi="Segoe UI" w:cs="Segoe UI"/>
                <w:bCs/>
                <w:sz w:val="18"/>
                <w:szCs w:val="18"/>
              </w:rPr>
            </w:pPr>
            <w:r w:rsidRPr="005B5171">
              <w:rPr>
                <w:rFonts w:ascii="Segoe UI" w:hAnsi="Segoe UI" w:cs="Segoe UI"/>
                <w:bCs/>
                <w:sz w:val="18"/>
                <w:szCs w:val="18"/>
              </w:rPr>
              <w:t>Retention Licences</w:t>
            </w:r>
          </w:p>
        </w:tc>
        <w:tc>
          <w:tcPr>
            <w:tcW w:w="677"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n/a</w:t>
            </w:r>
          </w:p>
        </w:tc>
        <w:tc>
          <w:tcPr>
            <w:tcW w:w="677"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n/a</w:t>
            </w:r>
          </w:p>
        </w:tc>
        <w:tc>
          <w:tcPr>
            <w:tcW w:w="677"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n/a</w:t>
            </w:r>
          </w:p>
        </w:tc>
        <w:tc>
          <w:tcPr>
            <w:tcW w:w="605"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n/a</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 xml:space="preserve"> n/a</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1</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1</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8</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11</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15</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20</w:t>
            </w:r>
          </w:p>
        </w:tc>
      </w:tr>
      <w:tr w:rsidR="005B5171" w:rsidRPr="005B5171" w:rsidTr="000B1EFD">
        <w:tc>
          <w:tcPr>
            <w:tcW w:w="1192" w:type="dxa"/>
          </w:tcPr>
          <w:p w:rsidR="005B5171" w:rsidRPr="005B5171" w:rsidRDefault="005B5171" w:rsidP="005B5171">
            <w:pPr>
              <w:rPr>
                <w:rFonts w:ascii="Segoe UI" w:hAnsi="Segoe UI" w:cs="Segoe UI"/>
                <w:bCs/>
                <w:sz w:val="18"/>
                <w:szCs w:val="18"/>
              </w:rPr>
            </w:pPr>
            <w:r w:rsidRPr="005B5171">
              <w:rPr>
                <w:rFonts w:ascii="Segoe UI" w:hAnsi="Segoe UI" w:cs="Segoe UI"/>
                <w:bCs/>
                <w:sz w:val="18"/>
                <w:szCs w:val="18"/>
              </w:rPr>
              <w:t>Totals</w:t>
            </w:r>
          </w:p>
        </w:tc>
        <w:tc>
          <w:tcPr>
            <w:tcW w:w="677"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520</w:t>
            </w:r>
          </w:p>
        </w:tc>
        <w:tc>
          <w:tcPr>
            <w:tcW w:w="677"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562</w:t>
            </w:r>
          </w:p>
        </w:tc>
        <w:tc>
          <w:tcPr>
            <w:tcW w:w="677"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509</w:t>
            </w:r>
          </w:p>
        </w:tc>
        <w:tc>
          <w:tcPr>
            <w:tcW w:w="605"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501</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535</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537</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494</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467</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443</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411</w:t>
            </w:r>
          </w:p>
        </w:tc>
        <w:tc>
          <w:tcPr>
            <w:tcW w:w="746" w:type="dxa"/>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435</w:t>
            </w:r>
          </w:p>
        </w:tc>
      </w:tr>
      <w:tr w:rsidR="005B5171" w:rsidRPr="005B5171" w:rsidTr="000B1EFD">
        <w:tc>
          <w:tcPr>
            <w:tcW w:w="1192" w:type="dxa"/>
            <w:shd w:val="clear" w:color="auto" w:fill="D9D9D9" w:themeFill="background1" w:themeFillShade="D9"/>
          </w:tcPr>
          <w:p w:rsidR="005B5171" w:rsidRPr="005B5171" w:rsidRDefault="005B5171" w:rsidP="005B5171">
            <w:pPr>
              <w:rPr>
                <w:rFonts w:ascii="Segoe UI" w:hAnsi="Segoe UI" w:cs="Segoe UI"/>
                <w:bCs/>
                <w:sz w:val="18"/>
                <w:szCs w:val="18"/>
              </w:rPr>
            </w:pPr>
            <w:r w:rsidRPr="005B5171">
              <w:rPr>
                <w:rFonts w:ascii="Segoe UI" w:hAnsi="Segoe UI" w:cs="Segoe UI"/>
                <w:bCs/>
                <w:sz w:val="18"/>
                <w:szCs w:val="18"/>
              </w:rPr>
              <w:t xml:space="preserve"> per cent Change year on year</w:t>
            </w:r>
          </w:p>
        </w:tc>
        <w:tc>
          <w:tcPr>
            <w:tcW w:w="677" w:type="dxa"/>
            <w:shd w:val="clear" w:color="auto" w:fill="D9D9D9" w:themeFill="background1" w:themeFillShade="D9"/>
          </w:tcPr>
          <w:p w:rsidR="005B5171" w:rsidRPr="005B5171" w:rsidRDefault="005B5171" w:rsidP="005B5171">
            <w:pPr>
              <w:jc w:val="center"/>
              <w:rPr>
                <w:rFonts w:ascii="Segoe UI" w:hAnsi="Segoe UI" w:cs="Segoe UI"/>
                <w:bCs/>
                <w:sz w:val="18"/>
                <w:szCs w:val="18"/>
              </w:rPr>
            </w:pPr>
          </w:p>
        </w:tc>
        <w:tc>
          <w:tcPr>
            <w:tcW w:w="677" w:type="dxa"/>
            <w:shd w:val="clear" w:color="auto" w:fill="D9D9D9" w:themeFill="background1" w:themeFillShade="D9"/>
          </w:tcPr>
          <w:p w:rsidR="005B5171" w:rsidRPr="005B5171" w:rsidRDefault="005B5171" w:rsidP="005B5171">
            <w:pPr>
              <w:jc w:val="center"/>
              <w:rPr>
                <w:rFonts w:ascii="Segoe UI" w:hAnsi="Segoe UI" w:cs="Segoe UI"/>
                <w:bCs/>
                <w:sz w:val="18"/>
                <w:szCs w:val="18"/>
              </w:rPr>
            </w:pPr>
          </w:p>
        </w:tc>
        <w:tc>
          <w:tcPr>
            <w:tcW w:w="677" w:type="dxa"/>
            <w:shd w:val="clear" w:color="auto" w:fill="D9D9D9" w:themeFill="background1" w:themeFillShade="D9"/>
          </w:tcPr>
          <w:p w:rsidR="005B5171" w:rsidRPr="005B5171" w:rsidRDefault="005B5171" w:rsidP="005B5171">
            <w:pPr>
              <w:jc w:val="center"/>
              <w:rPr>
                <w:rFonts w:ascii="Segoe UI" w:hAnsi="Segoe UI" w:cs="Segoe UI"/>
                <w:bCs/>
                <w:sz w:val="18"/>
                <w:szCs w:val="18"/>
              </w:rPr>
            </w:pPr>
          </w:p>
        </w:tc>
        <w:tc>
          <w:tcPr>
            <w:tcW w:w="605" w:type="dxa"/>
            <w:shd w:val="clear" w:color="auto" w:fill="D9D9D9" w:themeFill="background1" w:themeFillShade="D9"/>
          </w:tcPr>
          <w:p w:rsidR="005B5171" w:rsidRPr="005B5171" w:rsidRDefault="005B5171" w:rsidP="005B5171">
            <w:pPr>
              <w:jc w:val="center"/>
              <w:rPr>
                <w:rFonts w:ascii="Segoe UI" w:hAnsi="Segoe UI" w:cs="Segoe UI"/>
                <w:bCs/>
                <w:sz w:val="18"/>
                <w:szCs w:val="18"/>
              </w:rPr>
            </w:pPr>
          </w:p>
        </w:tc>
        <w:tc>
          <w:tcPr>
            <w:tcW w:w="746" w:type="dxa"/>
            <w:shd w:val="clear" w:color="auto" w:fill="D9D9D9" w:themeFill="background1" w:themeFillShade="D9"/>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+2.9</w:t>
            </w:r>
          </w:p>
        </w:tc>
        <w:tc>
          <w:tcPr>
            <w:tcW w:w="746" w:type="dxa"/>
            <w:shd w:val="clear" w:color="auto" w:fill="D9D9D9" w:themeFill="background1" w:themeFillShade="D9"/>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+0.4</w:t>
            </w:r>
          </w:p>
        </w:tc>
        <w:tc>
          <w:tcPr>
            <w:tcW w:w="746" w:type="dxa"/>
            <w:shd w:val="clear" w:color="auto" w:fill="D9D9D9" w:themeFill="background1" w:themeFillShade="D9"/>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-8.0</w:t>
            </w:r>
          </w:p>
        </w:tc>
        <w:tc>
          <w:tcPr>
            <w:tcW w:w="746" w:type="dxa"/>
            <w:shd w:val="clear" w:color="auto" w:fill="D9D9D9" w:themeFill="background1" w:themeFillShade="D9"/>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-5.5</w:t>
            </w:r>
          </w:p>
        </w:tc>
        <w:tc>
          <w:tcPr>
            <w:tcW w:w="746" w:type="dxa"/>
            <w:shd w:val="clear" w:color="auto" w:fill="D9D9D9" w:themeFill="background1" w:themeFillShade="D9"/>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-6.0</w:t>
            </w:r>
          </w:p>
        </w:tc>
        <w:tc>
          <w:tcPr>
            <w:tcW w:w="746" w:type="dxa"/>
            <w:shd w:val="clear" w:color="auto" w:fill="D9D9D9" w:themeFill="background1" w:themeFillShade="D9"/>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-6.4</w:t>
            </w:r>
          </w:p>
        </w:tc>
        <w:tc>
          <w:tcPr>
            <w:tcW w:w="746" w:type="dxa"/>
            <w:shd w:val="clear" w:color="auto" w:fill="D9D9D9" w:themeFill="background1" w:themeFillShade="D9"/>
          </w:tcPr>
          <w:p w:rsidR="005B5171" w:rsidRPr="005B5171" w:rsidRDefault="005B5171" w:rsidP="005B5171">
            <w:pPr>
              <w:jc w:val="center"/>
              <w:rPr>
                <w:rFonts w:ascii="Segoe UI" w:hAnsi="Segoe UI" w:cs="Segoe UI"/>
                <w:bCs/>
                <w:sz w:val="18"/>
                <w:szCs w:val="18"/>
              </w:rPr>
            </w:pPr>
            <w:r w:rsidRPr="005B5171">
              <w:rPr>
                <w:rFonts w:ascii="Segoe UI" w:hAnsi="Segoe UI" w:cs="Segoe UI"/>
                <w:bCs/>
                <w:sz w:val="18"/>
                <w:szCs w:val="18"/>
              </w:rPr>
              <w:t>+5.8</w:t>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Source:, DJPR 2018</w:t>
      </w:r>
    </w:p>
    <w:p w:rsidR="005B5171" w:rsidRPr="005B5171" w:rsidRDefault="005B5171" w:rsidP="005B5171">
      <w:pPr>
        <w:jc w:val="both"/>
        <w:rPr>
          <w:rFonts w:ascii="Segoe UI" w:hAnsi="Segoe UI" w:cs="Segoe UI"/>
        </w:rPr>
      </w:pPr>
      <w:r w:rsidRPr="005B5171">
        <w:rPr>
          <w:rFonts w:ascii="Segoe UI" w:hAnsi="Segoe UI" w:cs="Segoe UI"/>
        </w:rPr>
        <w:t>Between 2011–12 and 2017–18, the total area of Victoria covered by mineral exploration licences has steadily decreased (</w:t>
      </w:r>
      <w:r w:rsidRPr="005B5171">
        <w:rPr>
          <w:rFonts w:ascii="Segoe UI" w:hAnsi="Segoe UI" w:cs="Segoe UI"/>
        </w:rPr>
        <w:fldChar w:fldCharType="begin"/>
      </w:r>
      <w:r w:rsidRPr="005B5171">
        <w:rPr>
          <w:rFonts w:ascii="Segoe UI" w:hAnsi="Segoe UI" w:cs="Segoe UI"/>
        </w:rPr>
        <w:instrText xml:space="preserve"> REF _Ref15532822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Figure </w:t>
      </w:r>
      <w:r w:rsidRPr="005B5171">
        <w:rPr>
          <w:rFonts w:ascii="Segoe UI" w:hAnsi="Segoe UI" w:cs="Segoe UI"/>
          <w:noProof/>
        </w:rPr>
        <w:t>38</w:t>
      </w:r>
      <w:r w:rsidRPr="005B5171">
        <w:rPr>
          <w:rFonts w:ascii="Segoe UI" w:hAnsi="Segoe UI" w:cs="Segoe UI"/>
        </w:rPr>
        <w:fldChar w:fldCharType="end"/>
      </w:r>
      <w:r w:rsidRPr="005B5171">
        <w:rPr>
          <w:rFonts w:ascii="Segoe UI" w:hAnsi="Segoe UI" w:cs="Segoe UI"/>
        </w:rPr>
        <w:t>).</w:t>
      </w:r>
    </w:p>
    <w:p w:rsidR="005B5171" w:rsidRPr="005B5171" w:rsidRDefault="005B5171" w:rsidP="005B5171">
      <w:pPr>
        <w:keepNext/>
        <w:rPr>
          <w:rFonts w:ascii="Segoe UI" w:hAnsi="Segoe UI" w:cs="Segoe UI"/>
        </w:rPr>
      </w:pPr>
      <w:r w:rsidRPr="005B5171">
        <w:rPr>
          <w:rFonts w:ascii="Segoe UI" w:hAnsi="Segoe UI" w:cs="Segoe UI"/>
          <w:noProof/>
        </w:rPr>
        <w:drawing>
          <wp:inline distT="0" distB="0" distL="0" distR="0" wp14:anchorId="2576BDE0" wp14:editId="575EF2A5">
            <wp:extent cx="5759450" cy="27419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759450" cy="2741930"/>
                    </a:xfrm>
                    <a:prstGeom prst="rect">
                      <a:avLst/>
                    </a:prstGeom>
                  </pic:spPr>
                </pic:pic>
              </a:graphicData>
            </a:graphic>
          </wp:inline>
        </w:drawing>
      </w:r>
    </w:p>
    <w:p w:rsidR="005B5171" w:rsidRPr="005B5171" w:rsidRDefault="005B5171" w:rsidP="005B5171">
      <w:pPr>
        <w:spacing w:after="200" w:line="240" w:lineRule="auto"/>
        <w:rPr>
          <w:rFonts w:ascii="Segoe UI Semibold" w:eastAsia="Times New Roman" w:hAnsi="Segoe UI Semibold" w:cs="Times New Roman"/>
          <w:color w:val="016295"/>
        </w:rPr>
      </w:pPr>
      <w:bookmarkStart w:id="87" w:name="_Ref15532822"/>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38</w:t>
      </w:r>
      <w:r w:rsidRPr="005B5171">
        <w:rPr>
          <w:rFonts w:ascii="Segoe UI Semibold" w:eastAsia="Times New Roman" w:hAnsi="Segoe UI Semibold" w:cs="Times New Roman"/>
          <w:noProof/>
          <w:color w:val="016295"/>
        </w:rPr>
        <w:fldChar w:fldCharType="end"/>
      </w:r>
      <w:bookmarkEnd w:id="87"/>
      <w:r w:rsidRPr="005B5171">
        <w:rPr>
          <w:rFonts w:ascii="Segoe UI Semibold" w:eastAsia="Times New Roman" w:hAnsi="Segoe UI Semibold" w:cs="Times New Roman"/>
          <w:color w:val="016295"/>
        </w:rPr>
        <w:t>: Total area of Victoria covered by mineral exploration licences</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Source: DJPR 2018</w:t>
      </w:r>
    </w:p>
    <w:p w:rsidR="005B5171" w:rsidRPr="005B5171" w:rsidRDefault="005B5171" w:rsidP="005B5171">
      <w:pPr>
        <w:jc w:val="both"/>
        <w:rPr>
          <w:rFonts w:ascii="Segoe UI" w:hAnsi="Segoe UI" w:cs="Segoe UI"/>
        </w:rPr>
      </w:pPr>
      <w:r w:rsidRPr="005B5171">
        <w:rPr>
          <w:rFonts w:ascii="Segoe UI" w:hAnsi="Segoe UI" w:cs="Segoe UI"/>
        </w:rPr>
        <w:t>The total mineral, extractive and petroleum revenue payable has increased substantially from $57.2 million in 2012–13 to $103.1 million in 2017–18 (</w:t>
      </w:r>
      <w:r w:rsidRPr="005B5171">
        <w:rPr>
          <w:rFonts w:ascii="Segoe UI" w:hAnsi="Segoe UI" w:cs="Segoe UI"/>
        </w:rPr>
        <w:fldChar w:fldCharType="begin"/>
      </w:r>
      <w:r w:rsidRPr="005B5171">
        <w:rPr>
          <w:rFonts w:ascii="Segoe UI" w:hAnsi="Segoe UI" w:cs="Segoe UI"/>
        </w:rPr>
        <w:instrText xml:space="preserve"> REF _Ref15484467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79</w:t>
      </w:r>
      <w:r w:rsidRPr="005B5171">
        <w:rPr>
          <w:rFonts w:ascii="Segoe UI" w:hAnsi="Segoe UI" w:cs="Segoe UI"/>
        </w:rPr>
        <w:fldChar w:fldCharType="end"/>
      </w:r>
      <w:r w:rsidRPr="005B5171">
        <w:rPr>
          <w:rFonts w:ascii="Segoe UI" w:hAnsi="Segoe UI" w:cs="Segoe UI"/>
        </w:rPr>
        <w:t xml:space="preserve">) This has been due to the near doubling of royalties to be paid in the same time period, from $51.9 million to $99.1 million. </w:t>
      </w:r>
    </w:p>
    <w:p w:rsidR="005B5171" w:rsidRPr="005B5171" w:rsidRDefault="005B5171" w:rsidP="005B5171">
      <w:pPr>
        <w:spacing w:after="200" w:line="240" w:lineRule="auto"/>
        <w:rPr>
          <w:rFonts w:ascii="Segoe UI Semibold" w:eastAsia="Times New Roman" w:hAnsi="Segoe UI Semibold" w:cs="Times New Roman"/>
          <w:color w:val="016295"/>
        </w:rPr>
      </w:pPr>
      <w:bookmarkStart w:id="88" w:name="_Ref15484467"/>
      <w:bookmarkStart w:id="89" w:name="_Ref15484454"/>
      <w:bookmarkStart w:id="90" w:name="_Toc25660861"/>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79</w:t>
      </w:r>
      <w:r w:rsidRPr="005B5171">
        <w:rPr>
          <w:rFonts w:ascii="Segoe UI Semibold" w:eastAsia="Times New Roman" w:hAnsi="Segoe UI Semibold" w:cs="Times New Roman"/>
          <w:noProof/>
          <w:color w:val="016295"/>
        </w:rPr>
        <w:fldChar w:fldCharType="end"/>
      </w:r>
      <w:bookmarkEnd w:id="88"/>
      <w:r w:rsidRPr="005B5171">
        <w:rPr>
          <w:rFonts w:ascii="Segoe UI Semibold" w:eastAsia="Times New Roman" w:hAnsi="Segoe UI Semibold" w:cs="Times New Roman"/>
          <w:noProof/>
          <w:color w:val="016295"/>
        </w:rPr>
        <w:t>:</w:t>
      </w:r>
      <w:r w:rsidRPr="005B5171">
        <w:rPr>
          <w:rFonts w:ascii="Segoe UI Semibold" w:eastAsia="Times New Roman" w:hAnsi="Segoe UI Semibold" w:cs="Times New Roman"/>
          <w:color w:val="016295"/>
        </w:rPr>
        <w:t xml:space="preserve"> Mineral, extractive and petroleum revenue payable ($A Millions)</w:t>
      </w:r>
      <w:bookmarkEnd w:id="89"/>
      <w:bookmarkEnd w:id="90"/>
      <w:r w:rsidRPr="005B5171">
        <w:rPr>
          <w:rFonts w:ascii="Segoe UI Semibold" w:eastAsia="Times New Roman" w:hAnsi="Segoe UI Semibold" w:cs="Times New Roman"/>
          <w:color w:val="016295"/>
        </w:rPr>
        <w:t>, 2012–13 to 2017–18</w:t>
      </w:r>
    </w:p>
    <w:tbl>
      <w:tblPr>
        <w:tblStyle w:val="xTable1"/>
        <w:tblW w:w="0" w:type="auto"/>
        <w:tblLayout w:type="fixed"/>
        <w:tblLook w:val="04A0" w:firstRow="1" w:lastRow="0" w:firstColumn="1" w:lastColumn="0" w:noHBand="0" w:noVBand="1"/>
      </w:tblPr>
      <w:tblGrid>
        <w:gridCol w:w="1247"/>
        <w:gridCol w:w="1247"/>
        <w:gridCol w:w="1247"/>
        <w:gridCol w:w="1247"/>
        <w:gridCol w:w="1247"/>
        <w:gridCol w:w="1247"/>
      </w:tblGrid>
      <w:tr w:rsidR="005B5171" w:rsidRPr="005B5171" w:rsidTr="000B1E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47" w:type="dxa"/>
          </w:tcPr>
          <w:p w:rsidR="005B5171" w:rsidRPr="005B5171" w:rsidRDefault="005B5171" w:rsidP="005B5171">
            <w:pPr>
              <w:rPr>
                <w:rFonts w:ascii="Segoe UI" w:hAnsi="Segoe UI" w:cs="Segoe UI"/>
              </w:rPr>
            </w:pPr>
            <w:r w:rsidRPr="005B5171">
              <w:rPr>
                <w:rFonts w:ascii="Segoe UI" w:hAnsi="Segoe UI" w:cs="Segoe UI"/>
              </w:rPr>
              <w:t>Year</w:t>
            </w:r>
          </w:p>
        </w:tc>
        <w:tc>
          <w:tcPr>
            <w:tcW w:w="1247"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Fees and charges</w:t>
            </w:r>
          </w:p>
        </w:tc>
        <w:tc>
          <w:tcPr>
            <w:tcW w:w="1247"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Rent</w:t>
            </w:r>
          </w:p>
        </w:tc>
        <w:tc>
          <w:tcPr>
            <w:tcW w:w="1247"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Royalty</w:t>
            </w:r>
          </w:p>
        </w:tc>
        <w:tc>
          <w:tcPr>
            <w:tcW w:w="1247"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Mine stability levy</w:t>
            </w:r>
          </w:p>
        </w:tc>
        <w:tc>
          <w:tcPr>
            <w:tcW w:w="1247"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Total</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rsidR="005B5171" w:rsidRPr="005B5171" w:rsidRDefault="005B5171" w:rsidP="005B5171">
            <w:pPr>
              <w:rPr>
                <w:rFonts w:ascii="Segoe UI" w:hAnsi="Segoe UI" w:cs="Segoe UI"/>
              </w:rPr>
            </w:pPr>
            <w:r w:rsidRPr="005B5171">
              <w:rPr>
                <w:rFonts w:ascii="Segoe UI" w:hAnsi="Segoe UI" w:cs="Segoe UI"/>
              </w:rPr>
              <w:t>2012–13</w:t>
            </w:r>
          </w:p>
        </w:tc>
        <w:tc>
          <w:tcPr>
            <w:tcW w:w="1247"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1.0</w:t>
            </w:r>
          </w:p>
        </w:tc>
        <w:tc>
          <w:tcPr>
            <w:tcW w:w="1247"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3.0</w:t>
            </w:r>
          </w:p>
        </w:tc>
        <w:tc>
          <w:tcPr>
            <w:tcW w:w="1247"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51.9</w:t>
            </w:r>
          </w:p>
        </w:tc>
        <w:tc>
          <w:tcPr>
            <w:tcW w:w="1247"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1.3</w:t>
            </w:r>
          </w:p>
        </w:tc>
        <w:tc>
          <w:tcPr>
            <w:tcW w:w="1247"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57.2</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rsidR="005B5171" w:rsidRPr="005B5171" w:rsidRDefault="005B5171" w:rsidP="005B5171">
            <w:pPr>
              <w:rPr>
                <w:rFonts w:ascii="Segoe UI" w:hAnsi="Segoe UI" w:cs="Segoe UI"/>
              </w:rPr>
            </w:pPr>
            <w:r w:rsidRPr="005B5171">
              <w:rPr>
                <w:rFonts w:ascii="Segoe UI" w:hAnsi="Segoe UI" w:cs="Segoe UI"/>
              </w:rPr>
              <w:t>2013–14</w:t>
            </w:r>
          </w:p>
        </w:tc>
        <w:tc>
          <w:tcPr>
            <w:tcW w:w="1247"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1.1</w:t>
            </w:r>
          </w:p>
        </w:tc>
        <w:tc>
          <w:tcPr>
            <w:tcW w:w="1247"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2.6</w:t>
            </w:r>
          </w:p>
        </w:tc>
        <w:tc>
          <w:tcPr>
            <w:tcW w:w="1247"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45.1</w:t>
            </w:r>
          </w:p>
        </w:tc>
        <w:tc>
          <w:tcPr>
            <w:tcW w:w="1247"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1.3</w:t>
            </w:r>
          </w:p>
        </w:tc>
        <w:tc>
          <w:tcPr>
            <w:tcW w:w="1247"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50.1</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rsidR="005B5171" w:rsidRPr="005B5171" w:rsidRDefault="005B5171" w:rsidP="005B5171">
            <w:pPr>
              <w:rPr>
                <w:rFonts w:ascii="Segoe UI" w:hAnsi="Segoe UI" w:cs="Segoe UI"/>
              </w:rPr>
            </w:pPr>
            <w:r w:rsidRPr="005B5171">
              <w:rPr>
                <w:rFonts w:ascii="Segoe UI" w:hAnsi="Segoe UI" w:cs="Segoe UI"/>
              </w:rPr>
              <w:t>2015–16</w:t>
            </w:r>
          </w:p>
        </w:tc>
        <w:tc>
          <w:tcPr>
            <w:tcW w:w="1247"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0.7</w:t>
            </w:r>
          </w:p>
        </w:tc>
        <w:tc>
          <w:tcPr>
            <w:tcW w:w="1247"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2.0</w:t>
            </w:r>
          </w:p>
        </w:tc>
        <w:tc>
          <w:tcPr>
            <w:tcW w:w="1247"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47.7</w:t>
            </w:r>
          </w:p>
        </w:tc>
        <w:tc>
          <w:tcPr>
            <w:tcW w:w="1247"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1.4</w:t>
            </w:r>
          </w:p>
        </w:tc>
        <w:tc>
          <w:tcPr>
            <w:tcW w:w="1247"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51.8</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rsidR="005B5171" w:rsidRPr="005B5171" w:rsidRDefault="005B5171" w:rsidP="005B5171">
            <w:pPr>
              <w:rPr>
                <w:rFonts w:ascii="Segoe UI" w:hAnsi="Segoe UI" w:cs="Segoe UI"/>
              </w:rPr>
            </w:pPr>
            <w:r w:rsidRPr="005B5171">
              <w:rPr>
                <w:rFonts w:ascii="Segoe UI" w:hAnsi="Segoe UI" w:cs="Segoe UI"/>
              </w:rPr>
              <w:t>2016–17</w:t>
            </w:r>
          </w:p>
        </w:tc>
        <w:tc>
          <w:tcPr>
            <w:tcW w:w="1247"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0.7</w:t>
            </w:r>
          </w:p>
        </w:tc>
        <w:tc>
          <w:tcPr>
            <w:tcW w:w="1247"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1.4</w:t>
            </w:r>
          </w:p>
        </w:tc>
        <w:tc>
          <w:tcPr>
            <w:tcW w:w="1247"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83.1</w:t>
            </w:r>
          </w:p>
        </w:tc>
        <w:tc>
          <w:tcPr>
            <w:tcW w:w="1247"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1.4</w:t>
            </w:r>
          </w:p>
        </w:tc>
        <w:tc>
          <w:tcPr>
            <w:tcW w:w="1247"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86.6</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rsidR="005B5171" w:rsidRPr="005B5171" w:rsidRDefault="005B5171" w:rsidP="005B5171">
            <w:pPr>
              <w:rPr>
                <w:rFonts w:ascii="Segoe UI" w:hAnsi="Segoe UI" w:cs="Segoe UI"/>
              </w:rPr>
            </w:pPr>
            <w:r w:rsidRPr="005B5171">
              <w:rPr>
                <w:rFonts w:ascii="Segoe UI" w:hAnsi="Segoe UI" w:cs="Segoe UI"/>
              </w:rPr>
              <w:t>2017–18</w:t>
            </w:r>
          </w:p>
        </w:tc>
        <w:tc>
          <w:tcPr>
            <w:tcW w:w="1247"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0.8</w:t>
            </w:r>
          </w:p>
        </w:tc>
        <w:tc>
          <w:tcPr>
            <w:tcW w:w="1247"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1.7</w:t>
            </w:r>
          </w:p>
        </w:tc>
        <w:tc>
          <w:tcPr>
            <w:tcW w:w="1247"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99.1</w:t>
            </w:r>
          </w:p>
        </w:tc>
        <w:tc>
          <w:tcPr>
            <w:tcW w:w="1247"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1.5</w:t>
            </w:r>
          </w:p>
        </w:tc>
        <w:tc>
          <w:tcPr>
            <w:tcW w:w="1247"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103.1</w:t>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Source: DJPR 2018</w:t>
      </w:r>
    </w:p>
    <w:p w:rsidR="005B5171" w:rsidRPr="005B5171" w:rsidRDefault="005B5171" w:rsidP="005B5171">
      <w:pPr>
        <w:rPr>
          <w:rFonts w:ascii="Segoe UI" w:hAnsi="Segoe UI" w:cs="Segoe UI"/>
        </w:rPr>
      </w:pPr>
    </w:p>
    <w:p w:rsidR="005B5171" w:rsidRPr="005B5171" w:rsidRDefault="005B5171" w:rsidP="005B5171">
      <w:pPr>
        <w:jc w:val="both"/>
        <w:rPr>
          <w:rFonts w:ascii="Segoe UI" w:hAnsi="Segoe UI" w:cs="Segoe UI"/>
        </w:rPr>
      </w:pPr>
      <w:r w:rsidRPr="005B5171">
        <w:rPr>
          <w:rFonts w:ascii="Segoe UI" w:hAnsi="Segoe UI" w:cs="Segoe UI"/>
        </w:rPr>
        <w:t xml:space="preserve">The royalty revenue component is further explored in </w:t>
      </w:r>
      <w:r w:rsidRPr="005B5171">
        <w:rPr>
          <w:rFonts w:ascii="Segoe UI" w:hAnsi="Segoe UI" w:cs="Segoe UI"/>
        </w:rPr>
        <w:fldChar w:fldCharType="begin"/>
      </w:r>
      <w:r w:rsidRPr="005B5171">
        <w:rPr>
          <w:rFonts w:ascii="Segoe UI" w:hAnsi="Segoe UI" w:cs="Segoe UI"/>
        </w:rPr>
        <w:instrText xml:space="preserve"> REF _Ref15532976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80</w:t>
      </w:r>
      <w:r w:rsidRPr="005B5171">
        <w:rPr>
          <w:rFonts w:ascii="Segoe UI" w:hAnsi="Segoe UI" w:cs="Segoe UI"/>
        </w:rPr>
        <w:fldChar w:fldCharType="end"/>
      </w:r>
      <w:r w:rsidRPr="005B5171">
        <w:rPr>
          <w:rFonts w:ascii="Segoe UI" w:hAnsi="Segoe UI" w:cs="Segoe UI"/>
        </w:rPr>
        <w:t>, showing that the total mineral extractive and petroleum sector royalties payable have also nearly doubled over the same period. Of all the sectors, coal mining royalties were the highest and demonstrated the largest increase, from $36.6 million in 2012–13 to $84 million in 2017–18.</w:t>
      </w:r>
    </w:p>
    <w:p w:rsidR="005B5171" w:rsidRPr="005B5171" w:rsidRDefault="005B5171" w:rsidP="005B5171">
      <w:pPr>
        <w:rPr>
          <w:rFonts w:ascii="Segoe UI" w:hAnsi="Segoe UI" w:cs="Segoe UI"/>
        </w:rPr>
      </w:pPr>
      <w:r w:rsidRPr="005B5171">
        <w:rPr>
          <w:rFonts w:ascii="Segoe UI" w:hAnsi="Segoe UI" w:cs="Segoe UI"/>
        </w:rPr>
        <w:br w:type="page"/>
      </w:r>
    </w:p>
    <w:p w:rsidR="005B5171" w:rsidRPr="005B5171" w:rsidRDefault="005B5171" w:rsidP="005B5171">
      <w:pPr>
        <w:spacing w:after="200" w:line="240" w:lineRule="auto"/>
        <w:rPr>
          <w:rFonts w:ascii="Segoe UI Semibold" w:eastAsia="Times New Roman" w:hAnsi="Segoe UI Semibold" w:cs="Times New Roman"/>
          <w:color w:val="016295"/>
        </w:rPr>
      </w:pPr>
      <w:bookmarkStart w:id="91" w:name="_Ref15532976"/>
      <w:bookmarkStart w:id="92" w:name="_Toc25660862"/>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80</w:t>
      </w:r>
      <w:r w:rsidRPr="005B5171">
        <w:rPr>
          <w:rFonts w:ascii="Segoe UI Semibold" w:eastAsia="Times New Roman" w:hAnsi="Segoe UI Semibold" w:cs="Times New Roman"/>
          <w:noProof/>
          <w:color w:val="016295"/>
        </w:rPr>
        <w:fldChar w:fldCharType="end"/>
      </w:r>
      <w:bookmarkEnd w:id="91"/>
      <w:r w:rsidRPr="005B5171">
        <w:rPr>
          <w:rFonts w:ascii="Segoe UI Semibold" w:eastAsia="Times New Roman" w:hAnsi="Segoe UI Semibold" w:cs="Times New Roman"/>
          <w:noProof/>
          <w:color w:val="016295"/>
        </w:rPr>
        <w:t>:</w:t>
      </w:r>
      <w:r w:rsidRPr="005B5171">
        <w:rPr>
          <w:rFonts w:ascii="Segoe UI Semibold" w:eastAsia="Times New Roman" w:hAnsi="Segoe UI Semibold" w:cs="Times New Roman"/>
          <w:color w:val="016295"/>
        </w:rPr>
        <w:t xml:space="preserve"> Mineral, extractive and petroleum sector royalties payable in the financial year ($A Millions) for Victoria</w:t>
      </w:r>
      <w:bookmarkEnd w:id="92"/>
      <w:r w:rsidRPr="005B5171">
        <w:rPr>
          <w:rFonts w:ascii="Segoe UI Semibold" w:eastAsia="Times New Roman" w:hAnsi="Segoe UI Semibold" w:cs="Times New Roman"/>
          <w:color w:val="016295"/>
        </w:rPr>
        <w:t>, 2012–13 to 2017–18</w:t>
      </w:r>
    </w:p>
    <w:tbl>
      <w:tblPr>
        <w:tblStyle w:val="xTable1"/>
        <w:tblW w:w="0" w:type="auto"/>
        <w:tblLook w:val="04A0" w:firstRow="1" w:lastRow="0" w:firstColumn="1" w:lastColumn="0" w:noHBand="0" w:noVBand="1"/>
      </w:tblPr>
      <w:tblGrid>
        <w:gridCol w:w="1134"/>
        <w:gridCol w:w="1134"/>
        <w:gridCol w:w="1134"/>
        <w:gridCol w:w="1134"/>
        <w:gridCol w:w="1134"/>
        <w:gridCol w:w="1134"/>
      </w:tblGrid>
      <w:tr w:rsidR="005B5171" w:rsidRPr="005B5171" w:rsidTr="000B1E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4" w:type="dxa"/>
          </w:tcPr>
          <w:p w:rsidR="005B5171" w:rsidRPr="005B5171" w:rsidRDefault="005B5171" w:rsidP="005B5171">
            <w:pPr>
              <w:rPr>
                <w:rFonts w:ascii="Segoe UI" w:hAnsi="Segoe UI" w:cs="Segoe UI"/>
              </w:rPr>
            </w:pPr>
            <w:r w:rsidRPr="005B5171">
              <w:rPr>
                <w:rFonts w:ascii="Segoe UI" w:hAnsi="Segoe UI" w:cs="Segoe UI"/>
              </w:rPr>
              <w:t>Year</w:t>
            </w:r>
          </w:p>
        </w:tc>
        <w:tc>
          <w:tcPr>
            <w:tcW w:w="1134"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Coal</w:t>
            </w:r>
          </w:p>
        </w:tc>
        <w:tc>
          <w:tcPr>
            <w:tcW w:w="1134"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Minerals</w:t>
            </w:r>
          </w:p>
        </w:tc>
        <w:tc>
          <w:tcPr>
            <w:tcW w:w="1134"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Extractive</w:t>
            </w:r>
          </w:p>
        </w:tc>
        <w:tc>
          <w:tcPr>
            <w:tcW w:w="1134"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Petroleum</w:t>
            </w:r>
          </w:p>
        </w:tc>
        <w:tc>
          <w:tcPr>
            <w:tcW w:w="1134"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Total</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B5171" w:rsidRPr="005B5171" w:rsidRDefault="005B5171" w:rsidP="005B5171">
            <w:pPr>
              <w:rPr>
                <w:rFonts w:ascii="Segoe UI" w:hAnsi="Segoe UI" w:cs="Segoe UI"/>
              </w:rPr>
            </w:pPr>
            <w:r w:rsidRPr="005B5171">
              <w:rPr>
                <w:rFonts w:ascii="Segoe UI" w:hAnsi="Segoe UI" w:cs="Segoe UI"/>
              </w:rPr>
              <w:t>2012–13</w:t>
            </w:r>
          </w:p>
        </w:tc>
        <w:tc>
          <w:tcPr>
            <w:tcW w:w="113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p>
        </w:tc>
        <w:tc>
          <w:tcPr>
            <w:tcW w:w="113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43.5</w:t>
            </w:r>
          </w:p>
        </w:tc>
        <w:tc>
          <w:tcPr>
            <w:tcW w:w="113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8.3</w:t>
            </w:r>
          </w:p>
        </w:tc>
        <w:tc>
          <w:tcPr>
            <w:tcW w:w="113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0.1</w:t>
            </w:r>
          </w:p>
        </w:tc>
        <w:tc>
          <w:tcPr>
            <w:tcW w:w="113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51.9</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B5171" w:rsidRPr="005B5171" w:rsidRDefault="005B5171" w:rsidP="005B5171">
            <w:pPr>
              <w:rPr>
                <w:rFonts w:ascii="Segoe UI" w:hAnsi="Segoe UI" w:cs="Segoe UI"/>
              </w:rPr>
            </w:pPr>
            <w:r w:rsidRPr="005B5171">
              <w:rPr>
                <w:rFonts w:ascii="Segoe UI" w:hAnsi="Segoe UI" w:cs="Segoe UI"/>
              </w:rPr>
              <w:t>2013–14</w:t>
            </w:r>
          </w:p>
        </w:tc>
        <w:tc>
          <w:tcPr>
            <w:tcW w:w="1134"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p>
        </w:tc>
        <w:tc>
          <w:tcPr>
            <w:tcW w:w="1134"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40.6</w:t>
            </w:r>
          </w:p>
        </w:tc>
        <w:tc>
          <w:tcPr>
            <w:tcW w:w="1134"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4.4</w:t>
            </w:r>
          </w:p>
        </w:tc>
        <w:tc>
          <w:tcPr>
            <w:tcW w:w="1134"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0.1</w:t>
            </w:r>
          </w:p>
        </w:tc>
        <w:tc>
          <w:tcPr>
            <w:tcW w:w="1134"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45.1</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B5171" w:rsidRPr="005B5171" w:rsidRDefault="005B5171" w:rsidP="005B5171">
            <w:pPr>
              <w:rPr>
                <w:rFonts w:ascii="Segoe UI" w:hAnsi="Segoe UI" w:cs="Segoe UI"/>
              </w:rPr>
            </w:pPr>
            <w:r w:rsidRPr="005B5171">
              <w:rPr>
                <w:rFonts w:ascii="Segoe UI" w:hAnsi="Segoe UI" w:cs="Segoe UI"/>
              </w:rPr>
              <w:t>2015–16</w:t>
            </w:r>
          </w:p>
        </w:tc>
        <w:tc>
          <w:tcPr>
            <w:tcW w:w="113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36.6</w:t>
            </w:r>
          </w:p>
        </w:tc>
        <w:tc>
          <w:tcPr>
            <w:tcW w:w="113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5.7</w:t>
            </w:r>
          </w:p>
        </w:tc>
        <w:tc>
          <w:tcPr>
            <w:tcW w:w="113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6.2</w:t>
            </w:r>
          </w:p>
        </w:tc>
        <w:tc>
          <w:tcPr>
            <w:tcW w:w="113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0.1</w:t>
            </w:r>
          </w:p>
        </w:tc>
        <w:tc>
          <w:tcPr>
            <w:tcW w:w="113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47.7</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B5171" w:rsidRPr="005B5171" w:rsidRDefault="005B5171" w:rsidP="005B5171">
            <w:pPr>
              <w:rPr>
                <w:rFonts w:ascii="Segoe UI" w:hAnsi="Segoe UI" w:cs="Segoe UI"/>
              </w:rPr>
            </w:pPr>
            <w:r w:rsidRPr="005B5171">
              <w:rPr>
                <w:rFonts w:ascii="Segoe UI" w:hAnsi="Segoe UI" w:cs="Segoe UI"/>
              </w:rPr>
              <w:t>2016–17</w:t>
            </w:r>
          </w:p>
        </w:tc>
        <w:tc>
          <w:tcPr>
            <w:tcW w:w="1134"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66.9</w:t>
            </w:r>
          </w:p>
        </w:tc>
        <w:tc>
          <w:tcPr>
            <w:tcW w:w="1134"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6.1</w:t>
            </w:r>
          </w:p>
        </w:tc>
        <w:tc>
          <w:tcPr>
            <w:tcW w:w="1134"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5.9</w:t>
            </w:r>
          </w:p>
        </w:tc>
        <w:tc>
          <w:tcPr>
            <w:tcW w:w="1134"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4.2</w:t>
            </w:r>
          </w:p>
        </w:tc>
        <w:tc>
          <w:tcPr>
            <w:tcW w:w="1134" w:type="dxa"/>
            <w:vAlign w:val="center"/>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83.1</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B5171" w:rsidRPr="005B5171" w:rsidRDefault="005B5171" w:rsidP="005B5171">
            <w:pPr>
              <w:rPr>
                <w:rFonts w:ascii="Segoe UI" w:hAnsi="Segoe UI" w:cs="Segoe UI"/>
              </w:rPr>
            </w:pPr>
            <w:r w:rsidRPr="005B5171">
              <w:rPr>
                <w:rFonts w:ascii="Segoe UI" w:hAnsi="Segoe UI" w:cs="Segoe UI"/>
              </w:rPr>
              <w:t>2017–18</w:t>
            </w:r>
          </w:p>
        </w:tc>
        <w:tc>
          <w:tcPr>
            <w:tcW w:w="113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84</w:t>
            </w:r>
          </w:p>
        </w:tc>
        <w:tc>
          <w:tcPr>
            <w:tcW w:w="113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5.6</w:t>
            </w:r>
          </w:p>
        </w:tc>
        <w:tc>
          <w:tcPr>
            <w:tcW w:w="113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6.2</w:t>
            </w:r>
          </w:p>
        </w:tc>
        <w:tc>
          <w:tcPr>
            <w:tcW w:w="113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3.2</w:t>
            </w:r>
          </w:p>
        </w:tc>
        <w:tc>
          <w:tcPr>
            <w:tcW w:w="1134" w:type="dxa"/>
            <w:vAlign w:val="center"/>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99.1</w:t>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Source: DJPR 2018</w:t>
      </w:r>
    </w:p>
    <w:p w:rsidR="005B5171" w:rsidRPr="005B5171" w:rsidRDefault="005B5171" w:rsidP="005B5171">
      <w:pPr>
        <w:rPr>
          <w:rFonts w:ascii="Segoe UI" w:hAnsi="Segoe UI" w:cs="Segoe UI"/>
        </w:rPr>
      </w:pPr>
      <w:r w:rsidRPr="005B5171">
        <w:rPr>
          <w:rFonts w:ascii="Segoe UI" w:hAnsi="Segoe UI" w:cs="Segoe UI"/>
        </w:rPr>
        <w:br w:type="page"/>
      </w:r>
    </w:p>
    <w:p w:rsidR="005B5171" w:rsidRPr="005B5171" w:rsidRDefault="005B5171" w:rsidP="005B5171">
      <w:pPr>
        <w:keepNext/>
        <w:spacing w:before="240" w:after="240" w:line="240" w:lineRule="auto"/>
        <w:outlineLvl w:val="2"/>
        <w:rPr>
          <w:rFonts w:ascii="Segoe UI" w:hAnsi="Segoe UI" w:cs="Segoe UI"/>
          <w:b/>
          <w:color w:val="000000"/>
          <w:sz w:val="24"/>
          <w:szCs w:val="24"/>
        </w:rPr>
      </w:pPr>
      <w:bookmarkStart w:id="93" w:name="_Toc30492030"/>
      <w:bookmarkStart w:id="94" w:name="_Toc33002128"/>
      <w:r w:rsidRPr="005B5171">
        <w:rPr>
          <w:rFonts w:ascii="Segoe UI" w:hAnsi="Segoe UI" w:cs="Segoe UI"/>
          <w:b/>
          <w:color w:val="000000"/>
          <w:sz w:val="24"/>
          <w:szCs w:val="24"/>
        </w:rPr>
        <w:t>Indicator 2.1e: The area of native forest harvested and the proportion of that effectively regenerated, and the area of plantation harvested and the proportion of that effectively re-established</w:t>
      </w:r>
      <w:bookmarkEnd w:id="84"/>
      <w:bookmarkEnd w:id="93"/>
      <w:bookmarkEnd w:id="94"/>
    </w:p>
    <w:p w:rsidR="005B5171" w:rsidRPr="005B5171" w:rsidRDefault="005B5171" w:rsidP="005B5171">
      <w:pPr>
        <w:jc w:val="both"/>
        <w:rPr>
          <w:rFonts w:ascii="Segoe UI" w:hAnsi="Segoe UI" w:cs="Segoe UI"/>
        </w:rPr>
      </w:pPr>
      <w:r w:rsidRPr="005B5171">
        <w:rPr>
          <w:rFonts w:ascii="Segoe UI" w:hAnsi="Segoe UI" w:cs="Segoe UI"/>
        </w:rPr>
        <w:t xml:space="preserve">This indicator reports on the extent of native forest harvested and the success of regeneration on harvested sites. The government’s forest management framework provides the basis under which these operations occur. </w:t>
      </w:r>
    </w:p>
    <w:p w:rsidR="005B5171" w:rsidRPr="005B5171" w:rsidRDefault="005B5171" w:rsidP="005B5171">
      <w:pPr>
        <w:jc w:val="both"/>
        <w:rPr>
          <w:rFonts w:ascii="Segoe UI" w:hAnsi="Segoe UI" w:cs="Segoe UI"/>
        </w:rPr>
      </w:pPr>
      <w:proofErr w:type="spellStart"/>
      <w:r w:rsidRPr="005B5171">
        <w:rPr>
          <w:rFonts w:ascii="Segoe UI" w:hAnsi="Segoe UI" w:cs="Segoe UI"/>
        </w:rPr>
        <w:t>VicForests</w:t>
      </w:r>
      <w:proofErr w:type="spellEnd"/>
      <w:r w:rsidRPr="005B5171">
        <w:rPr>
          <w:rFonts w:ascii="Segoe UI" w:hAnsi="Segoe UI" w:cs="Segoe UI"/>
        </w:rPr>
        <w:t xml:space="preserve"> is responsible for ensuring native forest coupes are successfully regenerated post-harvest, as defined under the </w:t>
      </w:r>
      <w:r w:rsidRPr="005B5171">
        <w:rPr>
          <w:rFonts w:ascii="Segoe UI" w:hAnsi="Segoe UI" w:cs="Segoe UI"/>
          <w:i/>
        </w:rPr>
        <w:t xml:space="preserve">Code of </w:t>
      </w:r>
      <w:r w:rsidRPr="005B5171">
        <w:rPr>
          <w:rFonts w:ascii="Segoe UI" w:hAnsi="Segoe UI" w:cs="Segoe UI"/>
        </w:rPr>
        <w:t>Practice</w:t>
      </w:r>
      <w:r w:rsidRPr="005B5171">
        <w:rPr>
          <w:rFonts w:ascii="Segoe UI" w:hAnsi="Segoe UI" w:cs="Segoe UI"/>
          <w:i/>
        </w:rPr>
        <w:t xml:space="preserve"> for </w:t>
      </w:r>
      <w:r w:rsidRPr="005B5171">
        <w:rPr>
          <w:rFonts w:ascii="Segoe UI" w:hAnsi="Segoe UI" w:cs="Segoe UI"/>
        </w:rPr>
        <w:t xml:space="preserve">Timber Production </w:t>
      </w:r>
      <w:r w:rsidRPr="005B5171">
        <w:rPr>
          <w:rFonts w:ascii="Segoe UI" w:hAnsi="Segoe UI" w:cs="Segoe UI"/>
          <w:i/>
        </w:rPr>
        <w:t>2014</w:t>
      </w:r>
      <w:r w:rsidRPr="005B5171">
        <w:rPr>
          <w:rFonts w:ascii="Segoe UI" w:hAnsi="Segoe UI" w:cs="Segoe UI"/>
        </w:rPr>
        <w:t xml:space="preserve">. </w:t>
      </w:r>
    </w:p>
    <w:p w:rsidR="005B5171" w:rsidRPr="005B5171" w:rsidRDefault="005B5171" w:rsidP="005B5171">
      <w:pPr>
        <w:jc w:val="both"/>
        <w:rPr>
          <w:rFonts w:ascii="Segoe UI" w:hAnsi="Segoe UI" w:cs="Segoe UI"/>
        </w:rPr>
      </w:pPr>
      <w:r w:rsidRPr="005B5171">
        <w:rPr>
          <w:rFonts w:ascii="Segoe UI" w:hAnsi="Segoe UI" w:cs="Segoe UI"/>
        </w:rPr>
        <w:t xml:space="preserve">The </w:t>
      </w:r>
      <w:r w:rsidRPr="005B5171">
        <w:rPr>
          <w:rFonts w:ascii="Segoe UI" w:hAnsi="Segoe UI" w:cs="Segoe UI"/>
          <w:i/>
        </w:rPr>
        <w:t>Management Standards and Procedures for timber harvesting operations in Victoria’s State forests 2014</w:t>
      </w:r>
      <w:r w:rsidRPr="005B5171">
        <w:rPr>
          <w:rFonts w:ascii="Segoe UI" w:hAnsi="Segoe UI" w:cs="Segoe UI"/>
        </w:rPr>
        <w:t>, incorporated in the Code</w:t>
      </w:r>
      <w:r w:rsidRPr="005B5171">
        <w:rPr>
          <w:rFonts w:ascii="Segoe UI" w:hAnsi="Segoe UI" w:cs="Segoe UI"/>
          <w:i/>
        </w:rPr>
        <w:t>,</w:t>
      </w:r>
      <w:r w:rsidRPr="005B5171">
        <w:rPr>
          <w:rFonts w:ascii="Segoe UI" w:hAnsi="Segoe UI" w:cs="Segoe UI"/>
        </w:rPr>
        <w:t xml:space="preserve"> lists the minimum regeneration standards required. The standards outline three regeneration features: </w:t>
      </w:r>
    </w:p>
    <w:p w:rsidR="005B5171" w:rsidRDefault="005B5171" w:rsidP="005B5171">
      <w:pPr>
        <w:numPr>
          <w:ilvl w:val="0"/>
          <w:numId w:val="29"/>
        </w:numPr>
        <w:spacing w:before="120" w:after="120"/>
        <w:contextualSpacing/>
        <w:rPr>
          <w:rFonts w:ascii="Segoe UI" w:hAnsi="Segoe UI" w:cs="Segoe UI"/>
        </w:rPr>
      </w:pPr>
      <w:r w:rsidRPr="005B5171">
        <w:rPr>
          <w:rFonts w:ascii="Segoe UI" w:hAnsi="Segoe UI" w:cs="Segoe UI"/>
        </w:rPr>
        <w:t>minimum 65 per cent of plots stocked (standard intensity)</w:t>
      </w:r>
    </w:p>
    <w:p w:rsidR="0070586C" w:rsidRDefault="005B5171" w:rsidP="0070586C">
      <w:pPr>
        <w:numPr>
          <w:ilvl w:val="0"/>
          <w:numId w:val="29"/>
        </w:numPr>
        <w:spacing w:before="120" w:after="120"/>
        <w:contextualSpacing/>
        <w:rPr>
          <w:rFonts w:ascii="Segoe UI" w:hAnsi="Segoe UI" w:cs="Segoe UI"/>
        </w:rPr>
      </w:pPr>
      <w:r w:rsidRPr="0070586C">
        <w:rPr>
          <w:rFonts w:ascii="Segoe UI" w:hAnsi="Segoe UI" w:cs="Segoe UI"/>
        </w:rPr>
        <w:t>no discrete unstocked areas greater than one hectare in even aged stands, or greater than 2 hectares in uneven aged stands</w:t>
      </w:r>
    </w:p>
    <w:p w:rsidR="005B5171" w:rsidRDefault="005B5171" w:rsidP="0070586C">
      <w:pPr>
        <w:numPr>
          <w:ilvl w:val="0"/>
          <w:numId w:val="29"/>
        </w:numPr>
        <w:spacing w:before="120" w:after="120"/>
        <w:contextualSpacing/>
        <w:rPr>
          <w:rFonts w:ascii="Segoe UI" w:hAnsi="Segoe UI" w:cs="Segoe UI"/>
        </w:rPr>
      </w:pPr>
      <w:r w:rsidRPr="0070586C">
        <w:rPr>
          <w:rFonts w:ascii="Segoe UI" w:hAnsi="Segoe UI" w:cs="Segoe UI"/>
        </w:rPr>
        <w:t>at least 10 acceptable seedlings/coppice of those eucalypt species present on the site prior to harvesting must be present on the regenerated site.</w:t>
      </w:r>
    </w:p>
    <w:p w:rsidR="0070586C" w:rsidRPr="0070586C" w:rsidRDefault="0070586C" w:rsidP="0070586C">
      <w:pPr>
        <w:spacing w:before="120" w:after="120"/>
        <w:ind w:left="720"/>
        <w:contextualSpacing/>
        <w:rPr>
          <w:rFonts w:ascii="Segoe UI" w:hAnsi="Segoe UI" w:cs="Segoe UI"/>
        </w:rPr>
      </w:pPr>
    </w:p>
    <w:p w:rsidR="005B5171" w:rsidRPr="005B5171" w:rsidRDefault="005B5171" w:rsidP="005B5171">
      <w:pPr>
        <w:jc w:val="both"/>
        <w:rPr>
          <w:rFonts w:ascii="Segoe UI" w:hAnsi="Segoe UI" w:cs="Segoe UI"/>
        </w:rPr>
      </w:pPr>
      <w:r w:rsidRPr="005B5171">
        <w:rPr>
          <w:rFonts w:ascii="Segoe UI" w:hAnsi="Segoe UI" w:cs="Segoe UI"/>
        </w:rPr>
        <w:t xml:space="preserve">The Code also lists the survey techniques that must be followed by the harvest manager to confirm regeneration success. The surveys are to be undertaken 15 to 30 months after </w:t>
      </w:r>
      <w:proofErr w:type="spellStart"/>
      <w:r w:rsidRPr="005B5171">
        <w:rPr>
          <w:rFonts w:ascii="Segoe UI" w:hAnsi="Segoe UI" w:cs="Segoe UI"/>
        </w:rPr>
        <w:t>seedfall</w:t>
      </w:r>
      <w:proofErr w:type="spellEnd"/>
      <w:r w:rsidRPr="005B5171">
        <w:rPr>
          <w:rFonts w:ascii="Segoe UI" w:hAnsi="Segoe UI" w:cs="Segoe UI"/>
        </w:rPr>
        <w:t xml:space="preserve"> and/or sowing in even aged stands, and 15 to 36 months after </w:t>
      </w:r>
      <w:proofErr w:type="spellStart"/>
      <w:r w:rsidRPr="005B5171">
        <w:rPr>
          <w:rFonts w:ascii="Segoe UI" w:hAnsi="Segoe UI" w:cs="Segoe UI"/>
        </w:rPr>
        <w:t>seedfall</w:t>
      </w:r>
      <w:proofErr w:type="spellEnd"/>
      <w:r w:rsidRPr="005B5171">
        <w:rPr>
          <w:rFonts w:ascii="Segoe UI" w:hAnsi="Segoe UI" w:cs="Segoe UI"/>
        </w:rPr>
        <w:t xml:space="preserve"> in uneven aged stands.</w:t>
      </w:r>
    </w:p>
    <w:p w:rsidR="005B5171" w:rsidRPr="005B5171" w:rsidRDefault="005B5171" w:rsidP="005B5171">
      <w:pPr>
        <w:jc w:val="both"/>
        <w:rPr>
          <w:rFonts w:ascii="Segoe UI" w:hAnsi="Segoe UI" w:cs="Segoe UI"/>
        </w:rPr>
      </w:pPr>
      <w:bookmarkStart w:id="95" w:name="_Hlk535156027"/>
      <w:r w:rsidRPr="005B5171">
        <w:rPr>
          <w:rFonts w:ascii="Segoe UI" w:hAnsi="Segoe UI" w:cs="Segoe UI"/>
        </w:rPr>
        <w:t xml:space="preserve">Where stocking health or early growth is inadequate, remedial work must be conducted as soon as practicable and within five years of the previous regeneration attempt to obtain adequate regeneration. Further assessment must be undertaken following remedial treatment to ensure that it has been successfully regenerated. </w:t>
      </w:r>
      <w:r w:rsidRPr="005B5171">
        <w:rPr>
          <w:rFonts w:ascii="Segoe UI" w:hAnsi="Segoe UI" w:cs="Segoe UI"/>
        </w:rPr>
        <w:fldChar w:fldCharType="begin"/>
      </w:r>
      <w:r w:rsidRPr="005B5171">
        <w:rPr>
          <w:rFonts w:ascii="Segoe UI" w:hAnsi="Segoe UI" w:cs="Segoe UI"/>
        </w:rPr>
        <w:instrText xml:space="preserve"> REF _Ref26289015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Figure </w:t>
      </w:r>
      <w:r w:rsidRPr="005B5171">
        <w:rPr>
          <w:rFonts w:ascii="Segoe UI" w:hAnsi="Segoe UI" w:cs="Segoe UI"/>
          <w:noProof/>
        </w:rPr>
        <w:t>39</w:t>
      </w:r>
      <w:r w:rsidRPr="005B5171">
        <w:rPr>
          <w:rFonts w:ascii="Segoe UI" w:hAnsi="Segoe UI" w:cs="Segoe UI"/>
        </w:rPr>
        <w:fldChar w:fldCharType="end"/>
      </w:r>
      <w:r w:rsidRPr="005B5171">
        <w:rPr>
          <w:rFonts w:ascii="Segoe UI" w:hAnsi="Segoe UI" w:cs="Segoe UI"/>
        </w:rPr>
        <w:t xml:space="preserve"> indicates that for most years’ regeneration is largely achieved but for a small proportion that requires a final regeneration survey. </w:t>
      </w:r>
      <w:bookmarkEnd w:id="95"/>
      <w:r w:rsidRPr="005B5171">
        <w:rPr>
          <w:rFonts w:ascii="Segoe UI" w:hAnsi="Segoe UI" w:cs="Segoe UI"/>
        </w:rPr>
        <w:t xml:space="preserve">Those areas that still require a regeneration survey are carried over to the next year. This means that, as defined by legislation, 100 per cent of coupe area will be surveyed and regeneration will be achieved on those coupes as per the specifications outlined in the Code. </w:t>
      </w:r>
    </w:p>
    <w:p w:rsidR="005B5171" w:rsidRPr="005B5171" w:rsidRDefault="005B5171" w:rsidP="005B5171">
      <w:pPr>
        <w:keepNext/>
        <w:rPr>
          <w:rFonts w:ascii="Segoe UI" w:hAnsi="Segoe UI" w:cs="Segoe UI"/>
        </w:rPr>
      </w:pPr>
    </w:p>
    <w:p w:rsidR="005B5171" w:rsidRPr="005B5171" w:rsidRDefault="005B5171" w:rsidP="005B5171">
      <w:pPr>
        <w:spacing w:after="200" w:line="240" w:lineRule="auto"/>
        <w:rPr>
          <w:rFonts w:ascii="Segoe UI Semibold" w:eastAsia="Times New Roman" w:hAnsi="Segoe UI Semibold" w:cs="Times New Roman"/>
          <w:color w:val="016295"/>
        </w:rPr>
      </w:pPr>
      <w:bookmarkStart w:id="96" w:name="_Ref14525807"/>
      <w:r w:rsidRPr="005B5171">
        <w:rPr>
          <w:rFonts w:ascii="Segoe UI Semibold" w:eastAsia="Times New Roman" w:hAnsi="Segoe UI Semibold" w:cs="Times New Roman"/>
          <w:noProof/>
          <w:color w:val="016295"/>
        </w:rPr>
        <w:drawing>
          <wp:inline distT="0" distB="0" distL="0" distR="0" wp14:anchorId="708F8D96" wp14:editId="4E37B80A">
            <wp:extent cx="5143500" cy="3124200"/>
            <wp:effectExtent l="0" t="0" r="0" b="0"/>
            <wp:docPr id="36" name="Picture 36" descr="cid:image008.png@01D58DA6.BEAD6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8.png@01D58DA6.BEAD65A0"/>
                    <pic:cNvPicPr>
                      <a:picLocks noChangeAspect="1" noChangeArrowheads="1"/>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5143500" cy="3124200"/>
                    </a:xfrm>
                    <a:prstGeom prst="rect">
                      <a:avLst/>
                    </a:prstGeom>
                    <a:noFill/>
                    <a:ln>
                      <a:noFill/>
                    </a:ln>
                  </pic:spPr>
                </pic:pic>
              </a:graphicData>
            </a:graphic>
          </wp:inline>
        </w:drawing>
      </w:r>
    </w:p>
    <w:p w:rsidR="005B5171" w:rsidRPr="005B5171" w:rsidRDefault="005B5171" w:rsidP="005B5171">
      <w:pPr>
        <w:spacing w:after="200" w:line="240" w:lineRule="auto"/>
        <w:rPr>
          <w:rFonts w:ascii="Segoe UI Semibold" w:eastAsia="Times New Roman" w:hAnsi="Segoe UI Semibold" w:cs="Times New Roman"/>
          <w:color w:val="016295"/>
        </w:rPr>
      </w:pPr>
      <w:bookmarkStart w:id="97" w:name="_Ref26289015"/>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39</w:t>
      </w:r>
      <w:r w:rsidRPr="005B5171">
        <w:rPr>
          <w:rFonts w:ascii="Segoe UI Semibold" w:eastAsia="Times New Roman" w:hAnsi="Segoe UI Semibold" w:cs="Times New Roman"/>
          <w:noProof/>
          <w:color w:val="016295"/>
        </w:rPr>
        <w:fldChar w:fldCharType="end"/>
      </w:r>
      <w:bookmarkEnd w:id="96"/>
      <w:bookmarkEnd w:id="97"/>
      <w:r w:rsidRPr="005B5171">
        <w:rPr>
          <w:rFonts w:ascii="Segoe UI Semibold" w:eastAsia="Times New Roman" w:hAnsi="Segoe UI Semibold" w:cs="Times New Roman"/>
          <w:color w:val="016295"/>
        </w:rPr>
        <w:t xml:space="preserve">: </w:t>
      </w:r>
      <w:proofErr w:type="spellStart"/>
      <w:r w:rsidRPr="005B5171">
        <w:rPr>
          <w:rFonts w:ascii="Segoe UI Semibold" w:eastAsia="Times New Roman" w:hAnsi="Segoe UI Semibold" w:cs="Times New Roman"/>
          <w:color w:val="016295"/>
        </w:rPr>
        <w:t>VicForests</w:t>
      </w:r>
      <w:proofErr w:type="spellEnd"/>
      <w:r w:rsidRPr="005B5171">
        <w:rPr>
          <w:rFonts w:ascii="Segoe UI Semibold" w:eastAsia="Times New Roman" w:hAnsi="Segoe UI Semibold" w:cs="Times New Roman"/>
          <w:color w:val="016295"/>
        </w:rPr>
        <w:t xml:space="preserve"> managed coupes – regeneration status of area harvested </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w:t>
      </w:r>
      <w:proofErr w:type="spellStart"/>
      <w:r w:rsidRPr="005B5171">
        <w:rPr>
          <w:rFonts w:ascii="Segoe UI" w:eastAsia="STZhongsong" w:hAnsi="Segoe UI" w:cs="Segoe UI"/>
          <w:bCs/>
          <w:sz w:val="18"/>
          <w:szCs w:val="18"/>
          <w:lang w:eastAsia="ko-KR"/>
        </w:rPr>
        <w:t>VicForests</w:t>
      </w:r>
      <w:proofErr w:type="spellEnd"/>
      <w:r w:rsidRPr="005B5171">
        <w:rPr>
          <w:rFonts w:ascii="Segoe UI" w:eastAsia="STZhongsong" w:hAnsi="Segoe UI" w:cs="Segoe UI"/>
          <w:bCs/>
          <w:sz w:val="18"/>
          <w:szCs w:val="18"/>
          <w:lang w:eastAsia="ko-KR"/>
        </w:rPr>
        <w:t xml:space="preserve"> corporate data </w:t>
      </w:r>
    </w:p>
    <w:p w:rsidR="005B5171" w:rsidRPr="005B5171" w:rsidRDefault="005B5171" w:rsidP="005B5171">
      <w:pPr>
        <w:keepNext/>
        <w:spacing w:before="120" w:after="120" w:line="240" w:lineRule="auto"/>
        <w:jc w:val="both"/>
        <w:outlineLvl w:val="3"/>
        <w:rPr>
          <w:rFonts w:ascii="Segoe UI" w:hAnsi="Segoe UI" w:cs="Segoe UI"/>
          <w:i/>
          <w:sz w:val="24"/>
          <w:szCs w:val="24"/>
        </w:rPr>
      </w:pPr>
      <w:r w:rsidRPr="005B5171">
        <w:rPr>
          <w:rFonts w:ascii="Segoe UI" w:hAnsi="Segoe UI" w:cs="Segoe UI"/>
          <w:i/>
          <w:sz w:val="24"/>
          <w:szCs w:val="24"/>
        </w:rPr>
        <w:t>Re-establishment of the plantation estate</w:t>
      </w:r>
    </w:p>
    <w:p w:rsidR="005B5171" w:rsidRPr="005B5171" w:rsidRDefault="005B5171" w:rsidP="005B5171">
      <w:pPr>
        <w:jc w:val="both"/>
        <w:rPr>
          <w:rFonts w:ascii="Segoe UI" w:hAnsi="Segoe UI" w:cs="Segoe UI"/>
        </w:rPr>
      </w:pPr>
      <w:r w:rsidRPr="005B5171">
        <w:rPr>
          <w:rFonts w:ascii="Segoe UI" w:hAnsi="Segoe UI" w:cs="Segoe UI"/>
        </w:rPr>
        <w:t>Following from the expansion of the hardwood plantation estate after the MIS scheme, many areas have not been replanted and have returned to their previous land uses. Jenkin (2018) estimates that, nationally, over 100,000 hectares have not been replanted in the period between 2005–06 and 2015–16, generally in areas where plantations were established on marginal sites. The area of softwood plantation in Australia, however, expanded by 35,648 hectares over the same period, but this has been limited since 2015–16. The ABARES plantation statistics for Victoria (</w:t>
      </w:r>
      <w:r w:rsidRPr="005B5171">
        <w:rPr>
          <w:rFonts w:ascii="Segoe UI" w:hAnsi="Segoe UI" w:cs="Segoe UI"/>
        </w:rPr>
        <w:fldChar w:fldCharType="begin"/>
      </w:r>
      <w:r w:rsidRPr="005B5171">
        <w:rPr>
          <w:rFonts w:ascii="Segoe UI" w:hAnsi="Segoe UI" w:cs="Segoe UI"/>
        </w:rPr>
        <w:instrText xml:space="preserve"> REF _Ref13050527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68</w:t>
      </w:r>
      <w:r w:rsidRPr="005B5171">
        <w:rPr>
          <w:rFonts w:ascii="Segoe UI" w:hAnsi="Segoe UI" w:cs="Segoe UI"/>
        </w:rPr>
        <w:fldChar w:fldCharType="end"/>
      </w:r>
      <w:r w:rsidRPr="005B5171">
        <w:rPr>
          <w:rFonts w:ascii="Segoe UI" w:hAnsi="Segoe UI" w:cs="Segoe UI"/>
        </w:rPr>
        <w:t xml:space="preserve"> and </w:t>
      </w:r>
      <w:r w:rsidRPr="005B5171">
        <w:rPr>
          <w:rFonts w:ascii="Segoe UI" w:hAnsi="Segoe UI" w:cs="Segoe UI"/>
        </w:rPr>
        <w:fldChar w:fldCharType="begin"/>
      </w:r>
      <w:r w:rsidRPr="005B5171">
        <w:rPr>
          <w:rFonts w:ascii="Segoe UI" w:hAnsi="Segoe UI" w:cs="Segoe UI"/>
        </w:rPr>
        <w:instrText xml:space="preserve"> REF _Ref14531576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Figure </w:t>
      </w:r>
      <w:r w:rsidRPr="005B5171">
        <w:rPr>
          <w:rFonts w:ascii="Segoe UI" w:hAnsi="Segoe UI" w:cs="Segoe UI"/>
          <w:noProof/>
        </w:rPr>
        <w:t>40</w:t>
      </w:r>
      <w:r w:rsidRPr="005B5171">
        <w:rPr>
          <w:rFonts w:ascii="Segoe UI" w:hAnsi="Segoe UI" w:cs="Segoe UI"/>
        </w:rPr>
        <w:fldChar w:fldCharType="end"/>
      </w:r>
      <w:r w:rsidRPr="005B5171">
        <w:rPr>
          <w:rFonts w:ascii="Segoe UI" w:hAnsi="Segoe UI" w:cs="Segoe UI"/>
        </w:rPr>
        <w:t xml:space="preserve">) illustrates the decline in plantation establishment. </w:t>
      </w:r>
    </w:p>
    <w:p w:rsidR="005B5171" w:rsidRPr="005B5171" w:rsidRDefault="005B5171" w:rsidP="005B5171">
      <w:pPr>
        <w:keepNext/>
        <w:tabs>
          <w:tab w:val="left" w:pos="8896"/>
          <w:tab w:val="left" w:pos="14939"/>
          <w:tab w:val="left" w:pos="17174"/>
          <w:tab w:val="left" w:pos="19782"/>
          <w:tab w:val="left" w:pos="25939"/>
        </w:tabs>
        <w:spacing w:before="240" w:after="240"/>
        <w:rPr>
          <w:rFonts w:ascii="Segoe UI" w:hAnsi="Segoe UI" w:cs="Segoe UI"/>
        </w:rPr>
      </w:pPr>
      <w:r w:rsidRPr="005B5171">
        <w:rPr>
          <w:rFonts w:ascii="Segoe UI" w:hAnsi="Segoe UI" w:cs="Segoe UI"/>
          <w:noProof/>
        </w:rPr>
        <w:drawing>
          <wp:inline distT="0" distB="0" distL="0" distR="0" wp14:anchorId="4A9C3DE9" wp14:editId="66FFEB29">
            <wp:extent cx="5141595" cy="3303905"/>
            <wp:effectExtent l="0" t="0" r="0" b="0"/>
            <wp:docPr id="1602056166" name="Picture 160205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141595" cy="3303905"/>
                    </a:xfrm>
                    <a:prstGeom prst="rect">
                      <a:avLst/>
                    </a:prstGeom>
                    <a:noFill/>
                    <a:ln>
                      <a:noFill/>
                    </a:ln>
                  </pic:spPr>
                </pic:pic>
              </a:graphicData>
            </a:graphic>
          </wp:inline>
        </w:drawing>
      </w:r>
    </w:p>
    <w:p w:rsidR="005B5171" w:rsidRPr="005B5171" w:rsidRDefault="005B5171" w:rsidP="005B5171">
      <w:pPr>
        <w:spacing w:after="200" w:line="240" w:lineRule="auto"/>
        <w:rPr>
          <w:rFonts w:ascii="Segoe UI Semibold" w:eastAsia="Times New Roman" w:hAnsi="Segoe UI Semibold" w:cs="Times New Roman"/>
          <w:color w:val="016295"/>
        </w:rPr>
      </w:pPr>
      <w:bookmarkStart w:id="98" w:name="_Ref14531576"/>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40</w:t>
      </w:r>
      <w:r w:rsidRPr="005B5171">
        <w:rPr>
          <w:rFonts w:ascii="Segoe UI Semibold" w:eastAsia="Times New Roman" w:hAnsi="Segoe UI Semibold" w:cs="Times New Roman"/>
          <w:noProof/>
          <w:color w:val="016295"/>
        </w:rPr>
        <w:fldChar w:fldCharType="end"/>
      </w:r>
      <w:bookmarkEnd w:id="98"/>
      <w:r w:rsidRPr="005B5171">
        <w:rPr>
          <w:rFonts w:ascii="Segoe UI Semibold" w:eastAsia="Times New Roman" w:hAnsi="Segoe UI Semibold" w:cs="Times New Roman"/>
          <w:color w:val="016295"/>
        </w:rPr>
        <w:t>: Additions to Victoria’s plantation estate, 1999–2000 to 2016–17, against the average area of all other states</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Source: Australian Department of Agriculture and Water Resources ABARES (2018a).</w:t>
      </w:r>
    </w:p>
    <w:p w:rsidR="005B5171" w:rsidRPr="005B5171" w:rsidRDefault="005B5171" w:rsidP="005B5171">
      <w:pPr>
        <w:keepNext/>
        <w:spacing w:before="240" w:after="240" w:line="240" w:lineRule="auto"/>
        <w:outlineLvl w:val="2"/>
        <w:rPr>
          <w:rFonts w:ascii="Segoe UI" w:hAnsi="Segoe UI" w:cs="Segoe UI"/>
          <w:b/>
          <w:color w:val="000000"/>
          <w:sz w:val="24"/>
          <w:szCs w:val="24"/>
        </w:rPr>
      </w:pPr>
      <w:bookmarkStart w:id="99" w:name="_Toc11768335"/>
      <w:bookmarkStart w:id="100" w:name="_Toc30492031"/>
      <w:bookmarkStart w:id="101" w:name="_Toc33002129"/>
      <w:r w:rsidRPr="005B5171">
        <w:rPr>
          <w:rFonts w:ascii="Segoe UI" w:hAnsi="Segoe UI" w:cs="Segoe UI"/>
          <w:b/>
          <w:color w:val="000000"/>
          <w:sz w:val="24"/>
          <w:szCs w:val="24"/>
        </w:rPr>
        <w:t>Indicator 6.1a: Value and volume of wood and wood products</w:t>
      </w:r>
      <w:bookmarkEnd w:id="99"/>
      <w:bookmarkEnd w:id="100"/>
      <w:bookmarkEnd w:id="101"/>
    </w:p>
    <w:p w:rsidR="005B5171" w:rsidRPr="005B5171" w:rsidRDefault="005B5171" w:rsidP="005B5171">
      <w:pPr>
        <w:jc w:val="both"/>
        <w:rPr>
          <w:rFonts w:ascii="Segoe UI" w:hAnsi="Segoe UI" w:cs="Segoe UI"/>
        </w:rPr>
      </w:pPr>
      <w:bookmarkStart w:id="102" w:name="_Ref7539834"/>
      <w:r w:rsidRPr="005B5171">
        <w:rPr>
          <w:rFonts w:ascii="Segoe UI" w:hAnsi="Segoe UI" w:cs="Segoe UI"/>
        </w:rPr>
        <w:t>This indicator presents information on the value and volume of wood and wood products that are directly generated by the forest and wood products industries.</w:t>
      </w:r>
    </w:p>
    <w:p w:rsidR="005B5171" w:rsidRPr="005B5171" w:rsidRDefault="005B5171" w:rsidP="005B5171">
      <w:pPr>
        <w:jc w:val="both"/>
        <w:rPr>
          <w:rFonts w:ascii="Segoe UI" w:hAnsi="Segoe UI" w:cs="Segoe UI"/>
        </w:rPr>
      </w:pPr>
      <w:proofErr w:type="spellStart"/>
      <w:r w:rsidRPr="005B5171">
        <w:rPr>
          <w:rFonts w:ascii="Segoe UI" w:hAnsi="Segoe UI" w:cs="Segoe UI"/>
        </w:rPr>
        <w:t>VicForests</w:t>
      </w:r>
      <w:proofErr w:type="spellEnd"/>
      <w:r w:rsidRPr="005B5171">
        <w:rPr>
          <w:rFonts w:ascii="Segoe UI" w:hAnsi="Segoe UI" w:cs="Segoe UI"/>
        </w:rPr>
        <w:t xml:space="preserve"> manages its resource to achieve maximum utilisation from harvest to deliver maximum economic return. In this way, its operations provide three types of timber: sawlog, </w:t>
      </w:r>
      <w:proofErr w:type="spellStart"/>
      <w:r w:rsidRPr="005B5171">
        <w:rPr>
          <w:rFonts w:ascii="Segoe UI" w:hAnsi="Segoe UI" w:cs="Segoe UI"/>
        </w:rPr>
        <w:t>pulplog</w:t>
      </w:r>
      <w:proofErr w:type="spellEnd"/>
      <w:r w:rsidRPr="005B5171">
        <w:rPr>
          <w:rFonts w:ascii="Segoe UI" w:hAnsi="Segoe UI" w:cs="Segoe UI"/>
        </w:rPr>
        <w:t xml:space="preserve"> and other wood (VEAC 2017, p. 20) where a single log may yield multiple products. Sawlog is high-quality timber from the lower to middle part of the tree trunk. Depending on its quality, sawlog can be used in products from pallets and roofing battens to furniture and flooring. Pulpwood can be from the branches and upper trunk, in addition to lower trunk sections that are not of sawlog quality. Pulpwood is primarily used to make paper and cardboard. A small amount of wood may be used for other purposes such as firewood, posts and poles. </w:t>
      </w:r>
    </w:p>
    <w:p w:rsidR="005B5171" w:rsidRPr="005B5171" w:rsidRDefault="005B5171" w:rsidP="005B5171">
      <w:pPr>
        <w:jc w:val="both"/>
        <w:rPr>
          <w:rFonts w:ascii="Segoe UI" w:hAnsi="Segoe UI" w:cs="Segoe UI"/>
        </w:rPr>
      </w:pPr>
      <w:r w:rsidRPr="005B5171">
        <w:rPr>
          <w:rFonts w:ascii="Segoe UI" w:hAnsi="Segoe UI" w:cs="Segoe UI"/>
        </w:rPr>
        <w:t xml:space="preserve">Log and pulp prices have been relatively stable since 2007-08. The spike in “hardwood plantation saw and veneer logs” may be due to the limited size of this market, accounting for only 4 per cent of total harvested hardwood plantations logs (ABARES 2018b). The average increase in log price index between 2007-08 and 2016-17 was 20 per cent with the highest increase being for softwood </w:t>
      </w:r>
      <w:proofErr w:type="spellStart"/>
      <w:r w:rsidRPr="005B5171">
        <w:rPr>
          <w:rFonts w:ascii="Segoe UI" w:hAnsi="Segoe UI" w:cs="Segoe UI"/>
        </w:rPr>
        <w:t>pulplogs</w:t>
      </w:r>
      <w:proofErr w:type="spellEnd"/>
      <w:r w:rsidRPr="005B5171">
        <w:rPr>
          <w:rFonts w:ascii="Segoe UI" w:hAnsi="Segoe UI" w:cs="Segoe UI"/>
        </w:rPr>
        <w:t xml:space="preserve"> at 46 per cent. </w:t>
      </w:r>
    </w:p>
    <w:p w:rsidR="005B5171" w:rsidRPr="005B5171" w:rsidRDefault="005B5171" w:rsidP="005B5171">
      <w:pPr>
        <w:rPr>
          <w:rFonts w:ascii="Segoe UI" w:hAnsi="Segoe UI" w:cs="Segoe UI"/>
        </w:rPr>
      </w:pPr>
      <w:r w:rsidRPr="005B5171">
        <w:rPr>
          <w:rFonts w:ascii="Segoe UI" w:hAnsi="Segoe UI" w:cs="Segoe UI"/>
          <w:noProof/>
        </w:rPr>
        <w:drawing>
          <wp:inline distT="0" distB="0" distL="0" distR="0" wp14:anchorId="02ED63BB" wp14:editId="6817BC9F">
            <wp:extent cx="5981700" cy="3756025"/>
            <wp:effectExtent l="0" t="0" r="0" b="15875"/>
            <wp:docPr id="44" name="Chart 44">
              <a:extLst xmlns:a="http://schemas.openxmlformats.org/drawingml/2006/main">
                <a:ext uri="{FF2B5EF4-FFF2-40B4-BE49-F238E27FC236}">
                  <a16:creationId xmlns:a16="http://schemas.microsoft.com/office/drawing/2014/main" id="{B5203693-806D-4AFA-91C8-E4EB815D84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B5171" w:rsidRPr="005B5171" w:rsidRDefault="005B5171" w:rsidP="005B5171">
      <w:pPr>
        <w:spacing w:after="200" w:line="240" w:lineRule="auto"/>
        <w:rPr>
          <w:rFonts w:ascii="Segoe UI Semibold" w:eastAsia="Times New Roman" w:hAnsi="Segoe UI Semibold" w:cs="Times New Roman"/>
          <w:color w:val="016295"/>
        </w:rPr>
      </w:pPr>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41</w:t>
      </w:r>
      <w:r w:rsidRPr="005B5171">
        <w:rPr>
          <w:rFonts w:ascii="Segoe UI Semibold" w:eastAsia="Times New Roman" w:hAnsi="Segoe UI Semibold" w:cs="Times New Roman"/>
          <w:noProof/>
          <w:color w:val="016295"/>
        </w:rPr>
        <w:fldChar w:fldCharType="end"/>
      </w:r>
      <w:r w:rsidRPr="005B5171">
        <w:rPr>
          <w:rFonts w:ascii="Segoe UI Semibold" w:eastAsia="Times New Roman" w:hAnsi="Segoe UI Semibold" w:cs="Times New Roman"/>
          <w:color w:val="016295"/>
        </w:rPr>
        <w:t>: Index of nominal prices paid per cubic metre at mill door</w:t>
      </w:r>
    </w:p>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Note: Base year 1999–00 = 100. Excludes other log types such as posts, poles, fencing and firewood removals. </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Sources: ABARES 2019</w:t>
      </w:r>
    </w:p>
    <w:p w:rsidR="005B5171" w:rsidRPr="005B5171" w:rsidRDefault="005B5171" w:rsidP="005B5171">
      <w:pPr>
        <w:keepNext/>
        <w:spacing w:before="120" w:after="120" w:line="240" w:lineRule="auto"/>
        <w:jc w:val="both"/>
        <w:outlineLvl w:val="3"/>
        <w:rPr>
          <w:rFonts w:ascii="Segoe UI" w:hAnsi="Segoe UI" w:cs="Segoe UI"/>
          <w:i/>
          <w:sz w:val="24"/>
          <w:szCs w:val="24"/>
        </w:rPr>
      </w:pPr>
      <w:r w:rsidRPr="005B5171">
        <w:rPr>
          <w:rFonts w:ascii="Segoe UI" w:hAnsi="Segoe UI" w:cs="Segoe UI"/>
          <w:i/>
          <w:sz w:val="24"/>
          <w:szCs w:val="24"/>
        </w:rPr>
        <w:t>Native timber</w:t>
      </w:r>
    </w:p>
    <w:p w:rsidR="005B5171" w:rsidRPr="005B5171" w:rsidRDefault="005B5171" w:rsidP="005B5171">
      <w:pPr>
        <w:jc w:val="both"/>
        <w:rPr>
          <w:rFonts w:ascii="Segoe UI" w:hAnsi="Segoe UI" w:cs="Segoe UI"/>
          <w:bCs/>
        </w:rPr>
      </w:pPr>
      <w:r w:rsidRPr="005B5171">
        <w:rPr>
          <w:rFonts w:ascii="Segoe UI" w:hAnsi="Segoe UI" w:cs="Segoe UI"/>
        </w:rPr>
        <w:t>In 2018, the Central Highlands accounted for approximately 75 per cent of all native forest harvested volume (</w:t>
      </w:r>
      <w:r w:rsidRPr="005B5171">
        <w:rPr>
          <w:rFonts w:ascii="Segoe UI" w:hAnsi="Segoe UI" w:cs="Segoe UI"/>
        </w:rPr>
        <w:fldChar w:fldCharType="begin"/>
      </w:r>
      <w:r w:rsidRPr="005B5171">
        <w:rPr>
          <w:rFonts w:ascii="Segoe UI" w:hAnsi="Segoe UI" w:cs="Segoe UI"/>
        </w:rPr>
        <w:instrText xml:space="preserve"> REF _Ref13150390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81</w:t>
      </w:r>
      <w:r w:rsidRPr="005B5171">
        <w:rPr>
          <w:rFonts w:ascii="Segoe UI" w:hAnsi="Segoe UI" w:cs="Segoe UI"/>
        </w:rPr>
        <w:fldChar w:fldCharType="end"/>
      </w:r>
      <w:r w:rsidRPr="005B5171">
        <w:rPr>
          <w:rFonts w:ascii="Segoe UI" w:hAnsi="Segoe UI" w:cs="Segoe UI"/>
        </w:rPr>
        <w:t>). T</w:t>
      </w:r>
      <w:r w:rsidRPr="005B5171">
        <w:rPr>
          <w:rFonts w:ascii="Segoe UI" w:hAnsi="Segoe UI" w:cs="Segoe UI"/>
          <w:bCs/>
        </w:rPr>
        <w:t>he volume of native logs harvested across four RFA regions (West RFA excluded) has decreased over time. Since 2005, total harvest volume has decreased by an average of 3 per cent per year, with the most significant decrease in East Gippsland (</w:t>
      </w:r>
      <w:r w:rsidRPr="005B5171">
        <w:rPr>
          <w:rFonts w:ascii="Segoe UI" w:hAnsi="Segoe UI" w:cs="Segoe UI"/>
          <w:bCs/>
        </w:rPr>
        <w:fldChar w:fldCharType="begin"/>
      </w:r>
      <w:r w:rsidRPr="005B5171">
        <w:rPr>
          <w:rFonts w:ascii="Segoe UI" w:hAnsi="Segoe UI" w:cs="Segoe UI"/>
          <w:bCs/>
        </w:rPr>
        <w:instrText xml:space="preserve"> REF _Ref25248842 \h </w:instrText>
      </w:r>
      <w:r w:rsidRPr="005B5171">
        <w:rPr>
          <w:rFonts w:ascii="Segoe UI" w:hAnsi="Segoe UI" w:cs="Segoe UI"/>
          <w:bCs/>
        </w:rPr>
      </w:r>
      <w:r w:rsidRPr="005B5171">
        <w:rPr>
          <w:rFonts w:ascii="Segoe UI" w:hAnsi="Segoe UI" w:cs="Segoe UI"/>
          <w:bCs/>
        </w:rPr>
        <w:fldChar w:fldCharType="separate"/>
      </w:r>
      <w:r w:rsidRPr="005B5171">
        <w:rPr>
          <w:rFonts w:ascii="Segoe UI" w:hAnsi="Segoe UI" w:cs="Segoe UI"/>
        </w:rPr>
        <w:t xml:space="preserve">Figure </w:t>
      </w:r>
      <w:r w:rsidRPr="005B5171">
        <w:rPr>
          <w:rFonts w:ascii="Segoe UI" w:hAnsi="Segoe UI" w:cs="Segoe UI"/>
          <w:noProof/>
        </w:rPr>
        <w:t>42</w:t>
      </w:r>
      <w:r w:rsidRPr="005B5171">
        <w:rPr>
          <w:rFonts w:ascii="Segoe UI" w:hAnsi="Segoe UI" w:cs="Segoe UI"/>
          <w:bCs/>
        </w:rPr>
        <w:fldChar w:fldCharType="end"/>
      </w:r>
      <w:r w:rsidRPr="005B5171">
        <w:rPr>
          <w:rFonts w:ascii="Segoe UI" w:hAnsi="Segoe UI" w:cs="Segoe UI"/>
          <w:bCs/>
        </w:rPr>
        <w:t>). Harvest volumes for the West RFA have not been included as levels of commercial harvesting in that region have been relatively low and largely for community purposes since 2008.</w:t>
      </w:r>
    </w:p>
    <w:p w:rsidR="005B5171" w:rsidRPr="005B5171" w:rsidRDefault="005B5171" w:rsidP="005B5171">
      <w:pPr>
        <w:rPr>
          <w:rFonts w:ascii="Segoe UI" w:hAnsi="Segoe UI" w:cs="Segoe UI"/>
          <w:bCs/>
        </w:rPr>
      </w:pPr>
      <w:r w:rsidRPr="005B5171">
        <w:rPr>
          <w:rFonts w:ascii="Segoe UI" w:hAnsi="Segoe UI" w:cs="Segoe UI"/>
          <w:bCs/>
        </w:rPr>
        <w:br w:type="page"/>
      </w:r>
    </w:p>
    <w:p w:rsidR="005B5171" w:rsidRPr="005B5171" w:rsidRDefault="005B5171" w:rsidP="005B5171">
      <w:pPr>
        <w:spacing w:after="200" w:line="240" w:lineRule="auto"/>
        <w:rPr>
          <w:rFonts w:ascii="Segoe UI Semibold" w:eastAsia="Times New Roman" w:hAnsi="Segoe UI Semibold" w:cs="Times New Roman"/>
          <w:color w:val="016295"/>
        </w:rPr>
      </w:pPr>
      <w:bookmarkStart w:id="103" w:name="_Ref13150390"/>
      <w:bookmarkStart w:id="104" w:name="_Toc25660863"/>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81</w:t>
      </w:r>
      <w:r w:rsidRPr="005B5171">
        <w:rPr>
          <w:rFonts w:ascii="Segoe UI Semibold" w:eastAsia="Times New Roman" w:hAnsi="Segoe UI Semibold" w:cs="Times New Roman"/>
          <w:noProof/>
          <w:color w:val="016295"/>
        </w:rPr>
        <w:fldChar w:fldCharType="end"/>
      </w:r>
      <w:bookmarkEnd w:id="103"/>
      <w:r w:rsidRPr="005B5171">
        <w:rPr>
          <w:rFonts w:ascii="Segoe UI Semibold" w:eastAsia="Times New Roman" w:hAnsi="Segoe UI Semibold" w:cs="Times New Roman"/>
          <w:noProof/>
          <w:color w:val="016295"/>
        </w:rPr>
        <w:t>:</w:t>
      </w:r>
      <w:r w:rsidRPr="005B5171">
        <w:rPr>
          <w:rFonts w:ascii="Segoe UI Semibold" w:eastAsia="Times New Roman" w:hAnsi="Segoe UI Semibold" w:cs="Times New Roman"/>
          <w:color w:val="016295"/>
        </w:rPr>
        <w:t xml:space="preserve"> Native forest harvest volume and sales stumpage revenue, 2018</w:t>
      </w:r>
      <w:bookmarkEnd w:id="104"/>
    </w:p>
    <w:tbl>
      <w:tblPr>
        <w:tblStyle w:val="xTable1"/>
        <w:tblW w:w="9214" w:type="dxa"/>
        <w:tblLayout w:type="fixed"/>
        <w:tblLook w:val="04E0" w:firstRow="1" w:lastRow="1" w:firstColumn="1" w:lastColumn="0" w:noHBand="0" w:noVBand="1"/>
      </w:tblPr>
      <w:tblGrid>
        <w:gridCol w:w="1701"/>
        <w:gridCol w:w="1814"/>
        <w:gridCol w:w="1814"/>
        <w:gridCol w:w="1814"/>
        <w:gridCol w:w="2071"/>
      </w:tblGrid>
      <w:tr w:rsidR="005B5171" w:rsidRPr="005B5171" w:rsidTr="000B1E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5B5171" w:rsidRPr="005B5171" w:rsidRDefault="005B5171" w:rsidP="005B5171">
            <w:pPr>
              <w:rPr>
                <w:rFonts w:ascii="Segoe UI" w:hAnsi="Segoe UI" w:cs="Segoe UI"/>
              </w:rPr>
            </w:pPr>
            <w:bookmarkStart w:id="105" w:name="_Hlk3814288"/>
            <w:r w:rsidRPr="005B5171">
              <w:rPr>
                <w:rFonts w:ascii="Segoe UI" w:hAnsi="Segoe UI" w:cs="Segoe UI"/>
              </w:rPr>
              <w:t>RFA region</w:t>
            </w:r>
          </w:p>
        </w:tc>
        <w:tc>
          <w:tcPr>
            <w:tcW w:w="1814"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Harvest volume</w:t>
            </w:r>
            <w:r w:rsidRPr="005B5171">
              <w:rPr>
                <w:rFonts w:ascii="Segoe UI" w:hAnsi="Segoe UI" w:cs="Segoe UI"/>
                <w:position w:val="8"/>
              </w:rPr>
              <w:t>a</w:t>
            </w:r>
            <w:r w:rsidRPr="005B5171">
              <w:rPr>
                <w:rFonts w:ascii="Segoe UI" w:hAnsi="Segoe UI" w:cs="Segoe UI"/>
              </w:rPr>
              <w:t xml:space="preserve"> </w:t>
            </w:r>
          </w:p>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(m</w:t>
            </w:r>
            <w:r w:rsidRPr="005B5171">
              <w:rPr>
                <w:rFonts w:ascii="Segoe UI" w:hAnsi="Segoe UI" w:cs="Segoe UI"/>
                <w:vertAlign w:val="superscript"/>
              </w:rPr>
              <w:t>3</w:t>
            </w:r>
            <w:r w:rsidRPr="005B5171">
              <w:rPr>
                <w:rFonts w:ascii="Segoe UI" w:hAnsi="Segoe UI" w:cs="Segoe UI"/>
              </w:rPr>
              <w:t xml:space="preserve">) </w:t>
            </w:r>
          </w:p>
        </w:tc>
        <w:tc>
          <w:tcPr>
            <w:tcW w:w="1814"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Per cent of total harvest volume (per cent)</w:t>
            </w:r>
          </w:p>
        </w:tc>
        <w:tc>
          <w:tcPr>
            <w:tcW w:w="1814"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Sales stumpage revenue</w:t>
            </w:r>
            <w:r w:rsidRPr="005B5171">
              <w:rPr>
                <w:rFonts w:ascii="Segoe UI" w:hAnsi="Segoe UI" w:cs="Segoe UI"/>
                <w:position w:val="8"/>
              </w:rPr>
              <w:t>a</w:t>
            </w:r>
            <w:r w:rsidRPr="005B5171" w:rsidDel="00D57BC7">
              <w:rPr>
                <w:rFonts w:ascii="Segoe UI" w:hAnsi="Segoe UI" w:cs="Segoe UI"/>
              </w:rPr>
              <w:t xml:space="preserve"> </w:t>
            </w:r>
            <w:r w:rsidRPr="005B5171">
              <w:rPr>
                <w:rFonts w:ascii="Segoe UI" w:hAnsi="Segoe UI" w:cs="Segoe UI"/>
              </w:rPr>
              <w:t xml:space="preserve"> </w:t>
            </w:r>
          </w:p>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w:t>
            </w:r>
          </w:p>
        </w:tc>
        <w:tc>
          <w:tcPr>
            <w:tcW w:w="2071"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r w:rsidRPr="005B5171">
              <w:rPr>
                <w:rFonts w:ascii="Segoe UI" w:hAnsi="Segoe UI" w:cs="Segoe UI"/>
              </w:rPr>
              <w:t xml:space="preserve">Per cent of total sales stumpage revenue </w:t>
            </w:r>
          </w:p>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(per cent)</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r w:rsidRPr="005B5171">
              <w:rPr>
                <w:rFonts w:ascii="Segoe UI" w:hAnsi="Segoe UI" w:cs="Segoe UI"/>
              </w:rPr>
              <w:t>Central Highlands</w:t>
            </w:r>
          </w:p>
        </w:tc>
        <w:tc>
          <w:tcPr>
            <w:tcW w:w="1814"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867,488</w:t>
            </w:r>
          </w:p>
        </w:tc>
        <w:tc>
          <w:tcPr>
            <w:tcW w:w="1814"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75</w:t>
            </w:r>
          </w:p>
        </w:tc>
        <w:tc>
          <w:tcPr>
            <w:tcW w:w="1814"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21,043,987</w:t>
            </w:r>
          </w:p>
        </w:tc>
        <w:tc>
          <w:tcPr>
            <w:tcW w:w="2071"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75</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r w:rsidRPr="005B5171">
              <w:rPr>
                <w:rFonts w:ascii="Segoe UI" w:hAnsi="Segoe UI" w:cs="Segoe UI"/>
              </w:rPr>
              <w:t>East Gippsland</w:t>
            </w:r>
          </w:p>
        </w:tc>
        <w:tc>
          <w:tcPr>
            <w:tcW w:w="1814"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141,163</w:t>
            </w:r>
          </w:p>
        </w:tc>
        <w:tc>
          <w:tcPr>
            <w:tcW w:w="1814"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12</w:t>
            </w:r>
          </w:p>
        </w:tc>
        <w:tc>
          <w:tcPr>
            <w:tcW w:w="1814"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3,037,723</w:t>
            </w:r>
          </w:p>
        </w:tc>
        <w:tc>
          <w:tcPr>
            <w:tcW w:w="2071"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11</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r w:rsidRPr="005B5171">
              <w:rPr>
                <w:rFonts w:ascii="Segoe UI" w:hAnsi="Segoe UI" w:cs="Segoe UI"/>
              </w:rPr>
              <w:t>Gippsland</w:t>
            </w:r>
          </w:p>
        </w:tc>
        <w:tc>
          <w:tcPr>
            <w:tcW w:w="1814"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112,700</w:t>
            </w:r>
          </w:p>
        </w:tc>
        <w:tc>
          <w:tcPr>
            <w:tcW w:w="1814"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10</w:t>
            </w:r>
          </w:p>
        </w:tc>
        <w:tc>
          <w:tcPr>
            <w:tcW w:w="1814"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3,084,502</w:t>
            </w:r>
          </w:p>
        </w:tc>
        <w:tc>
          <w:tcPr>
            <w:tcW w:w="2071"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11</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r w:rsidRPr="005B5171">
              <w:rPr>
                <w:rFonts w:ascii="Segoe UI" w:hAnsi="Segoe UI" w:cs="Segoe UI"/>
              </w:rPr>
              <w:t>North East</w:t>
            </w:r>
          </w:p>
        </w:tc>
        <w:tc>
          <w:tcPr>
            <w:tcW w:w="1814"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33,114</w:t>
            </w:r>
          </w:p>
        </w:tc>
        <w:tc>
          <w:tcPr>
            <w:tcW w:w="1814"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w:t>
            </w:r>
          </w:p>
        </w:tc>
        <w:tc>
          <w:tcPr>
            <w:tcW w:w="1814"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1,046,897</w:t>
            </w:r>
          </w:p>
        </w:tc>
        <w:tc>
          <w:tcPr>
            <w:tcW w:w="2071"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w:t>
            </w:r>
          </w:p>
        </w:tc>
      </w:tr>
      <w:tr w:rsidR="005B5171" w:rsidRPr="005B5171" w:rsidTr="000B1EF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r w:rsidRPr="005B5171">
              <w:rPr>
                <w:rFonts w:ascii="Segoe UI" w:hAnsi="Segoe UI" w:cs="Segoe UI"/>
              </w:rPr>
              <w:t>Total</w:t>
            </w:r>
          </w:p>
        </w:tc>
        <w:tc>
          <w:tcPr>
            <w:tcW w:w="1814" w:type="dxa"/>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1,154,465</w:t>
            </w:r>
          </w:p>
        </w:tc>
        <w:tc>
          <w:tcPr>
            <w:tcW w:w="1814" w:type="dxa"/>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ab/>
              <w:t>100</w:t>
            </w:r>
          </w:p>
        </w:tc>
        <w:tc>
          <w:tcPr>
            <w:tcW w:w="1814" w:type="dxa"/>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28,213,109</w:t>
            </w:r>
          </w:p>
        </w:tc>
        <w:tc>
          <w:tcPr>
            <w:tcW w:w="2071" w:type="dxa"/>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100</w:t>
            </w:r>
          </w:p>
        </w:tc>
      </w:tr>
    </w:tbl>
    <w:bookmarkEnd w:id="105"/>
    <w:p w:rsidR="005B5171" w:rsidRPr="005B5171" w:rsidRDefault="005B5171" w:rsidP="005B5171">
      <w:pPr>
        <w:tabs>
          <w:tab w:val="left" w:pos="426"/>
        </w:tabs>
        <w:spacing w:before="80"/>
        <w:contextualSpacing/>
        <w:rPr>
          <w:rFonts w:ascii="Segoe UI" w:eastAsia="STZhongsong" w:hAnsi="Segoe UI" w:cs="Segoe UI"/>
          <w:bCs/>
          <w:sz w:val="18"/>
          <w:szCs w:val="18"/>
          <w:highlight w:val="red"/>
          <w:lang w:eastAsia="ko-KR"/>
        </w:rPr>
      </w:pPr>
      <w:r w:rsidRPr="005B5171">
        <w:rPr>
          <w:rFonts w:ascii="Segoe UI" w:eastAsia="STZhongsong" w:hAnsi="Segoe UI" w:cs="Segoe UI"/>
          <w:bCs/>
          <w:sz w:val="18"/>
          <w:szCs w:val="18"/>
          <w:lang w:eastAsia="ko-KR"/>
        </w:rPr>
        <w:t>a</w:t>
      </w:r>
      <w:r w:rsidRPr="005B5171">
        <w:rPr>
          <w:rFonts w:ascii="Segoe UI" w:eastAsia="STZhongsong" w:hAnsi="Segoe UI" w:cs="Segoe UI"/>
          <w:bCs/>
          <w:sz w:val="18"/>
          <w:szCs w:val="18"/>
          <w:lang w:eastAsia="ko-KR"/>
        </w:rPr>
        <w:tab/>
        <w:t>Gross timber harvest volume and sales stumpage revenue across all species and grades.</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w:t>
      </w:r>
      <w:proofErr w:type="spellStart"/>
      <w:r w:rsidRPr="005B5171">
        <w:rPr>
          <w:rFonts w:ascii="Segoe UI" w:eastAsia="STZhongsong" w:hAnsi="Segoe UI" w:cs="Segoe UI"/>
          <w:bCs/>
          <w:sz w:val="18"/>
          <w:szCs w:val="18"/>
          <w:lang w:eastAsia="ko-KR"/>
        </w:rPr>
        <w:t>VicForests</w:t>
      </w:r>
      <w:proofErr w:type="spellEnd"/>
      <w:r w:rsidRPr="005B5171">
        <w:rPr>
          <w:rFonts w:ascii="Segoe UI" w:eastAsia="STZhongsong" w:hAnsi="Segoe UI" w:cs="Segoe UI"/>
          <w:bCs/>
          <w:sz w:val="18"/>
          <w:szCs w:val="18"/>
          <w:lang w:eastAsia="ko-KR"/>
        </w:rPr>
        <w:t xml:space="preserve"> corporate data</w:t>
      </w:r>
    </w:p>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p>
    <w:p w:rsidR="005B5171" w:rsidRPr="005B5171" w:rsidRDefault="005B5171" w:rsidP="005B5171">
      <w:pPr>
        <w:keepNext/>
        <w:spacing w:after="200" w:line="240" w:lineRule="auto"/>
        <w:rPr>
          <w:rFonts w:ascii="Segoe UI Semibold" w:eastAsia="Times New Roman" w:hAnsi="Segoe UI Semibold" w:cs="Times New Roman"/>
          <w:color w:val="016295"/>
        </w:rPr>
      </w:pPr>
      <w:r w:rsidRPr="005B5171">
        <w:rPr>
          <w:rFonts w:ascii="Segoe UI Semibold" w:eastAsia="Times New Roman" w:hAnsi="Segoe UI Semibold" w:cs="Times New Roman"/>
          <w:noProof/>
          <w:color w:val="016295"/>
          <w:lang w:eastAsia="en-AU"/>
        </w:rPr>
        <w:drawing>
          <wp:inline distT="0" distB="0" distL="0" distR="0" wp14:anchorId="71AC08BC" wp14:editId="6FD8177E">
            <wp:extent cx="6000750" cy="3371215"/>
            <wp:effectExtent l="0" t="0" r="0" b="635"/>
            <wp:docPr id="46" name="Chart 46">
              <a:extLst xmlns:a="http://schemas.openxmlformats.org/drawingml/2006/main">
                <a:ext uri="{FF2B5EF4-FFF2-40B4-BE49-F238E27FC236}">
                  <a16:creationId xmlns:a16="http://schemas.microsoft.com/office/drawing/2014/main" id="{9DA04710-FE6D-416A-88B1-6D0AC825DF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5B5171">
        <w:rPr>
          <w:rFonts w:ascii="Segoe UI Semibold" w:eastAsia="Times New Roman" w:hAnsi="Segoe UI Semibold" w:cs="Times New Roman"/>
          <w:color w:val="016295"/>
        </w:rPr>
        <w:t xml:space="preserve"> </w:t>
      </w:r>
    </w:p>
    <w:p w:rsidR="005B5171" w:rsidRPr="005B5171" w:rsidRDefault="005B5171" w:rsidP="005B5171">
      <w:pPr>
        <w:spacing w:after="200" w:line="240" w:lineRule="auto"/>
        <w:rPr>
          <w:rFonts w:ascii="Segoe UI Semibold" w:eastAsia="Times New Roman" w:hAnsi="Segoe UI Semibold" w:cs="Times New Roman"/>
          <w:color w:val="016295"/>
        </w:rPr>
      </w:pPr>
      <w:bookmarkStart w:id="106" w:name="_Ref25248842"/>
      <w:bookmarkStart w:id="107" w:name="_Ref8222346"/>
      <w:bookmarkStart w:id="108" w:name="_Ref8222342"/>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42</w:t>
      </w:r>
      <w:r w:rsidRPr="005B5171">
        <w:rPr>
          <w:rFonts w:ascii="Segoe UI Semibold" w:eastAsia="Times New Roman" w:hAnsi="Segoe UI Semibold" w:cs="Times New Roman"/>
          <w:noProof/>
          <w:color w:val="016295"/>
        </w:rPr>
        <w:fldChar w:fldCharType="end"/>
      </w:r>
      <w:bookmarkEnd w:id="106"/>
      <w:bookmarkEnd w:id="107"/>
      <w:r w:rsidRPr="005B5171">
        <w:rPr>
          <w:rFonts w:ascii="Segoe UI Semibold" w:eastAsia="Times New Roman" w:hAnsi="Segoe UI Semibold" w:cs="Times New Roman"/>
          <w:color w:val="016295"/>
        </w:rPr>
        <w:t>: Native forest log timber harvest volumes (m</w:t>
      </w:r>
      <w:r w:rsidRPr="005B5171">
        <w:rPr>
          <w:rFonts w:ascii="Segoe UI Semibold" w:eastAsia="Times New Roman" w:hAnsi="Segoe UI Semibold" w:cs="Times New Roman"/>
          <w:color w:val="016295"/>
          <w:vertAlign w:val="superscript"/>
        </w:rPr>
        <w:t>3</w:t>
      </w:r>
      <w:r w:rsidRPr="005B5171">
        <w:rPr>
          <w:rFonts w:ascii="Segoe UI Semibold" w:eastAsia="Times New Roman" w:hAnsi="Segoe UI Semibold" w:cs="Times New Roman"/>
          <w:color w:val="016295"/>
        </w:rPr>
        <w:t>), by Victorian RFA region, 2005</w:t>
      </w:r>
      <w:bookmarkEnd w:id="108"/>
      <w:r w:rsidRPr="005B5171">
        <w:rPr>
          <w:rFonts w:ascii="Segoe UI Semibold" w:eastAsia="Times New Roman" w:hAnsi="Segoe UI Semibold" w:cs="Times New Roman"/>
          <w:color w:val="016295"/>
        </w:rPr>
        <w:t>–18</w:t>
      </w:r>
    </w:p>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Note: </w:t>
      </w:r>
      <w:r w:rsidRPr="005B5171">
        <w:rPr>
          <w:rFonts w:ascii="Segoe UI" w:eastAsia="STZhongsong" w:hAnsi="Segoe UI" w:cs="Segoe UI"/>
          <w:bCs/>
          <w:sz w:val="18"/>
          <w:szCs w:val="18"/>
          <w:lang w:eastAsia="ko-KR"/>
        </w:rPr>
        <w:tab/>
        <w:t>Data represents gross timber harvest volumes across all species and grades.</w:t>
      </w:r>
    </w:p>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ab/>
      </w:r>
      <w:r w:rsidRPr="005B5171">
        <w:rPr>
          <w:rFonts w:ascii="Segoe UI" w:eastAsia="STZhongsong" w:hAnsi="Segoe UI" w:cs="Segoe UI"/>
          <w:bCs/>
          <w:sz w:val="18"/>
          <w:szCs w:val="18"/>
          <w:lang w:eastAsia="ko-KR"/>
        </w:rPr>
        <w:tab/>
        <w:t>Spikes in volume caused by salvage operations after bushfires in 2006 and 2009.</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w:t>
      </w:r>
      <w:r w:rsidRPr="005B5171">
        <w:rPr>
          <w:rFonts w:ascii="Segoe UI" w:eastAsia="STZhongsong" w:hAnsi="Segoe UI" w:cs="Segoe UI"/>
          <w:bCs/>
          <w:sz w:val="18"/>
          <w:szCs w:val="18"/>
          <w:lang w:eastAsia="ko-KR"/>
        </w:rPr>
        <w:tab/>
      </w:r>
      <w:proofErr w:type="spellStart"/>
      <w:r w:rsidRPr="005B5171">
        <w:rPr>
          <w:rFonts w:ascii="Segoe UI" w:eastAsia="STZhongsong" w:hAnsi="Segoe UI" w:cs="Segoe UI"/>
          <w:bCs/>
          <w:sz w:val="18"/>
          <w:szCs w:val="18"/>
          <w:lang w:eastAsia="ko-KR"/>
        </w:rPr>
        <w:t>VicForests</w:t>
      </w:r>
      <w:proofErr w:type="spellEnd"/>
      <w:r w:rsidRPr="005B5171">
        <w:rPr>
          <w:rFonts w:ascii="Segoe UI" w:eastAsia="STZhongsong" w:hAnsi="Segoe UI" w:cs="Segoe UI"/>
          <w:bCs/>
          <w:sz w:val="18"/>
          <w:szCs w:val="18"/>
          <w:lang w:eastAsia="ko-KR"/>
        </w:rPr>
        <w:t xml:space="preserve"> corporate data</w:t>
      </w:r>
    </w:p>
    <w:p w:rsidR="005B5171" w:rsidRPr="005B5171" w:rsidRDefault="005B5171" w:rsidP="005B5171">
      <w:pPr>
        <w:jc w:val="both"/>
        <w:rPr>
          <w:rFonts w:ascii="Segoe UI" w:hAnsi="Segoe UI" w:cs="Segoe UI"/>
        </w:rPr>
      </w:pPr>
      <w:r w:rsidRPr="005B5171">
        <w:rPr>
          <w:rFonts w:ascii="Segoe UI" w:hAnsi="Segoe UI" w:cs="Segoe UI"/>
        </w:rPr>
        <w:t>In 2018, stumpage revenue for native timber sales was $28 million across four RFA regions (Central Highlands, East Gippsland, Gippsland and North East) (</w:t>
      </w:r>
      <w:r w:rsidRPr="005B5171">
        <w:rPr>
          <w:rFonts w:ascii="Segoe UI" w:hAnsi="Segoe UI" w:cs="Segoe UI"/>
        </w:rPr>
        <w:fldChar w:fldCharType="begin"/>
      </w:r>
      <w:r w:rsidRPr="005B5171">
        <w:rPr>
          <w:rFonts w:ascii="Segoe UI" w:hAnsi="Segoe UI" w:cs="Segoe UI"/>
        </w:rPr>
        <w:instrText xml:space="preserve"> REF _Ref13150390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81</w:t>
      </w:r>
      <w:r w:rsidRPr="005B5171">
        <w:rPr>
          <w:rFonts w:ascii="Segoe UI" w:hAnsi="Segoe UI" w:cs="Segoe UI"/>
        </w:rPr>
        <w:fldChar w:fldCharType="end"/>
      </w:r>
      <w:r w:rsidRPr="005B5171">
        <w:rPr>
          <w:rFonts w:ascii="Segoe UI" w:hAnsi="Segoe UI" w:cs="Segoe UI"/>
        </w:rPr>
        <w:t xml:space="preserve">). Of this, $22.3 million is sales stumpage revenue from sawlog ($16 million from ash and $6.3 from mixed species) and $5.7 million from </w:t>
      </w:r>
      <w:proofErr w:type="spellStart"/>
      <w:r w:rsidRPr="005B5171">
        <w:rPr>
          <w:rFonts w:ascii="Segoe UI" w:hAnsi="Segoe UI" w:cs="Segoe UI"/>
        </w:rPr>
        <w:t>pulplog</w:t>
      </w:r>
      <w:proofErr w:type="spellEnd"/>
      <w:r w:rsidRPr="005B5171">
        <w:rPr>
          <w:rFonts w:ascii="Segoe UI" w:hAnsi="Segoe UI" w:cs="Segoe UI"/>
        </w:rPr>
        <w:t xml:space="preserve"> ($3.1 million from ash and $2.6 million from mixed species). The Central Highlands RFA region contributes around three-quarters of total stumpage revenue, followed by East Gippsland and Gippsland (both 11 per cent per cent). This broadly aligns with the average volume of timber harvested from each RFA region.</w:t>
      </w:r>
      <w:r w:rsidRPr="005B5171">
        <w:rPr>
          <w:rFonts w:ascii="Segoe UI" w:hAnsi="Segoe UI" w:cs="Segoe UI"/>
          <w:vertAlign w:val="superscript"/>
        </w:rPr>
        <w:footnoteReference w:id="5"/>
      </w:r>
    </w:p>
    <w:p w:rsidR="005B5171" w:rsidRPr="005B5171" w:rsidRDefault="005B5171" w:rsidP="005B5171">
      <w:pPr>
        <w:jc w:val="both"/>
        <w:rPr>
          <w:rFonts w:ascii="Segoe UI" w:hAnsi="Segoe UI" w:cs="Segoe UI"/>
        </w:rPr>
      </w:pPr>
      <w:r w:rsidRPr="005B5171">
        <w:rPr>
          <w:rFonts w:ascii="Segoe UI" w:hAnsi="Segoe UI" w:cs="Segoe UI"/>
        </w:rPr>
        <w:t>In 2018, almost 70</w:t>
      </w:r>
      <w:r w:rsidRPr="005B5171">
        <w:rPr>
          <w:rFonts w:ascii="Segoe UI" w:hAnsi="Segoe UI" w:cs="Segoe UI"/>
          <w:bCs/>
        </w:rPr>
        <w:t xml:space="preserve"> per cent</w:t>
      </w:r>
      <w:r w:rsidRPr="005B5171">
        <w:rPr>
          <w:rFonts w:ascii="Segoe UI" w:hAnsi="Segoe UI" w:cs="Segoe UI"/>
        </w:rPr>
        <w:t xml:space="preserve"> of stumpage revenue was from ash, with the remainder from mixed species. The proportion of total stumpage revenue produced by ash is higher than the proportion of total harvest volume that is ash. This is because ash logs have a higher market value than those of mixed species. Over 55</w:t>
      </w:r>
      <w:r w:rsidRPr="005B5171">
        <w:rPr>
          <w:rFonts w:ascii="Segoe UI" w:hAnsi="Segoe UI" w:cs="Segoe UI"/>
          <w:bCs/>
        </w:rPr>
        <w:t> per cent</w:t>
      </w:r>
      <w:r w:rsidRPr="005B5171">
        <w:rPr>
          <w:rFonts w:ascii="Segoe UI" w:hAnsi="Segoe UI" w:cs="Segoe UI"/>
        </w:rPr>
        <w:t xml:space="preserve"> of stumpage revenue is contributed by ash in the Central Highlands and this is predominantly from sawlog grade timber. </w:t>
      </w:r>
    </w:p>
    <w:p w:rsidR="005B5171" w:rsidRPr="005B5171" w:rsidRDefault="005B5171" w:rsidP="005B5171">
      <w:pPr>
        <w:keepNext/>
        <w:rPr>
          <w:rFonts w:ascii="Segoe UI" w:hAnsi="Segoe UI" w:cs="Segoe UI"/>
          <w:b/>
          <w:bCs/>
          <w:sz w:val="18"/>
          <w:szCs w:val="18"/>
        </w:rPr>
      </w:pPr>
      <w:bookmarkStart w:id="109" w:name="_Ref3825328"/>
      <w:r w:rsidRPr="005B5171">
        <w:rPr>
          <w:rFonts w:ascii="Segoe UI" w:hAnsi="Segoe UI" w:cs="Segoe UI"/>
          <w:b/>
          <w:bCs/>
          <w:noProof/>
          <w:lang w:eastAsia="en-AU"/>
        </w:rPr>
        <w:drawing>
          <wp:inline distT="0" distB="0" distL="0" distR="0" wp14:anchorId="500A3F13" wp14:editId="342290F2">
            <wp:extent cx="5972175" cy="3402965"/>
            <wp:effectExtent l="0" t="0" r="0" b="6985"/>
            <wp:docPr id="10" name="Chart 10">
              <a:extLst xmlns:a="http://schemas.openxmlformats.org/drawingml/2006/main">
                <a:ext uri="{FF2B5EF4-FFF2-40B4-BE49-F238E27FC236}">
                  <a16:creationId xmlns:a16="http://schemas.microsoft.com/office/drawing/2014/main" id="{EB44901B-1F0A-4266-B416-B073494DB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B5171" w:rsidRPr="005B5171" w:rsidRDefault="005B5171" w:rsidP="005B5171">
      <w:pPr>
        <w:spacing w:after="200" w:line="240" w:lineRule="auto"/>
        <w:rPr>
          <w:rFonts w:ascii="Segoe UI Semibold" w:eastAsia="Times New Roman" w:hAnsi="Segoe UI Semibold" w:cs="Times New Roman"/>
          <w:color w:val="016295"/>
        </w:rPr>
      </w:pPr>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43</w:t>
      </w:r>
      <w:r w:rsidRPr="005B5171">
        <w:rPr>
          <w:rFonts w:ascii="Segoe UI Semibold" w:eastAsia="Times New Roman" w:hAnsi="Segoe UI Semibold" w:cs="Times New Roman"/>
          <w:noProof/>
          <w:color w:val="016295"/>
        </w:rPr>
        <w:fldChar w:fldCharType="end"/>
      </w:r>
      <w:r w:rsidRPr="005B5171">
        <w:rPr>
          <w:rFonts w:ascii="Segoe UI Semibold" w:eastAsia="Times New Roman" w:hAnsi="Segoe UI Semibold" w:cs="Times New Roman"/>
          <w:color w:val="016295"/>
        </w:rPr>
        <w:t xml:space="preserve">: Native forest timber sales stumpage revenue ($), by Victorian RFA region, </w:t>
      </w:r>
      <w:r w:rsidRPr="005B5171">
        <w:rPr>
          <w:rFonts w:ascii="Segoe UI Semibold" w:eastAsia="Times New Roman" w:hAnsi="Segoe UI Semibold" w:cs="Times New Roman"/>
          <w:color w:val="016295"/>
        </w:rPr>
        <w:br/>
        <w:t>2005–18</w:t>
      </w:r>
    </w:p>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Note: </w:t>
      </w:r>
      <w:r w:rsidRPr="005B5171">
        <w:rPr>
          <w:rFonts w:ascii="Segoe UI" w:eastAsia="STZhongsong" w:hAnsi="Segoe UI" w:cs="Segoe UI"/>
          <w:bCs/>
          <w:sz w:val="18"/>
          <w:szCs w:val="18"/>
          <w:lang w:eastAsia="ko-KR"/>
        </w:rPr>
        <w:tab/>
        <w:t>Gross sales stumpage revenue across all species and grades.</w:t>
      </w:r>
    </w:p>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ab/>
      </w:r>
      <w:r w:rsidRPr="005B5171">
        <w:rPr>
          <w:rFonts w:ascii="Segoe UI" w:eastAsia="STZhongsong" w:hAnsi="Segoe UI" w:cs="Segoe UI"/>
          <w:bCs/>
          <w:sz w:val="18"/>
          <w:szCs w:val="18"/>
          <w:lang w:eastAsia="ko-KR"/>
        </w:rPr>
        <w:tab/>
        <w:t xml:space="preserve">Spikes in revenue caused by salvage operations after bushfires in 2006 and 2009. </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w:t>
      </w:r>
      <w:r w:rsidRPr="005B5171">
        <w:rPr>
          <w:rFonts w:ascii="Segoe UI" w:eastAsia="STZhongsong" w:hAnsi="Segoe UI" w:cs="Segoe UI"/>
          <w:bCs/>
          <w:sz w:val="18"/>
          <w:szCs w:val="18"/>
          <w:lang w:eastAsia="ko-KR"/>
        </w:rPr>
        <w:tab/>
      </w:r>
      <w:proofErr w:type="spellStart"/>
      <w:r w:rsidRPr="005B5171">
        <w:rPr>
          <w:rFonts w:ascii="Segoe UI" w:eastAsia="STZhongsong" w:hAnsi="Segoe UI" w:cs="Segoe UI"/>
          <w:bCs/>
          <w:sz w:val="18"/>
          <w:szCs w:val="18"/>
          <w:lang w:eastAsia="ko-KR"/>
        </w:rPr>
        <w:t>VicForests</w:t>
      </w:r>
      <w:proofErr w:type="spellEnd"/>
      <w:r w:rsidRPr="005B5171">
        <w:rPr>
          <w:rFonts w:ascii="Segoe UI" w:eastAsia="STZhongsong" w:hAnsi="Segoe UI" w:cs="Segoe UI"/>
          <w:bCs/>
          <w:sz w:val="18"/>
          <w:szCs w:val="18"/>
          <w:lang w:eastAsia="ko-KR"/>
        </w:rPr>
        <w:t xml:space="preserve"> corporate data</w:t>
      </w:r>
    </w:p>
    <w:bookmarkEnd w:id="109"/>
    <w:p w:rsidR="005B5171" w:rsidRPr="005B5171" w:rsidRDefault="005B5171" w:rsidP="005B5171">
      <w:pPr>
        <w:rPr>
          <w:rFonts w:ascii="Segoe UI" w:hAnsi="Segoe UI" w:cs="Segoe UI"/>
          <w:bCs/>
        </w:rPr>
      </w:pPr>
    </w:p>
    <w:p w:rsidR="005B5171" w:rsidRPr="005B5171" w:rsidRDefault="005B5171" w:rsidP="005B5171">
      <w:pPr>
        <w:rPr>
          <w:rFonts w:ascii="Segoe UI" w:hAnsi="Segoe UI" w:cs="Segoe UI"/>
          <w:i/>
        </w:rPr>
      </w:pPr>
      <w:r w:rsidRPr="005B5171">
        <w:rPr>
          <w:rFonts w:ascii="Segoe UI" w:hAnsi="Segoe UI" w:cs="Segoe UI"/>
        </w:rPr>
        <w:br w:type="page"/>
      </w:r>
    </w:p>
    <w:p w:rsidR="005B5171" w:rsidRPr="005B5171" w:rsidRDefault="005B5171" w:rsidP="005B5171">
      <w:pPr>
        <w:keepNext/>
        <w:spacing w:before="120" w:after="120" w:line="240" w:lineRule="auto"/>
        <w:jc w:val="both"/>
        <w:outlineLvl w:val="3"/>
        <w:rPr>
          <w:rFonts w:ascii="Segoe UI" w:hAnsi="Segoe UI" w:cs="Segoe UI"/>
          <w:i/>
          <w:sz w:val="24"/>
          <w:szCs w:val="24"/>
        </w:rPr>
      </w:pPr>
      <w:r w:rsidRPr="005B5171">
        <w:rPr>
          <w:rFonts w:ascii="Segoe UI" w:hAnsi="Segoe UI" w:cs="Segoe UI"/>
          <w:i/>
          <w:sz w:val="24"/>
          <w:szCs w:val="24"/>
        </w:rPr>
        <w:t>Plantation</w:t>
      </w:r>
    </w:p>
    <w:p w:rsidR="005B5171" w:rsidRPr="005B5171" w:rsidRDefault="005B5171" w:rsidP="005B5171">
      <w:pPr>
        <w:jc w:val="both"/>
        <w:rPr>
          <w:rFonts w:ascii="Segoe UI" w:hAnsi="Segoe UI" w:cs="Segoe UI"/>
        </w:rPr>
      </w:pPr>
      <w:r w:rsidRPr="005B5171">
        <w:rPr>
          <w:rFonts w:ascii="Segoe UI" w:hAnsi="Segoe UI" w:cs="Segoe UI"/>
        </w:rPr>
        <w:t xml:space="preserve">The volume of plantation logs harvested from each RFA region is unknown as these figures are calculated through ABARES plantation statistics, which do not disaggregate into RFA regions. The vast majority of plantations in Victoria are privately managed.; HVP Plantations is the major operator, with over 170 thousand hectares of softwood and hardwood plantation across the state, or approximately 40 per cent of the state’s total plantation area. Softwood operators </w:t>
      </w:r>
      <w:proofErr w:type="spellStart"/>
      <w:r w:rsidRPr="005B5171">
        <w:rPr>
          <w:rFonts w:ascii="Segoe UI" w:hAnsi="Segoe UI" w:cs="Segoe UI"/>
        </w:rPr>
        <w:t>OneFortyOne</w:t>
      </w:r>
      <w:proofErr w:type="spellEnd"/>
      <w:r w:rsidRPr="005B5171">
        <w:rPr>
          <w:rFonts w:ascii="Segoe UI" w:hAnsi="Segoe UI" w:cs="Segoe UI"/>
        </w:rPr>
        <w:t xml:space="preserve"> and Australian </w:t>
      </w:r>
      <w:proofErr w:type="spellStart"/>
      <w:r w:rsidRPr="005B5171">
        <w:rPr>
          <w:rFonts w:ascii="Segoe UI" w:hAnsi="Segoe UI" w:cs="Segoe UI"/>
        </w:rPr>
        <w:t>Bluegum</w:t>
      </w:r>
      <w:proofErr w:type="spellEnd"/>
      <w:r w:rsidRPr="005B5171">
        <w:rPr>
          <w:rFonts w:ascii="Segoe UI" w:hAnsi="Segoe UI" w:cs="Segoe UI"/>
        </w:rPr>
        <w:t xml:space="preserve"> Plantations have significant assets in the Green Triangle in far west Victoria and south eastern South Australia, while Midway is the primary hardwood grower and processer in the Colac–Otway region, with facilities in Portland and Geelong. </w:t>
      </w:r>
    </w:p>
    <w:p w:rsidR="005B5171" w:rsidRPr="005B5171" w:rsidRDefault="005B5171" w:rsidP="005B5171">
      <w:pPr>
        <w:jc w:val="both"/>
        <w:rPr>
          <w:rFonts w:ascii="Segoe UI" w:hAnsi="Segoe UI" w:cs="Segoe UI"/>
        </w:rPr>
      </w:pPr>
      <w:r w:rsidRPr="005B5171">
        <w:rPr>
          <w:rFonts w:ascii="Segoe UI" w:hAnsi="Segoe UI" w:cs="Segoe UI"/>
        </w:rPr>
        <w:t xml:space="preserve">The volume of plantation timber harvested across Victoria has increased significantly over the past decade. Since 2007–08 total plantation harvest volume has grown by an average of 6 per cent per year. This has been driven predominantly by an increase in the volume of hardwood </w:t>
      </w:r>
      <w:proofErr w:type="spellStart"/>
      <w:r w:rsidRPr="005B5171">
        <w:rPr>
          <w:rFonts w:ascii="Segoe UI" w:hAnsi="Segoe UI" w:cs="Segoe UI"/>
        </w:rPr>
        <w:t>pulplog</w:t>
      </w:r>
      <w:proofErr w:type="spellEnd"/>
      <w:r w:rsidRPr="005B5171">
        <w:rPr>
          <w:rFonts w:ascii="Segoe UI" w:hAnsi="Segoe UI" w:cs="Segoe UI"/>
        </w:rPr>
        <w:t xml:space="preserve"> harvested (</w:t>
      </w:r>
      <w:r w:rsidRPr="005B5171">
        <w:rPr>
          <w:rFonts w:ascii="Segoe UI" w:hAnsi="Segoe UI" w:cs="Segoe UI"/>
        </w:rPr>
        <w:fldChar w:fldCharType="begin"/>
      </w:r>
      <w:r w:rsidRPr="005B5171">
        <w:rPr>
          <w:rFonts w:ascii="Segoe UI" w:hAnsi="Segoe UI" w:cs="Segoe UI"/>
        </w:rPr>
        <w:instrText xml:space="preserve"> REF _Ref13676466 \h  \* MERGEFORMAT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Figure </w:t>
      </w:r>
      <w:r w:rsidRPr="005B5171">
        <w:rPr>
          <w:rFonts w:ascii="Segoe UI" w:hAnsi="Segoe UI" w:cs="Segoe UI"/>
          <w:noProof/>
        </w:rPr>
        <w:t>44</w:t>
      </w:r>
      <w:r w:rsidRPr="005B5171">
        <w:rPr>
          <w:rFonts w:ascii="Segoe UI" w:hAnsi="Segoe UI" w:cs="Segoe UI"/>
        </w:rPr>
        <w:fldChar w:fldCharType="end"/>
      </w:r>
      <w:r w:rsidRPr="005B5171">
        <w:rPr>
          <w:rFonts w:ascii="Segoe UI" w:hAnsi="Segoe UI" w:cs="Segoe UI"/>
        </w:rPr>
        <w:t>).</w:t>
      </w:r>
    </w:p>
    <w:p w:rsidR="005B5171" w:rsidRPr="005B5171" w:rsidRDefault="005B5171" w:rsidP="005B5171">
      <w:pPr>
        <w:spacing w:after="200" w:line="240" w:lineRule="auto"/>
        <w:rPr>
          <w:rFonts w:ascii="Segoe UI Semibold" w:eastAsia="Times New Roman" w:hAnsi="Segoe UI Semibold" w:cs="Times New Roman"/>
          <w:color w:val="016295"/>
        </w:rPr>
      </w:pPr>
      <w:bookmarkStart w:id="110" w:name="_Toc25660864"/>
      <w:bookmarkEnd w:id="102"/>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82</w:t>
      </w:r>
      <w:r w:rsidRPr="005B5171">
        <w:rPr>
          <w:rFonts w:ascii="Segoe UI Semibold" w:eastAsia="Times New Roman" w:hAnsi="Segoe UI Semibold" w:cs="Times New Roman"/>
          <w:noProof/>
          <w:color w:val="016295"/>
        </w:rPr>
        <w:fldChar w:fldCharType="end"/>
      </w:r>
      <w:r w:rsidRPr="005B5171">
        <w:rPr>
          <w:rFonts w:ascii="Segoe UI Semibold" w:eastAsia="Times New Roman" w:hAnsi="Segoe UI Semibold" w:cs="Times New Roman"/>
          <w:color w:val="016295"/>
        </w:rPr>
        <w:t>: Plantation timber harvest volume, Victoria, 2017–18</w:t>
      </w:r>
      <w:bookmarkEnd w:id="110"/>
    </w:p>
    <w:tbl>
      <w:tblPr>
        <w:tblW w:w="0" w:type="auto"/>
        <w:tblLayout w:type="fixed"/>
        <w:tblCellMar>
          <w:top w:w="85" w:type="dxa"/>
          <w:bottom w:w="85" w:type="dxa"/>
        </w:tblCellMar>
        <w:tblLook w:val="04A0" w:firstRow="1" w:lastRow="0" w:firstColumn="1" w:lastColumn="0" w:noHBand="0" w:noVBand="1"/>
      </w:tblPr>
      <w:tblGrid>
        <w:gridCol w:w="1701"/>
        <w:gridCol w:w="1701"/>
        <w:gridCol w:w="1701"/>
        <w:gridCol w:w="1701"/>
        <w:gridCol w:w="1701"/>
      </w:tblGrid>
      <w:tr w:rsidR="005B5171" w:rsidRPr="005B5171" w:rsidTr="000B1EFD">
        <w:tc>
          <w:tcPr>
            <w:tcW w:w="1701" w:type="dxa"/>
            <w:tcBorders>
              <w:bottom w:val="single" w:sz="2" w:space="0" w:color="7F7F7F" w:themeColor="text1" w:themeTint="80"/>
            </w:tcBorders>
            <w:shd w:val="clear" w:color="auto" w:fill="E2EFD9" w:themeFill="accent6" w:themeFillTint="33"/>
            <w:noWrap/>
            <w:vAlign w:val="bottom"/>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Plantation type</w:t>
            </w:r>
          </w:p>
        </w:tc>
        <w:tc>
          <w:tcPr>
            <w:tcW w:w="1701" w:type="dxa"/>
            <w:tcBorders>
              <w:bottom w:val="single" w:sz="2" w:space="0" w:color="7F7F7F" w:themeColor="text1" w:themeTint="80"/>
            </w:tcBorders>
            <w:shd w:val="clear" w:color="auto" w:fill="E2EFD9" w:themeFill="accent6" w:themeFillTint="33"/>
            <w:noWrap/>
            <w:vAlign w:val="bottom"/>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Grade</w:t>
            </w:r>
          </w:p>
        </w:tc>
        <w:tc>
          <w:tcPr>
            <w:tcW w:w="1701" w:type="dxa"/>
            <w:tcBorders>
              <w:bottom w:val="single" w:sz="2" w:space="0" w:color="7F7F7F" w:themeColor="text1" w:themeTint="80"/>
            </w:tcBorders>
            <w:shd w:val="clear" w:color="auto" w:fill="E2EFD9" w:themeFill="accent6" w:themeFillTint="33"/>
            <w:noWrap/>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Harvest volume (m</w:t>
            </w:r>
            <w:r w:rsidRPr="005B5171">
              <w:rPr>
                <w:rFonts w:ascii="Segoe UI" w:eastAsia="Calibri" w:hAnsi="Segoe UI" w:cs="Calibri"/>
                <w:sz w:val="19"/>
                <w:szCs w:val="19"/>
                <w:vertAlign w:val="superscript"/>
                <w:lang w:eastAsia="en-AU"/>
              </w:rPr>
              <w:t>3</w:t>
            </w:r>
            <w:r w:rsidRPr="005B5171">
              <w:rPr>
                <w:rFonts w:ascii="Segoe UI" w:eastAsia="Calibri" w:hAnsi="Segoe UI" w:cs="Calibri"/>
                <w:sz w:val="19"/>
                <w:szCs w:val="19"/>
                <w:lang w:eastAsia="en-AU"/>
              </w:rPr>
              <w:t>)</w:t>
            </w:r>
          </w:p>
        </w:tc>
        <w:tc>
          <w:tcPr>
            <w:tcW w:w="1701" w:type="dxa"/>
            <w:tcBorders>
              <w:bottom w:val="single" w:sz="2" w:space="0" w:color="7F7F7F" w:themeColor="text1" w:themeTint="80"/>
            </w:tcBorders>
            <w:shd w:val="clear" w:color="auto" w:fill="E2EFD9" w:themeFill="accent6" w:themeFillTint="33"/>
            <w:noWrap/>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 xml:space="preserve"> per cent of total plantation type harvest volume</w:t>
            </w:r>
          </w:p>
        </w:tc>
        <w:tc>
          <w:tcPr>
            <w:tcW w:w="1701" w:type="dxa"/>
            <w:tcBorders>
              <w:bottom w:val="single" w:sz="2" w:space="0" w:color="7F7F7F" w:themeColor="text1" w:themeTint="80"/>
            </w:tcBorders>
            <w:shd w:val="clear" w:color="auto" w:fill="E2EFD9" w:themeFill="accent6" w:themeFillTint="33"/>
            <w:noWrap/>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 xml:space="preserve"> per cent of total harvest volume</w:t>
            </w:r>
          </w:p>
        </w:tc>
      </w:tr>
      <w:tr w:rsidR="005B5171" w:rsidRPr="005B5171" w:rsidTr="000B1EFD">
        <w:tc>
          <w:tcPr>
            <w:tcW w:w="1701" w:type="dxa"/>
            <w:tcBorders>
              <w:top w:val="single" w:sz="2" w:space="0" w:color="7F7F7F" w:themeColor="text1" w:themeTint="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Hardwood</w:t>
            </w:r>
          </w:p>
        </w:tc>
        <w:tc>
          <w:tcPr>
            <w:tcW w:w="1701" w:type="dxa"/>
            <w:tcBorders>
              <w:top w:val="single" w:sz="2" w:space="0" w:color="7F7F7F" w:themeColor="text1" w:themeTint="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Sawlog</w:t>
            </w:r>
          </w:p>
        </w:tc>
        <w:tc>
          <w:tcPr>
            <w:tcW w:w="1701" w:type="dxa"/>
            <w:tcBorders>
              <w:top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32,982</w:t>
            </w:r>
          </w:p>
        </w:tc>
        <w:tc>
          <w:tcPr>
            <w:tcW w:w="1701" w:type="dxa"/>
            <w:tcBorders>
              <w:top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w:t>
            </w:r>
          </w:p>
        </w:tc>
        <w:tc>
          <w:tcPr>
            <w:tcW w:w="1701" w:type="dxa"/>
            <w:tcBorders>
              <w:top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&lt;1</w:t>
            </w:r>
          </w:p>
        </w:tc>
      </w:tr>
      <w:tr w:rsidR="005B5171" w:rsidRPr="005B5171" w:rsidTr="000B1EFD">
        <w:tc>
          <w:tcPr>
            <w:tcW w:w="1701" w:type="dxa"/>
            <w:noWrap/>
          </w:tcPr>
          <w:p w:rsidR="005B5171" w:rsidRPr="005B5171" w:rsidRDefault="005B5171" w:rsidP="005B5171">
            <w:pPr>
              <w:spacing w:before="20" w:after="0" w:line="240" w:lineRule="auto"/>
              <w:rPr>
                <w:rFonts w:ascii="Segoe UI" w:eastAsia="Calibri" w:hAnsi="Segoe UI" w:cs="Calibri"/>
                <w:sz w:val="19"/>
                <w:szCs w:val="19"/>
                <w:lang w:eastAsia="en-AU"/>
              </w:rPr>
            </w:pPr>
          </w:p>
        </w:tc>
        <w:tc>
          <w:tcPr>
            <w:tcW w:w="1701" w:type="dxa"/>
            <w:noWrap/>
          </w:tcPr>
          <w:p w:rsidR="005B5171" w:rsidRPr="005B5171" w:rsidRDefault="005B5171" w:rsidP="005B5171">
            <w:pPr>
              <w:spacing w:before="20" w:after="0" w:line="240" w:lineRule="auto"/>
              <w:rPr>
                <w:rFonts w:ascii="Segoe UI" w:eastAsia="Calibri" w:hAnsi="Segoe UI" w:cs="Calibri"/>
                <w:sz w:val="19"/>
                <w:szCs w:val="19"/>
                <w:lang w:eastAsia="en-AU"/>
              </w:rPr>
            </w:pPr>
            <w:proofErr w:type="spellStart"/>
            <w:r w:rsidRPr="005B5171">
              <w:rPr>
                <w:rFonts w:ascii="Segoe UI" w:eastAsia="Calibri" w:hAnsi="Segoe UI" w:cs="Calibri"/>
                <w:sz w:val="19"/>
                <w:szCs w:val="19"/>
                <w:lang w:eastAsia="en-AU"/>
              </w:rPr>
              <w:t>Pulplog</w:t>
            </w:r>
            <w:proofErr w:type="spellEnd"/>
          </w:p>
        </w:tc>
        <w:tc>
          <w:tcPr>
            <w:tcW w:w="1701" w:type="dxa"/>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3,544,230</w:t>
            </w:r>
          </w:p>
        </w:tc>
        <w:tc>
          <w:tcPr>
            <w:tcW w:w="1701" w:type="dxa"/>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99</w:t>
            </w:r>
          </w:p>
        </w:tc>
        <w:tc>
          <w:tcPr>
            <w:tcW w:w="1701" w:type="dxa"/>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45</w:t>
            </w:r>
          </w:p>
        </w:tc>
      </w:tr>
      <w:tr w:rsidR="005B5171" w:rsidRPr="005B5171" w:rsidTr="000B1EFD">
        <w:tc>
          <w:tcPr>
            <w:tcW w:w="1701" w:type="dxa"/>
            <w:tcBorders>
              <w:bottom w:val="single" w:sz="2" w:space="0" w:color="7F7F7F" w:themeColor="text1" w:themeTint="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p>
        </w:tc>
        <w:tc>
          <w:tcPr>
            <w:tcW w:w="1701" w:type="dxa"/>
            <w:tcBorders>
              <w:bottom w:val="single" w:sz="2" w:space="0" w:color="7F7F7F" w:themeColor="text1" w:themeTint="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Other</w:t>
            </w:r>
          </w:p>
        </w:tc>
        <w:tc>
          <w:tcPr>
            <w:tcW w:w="1701" w:type="dxa"/>
            <w:tcBorders>
              <w:bottom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0</w:t>
            </w:r>
          </w:p>
        </w:tc>
        <w:tc>
          <w:tcPr>
            <w:tcW w:w="1701" w:type="dxa"/>
            <w:tcBorders>
              <w:bottom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0</w:t>
            </w:r>
          </w:p>
        </w:tc>
        <w:tc>
          <w:tcPr>
            <w:tcW w:w="1701" w:type="dxa"/>
            <w:tcBorders>
              <w:bottom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0</w:t>
            </w:r>
          </w:p>
        </w:tc>
      </w:tr>
      <w:tr w:rsidR="005B5171" w:rsidRPr="005B5171" w:rsidTr="000B1EFD">
        <w:tc>
          <w:tcPr>
            <w:tcW w:w="1701" w:type="dxa"/>
            <w:tcBorders>
              <w:top w:val="single" w:sz="2" w:space="0" w:color="7F7F7F" w:themeColor="text1" w:themeTint="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Softwood</w:t>
            </w:r>
          </w:p>
        </w:tc>
        <w:tc>
          <w:tcPr>
            <w:tcW w:w="1701" w:type="dxa"/>
            <w:tcBorders>
              <w:top w:val="single" w:sz="2" w:space="0" w:color="7F7F7F" w:themeColor="text1" w:themeTint="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Sawlog</w:t>
            </w:r>
          </w:p>
        </w:tc>
        <w:tc>
          <w:tcPr>
            <w:tcW w:w="1701" w:type="dxa"/>
            <w:tcBorders>
              <w:top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2,168,339</w:t>
            </w:r>
          </w:p>
        </w:tc>
        <w:tc>
          <w:tcPr>
            <w:tcW w:w="1701" w:type="dxa"/>
            <w:tcBorders>
              <w:top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51</w:t>
            </w:r>
          </w:p>
        </w:tc>
        <w:tc>
          <w:tcPr>
            <w:tcW w:w="1701" w:type="dxa"/>
            <w:tcBorders>
              <w:top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28</w:t>
            </w:r>
          </w:p>
        </w:tc>
      </w:tr>
      <w:tr w:rsidR="005B5171" w:rsidRPr="005B5171" w:rsidTr="000B1EFD">
        <w:tc>
          <w:tcPr>
            <w:tcW w:w="1701" w:type="dxa"/>
            <w:noWrap/>
          </w:tcPr>
          <w:p w:rsidR="005B5171" w:rsidRPr="005B5171" w:rsidRDefault="005B5171" w:rsidP="005B5171">
            <w:pPr>
              <w:spacing w:before="20" w:after="0" w:line="240" w:lineRule="auto"/>
              <w:rPr>
                <w:rFonts w:ascii="Segoe UI" w:eastAsia="Calibri" w:hAnsi="Segoe UI" w:cs="Calibri"/>
                <w:sz w:val="19"/>
                <w:szCs w:val="19"/>
                <w:lang w:eastAsia="en-AU"/>
              </w:rPr>
            </w:pPr>
          </w:p>
        </w:tc>
        <w:tc>
          <w:tcPr>
            <w:tcW w:w="1701" w:type="dxa"/>
            <w:noWrap/>
          </w:tcPr>
          <w:p w:rsidR="005B5171" w:rsidRPr="005B5171" w:rsidRDefault="005B5171" w:rsidP="005B5171">
            <w:pPr>
              <w:spacing w:before="20" w:after="0" w:line="240" w:lineRule="auto"/>
              <w:rPr>
                <w:rFonts w:ascii="Segoe UI" w:eastAsia="Calibri" w:hAnsi="Segoe UI" w:cs="Calibri"/>
                <w:sz w:val="19"/>
                <w:szCs w:val="19"/>
                <w:lang w:eastAsia="en-AU"/>
              </w:rPr>
            </w:pPr>
            <w:proofErr w:type="spellStart"/>
            <w:r w:rsidRPr="005B5171">
              <w:rPr>
                <w:rFonts w:ascii="Segoe UI" w:eastAsia="Calibri" w:hAnsi="Segoe UI" w:cs="Calibri"/>
                <w:sz w:val="19"/>
                <w:szCs w:val="19"/>
                <w:lang w:eastAsia="en-AU"/>
              </w:rPr>
              <w:t>Pulplog</w:t>
            </w:r>
            <w:proofErr w:type="spellEnd"/>
          </w:p>
        </w:tc>
        <w:tc>
          <w:tcPr>
            <w:tcW w:w="1701" w:type="dxa"/>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2,014,549</w:t>
            </w:r>
          </w:p>
        </w:tc>
        <w:tc>
          <w:tcPr>
            <w:tcW w:w="1701" w:type="dxa"/>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47</w:t>
            </w:r>
          </w:p>
        </w:tc>
        <w:tc>
          <w:tcPr>
            <w:tcW w:w="1701" w:type="dxa"/>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26</w:t>
            </w:r>
          </w:p>
        </w:tc>
      </w:tr>
      <w:tr w:rsidR="005B5171" w:rsidRPr="005B5171" w:rsidTr="000B1EFD">
        <w:tc>
          <w:tcPr>
            <w:tcW w:w="1701" w:type="dxa"/>
            <w:tcBorders>
              <w:bottom w:val="single" w:sz="2" w:space="0" w:color="7F7F7F" w:themeColor="text1" w:themeTint="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p>
        </w:tc>
        <w:tc>
          <w:tcPr>
            <w:tcW w:w="1701" w:type="dxa"/>
            <w:tcBorders>
              <w:bottom w:val="single" w:sz="2" w:space="0" w:color="7F7F7F" w:themeColor="text1" w:themeTint="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Other</w:t>
            </w:r>
          </w:p>
        </w:tc>
        <w:tc>
          <w:tcPr>
            <w:tcW w:w="1701" w:type="dxa"/>
            <w:tcBorders>
              <w:bottom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79,028</w:t>
            </w:r>
          </w:p>
        </w:tc>
        <w:tc>
          <w:tcPr>
            <w:tcW w:w="1701" w:type="dxa"/>
            <w:tcBorders>
              <w:bottom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w:t>
            </w:r>
          </w:p>
        </w:tc>
        <w:tc>
          <w:tcPr>
            <w:tcW w:w="1701" w:type="dxa"/>
            <w:tcBorders>
              <w:bottom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w:t>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Source: ABARES 2019</w:t>
      </w:r>
    </w:p>
    <w:p w:rsidR="005B5171" w:rsidRPr="005B5171" w:rsidRDefault="005B5171" w:rsidP="005B5171">
      <w:pPr>
        <w:spacing w:before="80"/>
        <w:rPr>
          <w:rFonts w:ascii="Segoe UI" w:eastAsia="STZhongsong" w:hAnsi="Segoe UI" w:cs="Segoe UI"/>
          <w:bCs/>
          <w:sz w:val="18"/>
          <w:szCs w:val="18"/>
          <w:lang w:eastAsia="ko-KR"/>
        </w:rPr>
      </w:pP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noProof/>
          <w:sz w:val="18"/>
          <w:szCs w:val="18"/>
          <w:lang w:eastAsia="ko-KR"/>
        </w:rPr>
        <w:drawing>
          <wp:inline distT="0" distB="0" distL="0" distR="0" wp14:anchorId="2D1F73F9" wp14:editId="2AB0EC0D">
            <wp:extent cx="5732145" cy="3134995"/>
            <wp:effectExtent l="0" t="0" r="0" b="0"/>
            <wp:docPr id="2" name="Chart 2">
              <a:extLst xmlns:a="http://schemas.openxmlformats.org/drawingml/2006/main">
                <a:ext uri="{FF2B5EF4-FFF2-40B4-BE49-F238E27FC236}">
                  <a16:creationId xmlns:a16="http://schemas.microsoft.com/office/drawing/2014/main" id="{C9829C2C-02BF-4D63-BFB6-1EA34753B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B5171" w:rsidRPr="005B5171" w:rsidRDefault="005B5171" w:rsidP="005B5171">
      <w:pPr>
        <w:spacing w:after="200" w:line="240" w:lineRule="auto"/>
        <w:rPr>
          <w:rFonts w:ascii="Segoe UI Semibold" w:eastAsia="Times New Roman" w:hAnsi="Segoe UI Semibold" w:cs="Times New Roman"/>
          <w:color w:val="016295"/>
        </w:rPr>
      </w:pPr>
      <w:bookmarkStart w:id="111" w:name="_Ref13676466"/>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44</w:t>
      </w:r>
      <w:r w:rsidRPr="005B5171">
        <w:rPr>
          <w:rFonts w:ascii="Segoe UI Semibold" w:eastAsia="Times New Roman" w:hAnsi="Segoe UI Semibold" w:cs="Times New Roman"/>
          <w:noProof/>
          <w:color w:val="016295"/>
        </w:rPr>
        <w:fldChar w:fldCharType="end"/>
      </w:r>
      <w:bookmarkEnd w:id="111"/>
      <w:r w:rsidRPr="005B5171">
        <w:rPr>
          <w:rFonts w:ascii="Segoe UI Semibold" w:eastAsia="Times New Roman" w:hAnsi="Segoe UI Semibold" w:cs="Times New Roman"/>
          <w:color w:val="016295"/>
        </w:rPr>
        <w:t>: Plantation timber harvest volumes (m</w:t>
      </w:r>
      <w:r w:rsidRPr="005B5171">
        <w:rPr>
          <w:rFonts w:ascii="Segoe UI Semibold" w:eastAsia="Times New Roman" w:hAnsi="Segoe UI Semibold" w:cs="Times New Roman"/>
          <w:color w:val="016295"/>
          <w:vertAlign w:val="superscript"/>
        </w:rPr>
        <w:t>3</w:t>
      </w:r>
      <w:r w:rsidRPr="005B5171">
        <w:rPr>
          <w:rFonts w:ascii="Segoe UI Semibold" w:eastAsia="Times New Roman" w:hAnsi="Segoe UI Semibold" w:cs="Times New Roman"/>
          <w:color w:val="016295"/>
        </w:rPr>
        <w:t xml:space="preserve">), Victoria, 2007–08 to 2017–18 </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Source:  ABARES 2019</w:t>
      </w:r>
    </w:p>
    <w:p w:rsidR="005B5171" w:rsidRPr="005B5171" w:rsidRDefault="005B5171" w:rsidP="005B5171">
      <w:pPr>
        <w:keepNext/>
        <w:spacing w:before="120" w:after="120" w:line="240" w:lineRule="auto"/>
        <w:jc w:val="both"/>
        <w:outlineLvl w:val="3"/>
        <w:rPr>
          <w:rFonts w:ascii="Segoe UI" w:hAnsi="Segoe UI" w:cs="Segoe UI"/>
          <w:i/>
          <w:sz w:val="24"/>
          <w:szCs w:val="24"/>
        </w:rPr>
      </w:pPr>
      <w:r w:rsidRPr="005B5171">
        <w:rPr>
          <w:rFonts w:ascii="Segoe UI" w:hAnsi="Segoe UI" w:cs="Segoe UI"/>
          <w:i/>
          <w:sz w:val="24"/>
          <w:szCs w:val="24"/>
        </w:rPr>
        <w:t>Firewood</w:t>
      </w:r>
    </w:p>
    <w:p w:rsidR="005B5171" w:rsidRPr="005B5171" w:rsidRDefault="005B5171" w:rsidP="005B5171">
      <w:pPr>
        <w:jc w:val="both"/>
        <w:rPr>
          <w:rFonts w:ascii="Segoe UI" w:hAnsi="Segoe UI" w:cs="Segoe UI"/>
        </w:rPr>
      </w:pPr>
      <w:r w:rsidRPr="005B5171">
        <w:rPr>
          <w:rFonts w:ascii="Segoe UI" w:hAnsi="Segoe UI" w:cs="Segoe UI"/>
        </w:rPr>
        <w:t xml:space="preserve">In Victoria, firewood is provided from forests directly to the public for domestic use (known as domestic firewood). This occurs in designated collection areas managed by DELWP and Parks Victoria, and does not form part of the AO. There is an autumn collection season (1 April to 30 June) and a spring collection season (1 September to 30 November). A household is not allowed to collect more than 16 cubic metres a financial year, and a person is not allowed to collect more than 2 cubic metres in a day. It is illegal to sell wood from public collection areas or to use wood in a commercial business. Firewood is also collected for direct domestic use from forests on private land. </w:t>
      </w:r>
    </w:p>
    <w:p w:rsidR="005B5171" w:rsidRPr="005B5171" w:rsidRDefault="005B5171" w:rsidP="005B5171">
      <w:pPr>
        <w:jc w:val="both"/>
        <w:rPr>
          <w:rFonts w:ascii="Segoe UI" w:hAnsi="Segoe UI" w:cs="Segoe UI"/>
        </w:rPr>
      </w:pPr>
      <w:r w:rsidRPr="005B5171">
        <w:rPr>
          <w:rFonts w:ascii="Segoe UI" w:hAnsi="Segoe UI" w:cs="Segoe UI"/>
        </w:rPr>
        <w:t xml:space="preserve">Firewood is also harvested from forests by businesses who then sell it on to households and businesses (this is known as commercial firewood). Although not a primary purpose of its operations, firewood is extracted from public forests by </w:t>
      </w:r>
      <w:proofErr w:type="spellStart"/>
      <w:r w:rsidRPr="005B5171">
        <w:rPr>
          <w:rFonts w:ascii="Segoe UI" w:hAnsi="Segoe UI" w:cs="Segoe UI"/>
        </w:rPr>
        <w:t>VicForests</w:t>
      </w:r>
      <w:proofErr w:type="spellEnd"/>
      <w:r w:rsidRPr="005B5171">
        <w:rPr>
          <w:rFonts w:ascii="Segoe UI" w:hAnsi="Segoe UI" w:cs="Segoe UI"/>
        </w:rPr>
        <w:t xml:space="preserve"> as a by-product of timber harvesting in the east of the state, or under community forestry harvesting operations in the West RFA.</w:t>
      </w:r>
      <w:r w:rsidRPr="005B5171">
        <w:rPr>
          <w:rFonts w:ascii="Segoe UI" w:hAnsi="Segoe UI" w:cs="Segoe UI"/>
          <w:vertAlign w:val="superscript"/>
        </w:rPr>
        <w:footnoteReference w:id="6"/>
      </w:r>
      <w:r w:rsidRPr="005B5171">
        <w:rPr>
          <w:rFonts w:ascii="Segoe UI" w:hAnsi="Segoe UI" w:cs="Segoe UI"/>
        </w:rPr>
        <w:t xml:space="preserve"> Firewood is also produced from plantations and farm forestry on private land. </w:t>
      </w:r>
      <w:r w:rsidRPr="005B5171">
        <w:rPr>
          <w:rFonts w:ascii="Segoe UI" w:hAnsi="Segoe UI" w:cs="Segoe UI"/>
        </w:rPr>
        <w:fldChar w:fldCharType="begin"/>
      </w:r>
      <w:r w:rsidRPr="005B5171">
        <w:rPr>
          <w:rFonts w:ascii="Segoe UI" w:hAnsi="Segoe UI" w:cs="Segoe UI"/>
        </w:rPr>
        <w:instrText xml:space="preserve"> REF _Ref13220113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83</w:t>
      </w:r>
      <w:r w:rsidRPr="005B5171">
        <w:rPr>
          <w:rFonts w:ascii="Segoe UI" w:hAnsi="Segoe UI" w:cs="Segoe UI"/>
        </w:rPr>
        <w:fldChar w:fldCharType="end"/>
      </w:r>
      <w:r w:rsidRPr="005B5171">
        <w:rPr>
          <w:rFonts w:ascii="Segoe UI" w:hAnsi="Segoe UI" w:cs="Segoe UI"/>
        </w:rPr>
        <w:t xml:space="preserve"> outlines the different sources of domestic and commercial firewood from public and private land in Victoria. The sources that are available in a particular area vary across the state. </w:t>
      </w:r>
    </w:p>
    <w:p w:rsidR="005B5171" w:rsidRPr="005B5171" w:rsidRDefault="005B5171" w:rsidP="005B5171">
      <w:pPr>
        <w:jc w:val="both"/>
        <w:rPr>
          <w:rFonts w:ascii="Segoe UI" w:hAnsi="Segoe UI" w:cs="Segoe UI"/>
        </w:rPr>
      </w:pPr>
    </w:p>
    <w:p w:rsidR="005B5171" w:rsidRPr="005B5171" w:rsidRDefault="005B5171" w:rsidP="005B5171">
      <w:pPr>
        <w:jc w:val="both"/>
        <w:rPr>
          <w:rFonts w:ascii="Segoe UI" w:hAnsi="Segoe UI" w:cs="Segoe UI"/>
        </w:rPr>
      </w:pPr>
    </w:p>
    <w:p w:rsidR="005B5171" w:rsidRPr="005B5171" w:rsidRDefault="005B5171" w:rsidP="005B5171">
      <w:pPr>
        <w:spacing w:after="200" w:line="240" w:lineRule="auto"/>
        <w:rPr>
          <w:rFonts w:ascii="Segoe UI Semibold" w:eastAsia="Times New Roman" w:hAnsi="Segoe UI Semibold" w:cs="Times New Roman"/>
          <w:color w:val="016295"/>
        </w:rPr>
      </w:pPr>
      <w:bookmarkStart w:id="112" w:name="_Ref13220113"/>
      <w:bookmarkStart w:id="113" w:name="_Toc25660865"/>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83</w:t>
      </w:r>
      <w:r w:rsidRPr="005B5171">
        <w:rPr>
          <w:rFonts w:ascii="Segoe UI Semibold" w:eastAsia="Times New Roman" w:hAnsi="Segoe UI Semibold" w:cs="Times New Roman"/>
          <w:noProof/>
          <w:color w:val="016295"/>
        </w:rPr>
        <w:fldChar w:fldCharType="end"/>
      </w:r>
      <w:bookmarkEnd w:id="112"/>
      <w:r w:rsidRPr="005B5171">
        <w:rPr>
          <w:rFonts w:ascii="Segoe UI Semibold" w:eastAsia="Times New Roman" w:hAnsi="Segoe UI Semibold" w:cs="Times New Roman"/>
          <w:color w:val="016295"/>
        </w:rPr>
        <w:t>: Sources of domestic and commercial firewood from public and private forests in Victoria</w:t>
      </w:r>
      <w:bookmarkEnd w:id="113"/>
    </w:p>
    <w:tbl>
      <w:tblPr>
        <w:tblStyle w:val="xTable2"/>
        <w:tblW w:w="9184" w:type="dxa"/>
        <w:tblLayout w:type="fixed"/>
        <w:tblLook w:val="04A0" w:firstRow="1" w:lastRow="0" w:firstColumn="1" w:lastColumn="0" w:noHBand="0" w:noVBand="1"/>
      </w:tblPr>
      <w:tblGrid>
        <w:gridCol w:w="1814"/>
        <w:gridCol w:w="3685"/>
        <w:gridCol w:w="3685"/>
      </w:tblGrid>
      <w:tr w:rsidR="005B5171" w:rsidRPr="005B5171" w:rsidTr="000B1EFD">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1814" w:type="dxa"/>
          </w:tcPr>
          <w:p w:rsidR="005B5171" w:rsidRPr="005B5171" w:rsidRDefault="005B5171" w:rsidP="005B5171">
            <w:pPr>
              <w:rPr>
                <w:rFonts w:ascii="Segoe UI" w:hAnsi="Segoe UI" w:cs="Segoe UI"/>
              </w:rPr>
            </w:pPr>
            <w:r w:rsidRPr="005B5171">
              <w:rPr>
                <w:rFonts w:ascii="Segoe UI" w:hAnsi="Segoe UI" w:cs="Segoe UI"/>
              </w:rPr>
              <w:t>Forest type</w:t>
            </w:r>
          </w:p>
        </w:tc>
        <w:tc>
          <w:tcPr>
            <w:tcW w:w="3685"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 xml:space="preserve">Domestic firewood </w:t>
            </w:r>
          </w:p>
        </w:tc>
        <w:tc>
          <w:tcPr>
            <w:tcW w:w="3685"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Commercial firewood</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814" w:type="dxa"/>
          </w:tcPr>
          <w:p w:rsidR="005B5171" w:rsidRPr="005B5171" w:rsidRDefault="005B5171" w:rsidP="005B5171">
            <w:pPr>
              <w:rPr>
                <w:rFonts w:ascii="Segoe UI" w:hAnsi="Segoe UI" w:cs="Segoe UI"/>
              </w:rPr>
            </w:pPr>
            <w:r w:rsidRPr="005B5171">
              <w:rPr>
                <w:rFonts w:ascii="Segoe UI" w:hAnsi="Segoe UI" w:cs="Segoe UI"/>
              </w:rPr>
              <w:t xml:space="preserve">Public forests </w:t>
            </w:r>
          </w:p>
        </w:tc>
        <w:tc>
          <w:tcPr>
            <w:tcW w:w="3685" w:type="dxa"/>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Natural falls</w:t>
            </w:r>
          </w:p>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By-product from DELWP and Parks Victoria forest and fire management operations </w:t>
            </w:r>
          </w:p>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By-product from </w:t>
            </w:r>
            <w:proofErr w:type="spellStart"/>
            <w:r w:rsidRPr="005B5171">
              <w:rPr>
                <w:rFonts w:ascii="Segoe UI" w:hAnsi="Segoe UI" w:cs="Segoe UI"/>
              </w:rPr>
              <w:t>VicForests</w:t>
            </w:r>
            <w:proofErr w:type="spellEnd"/>
            <w:r w:rsidRPr="005B5171">
              <w:rPr>
                <w:rFonts w:ascii="Segoe UI" w:hAnsi="Segoe UI" w:cs="Segoe UI"/>
              </w:rPr>
              <w:t xml:space="preserve"> harvesting operations</w:t>
            </w:r>
          </w:p>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Collection alongside local municipal roads where permitted by councils</w:t>
            </w:r>
          </w:p>
        </w:tc>
        <w:tc>
          <w:tcPr>
            <w:tcW w:w="3685" w:type="dxa"/>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proofErr w:type="spellStart"/>
            <w:r w:rsidRPr="005B5171">
              <w:rPr>
                <w:rFonts w:ascii="Segoe UI" w:hAnsi="Segoe UI" w:cs="Segoe UI"/>
              </w:rPr>
              <w:t>VicForests</w:t>
            </w:r>
            <w:proofErr w:type="spellEnd"/>
            <w:r w:rsidRPr="005B5171">
              <w:rPr>
                <w:rFonts w:ascii="Segoe UI" w:hAnsi="Segoe UI" w:cs="Segoe UI"/>
              </w:rPr>
              <w:t xml:space="preserve"> harvesting operations</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814" w:type="dxa"/>
          </w:tcPr>
          <w:p w:rsidR="005B5171" w:rsidRPr="005B5171" w:rsidRDefault="005B5171" w:rsidP="005B5171">
            <w:pPr>
              <w:rPr>
                <w:rFonts w:ascii="Segoe UI" w:hAnsi="Segoe UI" w:cs="Segoe UI"/>
              </w:rPr>
            </w:pPr>
            <w:r w:rsidRPr="005B5171">
              <w:rPr>
                <w:rFonts w:ascii="Segoe UI" w:hAnsi="Segoe UI" w:cs="Segoe UI"/>
              </w:rPr>
              <w:t>Private forests</w:t>
            </w:r>
          </w:p>
        </w:tc>
        <w:tc>
          <w:tcPr>
            <w:tcW w:w="3685" w:type="dxa"/>
          </w:tcPr>
          <w:p w:rsidR="005B5171" w:rsidRPr="005B5171" w:rsidRDefault="005B5171" w:rsidP="005B5171">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Natural falls or tree cutting on private properties</w:t>
            </w:r>
          </w:p>
        </w:tc>
        <w:tc>
          <w:tcPr>
            <w:tcW w:w="3685" w:type="dxa"/>
          </w:tcPr>
          <w:p w:rsidR="005B5171" w:rsidRPr="005B5171" w:rsidRDefault="005B5171" w:rsidP="005B5171">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Primary or by-product of plantations and farm forestry</w:t>
            </w:r>
          </w:p>
        </w:tc>
      </w:tr>
    </w:tbl>
    <w:p w:rsidR="005B5171" w:rsidRPr="005B5171" w:rsidRDefault="005B5171" w:rsidP="005B5171">
      <w:pPr>
        <w:jc w:val="both"/>
        <w:rPr>
          <w:rFonts w:ascii="Segoe UI" w:hAnsi="Segoe UI" w:cs="Segoe UI"/>
          <w:i/>
        </w:rPr>
      </w:pPr>
    </w:p>
    <w:p w:rsidR="005B5171" w:rsidRPr="005B5171" w:rsidRDefault="005B5171" w:rsidP="005B5171">
      <w:pPr>
        <w:jc w:val="both"/>
        <w:rPr>
          <w:rFonts w:ascii="Segoe UI" w:hAnsi="Segoe UI" w:cs="Segoe UI"/>
          <w:i/>
        </w:rPr>
      </w:pPr>
      <w:r w:rsidRPr="005B5171">
        <w:rPr>
          <w:rFonts w:ascii="Segoe UI" w:hAnsi="Segoe UI" w:cs="Segoe UI"/>
          <w:i/>
        </w:rPr>
        <w:t xml:space="preserve">Firewood consumption in Victoria </w:t>
      </w:r>
    </w:p>
    <w:p w:rsidR="005B5171" w:rsidRPr="005B5171" w:rsidRDefault="005B5171" w:rsidP="005B5171">
      <w:pPr>
        <w:jc w:val="both"/>
        <w:rPr>
          <w:rFonts w:ascii="Segoe UI" w:hAnsi="Segoe UI" w:cs="Segoe UI"/>
        </w:rPr>
      </w:pPr>
      <w:r w:rsidRPr="005B5171">
        <w:rPr>
          <w:rFonts w:ascii="Segoe UI" w:hAnsi="Segoe UI" w:cs="Segoe UI"/>
        </w:rPr>
        <w:t>Wood is the main source of heating for around 10 per cent of all Victorian households and around 25 per cent of regional households (</w:t>
      </w:r>
      <w:r w:rsidRPr="005B5171">
        <w:rPr>
          <w:rFonts w:ascii="Segoe UI" w:hAnsi="Segoe UI" w:cs="Segoe UI"/>
        </w:rPr>
        <w:fldChar w:fldCharType="begin"/>
      </w:r>
      <w:r w:rsidRPr="005B5171">
        <w:rPr>
          <w:rFonts w:ascii="Segoe UI" w:hAnsi="Segoe UI" w:cs="Segoe UI"/>
        </w:rPr>
        <w:instrText xml:space="preserve"> REF _Ref23172607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84</w:t>
      </w:r>
      <w:r w:rsidRPr="005B5171">
        <w:rPr>
          <w:rFonts w:ascii="Segoe UI" w:hAnsi="Segoe UI" w:cs="Segoe UI"/>
        </w:rPr>
        <w:fldChar w:fldCharType="end"/>
      </w:r>
      <w:r w:rsidRPr="005B5171">
        <w:rPr>
          <w:rFonts w:ascii="Segoe UI" w:hAnsi="Segoe UI" w:cs="Segoe UI"/>
        </w:rPr>
        <w:t xml:space="preserve">) (ABS 2014). In 2008, around 4,700 regional households used wood for ovens and for heating water (ABS 2008). For some Victorians, free firewood is the only source of affordable fuel. In this way, domestic firewood plays an important role in supporting vulnerable households in parts of Victoria.  </w:t>
      </w:r>
    </w:p>
    <w:p w:rsidR="005B5171" w:rsidRPr="005B5171" w:rsidRDefault="005B5171" w:rsidP="005B5171">
      <w:pPr>
        <w:jc w:val="both"/>
        <w:rPr>
          <w:rFonts w:ascii="Segoe UI" w:hAnsi="Segoe UI" w:cs="Segoe UI"/>
        </w:rPr>
      </w:pPr>
      <w:r w:rsidRPr="005B5171">
        <w:rPr>
          <w:rFonts w:ascii="Segoe UI" w:hAnsi="Segoe UI" w:cs="Segoe UI"/>
        </w:rPr>
        <w:t xml:space="preserve">In 2010, it was estimated that Victorians use about 600,000 cubic metres of firewood each year, with around 13 per cent coming from public land (DSE 2010, pp. 1–3). A typical household in Victoria that uses firewood for heating was estimated to consume between 1 and 9 cubic metres per year (ibid., p. 3). Durable, slow-burning and charcoal-producing wood is preferred for firewood (such as red gum, ironbark, box and some mixed species) over faster-burning, ash-producing wood (such as ash species). </w:t>
      </w:r>
    </w:p>
    <w:p w:rsidR="005B5171" w:rsidRPr="005B5171" w:rsidRDefault="005B5171" w:rsidP="005B5171">
      <w:pPr>
        <w:spacing w:after="200" w:line="240" w:lineRule="auto"/>
        <w:rPr>
          <w:rFonts w:ascii="Segoe UI Semibold" w:eastAsia="Times New Roman" w:hAnsi="Segoe UI Semibold" w:cs="Times New Roman"/>
          <w:color w:val="016295"/>
        </w:rPr>
      </w:pPr>
      <w:bookmarkStart w:id="114" w:name="_Ref23172607"/>
      <w:bookmarkStart w:id="115" w:name="_Toc25660866"/>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84</w:t>
      </w:r>
      <w:r w:rsidRPr="005B5171">
        <w:rPr>
          <w:rFonts w:ascii="Segoe UI Semibold" w:eastAsia="Times New Roman" w:hAnsi="Segoe UI Semibold" w:cs="Times New Roman"/>
          <w:noProof/>
          <w:color w:val="016295"/>
        </w:rPr>
        <w:fldChar w:fldCharType="end"/>
      </w:r>
      <w:bookmarkEnd w:id="114"/>
      <w:r w:rsidRPr="005B5171">
        <w:rPr>
          <w:rFonts w:ascii="Segoe UI Semibold" w:eastAsia="Times New Roman" w:hAnsi="Segoe UI Semibold" w:cs="Times New Roman"/>
          <w:color w:val="016295"/>
        </w:rPr>
        <w:t>: Victorian households that use wood as main source of heating, 2014</w:t>
      </w:r>
      <w:bookmarkEnd w:id="115"/>
    </w:p>
    <w:tbl>
      <w:tblPr>
        <w:tblStyle w:val="xTable1"/>
        <w:tblW w:w="0" w:type="auto"/>
        <w:tblLayout w:type="fixed"/>
        <w:tblLook w:val="04E0" w:firstRow="1" w:lastRow="1" w:firstColumn="1" w:lastColumn="0" w:noHBand="0" w:noVBand="1"/>
      </w:tblPr>
      <w:tblGrid>
        <w:gridCol w:w="1701"/>
        <w:gridCol w:w="1701"/>
        <w:gridCol w:w="1701"/>
      </w:tblGrid>
      <w:tr w:rsidR="005B5171" w:rsidRPr="005B5171" w:rsidTr="000B1E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5B5171" w:rsidRPr="005B5171" w:rsidRDefault="005B5171" w:rsidP="005B5171">
            <w:pPr>
              <w:rPr>
                <w:rFonts w:ascii="Segoe UI" w:hAnsi="Segoe UI" w:cs="Segoe UI"/>
              </w:rPr>
            </w:pPr>
            <w:r w:rsidRPr="005B5171">
              <w:rPr>
                <w:rFonts w:ascii="Segoe UI" w:hAnsi="Segoe UI" w:cs="Segoe UI"/>
              </w:rPr>
              <w:t>Household type</w:t>
            </w:r>
          </w:p>
        </w:tc>
        <w:tc>
          <w:tcPr>
            <w:tcW w:w="1701"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Total number</w:t>
            </w:r>
          </w:p>
        </w:tc>
        <w:tc>
          <w:tcPr>
            <w:tcW w:w="1701"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 xml:space="preserve"> per cent of households</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r w:rsidRPr="005B5171">
              <w:rPr>
                <w:rFonts w:ascii="Segoe UI" w:hAnsi="Segoe UI" w:cs="Segoe UI"/>
              </w:rPr>
              <w:t>Regional</w:t>
            </w:r>
          </w:p>
        </w:tc>
        <w:tc>
          <w:tcPr>
            <w:tcW w:w="1701"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159,900</w:t>
            </w:r>
          </w:p>
        </w:tc>
        <w:tc>
          <w:tcPr>
            <w:tcW w:w="1701"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24.9</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r w:rsidRPr="005B5171">
              <w:rPr>
                <w:rFonts w:ascii="Segoe UI" w:hAnsi="Segoe UI" w:cs="Segoe UI"/>
              </w:rPr>
              <w:t>Melbourne</w:t>
            </w:r>
          </w:p>
        </w:tc>
        <w:tc>
          <w:tcPr>
            <w:tcW w:w="1701"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65,300</w:t>
            </w:r>
          </w:p>
        </w:tc>
        <w:tc>
          <w:tcPr>
            <w:tcW w:w="1701"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4.1</w:t>
            </w:r>
          </w:p>
        </w:tc>
      </w:tr>
      <w:tr w:rsidR="005B5171" w:rsidRPr="005B5171" w:rsidTr="000B1EF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5B5171" w:rsidRPr="005B5171" w:rsidRDefault="005B5171" w:rsidP="005B5171">
            <w:pPr>
              <w:rPr>
                <w:rFonts w:ascii="Segoe UI" w:hAnsi="Segoe UI" w:cs="Segoe UI"/>
              </w:rPr>
            </w:pPr>
            <w:r w:rsidRPr="005B5171">
              <w:rPr>
                <w:rFonts w:ascii="Segoe UI" w:hAnsi="Segoe UI" w:cs="Segoe UI"/>
              </w:rPr>
              <w:t>Total</w:t>
            </w:r>
          </w:p>
        </w:tc>
        <w:tc>
          <w:tcPr>
            <w:tcW w:w="1701" w:type="dxa"/>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228,100</w:t>
            </w:r>
          </w:p>
        </w:tc>
        <w:tc>
          <w:tcPr>
            <w:tcW w:w="1701" w:type="dxa"/>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10.2</w:t>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Source: ABS 2016</w:t>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Domestic firewood</w:t>
      </w:r>
    </w:p>
    <w:p w:rsidR="005B5171" w:rsidRPr="005B5171" w:rsidRDefault="005B5171" w:rsidP="005B5171">
      <w:pPr>
        <w:jc w:val="both"/>
        <w:rPr>
          <w:rFonts w:ascii="Segoe UI" w:hAnsi="Segoe UI" w:cs="Segoe UI"/>
        </w:rPr>
      </w:pPr>
      <w:r w:rsidRPr="005B5171">
        <w:rPr>
          <w:rFonts w:ascii="Segoe UI" w:hAnsi="Segoe UI" w:cs="Segoe UI"/>
        </w:rPr>
        <w:t xml:space="preserve">It is estimated around 40,000 cubic metres of firewood is provided to the public from State forests across Victoria’s RFA regions each year (DELWP 2018). The volume provided to the public includes firewood from natural falls, and by-product from DELWP forest and fire management operations or </w:t>
      </w:r>
      <w:proofErr w:type="spellStart"/>
      <w:r w:rsidRPr="005B5171">
        <w:rPr>
          <w:rFonts w:ascii="Segoe UI" w:hAnsi="Segoe UI" w:cs="Segoe UI"/>
        </w:rPr>
        <w:t>VicForests</w:t>
      </w:r>
      <w:proofErr w:type="spellEnd"/>
      <w:r w:rsidRPr="005B5171">
        <w:rPr>
          <w:rFonts w:ascii="Segoe UI" w:hAnsi="Segoe UI" w:cs="Segoe UI"/>
        </w:rPr>
        <w:t xml:space="preserve"> harvesting operations in some parts of the state. </w:t>
      </w:r>
    </w:p>
    <w:p w:rsidR="005B5171" w:rsidRPr="005B5171" w:rsidRDefault="005B5171" w:rsidP="005B5171">
      <w:pPr>
        <w:jc w:val="both"/>
        <w:rPr>
          <w:rFonts w:ascii="Segoe UI" w:hAnsi="Segoe UI" w:cs="Segoe UI"/>
        </w:rPr>
      </w:pPr>
      <w:r w:rsidRPr="005B5171">
        <w:rPr>
          <w:rFonts w:ascii="Segoe UI" w:hAnsi="Segoe UI" w:cs="Segoe UI"/>
        </w:rPr>
        <w:t>Since the permit system for firewood collection was abolished in 2011, volume estimation is derived from estimating natural falls and historic firewood collection data. The figures presented are based on intelligence and estimations from the district level and represents the best available information on firewood volumes.</w:t>
      </w:r>
    </w:p>
    <w:p w:rsidR="005B5171" w:rsidRPr="005B5171" w:rsidRDefault="005B5171" w:rsidP="005B5171">
      <w:pPr>
        <w:jc w:val="both"/>
        <w:rPr>
          <w:rFonts w:ascii="Segoe UI" w:hAnsi="Segoe UI" w:cs="Segoe UI"/>
        </w:rPr>
      </w:pPr>
      <w:r w:rsidRPr="005B5171">
        <w:rPr>
          <w:rFonts w:ascii="Segoe UI" w:hAnsi="Segoe UI" w:cs="Segoe UI"/>
        </w:rPr>
        <w:t>The quantity of firewood collected for domestic use from forests on private land is unknown, though it may be significant. A survey of firewood use in northern Victoria found that only 25per cent of firewood-dependent households collected firewood exclusively on public land (DELWP 2018). It was estimated that around 14,000 cubic metres of firewood is provided annually from private property along the Murray River in Victoria and New South Wales.</w:t>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Illegal removal of firewood</w:t>
      </w:r>
    </w:p>
    <w:p w:rsidR="005B5171" w:rsidRPr="005B5171" w:rsidRDefault="005B5171" w:rsidP="005B5171">
      <w:pPr>
        <w:jc w:val="both"/>
        <w:rPr>
          <w:rFonts w:ascii="Segoe UI" w:hAnsi="Segoe UI" w:cs="Segoe UI"/>
        </w:rPr>
      </w:pPr>
      <w:r w:rsidRPr="005B5171">
        <w:rPr>
          <w:rFonts w:ascii="Segoe UI" w:hAnsi="Segoe UI" w:cs="Segoe UI"/>
        </w:rPr>
        <w:t xml:space="preserve">In Victoria, there are restrictions on the volume, location and type of wood that can be collected. Firewood is illegally removed from public land each year, with DELWP and Parks Victoria undertaking compliance activity. In an environmental-economic accounting framework, illegal take would conceptually be included in the flow of ecosystem services, as it represents a flow from the environment to people. Strictly, the framework does not consider whether society deems an ecosystem service flow legal or illegal. However, the unsustainable removal of firewood results in degradation of the underlying ecosystem asset (the forest). </w:t>
      </w:r>
    </w:p>
    <w:p w:rsidR="005B5171" w:rsidRPr="005B5171" w:rsidRDefault="005B5171" w:rsidP="005B5171">
      <w:pPr>
        <w:jc w:val="both"/>
        <w:rPr>
          <w:rFonts w:ascii="Segoe UI" w:hAnsi="Segoe UI" w:cs="Segoe UI"/>
        </w:rPr>
      </w:pPr>
      <w:r w:rsidRPr="005B5171">
        <w:rPr>
          <w:rFonts w:ascii="Segoe UI" w:hAnsi="Segoe UI" w:cs="Segoe UI"/>
        </w:rPr>
        <w:t>Reducing unsustainable take (e.g. through enforcement) would reduce the flow of firewood from forests to the community, but it would improve the condition of forests (the ecosystem asset). This may result in increased flows of other ecosystem services and benefits such as habitat for species, climate regulation or opportunities for recreation. It may also help maintain a flow of firewood into the future, rather than exhausting supply and encouraging the felling of standing timber. Consequently, in some cases, reducing the flow of firewood (by reducing illegal/unsustainable take) may increase the overall benefit to the community from a forest.</w:t>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Commercial firewood</w:t>
      </w:r>
    </w:p>
    <w:p w:rsidR="005B5171" w:rsidRPr="005B5171" w:rsidRDefault="005B5171" w:rsidP="005B5171">
      <w:pPr>
        <w:jc w:val="both"/>
        <w:rPr>
          <w:rFonts w:ascii="Segoe UI" w:hAnsi="Segoe UI" w:cs="Segoe UI"/>
        </w:rPr>
      </w:pPr>
      <w:r w:rsidRPr="005B5171">
        <w:rPr>
          <w:rFonts w:ascii="Segoe UI" w:hAnsi="Segoe UI" w:cs="Segoe UI"/>
        </w:rPr>
        <w:t xml:space="preserve">Some of the timber harvested by </w:t>
      </w:r>
      <w:proofErr w:type="spellStart"/>
      <w:r w:rsidRPr="005B5171">
        <w:rPr>
          <w:rFonts w:ascii="Segoe UI" w:hAnsi="Segoe UI" w:cs="Segoe UI"/>
        </w:rPr>
        <w:t>VicForests</w:t>
      </w:r>
      <w:proofErr w:type="spellEnd"/>
      <w:r w:rsidRPr="005B5171">
        <w:rPr>
          <w:rFonts w:ascii="Segoe UI" w:hAnsi="Segoe UI" w:cs="Segoe UI"/>
        </w:rPr>
        <w:t xml:space="preserve"> from State forests is commercially purchased and used for firewood, and the quantity and value of this is captured in the assessed native timber harvest volume. Across the state, </w:t>
      </w:r>
      <w:proofErr w:type="spellStart"/>
      <w:r w:rsidRPr="005B5171">
        <w:rPr>
          <w:rFonts w:ascii="Segoe UI" w:hAnsi="Segoe UI" w:cs="Segoe UI"/>
        </w:rPr>
        <w:t>VicForests</w:t>
      </w:r>
      <w:proofErr w:type="spellEnd"/>
      <w:r w:rsidRPr="005B5171">
        <w:rPr>
          <w:rFonts w:ascii="Segoe UI" w:hAnsi="Segoe UI" w:cs="Segoe UI"/>
        </w:rPr>
        <w:t xml:space="preserve"> sold around 50,000 cubic metres of ‘other’ wood products in 2017–18, which is predominantly firewood (</w:t>
      </w:r>
      <w:proofErr w:type="spellStart"/>
      <w:r w:rsidRPr="005B5171">
        <w:rPr>
          <w:rFonts w:ascii="Segoe UI" w:hAnsi="Segoe UI" w:cs="Segoe UI"/>
        </w:rPr>
        <w:t>VicForests</w:t>
      </w:r>
      <w:proofErr w:type="spellEnd"/>
      <w:r w:rsidRPr="005B5171">
        <w:rPr>
          <w:rFonts w:ascii="Segoe UI" w:hAnsi="Segoe UI" w:cs="Segoe UI"/>
        </w:rPr>
        <w:t xml:space="preserve"> 2018b, p. 13). To avoid double counting, these figures are not analysed again here.  </w:t>
      </w:r>
    </w:p>
    <w:p w:rsidR="005B5171" w:rsidRPr="005B5171" w:rsidRDefault="005B5171" w:rsidP="005B5171">
      <w:pPr>
        <w:jc w:val="both"/>
        <w:rPr>
          <w:rFonts w:ascii="Segoe UI" w:hAnsi="Segoe UI" w:cs="Segoe UI"/>
        </w:rPr>
      </w:pPr>
      <w:r w:rsidRPr="005B5171">
        <w:rPr>
          <w:rFonts w:ascii="Segoe UI" w:hAnsi="Segoe UI" w:cs="Segoe UI"/>
        </w:rPr>
        <w:t xml:space="preserve">The quantity of commercial firewood produced from plantations and farm forestry is unknown, though it is expected to be significant. </w:t>
      </w:r>
    </w:p>
    <w:p w:rsidR="005B5171" w:rsidRPr="005B5171" w:rsidRDefault="005B5171" w:rsidP="005B5171">
      <w:pPr>
        <w:jc w:val="both"/>
        <w:rPr>
          <w:rFonts w:ascii="Segoe UI" w:hAnsi="Segoe UI" w:cs="Segoe UI"/>
        </w:rPr>
      </w:pPr>
      <w:r w:rsidRPr="005B5171">
        <w:rPr>
          <w:rFonts w:ascii="Segoe UI" w:hAnsi="Segoe UI" w:cs="Segoe UI"/>
        </w:rPr>
        <w:t>A valuation of firewood can be estimated using market prices, while acknowledging this method is simple and does not account for the potential of alternative fuel sources. Market prices for firewood can vary widely depending on the type of wood and the sale location. Using northern Victoria as an example, firewood retails for around $100–160 per cubic metre plus delivery.</w:t>
      </w:r>
      <w:r w:rsidRPr="005B5171">
        <w:rPr>
          <w:rFonts w:ascii="Segoe UI" w:hAnsi="Segoe UI" w:cs="Segoe UI"/>
          <w:vertAlign w:val="superscript"/>
        </w:rPr>
        <w:footnoteReference w:id="7"/>
      </w:r>
      <w:r w:rsidRPr="005B5171">
        <w:rPr>
          <w:rFonts w:ascii="Segoe UI" w:hAnsi="Segoe UI" w:cs="Segoe UI"/>
        </w:rPr>
        <w:t xml:space="preserve"> This suggests that if households were to purchase firewood equivalent to the volume collected from public land, it would cost at least $4.5–-7.3 million. This figure is likely to be conservative as firewood prices in Melbourne are significantly higher, in the order of $340 per tonne + delivery) for Redgum, and $310 per tonne + delivery for mixed species. </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Inputs to domestic firewood provision from public land should be subtracted from the market price to isolate the value contributed by forest ecosystems. Domestic firewood collection is subsidised by the Victorian Government, which funds planning and administration of firewood collection areas. Costs have been estimated at around $12 per cubic metre for State forests (DELWP 2018). Subtracting this from the market price gives a value of around $90-150 per cubic metre, or around $4–6.8 million in total. This represents the value of the ecosystem service of firewood provision. Note that this is a lower bound estimate as it does not include firewood collection from private forests or commercial firewood.</w:t>
      </w:r>
    </w:p>
    <w:p w:rsidR="005B5171" w:rsidRPr="005B5171" w:rsidRDefault="005B5171" w:rsidP="005B5171">
      <w:pPr>
        <w:rPr>
          <w:rFonts w:ascii="Segoe UI" w:hAnsi="Segoe UI" w:cs="Segoe UI"/>
          <w:lang w:eastAsia="en-AU"/>
        </w:rPr>
      </w:pPr>
      <w:r w:rsidRPr="005B5171">
        <w:rPr>
          <w:rFonts w:ascii="Segoe UI" w:hAnsi="Segoe UI" w:cs="Segoe UI"/>
          <w:lang w:eastAsia="en-AU"/>
        </w:rPr>
        <w:br w:type="page"/>
      </w:r>
    </w:p>
    <w:p w:rsidR="005B5171" w:rsidRPr="005B5171" w:rsidRDefault="005B5171" w:rsidP="005B5171">
      <w:pPr>
        <w:keepNext/>
        <w:spacing w:before="240" w:after="240" w:line="240" w:lineRule="auto"/>
        <w:outlineLvl w:val="2"/>
        <w:rPr>
          <w:rFonts w:ascii="Segoe UI" w:hAnsi="Segoe UI" w:cs="Segoe UI"/>
          <w:b/>
          <w:color w:val="000000"/>
          <w:sz w:val="24"/>
          <w:szCs w:val="24"/>
        </w:rPr>
      </w:pPr>
      <w:bookmarkStart w:id="116" w:name="_Toc11768336"/>
      <w:bookmarkStart w:id="117" w:name="_Toc30492032"/>
      <w:bookmarkStart w:id="118" w:name="_Toc33002130"/>
      <w:r w:rsidRPr="005B5171">
        <w:rPr>
          <w:rFonts w:ascii="Segoe UI" w:hAnsi="Segoe UI" w:cs="Segoe UI"/>
          <w:b/>
          <w:color w:val="000000"/>
          <w:sz w:val="24"/>
          <w:szCs w:val="24"/>
        </w:rPr>
        <w:t>Indicator 6.1b: Values, quantities and use of non-wood forest products</w:t>
      </w:r>
      <w:bookmarkEnd w:id="116"/>
      <w:bookmarkEnd w:id="117"/>
      <w:bookmarkEnd w:id="118"/>
    </w:p>
    <w:p w:rsidR="005B5171" w:rsidRPr="005B5171" w:rsidRDefault="005B5171" w:rsidP="005B5171">
      <w:pPr>
        <w:jc w:val="both"/>
        <w:rPr>
          <w:rFonts w:ascii="Segoe UI" w:hAnsi="Segoe UI" w:cs="Segoe UI"/>
        </w:rPr>
      </w:pPr>
      <w:r w:rsidRPr="005B5171">
        <w:rPr>
          <w:rFonts w:ascii="Segoe UI" w:hAnsi="Segoe UI" w:cs="Segoe UI"/>
        </w:rPr>
        <w:t xml:space="preserve">This indicator enables socio-economic benefits to be monitored by ascertaining trends in quantities, values and usage of non-wood forest products against management objectives. </w:t>
      </w:r>
    </w:p>
    <w:p w:rsidR="005B5171" w:rsidRPr="005B5171" w:rsidRDefault="005B5171" w:rsidP="005B5171">
      <w:pPr>
        <w:jc w:val="both"/>
        <w:rPr>
          <w:rFonts w:ascii="Segoe UI" w:hAnsi="Segoe UI" w:cs="Segoe UI"/>
        </w:rPr>
      </w:pPr>
      <w:r w:rsidRPr="005B5171">
        <w:rPr>
          <w:rFonts w:ascii="Segoe UI" w:hAnsi="Segoe UI" w:cs="Segoe UI"/>
        </w:rPr>
        <w:t xml:space="preserve">Non-wood products provide a range of economic benefits for Victorian communities. They support livelihoods, particularly in rural and regional areas, and provide government revenues for public services including forest management, profits to businesses and income to forest owners. The value of non-wood products reflects the scale of these benefits. This measure enables socio-economic benefits to be monitored and to ascertain trends for comparison with management objectives. </w:t>
      </w:r>
    </w:p>
    <w:p w:rsidR="005B5171" w:rsidRPr="005B5171" w:rsidRDefault="005B5171" w:rsidP="005B5171">
      <w:pPr>
        <w:jc w:val="both"/>
        <w:rPr>
          <w:rFonts w:ascii="Times New Roman" w:hAnsi="Times New Roman" w:cs="Times New Roman"/>
          <w:sz w:val="24"/>
          <w:szCs w:val="24"/>
          <w:lang w:eastAsia="en-AU"/>
        </w:rPr>
      </w:pPr>
      <w:r w:rsidRPr="005B5171">
        <w:rPr>
          <w:rFonts w:ascii="Segoe UI" w:hAnsi="Segoe UI" w:cs="Segoe UI"/>
        </w:rPr>
        <w:t xml:space="preserve">The Victorian Government seeks royalties from revenue-generating activities carried out on public land. </w:t>
      </w:r>
      <w:r w:rsidRPr="005B5171">
        <w:rPr>
          <w:rFonts w:ascii="Segoe UI" w:hAnsi="Segoe UI" w:cs="Segoe UI"/>
          <w:lang w:eastAsia="en-AU"/>
        </w:rPr>
        <w:t xml:space="preserve">A register of Forest Produce Licences issued by DELWP is maintained by DELWP’s Environmental Compliance Unit. The produce outlined in </w:t>
      </w:r>
      <w:r w:rsidRPr="005B5171">
        <w:rPr>
          <w:rFonts w:ascii="Segoe UI" w:hAnsi="Segoe UI" w:cs="Segoe UI"/>
          <w:lang w:eastAsia="en-AU"/>
        </w:rPr>
        <w:fldChar w:fldCharType="begin"/>
      </w:r>
      <w:r w:rsidRPr="005B5171">
        <w:rPr>
          <w:rFonts w:ascii="Segoe UI" w:hAnsi="Segoe UI" w:cs="Segoe UI"/>
          <w:lang w:eastAsia="en-AU"/>
        </w:rPr>
        <w:instrText xml:space="preserve"> REF _Ref14528840 \h </w:instrText>
      </w:r>
      <w:r w:rsidRPr="005B5171">
        <w:rPr>
          <w:rFonts w:ascii="Segoe UI" w:hAnsi="Segoe UI" w:cs="Segoe UI"/>
          <w:lang w:eastAsia="en-AU"/>
        </w:rPr>
      </w:r>
      <w:r w:rsidRPr="005B5171">
        <w:rPr>
          <w:rFonts w:ascii="Segoe UI" w:hAnsi="Segoe UI" w:cs="Segoe UI"/>
          <w:lang w:eastAsia="en-AU"/>
        </w:rPr>
        <w:fldChar w:fldCharType="separate"/>
      </w:r>
      <w:r w:rsidRPr="005B5171">
        <w:rPr>
          <w:rFonts w:ascii="Segoe UI" w:hAnsi="Segoe UI" w:cs="Segoe UI"/>
        </w:rPr>
        <w:t xml:space="preserve">Table </w:t>
      </w:r>
      <w:r w:rsidRPr="005B5171">
        <w:rPr>
          <w:rFonts w:ascii="Segoe UI" w:hAnsi="Segoe UI" w:cs="Segoe UI"/>
          <w:noProof/>
        </w:rPr>
        <w:t>85</w:t>
      </w:r>
      <w:r w:rsidRPr="005B5171">
        <w:rPr>
          <w:rFonts w:ascii="Segoe UI" w:hAnsi="Segoe UI" w:cs="Segoe UI"/>
          <w:lang w:eastAsia="en-AU"/>
        </w:rPr>
        <w:fldChar w:fldCharType="end"/>
      </w:r>
      <w:r w:rsidRPr="005B5171">
        <w:rPr>
          <w:rFonts w:ascii="Segoe UI" w:hAnsi="Segoe UI" w:cs="Segoe UI"/>
          <w:lang w:eastAsia="en-AU"/>
        </w:rPr>
        <w:t xml:space="preserve"> provides an example of some of the types of produce and their quantities taken across the RFA regions between 2016 and 2019. However, this is not an exhaustive list, and data on sustainable rates of harvest is not available. DELWP regulates the number of licences provided to ensure they are not over-allocated, with respect to historic allocation; it also seeks advice from regional staff on the impact of activities associated with the leases. Royalty rates per unit have marginally increased each year for the period 2015–16 to 2018–19 (as shown in the tables below).</w:t>
      </w:r>
    </w:p>
    <w:p w:rsidR="005B5171" w:rsidRPr="005B5171" w:rsidRDefault="005B5171" w:rsidP="005B5171">
      <w:pPr>
        <w:jc w:val="both"/>
        <w:rPr>
          <w:rFonts w:ascii="Segoe UI" w:hAnsi="Segoe UI" w:cs="Segoe UI"/>
        </w:rPr>
      </w:pPr>
      <w:r w:rsidRPr="005B5171">
        <w:rPr>
          <w:rFonts w:ascii="Segoe UI" w:hAnsi="Segoe UI" w:cs="Segoe UI"/>
        </w:rPr>
        <w:t>Further reporting on non-timber forest products is collated under Indicator 6.c below.</w:t>
      </w:r>
    </w:p>
    <w:p w:rsidR="005B5171" w:rsidRPr="005B5171" w:rsidRDefault="005B5171" w:rsidP="005B5171">
      <w:pPr>
        <w:rPr>
          <w:rFonts w:ascii="Segoe UI" w:hAnsi="Segoe UI" w:cs="Segoe UI"/>
        </w:rPr>
        <w:sectPr w:rsidR="005B5171" w:rsidRPr="005B5171" w:rsidSect="00E53AAA">
          <w:headerReference w:type="default" r:id="rId31"/>
          <w:pgSz w:w="11906" w:h="16838" w:code="9"/>
          <w:pgMar w:top="1418" w:right="1418" w:bottom="1418" w:left="1418" w:header="737" w:footer="680" w:gutter="0"/>
          <w:cols w:space="708"/>
          <w:docGrid w:linePitch="360"/>
        </w:sectPr>
      </w:pPr>
    </w:p>
    <w:p w:rsidR="005B5171" w:rsidRPr="005B5171" w:rsidRDefault="005B5171" w:rsidP="005B5171">
      <w:pPr>
        <w:spacing w:after="200" w:line="240" w:lineRule="auto"/>
        <w:rPr>
          <w:rFonts w:ascii="Segoe UI Semibold" w:eastAsia="Times New Roman" w:hAnsi="Segoe UI Semibold" w:cs="Times New Roman"/>
          <w:color w:val="016295"/>
        </w:rPr>
      </w:pPr>
      <w:bookmarkStart w:id="119" w:name="_Ref14528840"/>
      <w:bookmarkStart w:id="120" w:name="_Toc25660867"/>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85</w:t>
      </w:r>
      <w:r w:rsidRPr="005B5171">
        <w:rPr>
          <w:rFonts w:ascii="Segoe UI Semibold" w:eastAsia="Times New Roman" w:hAnsi="Segoe UI Semibold" w:cs="Times New Roman"/>
          <w:noProof/>
          <w:color w:val="016295"/>
        </w:rPr>
        <w:fldChar w:fldCharType="end"/>
      </w:r>
      <w:bookmarkEnd w:id="119"/>
      <w:r w:rsidRPr="005B5171">
        <w:rPr>
          <w:rFonts w:ascii="Segoe UI Semibold" w:eastAsia="Times New Roman" w:hAnsi="Segoe UI Semibold" w:cs="Times New Roman"/>
          <w:color w:val="016295"/>
        </w:rPr>
        <w:t>: Minor forest produce (non-wood), licensed by DELWP</w:t>
      </w:r>
      <w:bookmarkEnd w:id="120"/>
    </w:p>
    <w:tbl>
      <w:tblPr>
        <w:tblStyle w:val="dpitablestyle"/>
        <w:tblW w:w="14732" w:type="dxa"/>
        <w:tblLook w:val="04A0" w:firstRow="1" w:lastRow="0" w:firstColumn="1" w:lastColumn="0" w:noHBand="0" w:noVBand="1"/>
      </w:tblPr>
      <w:tblGrid>
        <w:gridCol w:w="1184"/>
        <w:gridCol w:w="1088"/>
        <w:gridCol w:w="662"/>
        <w:gridCol w:w="662"/>
        <w:gridCol w:w="662"/>
        <w:gridCol w:w="662"/>
        <w:gridCol w:w="662"/>
        <w:gridCol w:w="662"/>
        <w:gridCol w:w="662"/>
        <w:gridCol w:w="662"/>
        <w:gridCol w:w="662"/>
        <w:gridCol w:w="662"/>
        <w:gridCol w:w="662"/>
        <w:gridCol w:w="662"/>
        <w:gridCol w:w="662"/>
        <w:gridCol w:w="662"/>
        <w:gridCol w:w="662"/>
        <w:gridCol w:w="662"/>
        <w:gridCol w:w="662"/>
        <w:gridCol w:w="662"/>
        <w:gridCol w:w="662"/>
      </w:tblGrid>
      <w:tr w:rsidR="005B5171" w:rsidRPr="005B5171" w:rsidTr="000B1EFD">
        <w:trPr>
          <w:cnfStyle w:val="100000000000" w:firstRow="1" w:lastRow="0" w:firstColumn="0" w:lastColumn="0" w:oddVBand="0" w:evenVBand="0" w:oddHBand="0" w:evenHBand="0" w:firstRowFirstColumn="0" w:firstRowLastColumn="0" w:lastRowFirstColumn="0" w:lastRowLastColumn="0"/>
          <w:trHeight w:val="353"/>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Product</w:t>
            </w:r>
          </w:p>
        </w:tc>
        <w:tc>
          <w:tcPr>
            <w:tcW w:w="3074" w:type="dxa"/>
            <w:gridSpan w:val="4"/>
            <w:hideMark/>
          </w:tcPr>
          <w:p w:rsidR="005B5171" w:rsidRPr="005B5171" w:rsidRDefault="005B5171" w:rsidP="005B5171">
            <w:pPr>
              <w:spacing w:after="0" w:line="240" w:lineRule="auto"/>
              <w:jc w:val="center"/>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East Gippsland</w:t>
            </w:r>
          </w:p>
        </w:tc>
        <w:tc>
          <w:tcPr>
            <w:tcW w:w="2648" w:type="dxa"/>
            <w:gridSpan w:val="4"/>
            <w:hideMark/>
          </w:tcPr>
          <w:p w:rsidR="005B5171" w:rsidRPr="005B5171" w:rsidRDefault="005B5171" w:rsidP="005B5171">
            <w:pPr>
              <w:spacing w:after="0" w:line="240" w:lineRule="auto"/>
              <w:jc w:val="center"/>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Gippsland</w:t>
            </w:r>
          </w:p>
        </w:tc>
        <w:tc>
          <w:tcPr>
            <w:tcW w:w="2648" w:type="dxa"/>
            <w:gridSpan w:val="4"/>
            <w:hideMark/>
          </w:tcPr>
          <w:p w:rsidR="005B5171" w:rsidRPr="005B5171" w:rsidRDefault="005B5171" w:rsidP="005B5171">
            <w:pPr>
              <w:spacing w:after="0" w:line="240" w:lineRule="auto"/>
              <w:jc w:val="center"/>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Central Highlands</w:t>
            </w:r>
          </w:p>
        </w:tc>
        <w:tc>
          <w:tcPr>
            <w:tcW w:w="2648" w:type="dxa"/>
            <w:gridSpan w:val="4"/>
            <w:hideMark/>
          </w:tcPr>
          <w:p w:rsidR="005B5171" w:rsidRPr="005B5171" w:rsidRDefault="005B5171" w:rsidP="005B5171">
            <w:pPr>
              <w:spacing w:after="0" w:line="240" w:lineRule="auto"/>
              <w:jc w:val="center"/>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North East</w:t>
            </w:r>
          </w:p>
        </w:tc>
        <w:tc>
          <w:tcPr>
            <w:tcW w:w="2530" w:type="dxa"/>
            <w:gridSpan w:val="4"/>
            <w:hideMark/>
          </w:tcPr>
          <w:p w:rsidR="005B5171" w:rsidRPr="005B5171" w:rsidRDefault="005B5171" w:rsidP="005B5171">
            <w:pPr>
              <w:spacing w:after="0" w:line="240" w:lineRule="auto"/>
              <w:jc w:val="center"/>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West</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581"/>
        </w:trPr>
        <w:tc>
          <w:tcPr>
            <w:tcW w:w="1184" w:type="dxa"/>
            <w:hideMark/>
          </w:tcPr>
          <w:p w:rsidR="005B5171" w:rsidRPr="005B5171" w:rsidRDefault="005B5171" w:rsidP="005B5171">
            <w:pPr>
              <w:spacing w:after="0" w:line="240" w:lineRule="auto"/>
              <w:jc w:val="center"/>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Royalty ($ per Unit/year)</w:t>
            </w:r>
          </w:p>
        </w:tc>
        <w:tc>
          <w:tcPr>
            <w:tcW w:w="1088" w:type="dxa"/>
            <w:textDirection w:val="btLr"/>
            <w:vAlign w:val="center"/>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2015/16</w:t>
            </w:r>
          </w:p>
        </w:tc>
        <w:tc>
          <w:tcPr>
            <w:tcW w:w="662" w:type="dxa"/>
            <w:textDirection w:val="btLr"/>
            <w:vAlign w:val="center"/>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2016/17</w:t>
            </w:r>
          </w:p>
        </w:tc>
        <w:tc>
          <w:tcPr>
            <w:tcW w:w="662" w:type="dxa"/>
            <w:textDirection w:val="btLr"/>
            <w:vAlign w:val="center"/>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2017/18</w:t>
            </w:r>
          </w:p>
        </w:tc>
        <w:tc>
          <w:tcPr>
            <w:tcW w:w="662" w:type="dxa"/>
            <w:textDirection w:val="btLr"/>
            <w:vAlign w:val="center"/>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2018/19</w:t>
            </w:r>
          </w:p>
        </w:tc>
        <w:tc>
          <w:tcPr>
            <w:tcW w:w="662" w:type="dxa"/>
            <w:textDirection w:val="btLr"/>
            <w:vAlign w:val="center"/>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2015/16</w:t>
            </w:r>
          </w:p>
        </w:tc>
        <w:tc>
          <w:tcPr>
            <w:tcW w:w="662" w:type="dxa"/>
            <w:textDirection w:val="btLr"/>
            <w:vAlign w:val="center"/>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2016/17</w:t>
            </w:r>
          </w:p>
        </w:tc>
        <w:tc>
          <w:tcPr>
            <w:tcW w:w="662" w:type="dxa"/>
            <w:textDirection w:val="btLr"/>
            <w:vAlign w:val="center"/>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2017/18</w:t>
            </w:r>
          </w:p>
        </w:tc>
        <w:tc>
          <w:tcPr>
            <w:tcW w:w="662" w:type="dxa"/>
            <w:textDirection w:val="btLr"/>
            <w:vAlign w:val="center"/>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2018/19</w:t>
            </w:r>
          </w:p>
        </w:tc>
        <w:tc>
          <w:tcPr>
            <w:tcW w:w="662" w:type="dxa"/>
            <w:textDirection w:val="btLr"/>
            <w:vAlign w:val="center"/>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2015/16</w:t>
            </w:r>
          </w:p>
        </w:tc>
        <w:tc>
          <w:tcPr>
            <w:tcW w:w="662" w:type="dxa"/>
            <w:textDirection w:val="btLr"/>
            <w:vAlign w:val="center"/>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2016/17</w:t>
            </w:r>
          </w:p>
        </w:tc>
        <w:tc>
          <w:tcPr>
            <w:tcW w:w="662" w:type="dxa"/>
            <w:textDirection w:val="btLr"/>
            <w:vAlign w:val="center"/>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2017/18</w:t>
            </w:r>
          </w:p>
        </w:tc>
        <w:tc>
          <w:tcPr>
            <w:tcW w:w="662" w:type="dxa"/>
            <w:textDirection w:val="btLr"/>
            <w:vAlign w:val="center"/>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2018/19</w:t>
            </w:r>
          </w:p>
        </w:tc>
        <w:tc>
          <w:tcPr>
            <w:tcW w:w="662" w:type="dxa"/>
            <w:textDirection w:val="btLr"/>
            <w:vAlign w:val="center"/>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2015/16</w:t>
            </w:r>
          </w:p>
        </w:tc>
        <w:tc>
          <w:tcPr>
            <w:tcW w:w="662" w:type="dxa"/>
            <w:textDirection w:val="btLr"/>
            <w:vAlign w:val="center"/>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2016/17</w:t>
            </w:r>
          </w:p>
        </w:tc>
        <w:tc>
          <w:tcPr>
            <w:tcW w:w="662" w:type="dxa"/>
            <w:textDirection w:val="btLr"/>
            <w:vAlign w:val="center"/>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2017/18</w:t>
            </w:r>
          </w:p>
        </w:tc>
        <w:tc>
          <w:tcPr>
            <w:tcW w:w="662" w:type="dxa"/>
            <w:textDirection w:val="btLr"/>
            <w:vAlign w:val="center"/>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2018/19</w:t>
            </w:r>
          </w:p>
        </w:tc>
        <w:tc>
          <w:tcPr>
            <w:tcW w:w="662" w:type="dxa"/>
            <w:textDirection w:val="btLr"/>
            <w:vAlign w:val="center"/>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2015/16</w:t>
            </w:r>
          </w:p>
        </w:tc>
        <w:tc>
          <w:tcPr>
            <w:tcW w:w="662" w:type="dxa"/>
            <w:textDirection w:val="btLr"/>
            <w:vAlign w:val="center"/>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2016/17</w:t>
            </w:r>
          </w:p>
        </w:tc>
        <w:tc>
          <w:tcPr>
            <w:tcW w:w="662" w:type="dxa"/>
            <w:textDirection w:val="btLr"/>
            <w:vAlign w:val="center"/>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2017/18</w:t>
            </w:r>
          </w:p>
        </w:tc>
        <w:tc>
          <w:tcPr>
            <w:tcW w:w="544" w:type="dxa"/>
            <w:textDirection w:val="btLr"/>
            <w:vAlign w:val="center"/>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2018/19</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Dead tree fern trunks (each)</w:t>
            </w:r>
          </w:p>
        </w:tc>
        <w:tc>
          <w:tcPr>
            <w:tcW w:w="1088"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48.02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49.22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50.25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51.31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48.02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49.22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50.25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51.31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48.02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49.22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50.25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51.31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48.02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49.22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50.25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51.31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48.02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49.22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50.25</w:t>
            </w:r>
          </w:p>
        </w:tc>
        <w:tc>
          <w:tcPr>
            <w:tcW w:w="544"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51.31</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15"/>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Dodder-laurel Vine (kg)</w:t>
            </w:r>
          </w:p>
        </w:tc>
        <w:tc>
          <w:tcPr>
            <w:tcW w:w="1088"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0.69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0.71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0.72</w:t>
            </w:r>
          </w:p>
        </w:tc>
        <w:tc>
          <w:tcPr>
            <w:tcW w:w="544"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0.74</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Dogwood and native cherry (bunch)</w:t>
            </w:r>
          </w:p>
        </w:tc>
        <w:tc>
          <w:tcPr>
            <w:tcW w:w="1088"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0.367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0.367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0.367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0.367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0.367</w:t>
            </w:r>
          </w:p>
        </w:tc>
        <w:tc>
          <w:tcPr>
            <w:tcW w:w="544"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0.37</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Eucalypt branches for floral arrangements (bunch)</w:t>
            </w:r>
          </w:p>
        </w:tc>
        <w:tc>
          <w:tcPr>
            <w:tcW w:w="1088"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10.54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11.03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11.26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10.54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11.03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11.26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10.54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11.03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11.26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10.54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0.367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10.54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0.367</w:t>
            </w:r>
          </w:p>
        </w:tc>
        <w:tc>
          <w:tcPr>
            <w:tcW w:w="544"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0.37</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Everlasting (1 cm bunch)</w:t>
            </w:r>
          </w:p>
        </w:tc>
        <w:tc>
          <w:tcPr>
            <w:tcW w:w="1088"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8.92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9.14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9.34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9.53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8.92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9.14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9.34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9.53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8.92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9.14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9.34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9.53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8.92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11.03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11.26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8.92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11.03</w:t>
            </w:r>
          </w:p>
        </w:tc>
        <w:tc>
          <w:tcPr>
            <w:tcW w:w="544"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11.26</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15"/>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Grass Tree Fronds (bunch)</w:t>
            </w:r>
          </w:p>
        </w:tc>
        <w:tc>
          <w:tcPr>
            <w:tcW w:w="1088"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NA</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2.15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2.2</w:t>
            </w:r>
          </w:p>
        </w:tc>
        <w:tc>
          <w:tcPr>
            <w:tcW w:w="544"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2.24</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Grasses (bunch)</w:t>
            </w:r>
          </w:p>
        </w:tc>
        <w:tc>
          <w:tcPr>
            <w:tcW w:w="1088"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5.21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5.34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5.45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5.57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5.21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5.34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5.45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5.57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5.21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5.34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5.45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5.57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5.21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5.34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5.45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5.57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5.21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5.34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5.45</w:t>
            </w:r>
          </w:p>
        </w:tc>
        <w:tc>
          <w:tcPr>
            <w:tcW w:w="544"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5.57</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Gum Leaf residue from eucalypt oil distillation (m3)</w:t>
            </w:r>
          </w:p>
        </w:tc>
        <w:tc>
          <w:tcPr>
            <w:tcW w:w="1088"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1.92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1.962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1.92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1.962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1.92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1.962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1.92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1.962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1.92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1.962</w:t>
            </w:r>
          </w:p>
        </w:tc>
        <w:tc>
          <w:tcPr>
            <w:tcW w:w="544"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Gum Leaves (bunch)</w:t>
            </w:r>
          </w:p>
        </w:tc>
        <w:tc>
          <w:tcPr>
            <w:tcW w:w="1088"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8.92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9.14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9.34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9.53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8.92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9.14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9.34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9.53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8.92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9.14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9.34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9.53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8.92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9.14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9.34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9.53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8.92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9.14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9.34</w:t>
            </w:r>
          </w:p>
        </w:tc>
        <w:tc>
          <w:tcPr>
            <w:tcW w:w="544"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9.53</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Gum Tips (kg)</w:t>
            </w:r>
          </w:p>
        </w:tc>
        <w:tc>
          <w:tcPr>
            <w:tcW w:w="1088"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10.35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10.61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11.06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10.35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10.61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11.06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10.35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10.61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11.06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10.35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10.61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11.06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10.35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10.61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10.83</w:t>
            </w:r>
          </w:p>
        </w:tc>
        <w:tc>
          <w:tcPr>
            <w:tcW w:w="544"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11.06</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Heath Flowers (bunch)</w:t>
            </w:r>
          </w:p>
        </w:tc>
        <w:tc>
          <w:tcPr>
            <w:tcW w:w="1088"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8.82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9.19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8.82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9.19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8.82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9.19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8.82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9.19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8.82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w:t>
            </w:r>
          </w:p>
        </w:tc>
        <w:tc>
          <w:tcPr>
            <w:tcW w:w="544"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9.19</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Live tree ferns (each)</w:t>
            </w:r>
          </w:p>
        </w:tc>
        <w:tc>
          <w:tcPr>
            <w:tcW w:w="1088"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4.48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4.59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4.69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4.79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4.48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4.59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4.69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4.79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4.48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4.59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4.69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4.79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4.48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4.59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4.69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4.79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4.48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4.59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4.69</w:t>
            </w:r>
          </w:p>
        </w:tc>
        <w:tc>
          <w:tcPr>
            <w:tcW w:w="544"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4.79</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Morels (kg)</w:t>
            </w:r>
          </w:p>
        </w:tc>
        <w:tc>
          <w:tcPr>
            <w:tcW w:w="1088"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9.75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10.429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9.75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10.429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9.75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10.429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9.75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10.429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9.75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10.2</w:t>
            </w:r>
          </w:p>
        </w:tc>
        <w:tc>
          <w:tcPr>
            <w:tcW w:w="544"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10.429</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 xml:space="preserve">Myrtle </w:t>
            </w:r>
            <w:proofErr w:type="spellStart"/>
            <w:r w:rsidRPr="005B5171">
              <w:rPr>
                <w:rFonts w:ascii="Calibri" w:eastAsia="Times New Roman" w:hAnsi="Calibri" w:cs="Calibri"/>
                <w:sz w:val="16"/>
                <w:szCs w:val="16"/>
                <w:lang w:eastAsia="en-AU"/>
              </w:rPr>
              <w:t>Beech</w:t>
            </w:r>
            <w:proofErr w:type="spellEnd"/>
            <w:r w:rsidRPr="005B5171">
              <w:rPr>
                <w:rFonts w:ascii="Calibri" w:eastAsia="Times New Roman" w:hAnsi="Calibri" w:cs="Calibri"/>
                <w:sz w:val="16"/>
                <w:szCs w:val="16"/>
                <w:lang w:eastAsia="en-AU"/>
              </w:rPr>
              <w:t xml:space="preserve"> fronds (bunch)</w:t>
            </w:r>
          </w:p>
        </w:tc>
        <w:tc>
          <w:tcPr>
            <w:tcW w:w="1088"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17.48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17.92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18.29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18.68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17.48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17.92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18.29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18.68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17.48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17.92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18.29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18.68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17.48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17.92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18.29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18.68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17.48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17.92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18.29</w:t>
            </w:r>
          </w:p>
        </w:tc>
        <w:tc>
          <w:tcPr>
            <w:tcW w:w="544"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18.68</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Red Stringybark Leaf (bunch)</w:t>
            </w:r>
          </w:p>
        </w:tc>
        <w:tc>
          <w:tcPr>
            <w:tcW w:w="1088"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172.26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176.57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180.27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184.06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172.26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176.57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180.27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184.06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172.26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176.57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180.27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184.06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172.26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176.57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180.27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184.06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172.26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176.57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180.27</w:t>
            </w:r>
          </w:p>
        </w:tc>
        <w:tc>
          <w:tcPr>
            <w:tcW w:w="544"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184.06</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Salt (kg)</w:t>
            </w:r>
          </w:p>
        </w:tc>
        <w:tc>
          <w:tcPr>
            <w:tcW w:w="1088"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4.73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4.85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4.95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5.05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4.73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4.85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4.95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5.05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4.73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4.85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4.95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5.05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4.73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4.85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4.95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5.05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4.73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4.85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4.95</w:t>
            </w:r>
          </w:p>
        </w:tc>
        <w:tc>
          <w:tcPr>
            <w:tcW w:w="544"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5.05</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 xml:space="preserve">Seed - Capsules for Pot </w:t>
            </w:r>
            <w:proofErr w:type="spellStart"/>
            <w:r w:rsidRPr="005B5171">
              <w:rPr>
                <w:rFonts w:ascii="Calibri" w:eastAsia="Times New Roman" w:hAnsi="Calibri" w:cs="Calibri"/>
                <w:sz w:val="16"/>
                <w:szCs w:val="16"/>
                <w:lang w:eastAsia="en-AU"/>
              </w:rPr>
              <w:t>Purri</w:t>
            </w:r>
            <w:proofErr w:type="spellEnd"/>
            <w:r w:rsidRPr="005B5171">
              <w:rPr>
                <w:rFonts w:ascii="Calibri" w:eastAsia="Times New Roman" w:hAnsi="Calibri" w:cs="Calibri"/>
                <w:sz w:val="16"/>
                <w:szCs w:val="16"/>
                <w:lang w:eastAsia="en-AU"/>
              </w:rPr>
              <w:t xml:space="preserve"> (kg)</w:t>
            </w:r>
          </w:p>
        </w:tc>
        <w:tc>
          <w:tcPr>
            <w:tcW w:w="1088"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58.5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59.96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61.22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62.51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58.5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59.96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61.22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62.51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58.5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59.96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61.22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62.51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58.5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59.96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61.22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62.51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58.5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59.96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61.22</w:t>
            </w:r>
          </w:p>
        </w:tc>
        <w:tc>
          <w:tcPr>
            <w:tcW w:w="544"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62.51</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Seed Extracted (kg)</w:t>
            </w:r>
          </w:p>
        </w:tc>
        <w:tc>
          <w:tcPr>
            <w:tcW w:w="1088"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38.27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39.23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40.05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40.9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38.27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39.23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40.05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40.9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38.27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39.23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40.05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40.9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38.27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39.23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40.05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40.9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38.27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39.23</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40.05</w:t>
            </w:r>
          </w:p>
        </w:tc>
        <w:tc>
          <w:tcPr>
            <w:tcW w:w="544"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40.9</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 xml:space="preserve">Seed-E. </w:t>
            </w:r>
            <w:proofErr w:type="spellStart"/>
            <w:r w:rsidRPr="005B5171">
              <w:rPr>
                <w:rFonts w:ascii="Calibri" w:eastAsia="Times New Roman" w:hAnsi="Calibri" w:cs="Calibri"/>
                <w:sz w:val="16"/>
                <w:szCs w:val="16"/>
                <w:lang w:eastAsia="en-AU"/>
              </w:rPr>
              <w:t>nitens</w:t>
            </w:r>
            <w:proofErr w:type="spellEnd"/>
            <w:r w:rsidRPr="005B5171">
              <w:rPr>
                <w:rFonts w:ascii="Calibri" w:eastAsia="Times New Roman" w:hAnsi="Calibri" w:cs="Calibri"/>
                <w:sz w:val="16"/>
                <w:szCs w:val="16"/>
                <w:lang w:eastAsia="en-AU"/>
              </w:rPr>
              <w:t xml:space="preserve">/E. </w:t>
            </w:r>
            <w:proofErr w:type="spellStart"/>
            <w:r w:rsidRPr="005B5171">
              <w:rPr>
                <w:rFonts w:ascii="Calibri" w:eastAsia="Times New Roman" w:hAnsi="Calibri" w:cs="Calibri"/>
                <w:sz w:val="16"/>
                <w:szCs w:val="16"/>
                <w:lang w:eastAsia="en-AU"/>
              </w:rPr>
              <w:t>denticulata</w:t>
            </w:r>
            <w:proofErr w:type="spellEnd"/>
          </w:p>
        </w:tc>
        <w:tc>
          <w:tcPr>
            <w:tcW w:w="1088"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11.09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11.56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11.09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11.56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11.09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11.56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11.09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11.56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11.09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11.32</w:t>
            </w:r>
          </w:p>
        </w:tc>
        <w:tc>
          <w:tcPr>
            <w:tcW w:w="544"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11.56</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Seed-Green Caps-Other (kg)</w:t>
            </w:r>
          </w:p>
        </w:tc>
        <w:tc>
          <w:tcPr>
            <w:tcW w:w="1088"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2.46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2.51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2.565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2.46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2.51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2.565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2.46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2.51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2.565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2.46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2.51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2.565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2.46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2.51</w:t>
            </w:r>
          </w:p>
        </w:tc>
        <w:tc>
          <w:tcPr>
            <w:tcW w:w="544"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2.565</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tcW w:w="1184" w:type="dxa"/>
            <w:hideMark/>
          </w:tcPr>
          <w:p w:rsidR="005B5171" w:rsidRPr="005B5171" w:rsidRDefault="005B5171" w:rsidP="005B5171">
            <w:pPr>
              <w:spacing w:after="0" w:line="240" w:lineRule="auto"/>
              <w:rPr>
                <w:rFonts w:ascii="Calibri" w:eastAsia="Times New Roman" w:hAnsi="Calibri" w:cs="Calibri"/>
                <w:sz w:val="16"/>
                <w:szCs w:val="16"/>
                <w:lang w:eastAsia="en-AU"/>
              </w:rPr>
            </w:pPr>
            <w:proofErr w:type="spellStart"/>
            <w:r w:rsidRPr="005B5171">
              <w:rPr>
                <w:rFonts w:ascii="Calibri" w:eastAsia="Times New Roman" w:hAnsi="Calibri" w:cs="Calibri"/>
                <w:sz w:val="16"/>
                <w:szCs w:val="16"/>
                <w:lang w:eastAsia="en-AU"/>
              </w:rPr>
              <w:t>Thrypotomene</w:t>
            </w:r>
            <w:proofErr w:type="spellEnd"/>
            <w:r w:rsidRPr="005B5171">
              <w:rPr>
                <w:rFonts w:ascii="Calibri" w:eastAsia="Times New Roman" w:hAnsi="Calibri" w:cs="Calibri"/>
                <w:sz w:val="16"/>
                <w:szCs w:val="16"/>
                <w:lang w:eastAsia="en-AU"/>
              </w:rPr>
              <w:t xml:space="preserve"> cuttings for propagation (bunch)</w:t>
            </w:r>
          </w:p>
        </w:tc>
        <w:tc>
          <w:tcPr>
            <w:tcW w:w="1088"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0.02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0.02</w:t>
            </w:r>
          </w:p>
        </w:tc>
        <w:tc>
          <w:tcPr>
            <w:tcW w:w="544"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0.02</w:t>
            </w:r>
          </w:p>
        </w:tc>
      </w:tr>
    </w:tbl>
    <w:p w:rsidR="005B5171" w:rsidRPr="005B5171" w:rsidRDefault="005B5171" w:rsidP="005B5171">
      <w:pPr>
        <w:spacing w:before="80"/>
        <w:rPr>
          <w:rFonts w:ascii="Segoe UI" w:eastAsia="STZhongsong" w:hAnsi="Segoe UI" w:cs="Segoe UI"/>
          <w:b/>
          <w:bCs/>
          <w:sz w:val="18"/>
          <w:szCs w:val="18"/>
          <w:lang w:eastAsia="ko-KR"/>
        </w:rPr>
      </w:pPr>
      <w:r w:rsidRPr="005B5171">
        <w:rPr>
          <w:rFonts w:ascii="Segoe UI" w:eastAsia="STZhongsong" w:hAnsi="Segoe UI" w:cs="Segoe UI"/>
          <w:bCs/>
          <w:sz w:val="18"/>
          <w:szCs w:val="18"/>
          <w:lang w:eastAsia="ko-KR"/>
        </w:rPr>
        <w:t xml:space="preserve">Source: Office of the Deputy Secretary – Regional Services – Fire and Land </w:t>
      </w:r>
      <w:proofErr w:type="spellStart"/>
      <w:r w:rsidRPr="005B5171">
        <w:rPr>
          <w:rFonts w:ascii="Segoe UI" w:eastAsia="STZhongsong" w:hAnsi="Segoe UI" w:cs="Segoe UI"/>
          <w:bCs/>
          <w:sz w:val="18"/>
          <w:szCs w:val="18"/>
          <w:lang w:eastAsia="ko-KR"/>
        </w:rPr>
        <w:t>Statewide</w:t>
      </w:r>
      <w:proofErr w:type="spellEnd"/>
      <w:r w:rsidRPr="005B5171">
        <w:rPr>
          <w:rFonts w:ascii="Segoe UI" w:eastAsia="STZhongsong" w:hAnsi="Segoe UI" w:cs="Segoe UI"/>
          <w:bCs/>
          <w:sz w:val="18"/>
          <w:szCs w:val="18"/>
          <w:lang w:eastAsia="ko-KR"/>
        </w:rPr>
        <w:t xml:space="preserve"> Coordination (Judy Alexander, Regional Manager, Environmental Compliance)</w:t>
      </w:r>
    </w:p>
    <w:p w:rsidR="005B5171" w:rsidRPr="005B5171" w:rsidRDefault="005B5171" w:rsidP="005B5171">
      <w:pPr>
        <w:rPr>
          <w:rFonts w:ascii="Segoe UI" w:hAnsi="Segoe UI" w:cs="Segoe UI"/>
          <w:b/>
        </w:rPr>
      </w:pPr>
      <w:r w:rsidRPr="005B5171">
        <w:rPr>
          <w:rFonts w:ascii="Segoe UI" w:hAnsi="Segoe UI" w:cs="Segoe UI"/>
          <w:b/>
        </w:rPr>
        <w:br w:type="page"/>
      </w:r>
    </w:p>
    <w:p w:rsidR="005B5171" w:rsidRPr="005B5171" w:rsidRDefault="005B5171" w:rsidP="005B5171">
      <w:pPr>
        <w:spacing w:after="200" w:line="240" w:lineRule="auto"/>
        <w:rPr>
          <w:rFonts w:ascii="Segoe UI Semibold" w:eastAsia="Times New Roman" w:hAnsi="Segoe UI Semibold" w:cs="Times New Roman"/>
          <w:color w:val="016295"/>
        </w:rPr>
      </w:pPr>
      <w:bookmarkStart w:id="121" w:name="_Ref14528841"/>
      <w:bookmarkStart w:id="122" w:name="_Toc25660868"/>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86</w:t>
      </w:r>
      <w:r w:rsidRPr="005B5171">
        <w:rPr>
          <w:rFonts w:ascii="Segoe UI Semibold" w:eastAsia="Times New Roman" w:hAnsi="Segoe UI Semibold" w:cs="Times New Roman"/>
          <w:noProof/>
          <w:color w:val="016295"/>
        </w:rPr>
        <w:fldChar w:fldCharType="end"/>
      </w:r>
      <w:bookmarkEnd w:id="121"/>
      <w:r w:rsidRPr="005B5171">
        <w:rPr>
          <w:rFonts w:ascii="Segoe UI Semibold" w:eastAsia="Times New Roman" w:hAnsi="Segoe UI Semibold" w:cs="Times New Roman"/>
          <w:color w:val="016295"/>
        </w:rPr>
        <w:t>: Minor forest produce (Extractives), licensed by DELWP</w:t>
      </w:r>
      <w:bookmarkEnd w:id="122"/>
    </w:p>
    <w:tbl>
      <w:tblPr>
        <w:tblStyle w:val="dpitablestyle"/>
        <w:tblW w:w="13380" w:type="dxa"/>
        <w:tblLook w:val="04A0" w:firstRow="1" w:lastRow="0" w:firstColumn="1" w:lastColumn="0" w:noHBand="0" w:noVBand="1"/>
      </w:tblPr>
      <w:tblGrid>
        <w:gridCol w:w="2980"/>
        <w:gridCol w:w="536"/>
        <w:gridCol w:w="536"/>
        <w:gridCol w:w="536"/>
        <w:gridCol w:w="536"/>
        <w:gridCol w:w="536"/>
        <w:gridCol w:w="536"/>
        <w:gridCol w:w="536"/>
        <w:gridCol w:w="536"/>
        <w:gridCol w:w="536"/>
        <w:gridCol w:w="536"/>
        <w:gridCol w:w="536"/>
        <w:gridCol w:w="536"/>
        <w:gridCol w:w="536"/>
        <w:gridCol w:w="536"/>
        <w:gridCol w:w="536"/>
        <w:gridCol w:w="536"/>
        <w:gridCol w:w="604"/>
        <w:gridCol w:w="536"/>
        <w:gridCol w:w="536"/>
        <w:gridCol w:w="536"/>
      </w:tblGrid>
      <w:tr w:rsidR="005B5171" w:rsidRPr="005B5171" w:rsidTr="000B1EFD">
        <w:trPr>
          <w:cnfStyle w:val="100000000000" w:firstRow="1" w:lastRow="0" w:firstColumn="0" w:lastColumn="0" w:oddVBand="0" w:evenVBand="0" w:oddHBand="0" w:evenHBand="0"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bookmarkStart w:id="123" w:name="_Hlk14176081"/>
            <w:r w:rsidRPr="005B5171">
              <w:rPr>
                <w:rFonts w:ascii="Calibri" w:eastAsia="Times New Roman" w:hAnsi="Calibri" w:cs="Calibri"/>
                <w:sz w:val="18"/>
                <w:szCs w:val="18"/>
                <w:lang w:eastAsia="en-AU"/>
              </w:rPr>
              <w:t>P</w:t>
            </w:r>
            <w:bookmarkEnd w:id="123"/>
            <w:r w:rsidRPr="005B5171">
              <w:rPr>
                <w:rFonts w:ascii="Calibri" w:eastAsia="Times New Roman" w:hAnsi="Calibri" w:cs="Calibri"/>
                <w:sz w:val="18"/>
                <w:szCs w:val="18"/>
                <w:lang w:eastAsia="en-AU"/>
              </w:rPr>
              <w:t>roduct (m</w:t>
            </w:r>
            <w:r w:rsidRPr="005B5171">
              <w:rPr>
                <w:rFonts w:ascii="Calibri" w:eastAsia="Times New Roman" w:hAnsi="Calibri" w:cs="Calibri"/>
                <w:sz w:val="18"/>
                <w:szCs w:val="18"/>
                <w:vertAlign w:val="superscript"/>
                <w:lang w:eastAsia="en-AU"/>
              </w:rPr>
              <w:t>3)</w:t>
            </w:r>
          </w:p>
        </w:tc>
        <w:tc>
          <w:tcPr>
            <w:tcW w:w="1560" w:type="dxa"/>
            <w:gridSpan w:val="3"/>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East Gippsland</w:t>
            </w:r>
          </w:p>
        </w:tc>
        <w:tc>
          <w:tcPr>
            <w:tcW w:w="520" w:type="dxa"/>
            <w:hideMark/>
          </w:tcPr>
          <w:p w:rsidR="005B5171" w:rsidRPr="005B5171" w:rsidRDefault="005B5171" w:rsidP="005B5171">
            <w:pPr>
              <w:spacing w:after="0" w:line="240" w:lineRule="auto"/>
              <w:rPr>
                <w:rFonts w:ascii="Calibri" w:eastAsia="Times New Roman" w:hAnsi="Calibri" w:cs="Calibri"/>
                <w:sz w:val="18"/>
                <w:szCs w:val="18"/>
                <w:lang w:eastAsia="en-AU"/>
              </w:rPr>
            </w:pPr>
          </w:p>
        </w:tc>
        <w:tc>
          <w:tcPr>
            <w:tcW w:w="1040" w:type="dxa"/>
            <w:gridSpan w:val="2"/>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Gippsland</w:t>
            </w:r>
          </w:p>
        </w:tc>
        <w:tc>
          <w:tcPr>
            <w:tcW w:w="520" w:type="dxa"/>
            <w:hideMark/>
          </w:tcPr>
          <w:p w:rsidR="005B5171" w:rsidRPr="005B5171" w:rsidRDefault="005B5171" w:rsidP="005B5171">
            <w:pPr>
              <w:spacing w:after="0" w:line="240" w:lineRule="auto"/>
              <w:rPr>
                <w:rFonts w:ascii="Calibri" w:eastAsia="Times New Roman" w:hAnsi="Calibri" w:cs="Calibri"/>
                <w:sz w:val="18"/>
                <w:szCs w:val="18"/>
                <w:lang w:eastAsia="en-AU"/>
              </w:rPr>
            </w:pPr>
          </w:p>
        </w:tc>
        <w:tc>
          <w:tcPr>
            <w:tcW w:w="520" w:type="dxa"/>
            <w:hideMark/>
          </w:tcPr>
          <w:p w:rsidR="005B5171" w:rsidRPr="005B5171" w:rsidRDefault="005B5171" w:rsidP="005B5171">
            <w:pPr>
              <w:spacing w:after="0" w:line="240" w:lineRule="auto"/>
              <w:rPr>
                <w:rFonts w:ascii="Times New Roman" w:eastAsia="Times New Roman" w:hAnsi="Times New Roman" w:cs="Times New Roman"/>
                <w:szCs w:val="20"/>
                <w:lang w:eastAsia="en-AU"/>
              </w:rPr>
            </w:pPr>
          </w:p>
        </w:tc>
        <w:tc>
          <w:tcPr>
            <w:tcW w:w="2080" w:type="dxa"/>
            <w:gridSpan w:val="4"/>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Central Highlands</w:t>
            </w:r>
          </w:p>
        </w:tc>
        <w:tc>
          <w:tcPr>
            <w:tcW w:w="1040" w:type="dxa"/>
            <w:gridSpan w:val="2"/>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North East</w:t>
            </w:r>
          </w:p>
        </w:tc>
        <w:tc>
          <w:tcPr>
            <w:tcW w:w="520" w:type="dxa"/>
            <w:hideMark/>
          </w:tcPr>
          <w:p w:rsidR="005B5171" w:rsidRPr="005B5171" w:rsidRDefault="005B5171" w:rsidP="005B5171">
            <w:pPr>
              <w:spacing w:after="0" w:line="240" w:lineRule="auto"/>
              <w:rPr>
                <w:rFonts w:ascii="Calibri" w:eastAsia="Times New Roman" w:hAnsi="Calibri" w:cs="Calibri"/>
                <w:sz w:val="18"/>
                <w:szCs w:val="18"/>
                <w:lang w:eastAsia="en-AU"/>
              </w:rPr>
            </w:pPr>
          </w:p>
        </w:tc>
        <w:tc>
          <w:tcPr>
            <w:tcW w:w="520" w:type="dxa"/>
            <w:hideMark/>
          </w:tcPr>
          <w:p w:rsidR="005B5171" w:rsidRPr="005B5171" w:rsidRDefault="005B5171" w:rsidP="005B5171">
            <w:pPr>
              <w:spacing w:after="0" w:line="240" w:lineRule="auto"/>
              <w:rPr>
                <w:rFonts w:ascii="Times New Roman" w:eastAsia="Times New Roman" w:hAnsi="Times New Roman" w:cs="Times New Roman"/>
                <w:szCs w:val="20"/>
                <w:lang w:eastAsia="en-AU"/>
              </w:rPr>
            </w:pPr>
          </w:p>
        </w:tc>
        <w:tc>
          <w:tcPr>
            <w:tcW w:w="52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West</w:t>
            </w:r>
          </w:p>
        </w:tc>
        <w:tc>
          <w:tcPr>
            <w:tcW w:w="520" w:type="dxa"/>
            <w:hideMark/>
          </w:tcPr>
          <w:p w:rsidR="005B5171" w:rsidRPr="005B5171" w:rsidRDefault="005B5171" w:rsidP="005B5171">
            <w:pPr>
              <w:spacing w:after="0" w:line="240" w:lineRule="auto"/>
              <w:rPr>
                <w:rFonts w:ascii="Calibri" w:eastAsia="Times New Roman" w:hAnsi="Calibri" w:cs="Calibri"/>
                <w:sz w:val="18"/>
                <w:szCs w:val="18"/>
                <w:lang w:eastAsia="en-AU"/>
              </w:rPr>
            </w:pPr>
          </w:p>
        </w:tc>
        <w:tc>
          <w:tcPr>
            <w:tcW w:w="520" w:type="dxa"/>
            <w:hideMark/>
          </w:tcPr>
          <w:p w:rsidR="005B5171" w:rsidRPr="005B5171" w:rsidRDefault="005B5171" w:rsidP="005B5171">
            <w:pPr>
              <w:spacing w:after="0" w:line="240" w:lineRule="auto"/>
              <w:rPr>
                <w:rFonts w:ascii="Times New Roman" w:eastAsia="Times New Roman" w:hAnsi="Times New Roman" w:cs="Times New Roman"/>
                <w:szCs w:val="20"/>
                <w:lang w:eastAsia="en-AU"/>
              </w:rPr>
            </w:pPr>
          </w:p>
        </w:tc>
        <w:tc>
          <w:tcPr>
            <w:tcW w:w="520" w:type="dxa"/>
            <w:hideMark/>
          </w:tcPr>
          <w:p w:rsidR="005B5171" w:rsidRPr="005B5171" w:rsidRDefault="005B5171" w:rsidP="005B5171">
            <w:pPr>
              <w:spacing w:after="0" w:line="240" w:lineRule="auto"/>
              <w:rPr>
                <w:rFonts w:ascii="Times New Roman" w:eastAsia="Times New Roman" w:hAnsi="Times New Roman" w:cs="Times New Roman"/>
                <w:szCs w:val="20"/>
                <w:lang w:eastAsia="en-AU"/>
              </w:rPr>
            </w:pP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99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Royalty in $ per Unit</w:t>
            </w:r>
          </w:p>
        </w:tc>
        <w:tc>
          <w:tcPr>
            <w:tcW w:w="520" w:type="dxa"/>
            <w:textDirection w:val="btLr"/>
            <w:hideMark/>
          </w:tcPr>
          <w:p w:rsidR="005B5171" w:rsidRPr="005B5171" w:rsidRDefault="005B5171" w:rsidP="005B5171">
            <w:pPr>
              <w:spacing w:after="0" w:line="240" w:lineRule="auto"/>
              <w:jc w:val="center"/>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2015/16</w:t>
            </w:r>
          </w:p>
        </w:tc>
        <w:tc>
          <w:tcPr>
            <w:tcW w:w="520" w:type="dxa"/>
            <w:textDirection w:val="btLr"/>
            <w:hideMark/>
          </w:tcPr>
          <w:p w:rsidR="005B5171" w:rsidRPr="005B5171" w:rsidRDefault="005B5171" w:rsidP="005B5171">
            <w:pPr>
              <w:spacing w:after="0" w:line="240" w:lineRule="auto"/>
              <w:jc w:val="center"/>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2016/17</w:t>
            </w:r>
          </w:p>
        </w:tc>
        <w:tc>
          <w:tcPr>
            <w:tcW w:w="520" w:type="dxa"/>
            <w:textDirection w:val="btLr"/>
            <w:hideMark/>
          </w:tcPr>
          <w:p w:rsidR="005B5171" w:rsidRPr="005B5171" w:rsidRDefault="005B5171" w:rsidP="005B5171">
            <w:pPr>
              <w:spacing w:after="0" w:line="240" w:lineRule="auto"/>
              <w:jc w:val="center"/>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2017/18</w:t>
            </w:r>
          </w:p>
        </w:tc>
        <w:tc>
          <w:tcPr>
            <w:tcW w:w="520" w:type="dxa"/>
            <w:textDirection w:val="btLr"/>
            <w:hideMark/>
          </w:tcPr>
          <w:p w:rsidR="005B5171" w:rsidRPr="005B5171" w:rsidRDefault="005B5171" w:rsidP="005B5171">
            <w:pPr>
              <w:spacing w:after="0" w:line="240" w:lineRule="auto"/>
              <w:jc w:val="center"/>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2018/19</w:t>
            </w:r>
          </w:p>
        </w:tc>
        <w:tc>
          <w:tcPr>
            <w:tcW w:w="520" w:type="dxa"/>
            <w:textDirection w:val="btLr"/>
            <w:hideMark/>
          </w:tcPr>
          <w:p w:rsidR="005B5171" w:rsidRPr="005B5171" w:rsidRDefault="005B5171" w:rsidP="005B5171">
            <w:pPr>
              <w:spacing w:after="0" w:line="240" w:lineRule="auto"/>
              <w:jc w:val="center"/>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2015/16</w:t>
            </w:r>
          </w:p>
        </w:tc>
        <w:tc>
          <w:tcPr>
            <w:tcW w:w="520" w:type="dxa"/>
            <w:textDirection w:val="btLr"/>
            <w:hideMark/>
          </w:tcPr>
          <w:p w:rsidR="005B5171" w:rsidRPr="005B5171" w:rsidRDefault="005B5171" w:rsidP="005B5171">
            <w:pPr>
              <w:spacing w:after="0" w:line="240" w:lineRule="auto"/>
              <w:jc w:val="center"/>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2016/17</w:t>
            </w:r>
          </w:p>
        </w:tc>
        <w:tc>
          <w:tcPr>
            <w:tcW w:w="520" w:type="dxa"/>
            <w:textDirection w:val="btLr"/>
            <w:hideMark/>
          </w:tcPr>
          <w:p w:rsidR="005B5171" w:rsidRPr="005B5171" w:rsidRDefault="005B5171" w:rsidP="005B5171">
            <w:pPr>
              <w:spacing w:after="0" w:line="240" w:lineRule="auto"/>
              <w:jc w:val="center"/>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2017/18</w:t>
            </w:r>
          </w:p>
        </w:tc>
        <w:tc>
          <w:tcPr>
            <w:tcW w:w="520" w:type="dxa"/>
            <w:textDirection w:val="btLr"/>
            <w:hideMark/>
          </w:tcPr>
          <w:p w:rsidR="005B5171" w:rsidRPr="005B5171" w:rsidRDefault="005B5171" w:rsidP="005B5171">
            <w:pPr>
              <w:spacing w:after="0" w:line="240" w:lineRule="auto"/>
              <w:jc w:val="center"/>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2018/19</w:t>
            </w:r>
          </w:p>
        </w:tc>
        <w:tc>
          <w:tcPr>
            <w:tcW w:w="520" w:type="dxa"/>
            <w:textDirection w:val="btLr"/>
            <w:hideMark/>
          </w:tcPr>
          <w:p w:rsidR="005B5171" w:rsidRPr="005B5171" w:rsidRDefault="005B5171" w:rsidP="005B5171">
            <w:pPr>
              <w:spacing w:after="0" w:line="240" w:lineRule="auto"/>
              <w:jc w:val="center"/>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2015/16</w:t>
            </w:r>
          </w:p>
        </w:tc>
        <w:tc>
          <w:tcPr>
            <w:tcW w:w="520" w:type="dxa"/>
            <w:textDirection w:val="btLr"/>
            <w:hideMark/>
          </w:tcPr>
          <w:p w:rsidR="005B5171" w:rsidRPr="005B5171" w:rsidRDefault="005B5171" w:rsidP="005B5171">
            <w:pPr>
              <w:spacing w:after="0" w:line="240" w:lineRule="auto"/>
              <w:jc w:val="center"/>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2016/17</w:t>
            </w:r>
          </w:p>
        </w:tc>
        <w:tc>
          <w:tcPr>
            <w:tcW w:w="520" w:type="dxa"/>
            <w:textDirection w:val="btLr"/>
            <w:hideMark/>
          </w:tcPr>
          <w:p w:rsidR="005B5171" w:rsidRPr="005B5171" w:rsidRDefault="005B5171" w:rsidP="005B5171">
            <w:pPr>
              <w:spacing w:after="0" w:line="240" w:lineRule="auto"/>
              <w:jc w:val="center"/>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2017/18</w:t>
            </w:r>
          </w:p>
        </w:tc>
        <w:tc>
          <w:tcPr>
            <w:tcW w:w="520" w:type="dxa"/>
            <w:textDirection w:val="btLr"/>
            <w:hideMark/>
          </w:tcPr>
          <w:p w:rsidR="005B5171" w:rsidRPr="005B5171" w:rsidRDefault="005B5171" w:rsidP="005B5171">
            <w:pPr>
              <w:spacing w:after="0" w:line="240" w:lineRule="auto"/>
              <w:jc w:val="center"/>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2018/19</w:t>
            </w:r>
          </w:p>
        </w:tc>
        <w:tc>
          <w:tcPr>
            <w:tcW w:w="520" w:type="dxa"/>
            <w:textDirection w:val="btLr"/>
            <w:hideMark/>
          </w:tcPr>
          <w:p w:rsidR="005B5171" w:rsidRPr="005B5171" w:rsidRDefault="005B5171" w:rsidP="005B5171">
            <w:pPr>
              <w:spacing w:after="0" w:line="240" w:lineRule="auto"/>
              <w:jc w:val="center"/>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2015/16</w:t>
            </w:r>
          </w:p>
        </w:tc>
        <w:tc>
          <w:tcPr>
            <w:tcW w:w="520" w:type="dxa"/>
            <w:textDirection w:val="btLr"/>
            <w:hideMark/>
          </w:tcPr>
          <w:p w:rsidR="005B5171" w:rsidRPr="005B5171" w:rsidRDefault="005B5171" w:rsidP="005B5171">
            <w:pPr>
              <w:spacing w:after="0" w:line="240" w:lineRule="auto"/>
              <w:jc w:val="center"/>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2016/17</w:t>
            </w:r>
          </w:p>
        </w:tc>
        <w:tc>
          <w:tcPr>
            <w:tcW w:w="520" w:type="dxa"/>
            <w:textDirection w:val="btLr"/>
            <w:hideMark/>
          </w:tcPr>
          <w:p w:rsidR="005B5171" w:rsidRPr="005B5171" w:rsidRDefault="005B5171" w:rsidP="005B5171">
            <w:pPr>
              <w:spacing w:after="0" w:line="240" w:lineRule="auto"/>
              <w:jc w:val="center"/>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2017/18</w:t>
            </w:r>
          </w:p>
        </w:tc>
        <w:tc>
          <w:tcPr>
            <w:tcW w:w="520" w:type="dxa"/>
            <w:textDirection w:val="btLr"/>
            <w:hideMark/>
          </w:tcPr>
          <w:p w:rsidR="005B5171" w:rsidRPr="005B5171" w:rsidRDefault="005B5171" w:rsidP="005B5171">
            <w:pPr>
              <w:spacing w:after="0" w:line="240" w:lineRule="auto"/>
              <w:jc w:val="center"/>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2018/19</w:t>
            </w:r>
          </w:p>
        </w:tc>
        <w:tc>
          <w:tcPr>
            <w:tcW w:w="520" w:type="dxa"/>
            <w:textDirection w:val="btLr"/>
            <w:hideMark/>
          </w:tcPr>
          <w:p w:rsidR="005B5171" w:rsidRPr="005B5171" w:rsidRDefault="005B5171" w:rsidP="005B5171">
            <w:pPr>
              <w:spacing w:after="0" w:line="240" w:lineRule="auto"/>
              <w:jc w:val="center"/>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2015/16</w:t>
            </w:r>
          </w:p>
        </w:tc>
        <w:tc>
          <w:tcPr>
            <w:tcW w:w="520" w:type="dxa"/>
            <w:textDirection w:val="btLr"/>
            <w:hideMark/>
          </w:tcPr>
          <w:p w:rsidR="005B5171" w:rsidRPr="005B5171" w:rsidRDefault="005B5171" w:rsidP="005B5171">
            <w:pPr>
              <w:spacing w:after="0" w:line="240" w:lineRule="auto"/>
              <w:jc w:val="center"/>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2016/17</w:t>
            </w:r>
          </w:p>
        </w:tc>
        <w:tc>
          <w:tcPr>
            <w:tcW w:w="520" w:type="dxa"/>
            <w:textDirection w:val="btLr"/>
            <w:hideMark/>
          </w:tcPr>
          <w:p w:rsidR="005B5171" w:rsidRPr="005B5171" w:rsidRDefault="005B5171" w:rsidP="005B5171">
            <w:pPr>
              <w:spacing w:after="0" w:line="240" w:lineRule="auto"/>
              <w:jc w:val="center"/>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2017/18</w:t>
            </w:r>
          </w:p>
        </w:tc>
        <w:tc>
          <w:tcPr>
            <w:tcW w:w="520" w:type="dxa"/>
            <w:textDirection w:val="btLr"/>
            <w:hideMark/>
          </w:tcPr>
          <w:p w:rsidR="005B5171" w:rsidRPr="005B5171" w:rsidRDefault="005B5171" w:rsidP="005B5171">
            <w:pPr>
              <w:spacing w:after="0" w:line="240" w:lineRule="auto"/>
              <w:jc w:val="center"/>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2018/19</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Basalt - Crushed, Broken Stone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 xml:space="preserve"> </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Basalt - Dimension Stone/Slab</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9.76</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Basalt - Uncrushed, Low Grade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Clay - Fine, Kaolin/Bentonite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Clay - Used for Common Purpose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Granite - Crushed, Broken Stone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1.73</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Granite - Dimension, Stone/Slab</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9.76</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Granite - Uncrushed, Low Grade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Gravel, Low Grade Pit</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Gravel, Low Grade River</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Hornfels - Crushed, Broken Stone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Hornfels - Uncrushed, Low Grade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Limestone - Crushed, Broken</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Limestone - Dimension Stone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Limestone - Uncrushed, Low Grade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Marble - Dimension Stone/Slab</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Quartz - Crushed, Broken</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Quartz - Dimension Stone/Slab</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Rhyodacite - Crushed, Broken</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Rhyodacite, Uncrushed, Low Grade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Sand - High Grade, Processing</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Sand - Low Grade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Sandstone - Crushed, Broken</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Sandstone - Dimension Stone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Sandstone, Uncrushed, Low Grade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Schist - Crushed, Broken Stone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Scoria - Crushed, Broken Stone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Scoria - Uncrushed, Low Grade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Sediments - Low Grade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Shale - Crushed, Broken Stone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Shale - Uncrushed, Low Grade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Shell grit</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Slate - Dimensional Stone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9.13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9.35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9.55</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9.76</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Soil - Incl. Loam/Filling</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2980" w:type="dxa"/>
            <w:hideMark/>
          </w:tcPr>
          <w:p w:rsidR="005B5171" w:rsidRPr="005B5171" w:rsidRDefault="005B5171" w:rsidP="005B5171">
            <w:pPr>
              <w:spacing w:after="0" w:line="240" w:lineRule="auto"/>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Tuff - Low Grade</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1.62</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Segoe UI"/>
                <w:sz w:val="18"/>
                <w:szCs w:val="18"/>
                <w:lang w:eastAsia="en-AU"/>
              </w:rPr>
              <w:t>1.66</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w:t>
            </w:r>
          </w:p>
        </w:tc>
        <w:tc>
          <w:tcPr>
            <w:tcW w:w="520" w:type="dxa"/>
            <w:hideMark/>
          </w:tcPr>
          <w:p w:rsidR="005B5171" w:rsidRPr="005B5171" w:rsidRDefault="005B5171" w:rsidP="005B5171">
            <w:pPr>
              <w:spacing w:after="0" w:line="240" w:lineRule="auto"/>
              <w:jc w:val="right"/>
              <w:rPr>
                <w:rFonts w:ascii="Calibri" w:eastAsia="Times New Roman" w:hAnsi="Calibri" w:cs="Calibri"/>
                <w:sz w:val="18"/>
                <w:szCs w:val="18"/>
                <w:lang w:eastAsia="en-AU"/>
              </w:rPr>
            </w:pPr>
            <w:r w:rsidRPr="005B5171">
              <w:rPr>
                <w:rFonts w:ascii="Calibri" w:eastAsia="Times New Roman" w:hAnsi="Calibri" w:cs="Calibri"/>
                <w:sz w:val="18"/>
                <w:szCs w:val="18"/>
                <w:lang w:eastAsia="en-AU"/>
              </w:rPr>
              <w:t>1.73</w:t>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Office of the Deputy Secretary – Regional Services – Fire and Land </w:t>
      </w:r>
      <w:proofErr w:type="spellStart"/>
      <w:r w:rsidRPr="005B5171">
        <w:rPr>
          <w:rFonts w:ascii="Segoe UI" w:eastAsia="STZhongsong" w:hAnsi="Segoe UI" w:cs="Segoe UI"/>
          <w:bCs/>
          <w:sz w:val="18"/>
          <w:szCs w:val="18"/>
          <w:lang w:eastAsia="ko-KR"/>
        </w:rPr>
        <w:t>Statewide</w:t>
      </w:r>
      <w:proofErr w:type="spellEnd"/>
      <w:r w:rsidRPr="005B5171">
        <w:rPr>
          <w:rFonts w:ascii="Segoe UI" w:eastAsia="STZhongsong" w:hAnsi="Segoe UI" w:cs="Segoe UI"/>
          <w:bCs/>
          <w:sz w:val="18"/>
          <w:szCs w:val="18"/>
          <w:lang w:eastAsia="ko-KR"/>
        </w:rPr>
        <w:t xml:space="preserve"> Coordination</w:t>
      </w:r>
    </w:p>
    <w:p w:rsidR="005B5171" w:rsidRPr="005B5171" w:rsidRDefault="005B5171" w:rsidP="005B5171">
      <w:pPr>
        <w:rPr>
          <w:rFonts w:ascii="Segoe UI" w:hAnsi="Segoe UI" w:cs="Segoe UI"/>
        </w:rPr>
      </w:pPr>
    </w:p>
    <w:p w:rsidR="005B5171" w:rsidRPr="005B5171" w:rsidRDefault="005B5171" w:rsidP="005B5171">
      <w:pPr>
        <w:rPr>
          <w:rFonts w:ascii="Segoe UI" w:eastAsia="STZhongsong" w:hAnsi="Segoe UI" w:cs="Segoe UI"/>
          <w:bCs/>
          <w:sz w:val="18"/>
          <w:szCs w:val="18"/>
          <w:lang w:eastAsia="ko-KR"/>
        </w:rPr>
      </w:pPr>
      <w:r w:rsidRPr="005B5171">
        <w:rPr>
          <w:rFonts w:ascii="Segoe UI" w:hAnsi="Segoe UI" w:cs="Segoe UI"/>
        </w:rPr>
        <w:br w:type="page"/>
      </w:r>
    </w:p>
    <w:p w:rsidR="005B5171" w:rsidRPr="005B5171" w:rsidRDefault="005B5171" w:rsidP="005B5171">
      <w:pPr>
        <w:spacing w:after="200" w:line="240" w:lineRule="auto"/>
        <w:rPr>
          <w:rFonts w:ascii="Segoe UI Semibold" w:eastAsia="Times New Roman" w:hAnsi="Segoe UI Semibold" w:cs="Times New Roman"/>
          <w:color w:val="016295"/>
        </w:rPr>
      </w:pPr>
      <w:bookmarkStart w:id="124" w:name="_Ref26098033"/>
      <w:bookmarkStart w:id="125" w:name="_Toc25660869"/>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87</w:t>
      </w:r>
      <w:r w:rsidRPr="005B5171">
        <w:rPr>
          <w:rFonts w:ascii="Segoe UI Semibold" w:eastAsia="Times New Roman" w:hAnsi="Segoe UI Semibold" w:cs="Times New Roman"/>
          <w:noProof/>
          <w:color w:val="016295"/>
        </w:rPr>
        <w:fldChar w:fldCharType="end"/>
      </w:r>
      <w:bookmarkEnd w:id="124"/>
      <w:r w:rsidRPr="005B5171">
        <w:rPr>
          <w:rFonts w:ascii="Segoe UI Semibold" w:eastAsia="Times New Roman" w:hAnsi="Segoe UI Semibold" w:cs="Times New Roman"/>
          <w:color w:val="016295"/>
        </w:rPr>
        <w:t>: Minor forest produce (Wood), licensed by DELWP</w:t>
      </w:r>
      <w:bookmarkEnd w:id="125"/>
    </w:p>
    <w:tbl>
      <w:tblPr>
        <w:tblStyle w:val="dpitablestyle"/>
        <w:tblW w:w="15514" w:type="dxa"/>
        <w:tblInd w:w="-719" w:type="dxa"/>
        <w:tblLook w:val="04A0" w:firstRow="1" w:lastRow="0" w:firstColumn="1" w:lastColumn="0" w:noHBand="0" w:noVBand="1"/>
      </w:tblPr>
      <w:tblGrid>
        <w:gridCol w:w="1134"/>
        <w:gridCol w:w="662"/>
        <w:gridCol w:w="792"/>
        <w:gridCol w:w="711"/>
        <w:gridCol w:w="711"/>
        <w:gridCol w:w="662"/>
        <w:gridCol w:w="792"/>
        <w:gridCol w:w="711"/>
        <w:gridCol w:w="711"/>
        <w:gridCol w:w="662"/>
        <w:gridCol w:w="792"/>
        <w:gridCol w:w="711"/>
        <w:gridCol w:w="711"/>
        <w:gridCol w:w="662"/>
        <w:gridCol w:w="792"/>
        <w:gridCol w:w="711"/>
        <w:gridCol w:w="711"/>
        <w:gridCol w:w="662"/>
        <w:gridCol w:w="792"/>
        <w:gridCol w:w="711"/>
        <w:gridCol w:w="711"/>
      </w:tblGrid>
      <w:tr w:rsidR="005B5171" w:rsidRPr="005B5171" w:rsidTr="000B1EFD">
        <w:trPr>
          <w:cnfStyle w:val="100000000000" w:firstRow="1" w:lastRow="0" w:firstColumn="0" w:lastColumn="0" w:oddVBand="0" w:evenVBand="0" w:oddHBand="0" w:evenHBand="0" w:firstRowFirstColumn="0" w:firstRowLastColumn="0" w:lastRowFirstColumn="0" w:lastRowLastColumn="0"/>
          <w:trHeight w:val="960"/>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bookmarkStart w:id="126" w:name="_Hlk14175225"/>
            <w:r w:rsidRPr="005B5171">
              <w:rPr>
                <w:rFonts w:ascii="Calibri" w:eastAsia="Times New Roman" w:hAnsi="Calibri" w:cs="Calibri"/>
                <w:sz w:val="16"/>
                <w:szCs w:val="16"/>
                <w:lang w:eastAsia="en-AU"/>
              </w:rPr>
              <w:t>P</w:t>
            </w:r>
            <w:bookmarkEnd w:id="126"/>
            <w:r w:rsidRPr="005B5171">
              <w:rPr>
                <w:rFonts w:ascii="Calibri" w:eastAsia="Times New Roman" w:hAnsi="Calibri" w:cs="Calibri"/>
                <w:sz w:val="16"/>
                <w:szCs w:val="16"/>
                <w:lang w:eastAsia="en-AU"/>
              </w:rPr>
              <w:t xml:space="preserve">roduct (m3) </w:t>
            </w:r>
          </w:p>
        </w:tc>
        <w:tc>
          <w:tcPr>
            <w:tcW w:w="2876" w:type="dxa"/>
            <w:gridSpan w:val="4"/>
            <w:hideMark/>
          </w:tcPr>
          <w:p w:rsidR="005B5171" w:rsidRPr="005B5171" w:rsidRDefault="005B5171" w:rsidP="005B5171">
            <w:pPr>
              <w:spacing w:after="0" w:line="240" w:lineRule="auto"/>
              <w:jc w:val="center"/>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East Gippsland</w:t>
            </w:r>
          </w:p>
        </w:tc>
        <w:tc>
          <w:tcPr>
            <w:tcW w:w="2876" w:type="dxa"/>
            <w:gridSpan w:val="4"/>
            <w:hideMark/>
          </w:tcPr>
          <w:p w:rsidR="005B5171" w:rsidRPr="005B5171" w:rsidRDefault="005B5171" w:rsidP="005B5171">
            <w:pPr>
              <w:spacing w:after="0" w:line="240" w:lineRule="auto"/>
              <w:jc w:val="center"/>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Gippsland</w:t>
            </w:r>
          </w:p>
        </w:tc>
        <w:tc>
          <w:tcPr>
            <w:tcW w:w="2876" w:type="dxa"/>
            <w:gridSpan w:val="4"/>
            <w:hideMark/>
          </w:tcPr>
          <w:p w:rsidR="005B5171" w:rsidRPr="005B5171" w:rsidRDefault="005B5171" w:rsidP="005B5171">
            <w:pPr>
              <w:spacing w:after="0" w:line="240" w:lineRule="auto"/>
              <w:jc w:val="center"/>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Central Highlands</w:t>
            </w:r>
          </w:p>
        </w:tc>
        <w:tc>
          <w:tcPr>
            <w:tcW w:w="2876" w:type="dxa"/>
            <w:gridSpan w:val="4"/>
            <w:hideMark/>
          </w:tcPr>
          <w:p w:rsidR="005B5171" w:rsidRPr="005B5171" w:rsidRDefault="005B5171" w:rsidP="005B5171">
            <w:pPr>
              <w:spacing w:after="0" w:line="240" w:lineRule="auto"/>
              <w:jc w:val="center"/>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North East</w:t>
            </w:r>
          </w:p>
        </w:tc>
        <w:tc>
          <w:tcPr>
            <w:tcW w:w="2876" w:type="dxa"/>
            <w:gridSpan w:val="4"/>
            <w:hideMark/>
          </w:tcPr>
          <w:p w:rsidR="005B5171" w:rsidRPr="005B5171" w:rsidRDefault="005B5171" w:rsidP="005B5171">
            <w:pPr>
              <w:spacing w:after="0" w:line="240" w:lineRule="auto"/>
              <w:jc w:val="center"/>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West</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1110"/>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Royalty in $ per Unit</w:t>
            </w:r>
          </w:p>
        </w:tc>
        <w:tc>
          <w:tcPr>
            <w:tcW w:w="662" w:type="dxa"/>
            <w:textDirection w:val="btLr"/>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2015/16</w:t>
            </w:r>
          </w:p>
        </w:tc>
        <w:tc>
          <w:tcPr>
            <w:tcW w:w="792" w:type="dxa"/>
            <w:textDirection w:val="btLr"/>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2016/17</w:t>
            </w:r>
          </w:p>
        </w:tc>
        <w:tc>
          <w:tcPr>
            <w:tcW w:w="711" w:type="dxa"/>
            <w:textDirection w:val="btLr"/>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2017/18</w:t>
            </w:r>
          </w:p>
        </w:tc>
        <w:tc>
          <w:tcPr>
            <w:tcW w:w="711" w:type="dxa"/>
            <w:textDirection w:val="btLr"/>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2018/19</w:t>
            </w:r>
          </w:p>
        </w:tc>
        <w:tc>
          <w:tcPr>
            <w:tcW w:w="662" w:type="dxa"/>
            <w:textDirection w:val="btLr"/>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2015/16</w:t>
            </w:r>
          </w:p>
        </w:tc>
        <w:tc>
          <w:tcPr>
            <w:tcW w:w="792" w:type="dxa"/>
            <w:textDirection w:val="btLr"/>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2016/17</w:t>
            </w:r>
          </w:p>
        </w:tc>
        <w:tc>
          <w:tcPr>
            <w:tcW w:w="711" w:type="dxa"/>
            <w:textDirection w:val="btLr"/>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2017/18</w:t>
            </w:r>
          </w:p>
        </w:tc>
        <w:tc>
          <w:tcPr>
            <w:tcW w:w="711" w:type="dxa"/>
            <w:textDirection w:val="btLr"/>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2018/19</w:t>
            </w:r>
          </w:p>
        </w:tc>
        <w:tc>
          <w:tcPr>
            <w:tcW w:w="662" w:type="dxa"/>
            <w:textDirection w:val="btLr"/>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2015/16</w:t>
            </w:r>
          </w:p>
        </w:tc>
        <w:tc>
          <w:tcPr>
            <w:tcW w:w="792" w:type="dxa"/>
            <w:textDirection w:val="btLr"/>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2016/17</w:t>
            </w:r>
          </w:p>
        </w:tc>
        <w:tc>
          <w:tcPr>
            <w:tcW w:w="711" w:type="dxa"/>
            <w:textDirection w:val="btLr"/>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2017/18</w:t>
            </w:r>
          </w:p>
        </w:tc>
        <w:tc>
          <w:tcPr>
            <w:tcW w:w="711" w:type="dxa"/>
            <w:textDirection w:val="btLr"/>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2018/19</w:t>
            </w:r>
          </w:p>
        </w:tc>
        <w:tc>
          <w:tcPr>
            <w:tcW w:w="662" w:type="dxa"/>
            <w:textDirection w:val="btLr"/>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2015/16</w:t>
            </w:r>
          </w:p>
        </w:tc>
        <w:tc>
          <w:tcPr>
            <w:tcW w:w="792" w:type="dxa"/>
            <w:textDirection w:val="btLr"/>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2016/17</w:t>
            </w:r>
          </w:p>
        </w:tc>
        <w:tc>
          <w:tcPr>
            <w:tcW w:w="711" w:type="dxa"/>
            <w:textDirection w:val="btLr"/>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2017/18</w:t>
            </w:r>
          </w:p>
        </w:tc>
        <w:tc>
          <w:tcPr>
            <w:tcW w:w="711" w:type="dxa"/>
            <w:textDirection w:val="btLr"/>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2018/19</w:t>
            </w:r>
          </w:p>
        </w:tc>
        <w:tc>
          <w:tcPr>
            <w:tcW w:w="662" w:type="dxa"/>
            <w:textDirection w:val="btLr"/>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2015/16</w:t>
            </w:r>
          </w:p>
        </w:tc>
        <w:tc>
          <w:tcPr>
            <w:tcW w:w="792" w:type="dxa"/>
            <w:textDirection w:val="btLr"/>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2016/17</w:t>
            </w:r>
          </w:p>
        </w:tc>
        <w:tc>
          <w:tcPr>
            <w:tcW w:w="711" w:type="dxa"/>
            <w:textDirection w:val="btLr"/>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2017/18</w:t>
            </w:r>
          </w:p>
        </w:tc>
        <w:tc>
          <w:tcPr>
            <w:tcW w:w="711" w:type="dxa"/>
            <w:textDirection w:val="btLr"/>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2018/19</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Bark or Bark-Soil Mixture (excluding Wattle bark)</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4.18</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4.28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4.37</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4.45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4.18</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4.28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4.37</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4.45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4.18</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4.28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4.37</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4.45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4.18</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4.28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4.37</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4.45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4.18</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4.28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4.37</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4.45</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Burls (fallen trees only - tonnes)</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262.6</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269.1</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274.8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280.6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262.6</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269.1</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274.8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280.6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262.6</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269.1</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274.8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280.6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262.6</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269.1</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274.8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280.6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262.6</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269.1</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274.8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280.6</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450"/>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Bush Sawn and Split (Fencing) Timbers - Common Species 0.6m-3.6m (Heavy Grade 211-320cm2)*</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0.48 - 4.98</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0.49 - 5.10</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0.50-5.21</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0.51-5.32</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0.48 - 4.98</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0.49 - 5.10</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0.50-5.21</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0.51-5.32</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0.48 - 4.98</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0.49 - 5.10</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0.50-5.21</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0.51-5.32</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0.48 - 4.98</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0.49 - 5.10</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0.50-5.21</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0.51-5.32</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0.48 - 4.98</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0.49 - 5.10</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0.50-5.21</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0.51-5.32</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675"/>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Bush Sawn and Split (Fencing) Timbers - Durable Species 0.6m-3.6m (Heavy Grade 211-320cm2)*</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0.87-12.71</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0.89-13.028</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0.91-13.30</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0.93-13.58</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0.87-12.71</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0.89-13.028</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0.91-13.30</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0.93-13.58</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0.87-12.71</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0.89-13.028</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0.91-13.30</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0.93-13.58</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0.87-12.71</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0.89-13.028</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0.91-13.30</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0.93-13.58</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0.87-12.71</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0.89-13.028</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0.91-13.30</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0.93-13.58</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Charcoal (tonnes)</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12.8</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13.12</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13.4</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13.68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12.8</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13.12</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13.4</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13.68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12.8</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13.12</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13.4</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13.68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12.8</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13.12</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13.4</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13.68</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12.8</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13.12</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13.4</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13.68</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450"/>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proofErr w:type="spellStart"/>
            <w:r w:rsidRPr="005B5171">
              <w:rPr>
                <w:rFonts w:ascii="Calibri" w:eastAsia="Times New Roman" w:hAnsi="Calibri" w:cs="Calibri"/>
                <w:sz w:val="16"/>
                <w:szCs w:val="16"/>
                <w:lang w:eastAsia="en-AU"/>
              </w:rPr>
              <w:t>Craftwood</w:t>
            </w:r>
            <w:proofErr w:type="spellEnd"/>
            <w:r w:rsidRPr="005B5171">
              <w:rPr>
                <w:rFonts w:ascii="Calibri" w:eastAsia="Times New Roman" w:hAnsi="Calibri" w:cs="Calibri"/>
                <w:sz w:val="16"/>
                <w:szCs w:val="16"/>
                <w:lang w:eastAsia="en-AU"/>
              </w:rPr>
              <w:t xml:space="preserve"> (&lt;45cm -&gt;=45cm CDUB)</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45.4-77.99</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46.54-79.94</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47.51-81.62</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48.51-83.33</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45.4-77.99</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46.54-79.94</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47.51-81.62</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48.51-83.33</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45.4-77.99</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46.54-79.94</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47.51-81.62</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48.51-83.33</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45.4-77.99</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46.54-79.94</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47.51-81.62</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48.51-83.33</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45.4-77.99</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46.54-79.94</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47.51-81.62</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48.51-83.33</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Didgeridoo Timber</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10.59</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10.85</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11.08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10.59</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10.85</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11.08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10.59</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10.85</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11.08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10.59</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10.85</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11.08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10.59</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10.85</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11.08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11.32</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Tea tree/wattle for fencing stakes</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5.73</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5.87</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6.12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5.73</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5.87</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6.12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5.73</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5.87</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6.12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5.73</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5.87</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6.12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5.73</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5.87</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6.12</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450"/>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Fruit Tree Props (Common-Durable)</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6.05-7.35</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6.20-7.53</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6.33-7.69</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6.46-7.85</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6.05-7.35</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6.20-7.53</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6.33-7.69</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6.46-7.85</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6.05-7.35</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6.20-7.53</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6.33-7.69</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6.46-7.85</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6.05-7.35</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6.20-7.53</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6.33-7.69</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6.46-7.85</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6.05-7.35</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6.20-7.53</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6.33-7.69</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6.46-7.85</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900"/>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Hewn Timber - Durable Species (0-9m)</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102-145.19</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104.55-148.82</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106.75-151.95</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108.99-155.14</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102-145.19</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104.55-148.82</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106.75-151.95</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108.99-155.14</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102-145.19</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104.55-148.82</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106.75-151.95</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108.99-155.14</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102-145.19</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104.55-148.82</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106.75-151.95</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108.99-155.14</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102-145.19</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104.55-148.82</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106.75-151.95</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108.99-155.14</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675"/>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Hewn Timber - Common Species (0-10.5m)</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67.74-101.61</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69.43-104.15</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70.89-106.34</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72.38-108.57</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67.74-101.61</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69.43-104.15</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70.89-106.34</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72.38-108.57</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67.74-101.61</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69.43-104.15</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70.89-106.34</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72.38-108.57</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67.74-101.61</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69.43-104.15</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70.89-106.34</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72.38-108.57</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67.74-101.61</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69.43-104.15</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70.89-106.34</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72.38-108.57</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675"/>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Hewn Timber - Common Species (Yellow Stringybark) (0-18m)</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84.69-198.43</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86.81-203.39</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88.63-207.66</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90.49-212.02</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84.69-198.43</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86.81-203.39</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88.63-207.66</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90.49-212.02</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84.69-198.43</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86.81-203.39</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88.63-207.66</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90.49-212.02</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84.69-198.43</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86.81-203.39</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88.63-207.66</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90.49-212.02</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84.69-198.43</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86.81-203.39</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88.63-207.66</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90.49-212.02</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675"/>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Round (Fencing) Timbers - Common Species (375-399mm diameter*) (1m-6m)</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9.69-66.25</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9.93225-67.91</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10.14-69.33</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10.35-70.79</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9.69-66.25</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9.93225-67.91</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10.14-69.33</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10.35-70.79</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9.69-66.25</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9.93225-67.91</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10.14-69.33</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10.35-70.79</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9.69-66.25</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9.93225-67.91</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10.14-69.33</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10.35-70.79</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9.69-66.25</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9.93225-67.91</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10.14-69.33</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10.35-70.79</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675"/>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Round (Fencing) Timbers - Durable Species (1m-6m) 375-399mm diameter*</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10.83-134.09</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11.10-137.44</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11.33-140.33</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11.57-143.28</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10.83-134.09</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11.10-137.44</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11.33-140.33</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11.57-143.28</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10.83-134.09</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11.10-137.44</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11.33-140.33</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11.57-143.28</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10.83-134.09</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11.10-137.44</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11.33-140.33</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11.57-143.28</w:t>
            </w:r>
          </w:p>
        </w:tc>
        <w:tc>
          <w:tcPr>
            <w:tcW w:w="66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10.83-134.09</w:t>
            </w:r>
          </w:p>
        </w:tc>
        <w:tc>
          <w:tcPr>
            <w:tcW w:w="792"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11.10-137.44</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11.33-140.33</w:t>
            </w:r>
          </w:p>
        </w:tc>
        <w:tc>
          <w:tcPr>
            <w:tcW w:w="711"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11.57-143.28</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Roundwood for Stepping Blocks</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0.55</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0.56</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0.55</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0.56</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0.55</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0.56</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0.55</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0.56</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0.59</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0.55</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0.56</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0.59</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Tea tree/wattle for rustic furniture</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11.58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11.83</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12.07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11.58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11.83</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12.07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11.58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11.83</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12.07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11.58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11.83</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12.07</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11.58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11.83</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12.07</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Sawdust (rotted)</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11.36</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11.64</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11.89</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12.14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11.36</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11.64</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11.89</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12.14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11.36</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11.64</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11.89</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12.14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11.36</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11.64</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11.89</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12.14</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11.36</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11.64</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11.89</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12.14</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Shingles (Cut and prepared per 100 pieces)</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6.88</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7.05</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7.2</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7.35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6.88</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7.05</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7.2</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7.35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6.88</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7.05</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7.2</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7.35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6.88</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7.05</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7.2</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7.35</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6.88</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7.05</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7.2</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7.35</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Sleeper Offcuts</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1.51</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1.55</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1.58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1.61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1.51</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1.55</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1.58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1.61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1.51</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1.55</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1.58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1.61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1.51</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1.55</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1.58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1.61</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1.51</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1.55</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1.58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1.61</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40"/>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Wattle Bark</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125.6</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128.8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131.5</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134.2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125.6</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128.8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131.5</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134.2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125.6</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128.8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131.5</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134.2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125.6</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128.8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131.5</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134.2</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125.6</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128.8</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131.5</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134.2</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40"/>
        </w:trPr>
        <w:tc>
          <w:tcPr>
            <w:tcW w:w="1134" w:type="dxa"/>
            <w:hideMark/>
          </w:tcPr>
          <w:p w:rsidR="005B5171" w:rsidRPr="005B5171" w:rsidRDefault="005B5171" w:rsidP="005B5171">
            <w:pPr>
              <w:spacing w:after="0" w:line="240" w:lineRule="auto"/>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Wood Chop Logs</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3.05</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3.13</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3.19</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3.26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3.05</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3.13</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3.19</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3.26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3.05</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3.13</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3.19</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3.26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3.05</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3.13</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3.19</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3.26</w:t>
            </w:r>
          </w:p>
        </w:tc>
        <w:tc>
          <w:tcPr>
            <w:tcW w:w="66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3.05</w:t>
            </w:r>
          </w:p>
        </w:tc>
        <w:tc>
          <w:tcPr>
            <w:tcW w:w="792"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3.13</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3.19</w:t>
            </w:r>
          </w:p>
        </w:tc>
        <w:tc>
          <w:tcPr>
            <w:tcW w:w="711" w:type="dxa"/>
            <w:hideMark/>
          </w:tcPr>
          <w:p w:rsidR="005B5171" w:rsidRPr="005B5171" w:rsidRDefault="005B5171" w:rsidP="005B5171">
            <w:pPr>
              <w:spacing w:after="0" w:line="240" w:lineRule="auto"/>
              <w:jc w:val="right"/>
              <w:rPr>
                <w:rFonts w:ascii="Calibri" w:eastAsia="Times New Roman" w:hAnsi="Calibri" w:cs="Calibri"/>
                <w:sz w:val="16"/>
                <w:szCs w:val="16"/>
                <w:lang w:eastAsia="en-AU"/>
              </w:rPr>
            </w:pPr>
            <w:r w:rsidRPr="005B5171">
              <w:rPr>
                <w:rFonts w:ascii="Calibri" w:eastAsia="Times New Roman" w:hAnsi="Calibri" w:cs="Calibri"/>
                <w:sz w:val="16"/>
                <w:szCs w:val="16"/>
                <w:lang w:eastAsia="en-AU"/>
              </w:rPr>
              <w:t>3.26</w:t>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Office of the Deputy Secretary – Regional Services – Fire and Land </w:t>
      </w:r>
      <w:proofErr w:type="spellStart"/>
      <w:r w:rsidRPr="005B5171">
        <w:rPr>
          <w:rFonts w:ascii="Segoe UI" w:eastAsia="STZhongsong" w:hAnsi="Segoe UI" w:cs="Segoe UI"/>
          <w:bCs/>
          <w:sz w:val="18"/>
          <w:szCs w:val="18"/>
          <w:lang w:eastAsia="ko-KR"/>
        </w:rPr>
        <w:t>Statewide</w:t>
      </w:r>
      <w:proofErr w:type="spellEnd"/>
      <w:r w:rsidRPr="005B5171">
        <w:rPr>
          <w:rFonts w:ascii="Segoe UI" w:eastAsia="STZhongsong" w:hAnsi="Segoe UI" w:cs="Segoe UI"/>
          <w:bCs/>
          <w:sz w:val="18"/>
          <w:szCs w:val="18"/>
          <w:lang w:eastAsia="ko-KR"/>
        </w:rPr>
        <w:t xml:space="preserve"> Coordination </w:t>
      </w:r>
    </w:p>
    <w:p w:rsidR="005B5171" w:rsidRPr="005B5171" w:rsidRDefault="005B5171" w:rsidP="005B5171">
      <w:pPr>
        <w:jc w:val="both"/>
        <w:rPr>
          <w:rFonts w:ascii="Segoe UI" w:hAnsi="Segoe UI" w:cs="Segoe UI"/>
        </w:rPr>
      </w:pPr>
    </w:p>
    <w:p w:rsidR="005B5171" w:rsidRPr="005B5171" w:rsidRDefault="005B5171" w:rsidP="005B5171">
      <w:pPr>
        <w:jc w:val="both"/>
        <w:rPr>
          <w:rFonts w:ascii="Segoe UI" w:hAnsi="Segoe UI" w:cs="Segoe UI"/>
        </w:rPr>
        <w:sectPr w:rsidR="005B5171" w:rsidRPr="005B5171" w:rsidSect="00E53AAA">
          <w:pgSz w:w="16840" w:h="11907" w:orient="landscape"/>
          <w:pgMar w:top="1080" w:right="1440" w:bottom="1080" w:left="1440" w:header="284" w:footer="284" w:gutter="0"/>
          <w:cols w:space="720"/>
          <w:docGrid w:linePitch="299"/>
        </w:sectPr>
      </w:pPr>
    </w:p>
    <w:p w:rsidR="005B5171" w:rsidRPr="005B5171" w:rsidRDefault="005B5171" w:rsidP="005B5171">
      <w:pPr>
        <w:keepNext/>
        <w:spacing w:before="240" w:after="240" w:line="240" w:lineRule="auto"/>
        <w:outlineLvl w:val="2"/>
        <w:rPr>
          <w:rFonts w:ascii="Segoe UI" w:hAnsi="Segoe UI" w:cs="Segoe UI"/>
          <w:b/>
          <w:color w:val="000000"/>
          <w:sz w:val="24"/>
          <w:szCs w:val="24"/>
        </w:rPr>
      </w:pPr>
      <w:bookmarkStart w:id="127" w:name="_Toc11768337"/>
      <w:bookmarkStart w:id="128" w:name="_Toc30492033"/>
      <w:bookmarkStart w:id="129" w:name="_Toc33002131"/>
      <w:r w:rsidRPr="005B5171">
        <w:rPr>
          <w:rFonts w:ascii="Segoe UI" w:hAnsi="Segoe UI" w:cs="Segoe UI"/>
          <w:b/>
          <w:color w:val="000000"/>
          <w:sz w:val="24"/>
          <w:szCs w:val="24"/>
        </w:rPr>
        <w:t>Indicator 6.1c: Value of forest-based services</w:t>
      </w:r>
      <w:bookmarkEnd w:id="127"/>
      <w:bookmarkEnd w:id="128"/>
      <w:bookmarkEnd w:id="129"/>
    </w:p>
    <w:p w:rsidR="005B5171" w:rsidRPr="005B5171" w:rsidRDefault="005B5171" w:rsidP="005B5171">
      <w:pPr>
        <w:jc w:val="both"/>
        <w:rPr>
          <w:rFonts w:ascii="Segoe UI" w:hAnsi="Segoe UI" w:cs="Segoe UI"/>
        </w:rPr>
      </w:pPr>
      <w:bookmarkStart w:id="130" w:name="_Ref10134525"/>
      <w:r w:rsidRPr="005B5171">
        <w:rPr>
          <w:rFonts w:ascii="Segoe UI" w:hAnsi="Segoe UI" w:cs="Segoe UI"/>
        </w:rPr>
        <w:t xml:space="preserve">This indicator measures a range of forest-based services, which have been classified as provisioning, regulating or cultural. Forest-based services provide economic values and contribute to the sustainability of forests by providing significant social and environmental benefits. </w:t>
      </w:r>
    </w:p>
    <w:p w:rsidR="005B5171" w:rsidRPr="005B5171" w:rsidRDefault="005B5171" w:rsidP="005B5171">
      <w:pPr>
        <w:jc w:val="both"/>
        <w:rPr>
          <w:rFonts w:ascii="Segoe UI" w:hAnsi="Segoe UI" w:cs="Segoe UI"/>
        </w:rPr>
      </w:pPr>
      <w:r w:rsidRPr="005B5171">
        <w:rPr>
          <w:rFonts w:ascii="Segoe UI" w:hAnsi="Segoe UI" w:cs="Segoe UI"/>
        </w:rPr>
        <w:t xml:space="preserve">Understanding trends in the economic value of benefits associated with the full range of ecosystem services provided by forests will assist decision-makers to prioritise investment and consider competing interests in the management of forests. An environmental-economic accounting framework has been employed by DELWP to classify and measure the extent of Victoria’s forest assets and flows of ecosystem services which provide benefits (market and non-market) to people. </w:t>
      </w:r>
    </w:p>
    <w:p w:rsidR="005B5171" w:rsidRPr="005B5171" w:rsidRDefault="005B5171" w:rsidP="005B5171">
      <w:pPr>
        <w:jc w:val="both"/>
        <w:rPr>
          <w:rFonts w:ascii="Segoe UI" w:hAnsi="Segoe UI" w:cs="Segoe UI"/>
        </w:rPr>
      </w:pPr>
      <w:r w:rsidRPr="005B5171">
        <w:rPr>
          <w:rFonts w:ascii="Segoe UI" w:hAnsi="Segoe UI" w:cs="Segoe UI"/>
        </w:rPr>
        <w:t xml:space="preserve">For this report, an economic accounting process was undertaken for a range of forest values, and the results of these studies are outlined in </w:t>
      </w:r>
      <w:r w:rsidRPr="005B5171">
        <w:rPr>
          <w:rFonts w:ascii="Segoe UI" w:hAnsi="Segoe UI" w:cs="Segoe UI"/>
        </w:rPr>
        <w:fldChar w:fldCharType="begin"/>
      </w:r>
      <w:r w:rsidRPr="005B5171">
        <w:rPr>
          <w:rFonts w:ascii="Segoe UI" w:hAnsi="Segoe UI" w:cs="Segoe UI"/>
        </w:rPr>
        <w:instrText xml:space="preserve"> REF _Ref19869250 \h  \* MERGEFORMAT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Table 88</w:t>
      </w:r>
      <w:r w:rsidRPr="005B5171">
        <w:rPr>
          <w:rFonts w:ascii="Segoe UI" w:hAnsi="Segoe UI" w:cs="Segoe UI"/>
        </w:rPr>
        <w:fldChar w:fldCharType="end"/>
      </w:r>
      <w:r w:rsidRPr="005B5171">
        <w:rPr>
          <w:rFonts w:ascii="Segoe UI" w:hAnsi="Segoe UI" w:cs="Segoe UI"/>
        </w:rPr>
        <w:t xml:space="preserve">. As these studies provide only an assessment of current annual benefits, they do not indicate how ecosystem services and benefits may change over time and the potential trade-offs under different forest management scenarios. However, study findings could be used to inform scenario analysis and decision-making on the management of Victoria’s forests into the future.  </w:t>
      </w:r>
    </w:p>
    <w:p w:rsidR="005B5171" w:rsidRPr="005B5171" w:rsidRDefault="005B5171" w:rsidP="005B5171">
      <w:pPr>
        <w:spacing w:after="200" w:line="240" w:lineRule="auto"/>
        <w:rPr>
          <w:rFonts w:ascii="Segoe UI Semibold" w:eastAsia="Times New Roman" w:hAnsi="Segoe UI Semibold" w:cs="Times New Roman"/>
          <w:color w:val="016295"/>
        </w:rPr>
      </w:pPr>
      <w:bookmarkStart w:id="131" w:name="_Ref19869250"/>
      <w:bookmarkStart w:id="132" w:name="_Toc25660870"/>
      <w:bookmarkEnd w:id="130"/>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88</w:t>
      </w:r>
      <w:r w:rsidRPr="005B5171">
        <w:rPr>
          <w:rFonts w:ascii="Segoe UI Semibold" w:eastAsia="Times New Roman" w:hAnsi="Segoe UI Semibold" w:cs="Times New Roman"/>
          <w:noProof/>
          <w:color w:val="016295"/>
        </w:rPr>
        <w:fldChar w:fldCharType="end"/>
      </w:r>
      <w:bookmarkEnd w:id="131"/>
      <w:r w:rsidRPr="005B5171">
        <w:rPr>
          <w:rFonts w:ascii="Segoe UI Semibold" w:eastAsia="Times New Roman" w:hAnsi="Segoe UI Semibold" w:cs="Times New Roman"/>
          <w:color w:val="016295"/>
        </w:rPr>
        <w:t>: Monetary flows of ecosystem services from forests in RFA regions (2018 estimate unless otherwise stated)</w:t>
      </w:r>
      <w:bookmarkEnd w:id="132"/>
    </w:p>
    <w:tbl>
      <w:tblPr>
        <w:tblStyle w:val="dpitablestyle"/>
        <w:tblW w:w="10142" w:type="dxa"/>
        <w:tblInd w:w="-10" w:type="dxa"/>
        <w:tblLook w:val="04A0" w:firstRow="1" w:lastRow="0" w:firstColumn="1" w:lastColumn="0" w:noHBand="0" w:noVBand="1"/>
      </w:tblPr>
      <w:tblGrid>
        <w:gridCol w:w="1843"/>
        <w:gridCol w:w="1211"/>
        <w:gridCol w:w="1057"/>
        <w:gridCol w:w="1134"/>
        <w:gridCol w:w="1360"/>
        <w:gridCol w:w="932"/>
        <w:gridCol w:w="1456"/>
        <w:gridCol w:w="1149"/>
      </w:tblGrid>
      <w:tr w:rsidR="005B5171" w:rsidRPr="005B5171" w:rsidTr="000B1EFD">
        <w:trPr>
          <w:cnfStyle w:val="100000000000" w:firstRow="1" w:lastRow="0" w:firstColumn="0" w:lastColumn="0" w:oddVBand="0" w:evenVBand="0" w:oddHBand="0" w:evenHBand="0" w:firstRowFirstColumn="0" w:firstRowLastColumn="0" w:lastRowFirstColumn="0" w:lastRowLastColumn="0"/>
          <w:trHeight w:val="600"/>
        </w:trPr>
        <w:tc>
          <w:tcPr>
            <w:tcW w:w="1843" w:type="dxa"/>
            <w:hideMark/>
          </w:tcPr>
          <w:p w:rsidR="005B5171" w:rsidRPr="005B5171" w:rsidRDefault="005B5171" w:rsidP="005B5171">
            <w:pPr>
              <w:spacing w:after="0" w:line="240" w:lineRule="auto"/>
              <w:rPr>
                <w:rFonts w:ascii="Calibri" w:eastAsia="Times New Roman" w:hAnsi="Calibri" w:cs="Calibri"/>
                <w:bCs/>
                <w:lang w:eastAsia="en-AU"/>
              </w:rPr>
            </w:pPr>
            <w:r w:rsidRPr="005B5171">
              <w:rPr>
                <w:rFonts w:ascii="Calibri" w:eastAsia="Times New Roman" w:hAnsi="Calibri" w:cs="Calibri"/>
                <w:bCs/>
                <w:lang w:eastAsia="en-AU"/>
              </w:rPr>
              <w:t> </w:t>
            </w:r>
          </w:p>
        </w:tc>
        <w:tc>
          <w:tcPr>
            <w:tcW w:w="1211" w:type="dxa"/>
            <w:hideMark/>
          </w:tcPr>
          <w:p w:rsidR="005B5171" w:rsidRPr="005B5171" w:rsidRDefault="005B5171" w:rsidP="005B5171">
            <w:pPr>
              <w:spacing w:after="0" w:line="240" w:lineRule="auto"/>
              <w:jc w:val="center"/>
              <w:rPr>
                <w:rFonts w:ascii="Calibri" w:eastAsia="Times New Roman" w:hAnsi="Calibri" w:cs="Calibri"/>
                <w:lang w:eastAsia="en-AU"/>
              </w:rPr>
            </w:pPr>
            <w:r w:rsidRPr="005B5171">
              <w:rPr>
                <w:rFonts w:ascii="Calibri" w:eastAsia="Times New Roman" w:hAnsi="Calibri" w:cs="Calibri"/>
                <w:lang w:eastAsia="en-AU"/>
              </w:rPr>
              <w:t>Central Highlands</w:t>
            </w:r>
          </w:p>
        </w:tc>
        <w:tc>
          <w:tcPr>
            <w:tcW w:w="1057" w:type="dxa"/>
            <w:hideMark/>
          </w:tcPr>
          <w:p w:rsidR="005B5171" w:rsidRPr="005B5171" w:rsidRDefault="005B5171" w:rsidP="005B5171">
            <w:pPr>
              <w:spacing w:after="0" w:line="240" w:lineRule="auto"/>
              <w:jc w:val="center"/>
              <w:rPr>
                <w:rFonts w:ascii="Calibri" w:eastAsia="Times New Roman" w:hAnsi="Calibri" w:cs="Calibri"/>
                <w:lang w:eastAsia="en-AU"/>
              </w:rPr>
            </w:pPr>
            <w:r w:rsidRPr="005B5171">
              <w:rPr>
                <w:rFonts w:ascii="Calibri" w:eastAsia="Times New Roman" w:hAnsi="Calibri" w:cs="Calibri"/>
                <w:lang w:eastAsia="en-AU"/>
              </w:rPr>
              <w:t>East Gippsland</w:t>
            </w:r>
          </w:p>
        </w:tc>
        <w:tc>
          <w:tcPr>
            <w:tcW w:w="1134" w:type="dxa"/>
            <w:hideMark/>
          </w:tcPr>
          <w:p w:rsidR="005B5171" w:rsidRPr="005B5171" w:rsidRDefault="005B5171" w:rsidP="005B5171">
            <w:pPr>
              <w:spacing w:after="0" w:line="240" w:lineRule="auto"/>
              <w:jc w:val="center"/>
              <w:rPr>
                <w:rFonts w:ascii="Calibri" w:eastAsia="Times New Roman" w:hAnsi="Calibri" w:cs="Calibri"/>
                <w:lang w:eastAsia="en-AU"/>
              </w:rPr>
            </w:pPr>
            <w:r w:rsidRPr="005B5171">
              <w:rPr>
                <w:rFonts w:ascii="Calibri" w:eastAsia="Times New Roman" w:hAnsi="Calibri" w:cs="Calibri"/>
                <w:lang w:eastAsia="en-AU"/>
              </w:rPr>
              <w:t>Gippsland</w:t>
            </w:r>
          </w:p>
        </w:tc>
        <w:tc>
          <w:tcPr>
            <w:tcW w:w="1360" w:type="dxa"/>
            <w:hideMark/>
          </w:tcPr>
          <w:p w:rsidR="005B5171" w:rsidRPr="005B5171" w:rsidRDefault="005B5171" w:rsidP="005B5171">
            <w:pPr>
              <w:spacing w:after="0" w:line="240" w:lineRule="auto"/>
              <w:jc w:val="center"/>
              <w:rPr>
                <w:rFonts w:ascii="Calibri" w:eastAsia="Times New Roman" w:hAnsi="Calibri" w:cs="Calibri"/>
                <w:lang w:eastAsia="en-AU"/>
              </w:rPr>
            </w:pPr>
            <w:r w:rsidRPr="005B5171">
              <w:rPr>
                <w:rFonts w:ascii="Calibri" w:eastAsia="Times New Roman" w:hAnsi="Calibri" w:cs="Calibri"/>
                <w:lang w:eastAsia="en-AU"/>
              </w:rPr>
              <w:t>North East</w:t>
            </w:r>
          </w:p>
        </w:tc>
        <w:tc>
          <w:tcPr>
            <w:tcW w:w="932" w:type="dxa"/>
            <w:hideMark/>
          </w:tcPr>
          <w:p w:rsidR="005B5171" w:rsidRPr="005B5171" w:rsidRDefault="005B5171" w:rsidP="005B5171">
            <w:pPr>
              <w:spacing w:after="0" w:line="240" w:lineRule="auto"/>
              <w:jc w:val="center"/>
              <w:rPr>
                <w:rFonts w:ascii="Calibri" w:eastAsia="Times New Roman" w:hAnsi="Calibri" w:cs="Calibri"/>
                <w:lang w:eastAsia="en-AU"/>
              </w:rPr>
            </w:pPr>
            <w:r w:rsidRPr="005B5171">
              <w:rPr>
                <w:rFonts w:ascii="Calibri" w:eastAsia="Times New Roman" w:hAnsi="Calibri" w:cs="Calibri"/>
                <w:lang w:eastAsia="en-AU"/>
              </w:rPr>
              <w:t>West</w:t>
            </w:r>
          </w:p>
        </w:tc>
        <w:tc>
          <w:tcPr>
            <w:tcW w:w="1456" w:type="dxa"/>
            <w:hideMark/>
          </w:tcPr>
          <w:p w:rsidR="005B5171" w:rsidRPr="005B5171" w:rsidRDefault="005B5171" w:rsidP="005B5171">
            <w:pPr>
              <w:spacing w:after="0" w:line="240" w:lineRule="auto"/>
              <w:jc w:val="center"/>
              <w:rPr>
                <w:rFonts w:ascii="Calibri" w:eastAsia="Times New Roman" w:hAnsi="Calibri" w:cs="Calibri"/>
                <w:lang w:eastAsia="en-AU"/>
              </w:rPr>
            </w:pPr>
            <w:r w:rsidRPr="005B5171">
              <w:rPr>
                <w:rFonts w:ascii="Calibri" w:eastAsia="Times New Roman" w:hAnsi="Calibri" w:cs="Calibri"/>
                <w:lang w:eastAsia="en-AU"/>
              </w:rPr>
              <w:t>Total</w:t>
            </w:r>
          </w:p>
        </w:tc>
        <w:tc>
          <w:tcPr>
            <w:tcW w:w="1149"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Confidence in valuation</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tcW w:w="1843" w:type="dxa"/>
            <w:hideMark/>
          </w:tcPr>
          <w:p w:rsidR="005B5171" w:rsidRPr="005B5171" w:rsidRDefault="005B5171" w:rsidP="005B5171">
            <w:pPr>
              <w:spacing w:after="0" w:line="240" w:lineRule="auto"/>
              <w:rPr>
                <w:rFonts w:ascii="Calibri" w:eastAsia="Times New Roman" w:hAnsi="Calibri" w:cs="Calibri"/>
                <w:b/>
                <w:bCs/>
                <w:lang w:eastAsia="en-AU"/>
              </w:rPr>
            </w:pPr>
            <w:r w:rsidRPr="005B5171">
              <w:rPr>
                <w:rFonts w:ascii="Calibri" w:eastAsia="Times New Roman" w:hAnsi="Calibri" w:cs="Calibri"/>
                <w:b/>
                <w:bCs/>
                <w:lang w:eastAsia="en-AU"/>
              </w:rPr>
              <w:t>Ecosystem services</w:t>
            </w:r>
          </w:p>
        </w:tc>
        <w:tc>
          <w:tcPr>
            <w:tcW w:w="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057"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134"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36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932"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456"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149"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 </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tcW w:w="1843" w:type="dxa"/>
            <w:hideMark/>
          </w:tcPr>
          <w:p w:rsidR="005B5171" w:rsidRPr="005B5171" w:rsidRDefault="005B5171" w:rsidP="005B5171">
            <w:pPr>
              <w:spacing w:after="0" w:line="240" w:lineRule="auto"/>
              <w:rPr>
                <w:rFonts w:ascii="Calibri" w:eastAsia="Times New Roman" w:hAnsi="Calibri" w:cs="Calibri"/>
                <w:b/>
                <w:bCs/>
                <w:i/>
                <w:iCs/>
                <w:lang w:eastAsia="en-AU"/>
              </w:rPr>
            </w:pPr>
            <w:r w:rsidRPr="005B5171">
              <w:rPr>
                <w:rFonts w:ascii="Calibri" w:eastAsia="Times New Roman" w:hAnsi="Calibri" w:cs="Calibri"/>
                <w:b/>
                <w:bCs/>
                <w:i/>
                <w:iCs/>
                <w:lang w:eastAsia="en-AU"/>
              </w:rPr>
              <w:t>Provisioning services</w:t>
            </w:r>
          </w:p>
        </w:tc>
        <w:tc>
          <w:tcPr>
            <w:tcW w:w="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057"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134"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36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932"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456"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149"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tcW w:w="1843"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Water ($ million)</w:t>
            </w:r>
          </w:p>
        </w:tc>
        <w:tc>
          <w:tcPr>
            <w:tcW w:w="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311-806 </w:t>
            </w:r>
          </w:p>
        </w:tc>
        <w:tc>
          <w:tcPr>
            <w:tcW w:w="1057"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11 </w:t>
            </w:r>
          </w:p>
        </w:tc>
        <w:tc>
          <w:tcPr>
            <w:tcW w:w="1134"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95-96 </w:t>
            </w:r>
          </w:p>
        </w:tc>
        <w:tc>
          <w:tcPr>
            <w:tcW w:w="136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261 </w:t>
            </w:r>
          </w:p>
        </w:tc>
        <w:tc>
          <w:tcPr>
            <w:tcW w:w="932"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96 </w:t>
            </w:r>
          </w:p>
        </w:tc>
        <w:tc>
          <w:tcPr>
            <w:tcW w:w="1456"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774-1,270 </w:t>
            </w:r>
          </w:p>
        </w:tc>
        <w:tc>
          <w:tcPr>
            <w:tcW w:w="1149"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 xml:space="preserve"> Medium </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tcW w:w="1843"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Native timber ($ million)</w:t>
            </w:r>
          </w:p>
        </w:tc>
        <w:tc>
          <w:tcPr>
            <w:tcW w:w="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21 </w:t>
            </w:r>
          </w:p>
        </w:tc>
        <w:tc>
          <w:tcPr>
            <w:tcW w:w="1057"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3 </w:t>
            </w:r>
          </w:p>
        </w:tc>
        <w:tc>
          <w:tcPr>
            <w:tcW w:w="1134"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3 </w:t>
            </w:r>
          </w:p>
        </w:tc>
        <w:tc>
          <w:tcPr>
            <w:tcW w:w="136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1 </w:t>
            </w:r>
          </w:p>
        </w:tc>
        <w:tc>
          <w:tcPr>
            <w:tcW w:w="932"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 </w:t>
            </w:r>
          </w:p>
        </w:tc>
        <w:tc>
          <w:tcPr>
            <w:tcW w:w="1456"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28 </w:t>
            </w:r>
          </w:p>
        </w:tc>
        <w:tc>
          <w:tcPr>
            <w:tcW w:w="1149"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 xml:space="preserve"> High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tcW w:w="1843"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Plantation timber ($ million) (a)</w:t>
            </w:r>
          </w:p>
        </w:tc>
        <w:tc>
          <w:tcPr>
            <w:tcW w:w="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057"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134"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36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932"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456"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54 </w:t>
            </w:r>
          </w:p>
        </w:tc>
        <w:tc>
          <w:tcPr>
            <w:tcW w:w="1149"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 xml:space="preserve"> Medium </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tcW w:w="1843"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Firewood ($ million) (b)</w:t>
            </w:r>
          </w:p>
        </w:tc>
        <w:tc>
          <w:tcPr>
            <w:tcW w:w="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057"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134"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36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932"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456"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43,650 </w:t>
            </w:r>
          </w:p>
        </w:tc>
        <w:tc>
          <w:tcPr>
            <w:tcW w:w="1149"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 xml:space="preserve"> Low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tcW w:w="1843"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Honey ($ million)</w:t>
            </w:r>
          </w:p>
        </w:tc>
        <w:tc>
          <w:tcPr>
            <w:tcW w:w="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057"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134"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36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932"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456"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3-4.5 </w:t>
            </w:r>
          </w:p>
        </w:tc>
        <w:tc>
          <w:tcPr>
            <w:tcW w:w="1149"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 xml:space="preserve"> Low </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tcW w:w="1843"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Fodder</w:t>
            </w:r>
          </w:p>
        </w:tc>
        <w:tc>
          <w:tcPr>
            <w:tcW w:w="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057"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134"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36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932"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456"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149"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tcW w:w="1843" w:type="dxa"/>
            <w:hideMark/>
          </w:tcPr>
          <w:p w:rsidR="005B5171" w:rsidRPr="005B5171" w:rsidRDefault="005B5171" w:rsidP="005B5171">
            <w:pPr>
              <w:spacing w:after="0" w:line="240" w:lineRule="auto"/>
              <w:rPr>
                <w:rFonts w:ascii="Calibri" w:eastAsia="Times New Roman" w:hAnsi="Calibri" w:cs="Calibri"/>
                <w:b/>
                <w:bCs/>
                <w:i/>
                <w:iCs/>
                <w:lang w:eastAsia="en-AU"/>
              </w:rPr>
            </w:pPr>
            <w:r w:rsidRPr="005B5171">
              <w:rPr>
                <w:rFonts w:ascii="Calibri" w:eastAsia="Times New Roman" w:hAnsi="Calibri" w:cs="Calibri"/>
                <w:b/>
                <w:bCs/>
                <w:i/>
                <w:iCs/>
                <w:lang w:eastAsia="en-AU"/>
              </w:rPr>
              <w:t>Regulating services</w:t>
            </w:r>
          </w:p>
        </w:tc>
        <w:tc>
          <w:tcPr>
            <w:tcW w:w="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057"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134"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36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932"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456"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149"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 </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tcW w:w="1843"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Water flow regulation ($ million)</w:t>
            </w:r>
          </w:p>
        </w:tc>
        <w:tc>
          <w:tcPr>
            <w:tcW w:w="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057"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134"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36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932"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456"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97 </w:t>
            </w:r>
          </w:p>
        </w:tc>
        <w:tc>
          <w:tcPr>
            <w:tcW w:w="1149"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 xml:space="preserve"> Low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tcW w:w="1843"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Soil retention ($ million)</w:t>
            </w:r>
          </w:p>
        </w:tc>
        <w:tc>
          <w:tcPr>
            <w:tcW w:w="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655-1,216 </w:t>
            </w:r>
          </w:p>
        </w:tc>
        <w:tc>
          <w:tcPr>
            <w:tcW w:w="1057"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0-1,736 </w:t>
            </w:r>
          </w:p>
        </w:tc>
        <w:tc>
          <w:tcPr>
            <w:tcW w:w="1134"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460-1,668 </w:t>
            </w:r>
          </w:p>
        </w:tc>
        <w:tc>
          <w:tcPr>
            <w:tcW w:w="136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1,759-2,834 </w:t>
            </w:r>
          </w:p>
        </w:tc>
        <w:tc>
          <w:tcPr>
            <w:tcW w:w="932"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179-568 </w:t>
            </w:r>
          </w:p>
        </w:tc>
        <w:tc>
          <w:tcPr>
            <w:tcW w:w="1456"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3,054-8,021 </w:t>
            </w:r>
          </w:p>
        </w:tc>
        <w:tc>
          <w:tcPr>
            <w:tcW w:w="1149"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 xml:space="preserve"> Low </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tcW w:w="1843"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Carbon sequestration ($ million) (a)</w:t>
            </w:r>
          </w:p>
        </w:tc>
        <w:tc>
          <w:tcPr>
            <w:tcW w:w="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356 </w:t>
            </w:r>
          </w:p>
        </w:tc>
        <w:tc>
          <w:tcPr>
            <w:tcW w:w="1057"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399 </w:t>
            </w:r>
          </w:p>
        </w:tc>
        <w:tc>
          <w:tcPr>
            <w:tcW w:w="1134"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1,019 </w:t>
            </w:r>
          </w:p>
        </w:tc>
        <w:tc>
          <w:tcPr>
            <w:tcW w:w="136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704 </w:t>
            </w:r>
          </w:p>
        </w:tc>
        <w:tc>
          <w:tcPr>
            <w:tcW w:w="932"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528 </w:t>
            </w:r>
          </w:p>
        </w:tc>
        <w:tc>
          <w:tcPr>
            <w:tcW w:w="1456"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3,006 </w:t>
            </w:r>
          </w:p>
        </w:tc>
        <w:tc>
          <w:tcPr>
            <w:tcW w:w="1149"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 xml:space="preserve"> Medium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tcW w:w="1843"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 xml:space="preserve">Carbon storage </w:t>
            </w:r>
          </w:p>
        </w:tc>
        <w:tc>
          <w:tcPr>
            <w:tcW w:w="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057"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134"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36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932"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456"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149"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 </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tcW w:w="1843"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Pollination ($ million)</w:t>
            </w:r>
          </w:p>
        </w:tc>
        <w:tc>
          <w:tcPr>
            <w:tcW w:w="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057"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134"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36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932"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456"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0.8-1 </w:t>
            </w:r>
          </w:p>
        </w:tc>
        <w:tc>
          <w:tcPr>
            <w:tcW w:w="1149"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 xml:space="preserve"> Low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tcW w:w="1843" w:type="dxa"/>
            <w:hideMark/>
          </w:tcPr>
          <w:p w:rsidR="005B5171" w:rsidRPr="005B5171" w:rsidRDefault="005B5171" w:rsidP="005B5171">
            <w:pPr>
              <w:spacing w:after="0" w:line="240" w:lineRule="auto"/>
              <w:rPr>
                <w:rFonts w:ascii="Calibri" w:eastAsia="Times New Roman" w:hAnsi="Calibri" w:cs="Calibri"/>
                <w:b/>
                <w:bCs/>
                <w:i/>
                <w:iCs/>
                <w:lang w:eastAsia="en-AU"/>
              </w:rPr>
            </w:pPr>
            <w:r w:rsidRPr="005B5171">
              <w:rPr>
                <w:rFonts w:ascii="Calibri" w:eastAsia="Times New Roman" w:hAnsi="Calibri" w:cs="Calibri"/>
                <w:b/>
                <w:bCs/>
                <w:i/>
                <w:iCs/>
                <w:lang w:eastAsia="en-AU"/>
              </w:rPr>
              <w:t>Cultural services</w:t>
            </w:r>
          </w:p>
        </w:tc>
        <w:tc>
          <w:tcPr>
            <w:tcW w:w="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057"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134"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36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932"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456"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149"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 </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tcW w:w="1843"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Recreation ($ million) (a)</w:t>
            </w:r>
          </w:p>
        </w:tc>
        <w:tc>
          <w:tcPr>
            <w:tcW w:w="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057"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134"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36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932"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456"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905 </w:t>
            </w:r>
          </w:p>
        </w:tc>
        <w:tc>
          <w:tcPr>
            <w:tcW w:w="1149"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 xml:space="preserve"> Medium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tcW w:w="1843" w:type="dxa"/>
            <w:hideMark/>
          </w:tcPr>
          <w:p w:rsidR="005B5171" w:rsidRPr="005B5171" w:rsidRDefault="005B5171" w:rsidP="005B5171">
            <w:pPr>
              <w:spacing w:after="0" w:line="240" w:lineRule="auto"/>
              <w:rPr>
                <w:rFonts w:ascii="Calibri" w:eastAsia="Times New Roman" w:hAnsi="Calibri" w:cs="Calibri"/>
                <w:b/>
                <w:bCs/>
                <w:lang w:eastAsia="en-AU"/>
              </w:rPr>
            </w:pPr>
            <w:r w:rsidRPr="005B5171">
              <w:rPr>
                <w:rFonts w:ascii="Calibri" w:eastAsia="Times New Roman" w:hAnsi="Calibri" w:cs="Calibri"/>
                <w:b/>
                <w:bCs/>
                <w:lang w:eastAsia="en-AU"/>
              </w:rPr>
              <w:t>Abiotic services</w:t>
            </w:r>
          </w:p>
        </w:tc>
        <w:tc>
          <w:tcPr>
            <w:tcW w:w="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057"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134"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36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932"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456"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w:t>
            </w:r>
          </w:p>
        </w:tc>
        <w:tc>
          <w:tcPr>
            <w:tcW w:w="1149"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 </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tcW w:w="1843"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Minerals</w:t>
            </w:r>
          </w:p>
        </w:tc>
        <w:tc>
          <w:tcPr>
            <w:tcW w:w="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057"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134"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360"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932"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456" w:type="dxa"/>
            <w:hideMark/>
          </w:tcPr>
          <w:p w:rsidR="005B5171" w:rsidRPr="005B5171" w:rsidRDefault="005B5171" w:rsidP="005B5171">
            <w:pPr>
              <w:spacing w:after="0" w:line="240" w:lineRule="auto"/>
              <w:jc w:val="right"/>
              <w:rPr>
                <w:rFonts w:ascii="Calibri" w:eastAsia="Times New Roman" w:hAnsi="Calibri" w:cs="Calibri"/>
                <w:lang w:eastAsia="en-AU"/>
              </w:rPr>
            </w:pPr>
            <w:r w:rsidRPr="005B5171">
              <w:rPr>
                <w:rFonts w:ascii="Calibri" w:eastAsia="Times New Roman" w:hAnsi="Calibri" w:cs="Calibri"/>
                <w:lang w:eastAsia="en-AU"/>
              </w:rPr>
              <w:t xml:space="preserve"> </w:t>
            </w:r>
            <w:proofErr w:type="spellStart"/>
            <w:r w:rsidRPr="005B5171">
              <w:rPr>
                <w:rFonts w:ascii="Calibri" w:eastAsia="Times New Roman" w:hAnsi="Calibri" w:cs="Calibri"/>
                <w:lang w:eastAsia="en-AU"/>
              </w:rPr>
              <w:t>n.a.</w:t>
            </w:r>
            <w:proofErr w:type="spellEnd"/>
            <w:r w:rsidRPr="005B5171">
              <w:rPr>
                <w:rFonts w:ascii="Calibri" w:eastAsia="Times New Roman" w:hAnsi="Calibri" w:cs="Calibri"/>
                <w:lang w:eastAsia="en-AU"/>
              </w:rPr>
              <w:t xml:space="preserve"> </w:t>
            </w:r>
          </w:p>
        </w:tc>
        <w:tc>
          <w:tcPr>
            <w:tcW w:w="1149" w:type="dxa"/>
            <w:hideMark/>
          </w:tcPr>
          <w:p w:rsidR="005B5171" w:rsidRPr="005B5171" w:rsidRDefault="005B5171" w:rsidP="005B5171">
            <w:pPr>
              <w:spacing w:after="0" w:line="240" w:lineRule="auto"/>
              <w:rPr>
                <w:rFonts w:ascii="Calibri" w:eastAsia="Times New Roman" w:hAnsi="Calibri" w:cs="Calibri"/>
                <w:lang w:eastAsia="en-AU"/>
              </w:rPr>
            </w:pPr>
            <w:r w:rsidRPr="005B5171">
              <w:rPr>
                <w:rFonts w:ascii="Calibri" w:eastAsia="Times New Roman" w:hAnsi="Calibri" w:cs="Calibri"/>
                <w:lang w:eastAsia="en-AU"/>
              </w:rPr>
              <w:t> </w:t>
            </w:r>
          </w:p>
        </w:tc>
      </w:tr>
    </w:tbl>
    <w:p w:rsidR="005B5171" w:rsidRPr="005B5171" w:rsidRDefault="005B5171" w:rsidP="005B5171">
      <w:pPr>
        <w:tabs>
          <w:tab w:val="left" w:pos="426"/>
        </w:tabs>
        <w:spacing w:before="80"/>
        <w:ind w:left="426" w:hanging="426"/>
        <w:contextualSpacing/>
        <w:rPr>
          <w:rFonts w:ascii="Segoe UI" w:eastAsia="STZhongsong" w:hAnsi="Segoe UI" w:cs="Segoe UI"/>
          <w:bCs/>
          <w:sz w:val="18"/>
          <w:szCs w:val="18"/>
          <w:lang w:eastAsia="ko-KR"/>
        </w:rPr>
      </w:pPr>
      <w:proofErr w:type="spellStart"/>
      <w:r w:rsidRPr="005B5171">
        <w:rPr>
          <w:rFonts w:ascii="Segoe UI" w:eastAsia="STZhongsong" w:hAnsi="Segoe UI" w:cs="Segoe UI"/>
          <w:bCs/>
          <w:sz w:val="18"/>
          <w:szCs w:val="18"/>
          <w:lang w:eastAsia="ko-KR"/>
        </w:rPr>
        <w:t>n.a.</w:t>
      </w:r>
      <w:proofErr w:type="spellEnd"/>
      <w:r w:rsidRPr="005B5171">
        <w:rPr>
          <w:rFonts w:ascii="Segoe UI" w:eastAsia="STZhongsong" w:hAnsi="Segoe UI" w:cs="Segoe UI"/>
          <w:bCs/>
          <w:sz w:val="18"/>
          <w:szCs w:val="18"/>
          <w:lang w:eastAsia="ko-KR"/>
        </w:rPr>
        <w:t xml:space="preserve"> indicates data not available at the RFA region level</w:t>
      </w:r>
    </w:p>
    <w:p w:rsidR="005B5171" w:rsidRPr="005B5171" w:rsidRDefault="005B5171" w:rsidP="005B5171">
      <w:pPr>
        <w:tabs>
          <w:tab w:val="left" w:pos="426"/>
        </w:tabs>
        <w:spacing w:before="80"/>
        <w:ind w:left="426" w:hanging="426"/>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(a) Plantation timber data is for 2017-18, carbon data is for 2017, tourism data is aggregated from 2016-17 data (parks) and 2019 data (State forests)</w:t>
      </w:r>
    </w:p>
    <w:p w:rsidR="005B5171" w:rsidRPr="005B5171" w:rsidRDefault="005B5171" w:rsidP="005B5171">
      <w:pPr>
        <w:tabs>
          <w:tab w:val="left" w:pos="426"/>
        </w:tabs>
        <w:spacing w:before="80"/>
        <w:ind w:left="426" w:hanging="426"/>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(b) Firewood collected by households from State forests </w:t>
      </w:r>
    </w:p>
    <w:p w:rsidR="005B5171" w:rsidRPr="005B5171" w:rsidRDefault="005B5171" w:rsidP="005B5171">
      <w:pPr>
        <w:rPr>
          <w:rFonts w:ascii="Segoe UI" w:hAnsi="Segoe UI" w:cs="Segoe UI"/>
        </w:rPr>
        <w:sectPr w:rsidR="005B5171" w:rsidRPr="005B5171" w:rsidSect="00767131">
          <w:pgSz w:w="16840" w:h="11907" w:orient="landscape" w:code="9"/>
          <w:pgMar w:top="1440" w:right="1440" w:bottom="1440" w:left="1440" w:header="284" w:footer="697" w:gutter="0"/>
          <w:cols w:space="720"/>
          <w:docGrid w:linePitch="299"/>
        </w:sectPr>
      </w:pPr>
    </w:p>
    <w:p w:rsidR="005B5171" w:rsidRPr="005B5171" w:rsidRDefault="005B5171" w:rsidP="005B5171">
      <w:pPr>
        <w:keepNext/>
        <w:spacing w:before="120" w:after="120" w:line="240" w:lineRule="auto"/>
        <w:jc w:val="both"/>
        <w:outlineLvl w:val="3"/>
        <w:rPr>
          <w:rFonts w:ascii="Segoe UI" w:hAnsi="Segoe UI" w:cs="Segoe UI"/>
          <w:i/>
          <w:sz w:val="24"/>
          <w:szCs w:val="24"/>
        </w:rPr>
      </w:pPr>
      <w:r w:rsidRPr="005B5171">
        <w:rPr>
          <w:rFonts w:ascii="Segoe UI" w:hAnsi="Segoe UI" w:cs="Segoe UI"/>
          <w:i/>
          <w:sz w:val="24"/>
          <w:szCs w:val="24"/>
        </w:rPr>
        <w:t>Water services</w:t>
      </w:r>
    </w:p>
    <w:p w:rsidR="005B5171" w:rsidRPr="005B5171" w:rsidRDefault="005B5171" w:rsidP="005B5171">
      <w:pPr>
        <w:jc w:val="both"/>
        <w:rPr>
          <w:rFonts w:ascii="Segoe UI" w:hAnsi="Segoe UI" w:cs="Segoe UI"/>
        </w:rPr>
      </w:pPr>
      <w:r w:rsidRPr="005B5171">
        <w:rPr>
          <w:rFonts w:ascii="Segoe UI" w:hAnsi="Segoe UI" w:cs="Segoe UI"/>
        </w:rPr>
        <w:t>Forests ecosystems provide a number of key water services:</w:t>
      </w:r>
    </w:p>
    <w:p w:rsidR="005B5171" w:rsidRPr="00DB293D" w:rsidRDefault="005B5171" w:rsidP="00DB293D">
      <w:pPr>
        <w:pStyle w:val="ListParagraph"/>
        <w:numPr>
          <w:ilvl w:val="0"/>
          <w:numId w:val="45"/>
        </w:numPr>
      </w:pPr>
      <w:r w:rsidRPr="00DB293D">
        <w:t>water provision</w:t>
      </w:r>
    </w:p>
    <w:p w:rsidR="005B5171" w:rsidRPr="00DB293D" w:rsidRDefault="005B5171" w:rsidP="00DB293D">
      <w:pPr>
        <w:pStyle w:val="ListParagraph"/>
        <w:numPr>
          <w:ilvl w:val="0"/>
          <w:numId w:val="45"/>
        </w:numPr>
      </w:pPr>
      <w:r w:rsidRPr="00DB293D">
        <w:t>water quality regulation (erosion prevention)</w:t>
      </w:r>
    </w:p>
    <w:p w:rsidR="005B5171" w:rsidRPr="00DB293D" w:rsidRDefault="005B5171" w:rsidP="00DB293D">
      <w:pPr>
        <w:pStyle w:val="ListParagraph"/>
        <w:numPr>
          <w:ilvl w:val="0"/>
          <w:numId w:val="45"/>
        </w:numPr>
      </w:pPr>
      <w:r w:rsidRPr="00DB293D">
        <w:t>water flow regulation (flood mitigation).</w:t>
      </w:r>
    </w:p>
    <w:p w:rsidR="005B5171" w:rsidRPr="005B5171" w:rsidRDefault="005B5171" w:rsidP="005B5171">
      <w:pPr>
        <w:jc w:val="both"/>
        <w:rPr>
          <w:rFonts w:ascii="Segoe UI" w:hAnsi="Segoe UI" w:cs="Segoe UI"/>
        </w:rPr>
      </w:pPr>
      <w:r w:rsidRPr="005B5171">
        <w:rPr>
          <w:rFonts w:ascii="Segoe UI" w:hAnsi="Segoe UI" w:cs="Segoe UI"/>
        </w:rPr>
        <w:t xml:space="preserve">For the purposes of this study, the service is deemed to be provided when water yield from forests enters a water distribution system, not when it is supplied to customers. The total quantity and value of water provision from Victoria’s forests is assessed, rather than the difference in water provision compared to a counterfactual land use or disturbance scenario. Further water yield information is provided in 4.1d. </w:t>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Quantification of service</w:t>
      </w:r>
    </w:p>
    <w:p w:rsidR="005B5171" w:rsidRPr="005B5171" w:rsidRDefault="005B5171" w:rsidP="005B5171">
      <w:pPr>
        <w:jc w:val="both"/>
        <w:rPr>
          <w:rFonts w:ascii="Segoe UI" w:hAnsi="Segoe UI" w:cs="Segoe UI"/>
        </w:rPr>
      </w:pPr>
      <w:r w:rsidRPr="005B5171">
        <w:rPr>
          <w:rFonts w:ascii="Segoe UI" w:hAnsi="Segoe UI" w:cs="Segoe UI"/>
        </w:rPr>
        <w:t xml:space="preserve">Water yield from forests is dynamically modelled from 2008 to 2018 and used to derive annual water yield for each RFA region. </w:t>
      </w:r>
      <w:r w:rsidRPr="005B5171">
        <w:rPr>
          <w:rFonts w:ascii="Segoe UI" w:hAnsi="Segoe UI" w:cs="Segoe UI"/>
        </w:rPr>
        <w:fldChar w:fldCharType="begin"/>
      </w:r>
      <w:r w:rsidRPr="005B5171">
        <w:rPr>
          <w:rFonts w:ascii="Segoe UI" w:hAnsi="Segoe UI" w:cs="Segoe UI"/>
        </w:rPr>
        <w:instrText xml:space="preserve"> REF _Ref25249420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Figure </w:t>
      </w:r>
      <w:r w:rsidRPr="005B5171">
        <w:rPr>
          <w:rFonts w:ascii="Segoe UI" w:hAnsi="Segoe UI" w:cs="Segoe UI"/>
          <w:noProof/>
        </w:rPr>
        <w:t>45</w:t>
      </w:r>
      <w:r w:rsidRPr="005B5171">
        <w:rPr>
          <w:rFonts w:ascii="Segoe UI" w:hAnsi="Segoe UI" w:cs="Segoe UI"/>
        </w:rPr>
        <w:fldChar w:fldCharType="end"/>
      </w:r>
      <w:r w:rsidRPr="005B5171">
        <w:rPr>
          <w:rFonts w:ascii="Segoe UI" w:hAnsi="Segoe UI" w:cs="Segoe UI"/>
        </w:rPr>
        <w:t xml:space="preserve"> shows average annual water yield (for the modelled time period of 2008 to 2018) across Victoria’s RFA regions for both forest and non-forest areas. Yield ranges from less than 1 megalitre per hectare per year (in large areas of the West and Gippsland regions), to more than 10 megalitres per hectare per year (in small areas of the North East RFA region).</w:t>
      </w:r>
    </w:p>
    <w:p w:rsidR="005B5171" w:rsidRPr="005B5171" w:rsidRDefault="005B5171" w:rsidP="005B5171">
      <w:pPr>
        <w:keepNext/>
        <w:spacing w:after="0" w:line="240" w:lineRule="auto"/>
        <w:rPr>
          <w:rFonts w:ascii="Calibri" w:eastAsia="STZhongsong" w:hAnsi="Calibri" w:cs="Segoe UI"/>
          <w:bCs/>
          <w:sz w:val="20"/>
          <w:szCs w:val="20"/>
          <w:lang w:eastAsia="ko-KR"/>
        </w:rPr>
      </w:pPr>
      <w:r w:rsidRPr="005B5171">
        <w:rPr>
          <w:rFonts w:ascii="Calibri" w:eastAsia="STZhongsong" w:hAnsi="Calibri" w:cs="Segoe UI"/>
          <w:bCs/>
          <w:noProof/>
          <w:sz w:val="20"/>
          <w:szCs w:val="20"/>
          <w:lang w:eastAsia="ko-KR"/>
        </w:rPr>
        <w:drawing>
          <wp:inline distT="0" distB="0" distL="0" distR="0" wp14:anchorId="605C8B55" wp14:editId="595A2933">
            <wp:extent cx="5297805" cy="3745626"/>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tretch>
                      <a:fillRect/>
                    </a:stretch>
                  </pic:blipFill>
                  <pic:spPr bwMode="auto">
                    <a:xfrm>
                      <a:off x="0" y="0"/>
                      <a:ext cx="5305207" cy="3750860"/>
                    </a:xfrm>
                    <a:prstGeom prst="rect">
                      <a:avLst/>
                    </a:prstGeom>
                    <a:noFill/>
                    <a:ln>
                      <a:noFill/>
                    </a:ln>
                  </pic:spPr>
                </pic:pic>
              </a:graphicData>
            </a:graphic>
          </wp:inline>
        </w:drawing>
      </w:r>
    </w:p>
    <w:p w:rsidR="005B5171" w:rsidRPr="005B5171" w:rsidRDefault="005B5171" w:rsidP="005B5171">
      <w:pPr>
        <w:spacing w:after="200" w:line="240" w:lineRule="auto"/>
        <w:rPr>
          <w:rFonts w:ascii="Segoe UI Semibold" w:eastAsia="Times New Roman" w:hAnsi="Segoe UI Semibold" w:cs="Times New Roman"/>
          <w:color w:val="016295"/>
        </w:rPr>
      </w:pPr>
      <w:bookmarkStart w:id="133" w:name="_Ref25249420"/>
      <w:bookmarkStart w:id="134" w:name="_Ref13910565"/>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45</w:t>
      </w:r>
      <w:r w:rsidRPr="005B5171">
        <w:rPr>
          <w:rFonts w:ascii="Segoe UI Semibold" w:eastAsia="Times New Roman" w:hAnsi="Segoe UI Semibold" w:cs="Times New Roman"/>
          <w:noProof/>
          <w:color w:val="016295"/>
        </w:rPr>
        <w:fldChar w:fldCharType="end"/>
      </w:r>
      <w:bookmarkEnd w:id="133"/>
      <w:bookmarkEnd w:id="134"/>
      <w:r w:rsidRPr="005B5171">
        <w:rPr>
          <w:rFonts w:ascii="Segoe UI Semibold" w:eastAsia="Times New Roman" w:hAnsi="Segoe UI Semibold" w:cs="Times New Roman"/>
          <w:color w:val="016295"/>
        </w:rPr>
        <w:t>: Average annual water yield across Victoria’s RFA regions, 2008–18</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DELWP internal </w:t>
      </w:r>
      <w:proofErr w:type="spellStart"/>
      <w:r w:rsidRPr="005B5171">
        <w:rPr>
          <w:rFonts w:ascii="Segoe UI" w:eastAsia="STZhongsong" w:hAnsi="Segoe UI" w:cs="Segoe UI"/>
          <w:bCs/>
          <w:sz w:val="18"/>
          <w:szCs w:val="18"/>
          <w:lang w:eastAsia="ko-KR"/>
        </w:rPr>
        <w:t>Ensym</w:t>
      </w:r>
      <w:proofErr w:type="spellEnd"/>
      <w:r w:rsidRPr="005B5171">
        <w:rPr>
          <w:rFonts w:ascii="Segoe UI" w:eastAsia="STZhongsong" w:hAnsi="Segoe UI" w:cs="Segoe UI"/>
          <w:bCs/>
          <w:sz w:val="18"/>
          <w:szCs w:val="18"/>
          <w:lang w:eastAsia="ko-KR"/>
        </w:rPr>
        <w:t xml:space="preserve"> modelling</w:t>
      </w:r>
    </w:p>
    <w:p w:rsidR="005B5171" w:rsidRPr="005B5171" w:rsidRDefault="005B5171" w:rsidP="005B5171">
      <w:pPr>
        <w:jc w:val="both"/>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REF _Ref25254335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Figure </w:t>
      </w:r>
      <w:r w:rsidRPr="005B5171">
        <w:rPr>
          <w:rFonts w:ascii="Segoe UI" w:hAnsi="Segoe UI" w:cs="Segoe UI"/>
          <w:noProof/>
        </w:rPr>
        <w:t>46</w:t>
      </w:r>
      <w:r w:rsidRPr="005B5171">
        <w:rPr>
          <w:rFonts w:ascii="Segoe UI" w:hAnsi="Segoe UI" w:cs="Segoe UI"/>
        </w:rPr>
        <w:fldChar w:fldCharType="end"/>
      </w:r>
      <w:r w:rsidRPr="005B5171">
        <w:rPr>
          <w:rFonts w:ascii="Segoe UI" w:hAnsi="Segoe UI" w:cs="Segoe UI"/>
        </w:rPr>
        <w:t xml:space="preserve"> shows the annual water yield from forests across Victoria’s RFA regions from 2008 to 2018, and the underlying data is presented in </w:t>
      </w:r>
      <w:r w:rsidRPr="005B5171">
        <w:rPr>
          <w:rFonts w:ascii="Segoe UI" w:hAnsi="Segoe UI" w:cs="Segoe UI"/>
        </w:rPr>
        <w:fldChar w:fldCharType="begin"/>
      </w:r>
      <w:r w:rsidRPr="005B5171">
        <w:rPr>
          <w:rFonts w:ascii="Segoe UI" w:hAnsi="Segoe UI" w:cs="Segoe UI"/>
        </w:rPr>
        <w:instrText xml:space="preserve"> REF _Ref13064733 \h  \* MERGEFORMAT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Table 90</w:t>
      </w:r>
      <w:r w:rsidRPr="005B5171">
        <w:rPr>
          <w:rFonts w:ascii="Segoe UI" w:hAnsi="Segoe UI" w:cs="Segoe UI"/>
        </w:rPr>
        <w:fldChar w:fldCharType="end"/>
      </w:r>
      <w:r w:rsidRPr="005B5171">
        <w:rPr>
          <w:rFonts w:ascii="Segoe UI" w:hAnsi="Segoe UI" w:cs="Segoe UI"/>
        </w:rPr>
        <w:t>. Yield from non-forest areas is not included. High rainfall years in 2010, 2012 and 2016 are clearly visible in the data. Water yield is most significant in the North East RFA region, which accounts for almost 40 per cent% of total water yield over the decade. This is followed by the Gippsland and Central Highlands RFA regions, although in terms of average yield per hectare the Central Highlands is comparable with the North East.</w:t>
      </w:r>
    </w:p>
    <w:p w:rsidR="005B5171" w:rsidRPr="005B5171" w:rsidRDefault="005B5171" w:rsidP="005B5171">
      <w:pPr>
        <w:keepNext/>
        <w:rPr>
          <w:rFonts w:ascii="Segoe UI" w:hAnsi="Segoe UI" w:cs="Segoe UI"/>
        </w:rPr>
      </w:pPr>
      <w:r w:rsidRPr="005B5171">
        <w:rPr>
          <w:rFonts w:ascii="Segoe UI" w:hAnsi="Segoe UI" w:cs="Segoe UI"/>
          <w:noProof/>
          <w:lang w:eastAsia="en-AU"/>
        </w:rPr>
        <w:drawing>
          <wp:inline distT="0" distB="0" distL="0" distR="0" wp14:anchorId="72EB63E3" wp14:editId="4B63FDEA">
            <wp:extent cx="5915025" cy="3829685"/>
            <wp:effectExtent l="0" t="0" r="0" b="0"/>
            <wp:docPr id="47" name="Chart 47">
              <a:extLst xmlns:a="http://schemas.openxmlformats.org/drawingml/2006/main">
                <a:ext uri="{FF2B5EF4-FFF2-40B4-BE49-F238E27FC236}">
                  <a16:creationId xmlns:a16="http://schemas.microsoft.com/office/drawing/2014/main" id="{D913BE4F-EA5E-4856-8655-B848DF5145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B5171" w:rsidRPr="005B5171" w:rsidRDefault="005B5171" w:rsidP="005B5171">
      <w:pPr>
        <w:spacing w:after="200" w:line="240" w:lineRule="auto"/>
        <w:rPr>
          <w:rFonts w:ascii="Segoe UI Semibold" w:eastAsia="Times New Roman" w:hAnsi="Segoe UI Semibold" w:cs="Times New Roman"/>
          <w:color w:val="016295"/>
        </w:rPr>
      </w:pPr>
      <w:bookmarkStart w:id="135" w:name="_Ref25254335"/>
      <w:bookmarkStart w:id="136" w:name="_Ref13911738"/>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46</w:t>
      </w:r>
      <w:r w:rsidRPr="005B5171">
        <w:rPr>
          <w:rFonts w:ascii="Segoe UI Semibold" w:eastAsia="Times New Roman" w:hAnsi="Segoe UI Semibold" w:cs="Times New Roman"/>
          <w:noProof/>
          <w:color w:val="016295"/>
        </w:rPr>
        <w:fldChar w:fldCharType="end"/>
      </w:r>
      <w:bookmarkEnd w:id="135"/>
      <w:bookmarkEnd w:id="136"/>
      <w:r w:rsidRPr="005B5171">
        <w:rPr>
          <w:rFonts w:ascii="Segoe UI Semibold" w:eastAsia="Times New Roman" w:hAnsi="Segoe UI Semibold" w:cs="Times New Roman"/>
          <w:color w:val="016295"/>
        </w:rPr>
        <w:t>: Annual volume of water yield from forests across Victoria’s RFA regions, 2008–18</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DELWP internal </w:t>
      </w:r>
      <w:proofErr w:type="spellStart"/>
      <w:r w:rsidRPr="005B5171">
        <w:rPr>
          <w:rFonts w:ascii="Segoe UI" w:eastAsia="STZhongsong" w:hAnsi="Segoe UI" w:cs="Segoe UI"/>
          <w:bCs/>
          <w:sz w:val="18"/>
          <w:szCs w:val="18"/>
          <w:lang w:eastAsia="ko-KR"/>
        </w:rPr>
        <w:t>Ensym</w:t>
      </w:r>
      <w:proofErr w:type="spellEnd"/>
      <w:r w:rsidRPr="005B5171">
        <w:rPr>
          <w:rFonts w:ascii="Segoe UI" w:eastAsia="STZhongsong" w:hAnsi="Segoe UI" w:cs="Segoe UI"/>
          <w:bCs/>
          <w:sz w:val="18"/>
          <w:szCs w:val="18"/>
          <w:lang w:eastAsia="ko-KR"/>
        </w:rPr>
        <w:t xml:space="preserve"> modelling</w:t>
      </w:r>
    </w:p>
    <w:p w:rsidR="005B5171" w:rsidRPr="005B5171" w:rsidRDefault="005B5171" w:rsidP="005B5171">
      <w:pPr>
        <w:jc w:val="both"/>
        <w:rPr>
          <w:rFonts w:ascii="Segoe UI" w:hAnsi="Segoe UI" w:cs="Segoe UI"/>
        </w:rPr>
      </w:pPr>
      <w:r w:rsidRPr="005B5171">
        <w:rPr>
          <w:rFonts w:ascii="Segoe UI" w:hAnsi="Segoe UI" w:cs="Segoe UI"/>
        </w:rPr>
        <w:t xml:space="preserve">RFA regions have different profiles in terms of the destination of water yield from forests – </w:t>
      </w:r>
      <w:r w:rsidRPr="005B5171">
        <w:rPr>
          <w:rFonts w:ascii="Segoe UI" w:hAnsi="Segoe UI" w:cs="Segoe UI"/>
        </w:rPr>
        <w:fldChar w:fldCharType="begin"/>
      </w:r>
      <w:r w:rsidRPr="005B5171">
        <w:rPr>
          <w:rFonts w:ascii="Segoe UI" w:hAnsi="Segoe UI" w:cs="Segoe UI"/>
        </w:rPr>
        <w:instrText xml:space="preserve"> REF _Ref13066551 \h  \* MERGEFORMAT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Table 89</w:t>
      </w:r>
      <w:r w:rsidRPr="005B5171">
        <w:rPr>
          <w:rFonts w:ascii="Segoe UI" w:hAnsi="Segoe UI" w:cs="Segoe UI"/>
        </w:rPr>
        <w:fldChar w:fldCharType="end"/>
      </w:r>
      <w:r w:rsidRPr="005B5171">
        <w:rPr>
          <w:rFonts w:ascii="Segoe UI" w:hAnsi="Segoe UI" w:cs="Segoe UI"/>
        </w:rPr>
        <w:t xml:space="preserve"> provides a snapshot of 2018. The Central Highlands is the only RFA region which provides significant volumes of water to Melbourne’s reservoirs. It also provides significant volumes to the northern Victoria system, which supplies Goulburn-Murray irrigation areas. </w:t>
      </w:r>
    </w:p>
    <w:p w:rsidR="005B5171" w:rsidRPr="005B5171" w:rsidRDefault="005B5171" w:rsidP="005B5171">
      <w:pPr>
        <w:jc w:val="both"/>
        <w:rPr>
          <w:rFonts w:ascii="Segoe UI" w:hAnsi="Segoe UI" w:cs="Segoe UI"/>
        </w:rPr>
      </w:pPr>
      <w:r w:rsidRPr="005B5171">
        <w:rPr>
          <w:rFonts w:ascii="Segoe UI" w:hAnsi="Segoe UI" w:cs="Segoe UI"/>
        </w:rPr>
        <w:t>Around two-thirds of water yield from the North East RFA region goes to the northern Victoria system, and the remainder goes to unregulated systems.</w:t>
      </w:r>
      <w:r w:rsidRPr="005B5171">
        <w:rPr>
          <w:rFonts w:ascii="Segoe UI" w:hAnsi="Segoe UI" w:cs="Segoe UI"/>
          <w:vertAlign w:val="superscript"/>
        </w:rPr>
        <w:footnoteReference w:id="8"/>
      </w:r>
      <w:r w:rsidRPr="005B5171">
        <w:rPr>
          <w:rFonts w:ascii="Segoe UI" w:hAnsi="Segoe UI" w:cs="Segoe UI"/>
        </w:rPr>
        <w:t xml:space="preserve"> Around a quarter of water yield from the Gippsland RFA also goes to the northern Victoria system, and around a third goes to the Thompson/Macalister irrigation area. </w:t>
      </w:r>
      <w:r w:rsidRPr="005B5171">
        <w:rPr>
          <w:rFonts w:ascii="Segoe UI" w:hAnsi="Segoe UI" w:cs="Segoe UI"/>
        </w:rPr>
        <w:br w:type="page"/>
      </w:r>
    </w:p>
    <w:p w:rsidR="005B5171" w:rsidRPr="005B5171" w:rsidRDefault="005B5171" w:rsidP="005B5171">
      <w:pPr>
        <w:spacing w:before="180" w:after="180" w:line="240" w:lineRule="exact"/>
        <w:rPr>
          <w:rFonts w:ascii="Segoe UI Semibold" w:eastAsia="Times New Roman" w:hAnsi="Segoe UI Semibold" w:cs="Times New Roman"/>
          <w:color w:val="016295"/>
        </w:rPr>
      </w:pPr>
      <w:bookmarkStart w:id="137" w:name="_Ref13066551"/>
      <w:bookmarkStart w:id="138" w:name="_Toc25660871"/>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89</w:t>
      </w:r>
      <w:r w:rsidRPr="005B5171">
        <w:rPr>
          <w:rFonts w:ascii="Segoe UI Semibold" w:eastAsia="Times New Roman" w:hAnsi="Segoe UI Semibold" w:cs="Times New Roman"/>
          <w:noProof/>
          <w:color w:val="016295"/>
        </w:rPr>
        <w:fldChar w:fldCharType="end"/>
      </w:r>
      <w:bookmarkEnd w:id="137"/>
      <w:r w:rsidRPr="005B5171">
        <w:rPr>
          <w:rFonts w:ascii="Segoe UI Semibold" w:eastAsia="Times New Roman" w:hAnsi="Segoe UI Semibold" w:cs="Times New Roman"/>
          <w:noProof/>
          <w:color w:val="016295"/>
        </w:rPr>
        <w:t>:</w:t>
      </w:r>
      <w:r w:rsidRPr="005B5171">
        <w:rPr>
          <w:rFonts w:ascii="Segoe UI Semibold" w:eastAsia="Times New Roman" w:hAnsi="Segoe UI Semibold" w:cs="Times New Roman"/>
          <w:color w:val="016295"/>
        </w:rPr>
        <w:t xml:space="preserve"> Destination of water yield from forests in 2018</w:t>
      </w:r>
      <w:bookmarkEnd w:id="138"/>
    </w:p>
    <w:tbl>
      <w:tblPr>
        <w:tblStyle w:val="xTable2"/>
        <w:tblW w:w="0" w:type="auto"/>
        <w:tblLook w:val="04A0" w:firstRow="1" w:lastRow="0" w:firstColumn="1" w:lastColumn="0" w:noHBand="0" w:noVBand="1"/>
      </w:tblPr>
      <w:tblGrid>
        <w:gridCol w:w="1709"/>
        <w:gridCol w:w="4666"/>
      </w:tblGrid>
      <w:tr w:rsidR="005B5171" w:rsidRPr="005B5171" w:rsidTr="000B1E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RFA region</w:t>
            </w:r>
          </w:p>
        </w:tc>
        <w:tc>
          <w:tcPr>
            <w:tcW w:w="0" w:type="auto"/>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 xml:space="preserve">Destination of water yield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Central Highlands</w:t>
            </w:r>
          </w:p>
        </w:tc>
        <w:tc>
          <w:tcPr>
            <w:tcW w:w="0" w:type="auto"/>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23 per cent to Melbourne system</w:t>
            </w:r>
          </w:p>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27 per cent to northern Victoria declared system</w:t>
            </w:r>
          </w:p>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10 per cent to other regulated systems</w:t>
            </w:r>
          </w:p>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40 per cent to unregulated systems</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East Gippsland</w:t>
            </w:r>
          </w:p>
        </w:tc>
        <w:tc>
          <w:tcPr>
            <w:tcW w:w="0" w:type="auto"/>
          </w:tcPr>
          <w:p w:rsidR="005B5171" w:rsidRPr="005B5171" w:rsidRDefault="005B5171" w:rsidP="005B5171">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 xml:space="preserve">100 per cent to unregulated systems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Gippsland</w:t>
            </w:r>
          </w:p>
        </w:tc>
        <w:tc>
          <w:tcPr>
            <w:tcW w:w="0" w:type="auto"/>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31 per cent to Thompson/Macalister declared system</w:t>
            </w:r>
          </w:p>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26 per cent to northern Victoria declared system</w:t>
            </w:r>
          </w:p>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43 per cent to unregulated systems</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North East</w:t>
            </w:r>
          </w:p>
        </w:tc>
        <w:tc>
          <w:tcPr>
            <w:tcW w:w="0" w:type="auto"/>
          </w:tcPr>
          <w:p w:rsidR="005B5171" w:rsidRPr="005B5171" w:rsidRDefault="005B5171" w:rsidP="005B5171">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 xml:space="preserve">66 per cent to northern Victoria declared system </w:t>
            </w:r>
          </w:p>
          <w:p w:rsidR="005B5171" w:rsidRPr="005B5171" w:rsidRDefault="005B5171" w:rsidP="005B5171">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 xml:space="preserve">34 per cent to unregulated systems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West</w:t>
            </w:r>
          </w:p>
        </w:tc>
        <w:tc>
          <w:tcPr>
            <w:tcW w:w="0" w:type="auto"/>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4 per cent to northern Victoria declared system </w:t>
            </w:r>
          </w:p>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 per cent to Werribee declared system</w:t>
            </w:r>
          </w:p>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16 per cent to other regulated systems</w:t>
            </w:r>
          </w:p>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77 per cent to unregulated systems</w:t>
            </w:r>
          </w:p>
        </w:tc>
      </w:tr>
    </w:tbl>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Valuation of benefit</w:t>
      </w:r>
    </w:p>
    <w:p w:rsidR="005B5171" w:rsidRPr="005B5171" w:rsidRDefault="005B5171" w:rsidP="005B5171">
      <w:pPr>
        <w:jc w:val="both"/>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REF _Ref25255014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Figure </w:t>
      </w:r>
      <w:r w:rsidRPr="005B5171">
        <w:rPr>
          <w:rFonts w:ascii="Segoe UI" w:hAnsi="Segoe UI" w:cs="Segoe UI"/>
          <w:noProof/>
        </w:rPr>
        <w:t>47</w:t>
      </w:r>
      <w:r w:rsidRPr="005B5171">
        <w:rPr>
          <w:rFonts w:ascii="Segoe UI" w:hAnsi="Segoe UI" w:cs="Segoe UI"/>
        </w:rPr>
        <w:fldChar w:fldCharType="end"/>
      </w:r>
      <w:r w:rsidRPr="005B5171">
        <w:rPr>
          <w:rFonts w:ascii="Segoe UI" w:hAnsi="Segoe UI" w:cs="Segoe UI"/>
        </w:rPr>
        <w:t xml:space="preserve"> shows the annual value of water yield from forests across Victoria’s RFA regions from 2008 to 2018, and the underlying data is presented in </w:t>
      </w:r>
      <w:r w:rsidRPr="005B5171">
        <w:rPr>
          <w:rFonts w:ascii="Segoe UI" w:hAnsi="Segoe UI" w:cs="Segoe UI"/>
        </w:rPr>
        <w:fldChar w:fldCharType="begin"/>
      </w:r>
      <w:r w:rsidRPr="005B5171">
        <w:rPr>
          <w:rFonts w:ascii="Segoe UI" w:hAnsi="Segoe UI" w:cs="Segoe UI"/>
        </w:rPr>
        <w:instrText xml:space="preserve"> REF _Ref13064733 \h  \* MERGEFORMAT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Table 90</w:t>
      </w:r>
      <w:r w:rsidRPr="005B5171">
        <w:rPr>
          <w:rFonts w:ascii="Segoe UI" w:hAnsi="Segoe UI" w:cs="Segoe UI"/>
        </w:rPr>
        <w:fldChar w:fldCharType="end"/>
      </w:r>
      <w:r w:rsidRPr="005B5171">
        <w:rPr>
          <w:rFonts w:ascii="Segoe UI" w:hAnsi="Segoe UI" w:cs="Segoe UI"/>
        </w:rPr>
        <w:t xml:space="preserve">. The value of water fluctuates from year to year, driven by changes in the volume of water yield and changes in water prices. On average, the value of water yield is greatest for the North East RFA region, averaging $487 million per year from 2008 to 2018. This is largely due to the significant volume of water yield in this region. Total water yield from the Central Highlands also has a high value, averaging $390 million per year over the decade. This reflects the significant volume of water yield from forests in this region, but also that around a quarter of yield from the Central Highlands goes to Melbourne’s reservoirs and has a high value.     </w:t>
      </w:r>
    </w:p>
    <w:p w:rsidR="005B5171" w:rsidRPr="005B5171" w:rsidRDefault="005B5171" w:rsidP="005B5171">
      <w:pPr>
        <w:keepNext/>
        <w:rPr>
          <w:rFonts w:ascii="Segoe UI" w:hAnsi="Segoe UI" w:cs="Segoe UI"/>
        </w:rPr>
      </w:pPr>
      <w:r w:rsidRPr="005B5171">
        <w:rPr>
          <w:rFonts w:ascii="Segoe UI" w:hAnsi="Segoe UI" w:cs="Segoe UI"/>
          <w:noProof/>
          <w:lang w:eastAsia="en-AU"/>
        </w:rPr>
        <w:drawing>
          <wp:inline distT="0" distB="0" distL="0" distR="0" wp14:anchorId="5610DCFD" wp14:editId="5FFAADB9">
            <wp:extent cx="5791200" cy="2524125"/>
            <wp:effectExtent l="0" t="0" r="0" b="0"/>
            <wp:docPr id="48" name="Chart 48">
              <a:extLst xmlns:a="http://schemas.openxmlformats.org/drawingml/2006/main">
                <a:ext uri="{FF2B5EF4-FFF2-40B4-BE49-F238E27FC236}">
                  <a16:creationId xmlns:a16="http://schemas.microsoft.com/office/drawing/2014/main" id="{F0EB1CB1-3CAE-4622-9B82-F730E83FBB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B5171" w:rsidRPr="005B5171" w:rsidRDefault="005B5171" w:rsidP="005B5171">
      <w:pPr>
        <w:spacing w:after="200" w:line="240" w:lineRule="auto"/>
        <w:rPr>
          <w:rFonts w:ascii="Segoe UI Semibold" w:eastAsia="Times New Roman" w:hAnsi="Segoe UI Semibold" w:cs="Times New Roman"/>
          <w:color w:val="016295"/>
        </w:rPr>
      </w:pPr>
      <w:bookmarkStart w:id="139" w:name="_Ref25255014"/>
      <w:bookmarkStart w:id="140" w:name="_Ref13938544"/>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47</w:t>
      </w:r>
      <w:r w:rsidRPr="005B5171">
        <w:rPr>
          <w:rFonts w:ascii="Segoe UI Semibold" w:eastAsia="Times New Roman" w:hAnsi="Segoe UI Semibold" w:cs="Times New Roman"/>
          <w:noProof/>
          <w:color w:val="016295"/>
        </w:rPr>
        <w:fldChar w:fldCharType="end"/>
      </w:r>
      <w:bookmarkEnd w:id="139"/>
      <w:bookmarkEnd w:id="140"/>
      <w:r w:rsidRPr="005B5171">
        <w:rPr>
          <w:rFonts w:ascii="Segoe UI Semibold" w:eastAsia="Times New Roman" w:hAnsi="Segoe UI Semibold" w:cs="Times New Roman"/>
          <w:color w:val="016295"/>
        </w:rPr>
        <w:t>: Annual value of water yield from forests across Victoria’s RFA regions, 2008–18</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DELWP internal </w:t>
      </w:r>
      <w:proofErr w:type="spellStart"/>
      <w:r w:rsidRPr="005B5171">
        <w:rPr>
          <w:rFonts w:ascii="Segoe UI" w:eastAsia="STZhongsong" w:hAnsi="Segoe UI" w:cs="Segoe UI"/>
          <w:bCs/>
          <w:sz w:val="18"/>
          <w:szCs w:val="18"/>
          <w:lang w:eastAsia="ko-KR"/>
        </w:rPr>
        <w:t>Ensym</w:t>
      </w:r>
      <w:proofErr w:type="spellEnd"/>
      <w:r w:rsidRPr="005B5171">
        <w:rPr>
          <w:rFonts w:ascii="Segoe UI" w:eastAsia="STZhongsong" w:hAnsi="Segoe UI" w:cs="Segoe UI"/>
          <w:bCs/>
          <w:sz w:val="18"/>
          <w:szCs w:val="18"/>
          <w:lang w:eastAsia="ko-KR"/>
        </w:rPr>
        <w:t xml:space="preserve"> modelling</w:t>
      </w:r>
    </w:p>
    <w:p w:rsidR="005B5171" w:rsidRPr="005B5171" w:rsidRDefault="005B5171" w:rsidP="005B5171">
      <w:pPr>
        <w:rPr>
          <w:rFonts w:ascii="Segoe UI" w:hAnsi="Segoe UI" w:cs="Segoe UI"/>
          <w:b/>
          <w:bCs/>
        </w:rPr>
        <w:sectPr w:rsidR="005B5171" w:rsidRPr="005B5171" w:rsidSect="000749BE">
          <w:pgSz w:w="11907" w:h="16840" w:code="9"/>
          <w:pgMar w:top="1440" w:right="1440" w:bottom="1440" w:left="1440" w:header="284" w:footer="698" w:gutter="0"/>
          <w:cols w:space="720"/>
          <w:docGrid w:linePitch="299"/>
        </w:sectPr>
      </w:pPr>
    </w:p>
    <w:p w:rsidR="005B5171" w:rsidRPr="005B5171" w:rsidRDefault="005B5171" w:rsidP="005B5171">
      <w:pPr>
        <w:spacing w:after="200" w:line="240" w:lineRule="auto"/>
        <w:rPr>
          <w:rFonts w:ascii="Segoe UI Semibold" w:eastAsia="Times New Roman" w:hAnsi="Segoe UI Semibold" w:cs="Times New Roman"/>
          <w:color w:val="016295"/>
        </w:rPr>
      </w:pPr>
      <w:bookmarkStart w:id="141" w:name="_Ref13064733"/>
      <w:bookmarkStart w:id="142" w:name="_Toc25660872"/>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90</w:t>
      </w:r>
      <w:r w:rsidRPr="005B5171">
        <w:rPr>
          <w:rFonts w:ascii="Segoe UI Semibold" w:eastAsia="Times New Roman" w:hAnsi="Segoe UI Semibold" w:cs="Times New Roman"/>
          <w:noProof/>
          <w:color w:val="016295"/>
        </w:rPr>
        <w:fldChar w:fldCharType="end"/>
      </w:r>
      <w:bookmarkEnd w:id="141"/>
      <w:r w:rsidRPr="005B5171">
        <w:rPr>
          <w:rFonts w:ascii="Segoe UI Semibold" w:eastAsia="Times New Roman" w:hAnsi="Segoe UI Semibold" w:cs="Times New Roman"/>
          <w:noProof/>
          <w:color w:val="016295"/>
        </w:rPr>
        <w:t>:</w:t>
      </w:r>
      <w:r w:rsidRPr="005B5171">
        <w:rPr>
          <w:rFonts w:ascii="Segoe UI Semibold" w:eastAsia="Times New Roman" w:hAnsi="Segoe UI Semibold" w:cs="Times New Roman"/>
          <w:color w:val="016295"/>
        </w:rPr>
        <w:t xml:space="preserve"> Volume of water yield from forest areas by RFA region (‘000 megalitres)</w:t>
      </w:r>
      <w:bookmarkEnd w:id="142"/>
    </w:p>
    <w:tbl>
      <w:tblPr>
        <w:tblStyle w:val="xTable1"/>
        <w:tblW w:w="5000" w:type="pct"/>
        <w:tblLook w:val="04E0" w:firstRow="1" w:lastRow="1" w:firstColumn="1" w:lastColumn="0" w:noHBand="0" w:noVBand="1"/>
      </w:tblPr>
      <w:tblGrid>
        <w:gridCol w:w="2318"/>
        <w:gridCol w:w="1050"/>
        <w:gridCol w:w="1120"/>
        <w:gridCol w:w="1123"/>
        <w:gridCol w:w="1119"/>
        <w:gridCol w:w="1119"/>
        <w:gridCol w:w="1122"/>
        <w:gridCol w:w="1119"/>
        <w:gridCol w:w="1122"/>
        <w:gridCol w:w="1119"/>
        <w:gridCol w:w="1122"/>
        <w:gridCol w:w="1119"/>
      </w:tblGrid>
      <w:tr w:rsidR="005B5171" w:rsidRPr="005B5171" w:rsidTr="000B1EF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795" w:type="pct"/>
            <w:tcMar>
              <w:left w:w="57" w:type="dxa"/>
              <w:right w:w="57" w:type="dxa"/>
            </w:tcMar>
          </w:tcPr>
          <w:p w:rsidR="005B5171" w:rsidRPr="005B5171" w:rsidRDefault="005B5171" w:rsidP="005B5171">
            <w:pPr>
              <w:rPr>
                <w:rFonts w:ascii="Segoe UI" w:hAnsi="Segoe UI" w:cs="Segoe UI"/>
              </w:rPr>
            </w:pPr>
            <w:r w:rsidRPr="005B5171">
              <w:rPr>
                <w:rFonts w:ascii="Segoe UI" w:hAnsi="Segoe UI" w:cs="Segoe UI"/>
              </w:rPr>
              <w:t>RFA region</w:t>
            </w:r>
          </w:p>
        </w:tc>
        <w:tc>
          <w:tcPr>
            <w:tcW w:w="360" w:type="pct"/>
            <w:tcMar>
              <w:left w:w="57" w:type="dxa"/>
              <w:right w:w="57" w:type="dxa"/>
            </w:tcMar>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2008</w:t>
            </w:r>
          </w:p>
        </w:tc>
        <w:tc>
          <w:tcPr>
            <w:tcW w:w="384" w:type="pct"/>
            <w:tcMar>
              <w:left w:w="57" w:type="dxa"/>
              <w:right w:w="57" w:type="dxa"/>
            </w:tcMar>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2009</w:t>
            </w:r>
          </w:p>
        </w:tc>
        <w:tc>
          <w:tcPr>
            <w:tcW w:w="385" w:type="pct"/>
            <w:tcMar>
              <w:left w:w="57" w:type="dxa"/>
              <w:right w:w="57" w:type="dxa"/>
            </w:tcMar>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2010</w:t>
            </w:r>
          </w:p>
        </w:tc>
        <w:tc>
          <w:tcPr>
            <w:tcW w:w="384" w:type="pct"/>
            <w:tcMar>
              <w:left w:w="57" w:type="dxa"/>
              <w:right w:w="57" w:type="dxa"/>
            </w:tcMar>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2011</w:t>
            </w:r>
          </w:p>
        </w:tc>
        <w:tc>
          <w:tcPr>
            <w:tcW w:w="384" w:type="pct"/>
            <w:tcMar>
              <w:left w:w="57" w:type="dxa"/>
              <w:right w:w="57" w:type="dxa"/>
            </w:tcMar>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2012</w:t>
            </w:r>
          </w:p>
        </w:tc>
        <w:tc>
          <w:tcPr>
            <w:tcW w:w="385" w:type="pct"/>
            <w:tcMar>
              <w:left w:w="57" w:type="dxa"/>
              <w:right w:w="57" w:type="dxa"/>
            </w:tcMar>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2013</w:t>
            </w:r>
          </w:p>
        </w:tc>
        <w:tc>
          <w:tcPr>
            <w:tcW w:w="384" w:type="pct"/>
            <w:tcMar>
              <w:left w:w="57" w:type="dxa"/>
              <w:right w:w="57" w:type="dxa"/>
            </w:tcMar>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2014</w:t>
            </w:r>
          </w:p>
        </w:tc>
        <w:tc>
          <w:tcPr>
            <w:tcW w:w="385" w:type="pct"/>
            <w:tcMar>
              <w:left w:w="57" w:type="dxa"/>
              <w:right w:w="57" w:type="dxa"/>
            </w:tcMar>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2015</w:t>
            </w:r>
          </w:p>
        </w:tc>
        <w:tc>
          <w:tcPr>
            <w:tcW w:w="384" w:type="pct"/>
            <w:tcMar>
              <w:left w:w="57" w:type="dxa"/>
              <w:right w:w="57" w:type="dxa"/>
            </w:tcMar>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2016</w:t>
            </w:r>
          </w:p>
        </w:tc>
        <w:tc>
          <w:tcPr>
            <w:tcW w:w="385" w:type="pct"/>
            <w:tcMar>
              <w:left w:w="57" w:type="dxa"/>
              <w:right w:w="57" w:type="dxa"/>
            </w:tcMar>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2017</w:t>
            </w:r>
          </w:p>
        </w:tc>
        <w:tc>
          <w:tcPr>
            <w:tcW w:w="384" w:type="pct"/>
            <w:tcMar>
              <w:left w:w="57" w:type="dxa"/>
              <w:right w:w="57" w:type="dxa"/>
            </w:tcMar>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2018</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5" w:type="pct"/>
            <w:tcMar>
              <w:left w:w="57" w:type="dxa"/>
              <w:right w:w="57" w:type="dxa"/>
            </w:tcMar>
          </w:tcPr>
          <w:p w:rsidR="005B5171" w:rsidRPr="005B5171" w:rsidRDefault="005B5171" w:rsidP="005B5171">
            <w:pPr>
              <w:rPr>
                <w:rFonts w:ascii="Segoe UI" w:hAnsi="Segoe UI" w:cs="Segoe UI"/>
              </w:rPr>
            </w:pPr>
            <w:r w:rsidRPr="005B5171">
              <w:rPr>
                <w:rFonts w:ascii="Segoe UI" w:hAnsi="Segoe UI" w:cs="Segoe UI"/>
              </w:rPr>
              <w:t>Central Highlands</w:t>
            </w:r>
          </w:p>
        </w:tc>
        <w:tc>
          <w:tcPr>
            <w:tcW w:w="360"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413</w:t>
            </w:r>
          </w:p>
        </w:tc>
        <w:tc>
          <w:tcPr>
            <w:tcW w:w="384"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1,358</w:t>
            </w:r>
          </w:p>
        </w:tc>
        <w:tc>
          <w:tcPr>
            <w:tcW w:w="38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3,544</w:t>
            </w:r>
          </w:p>
        </w:tc>
        <w:tc>
          <w:tcPr>
            <w:tcW w:w="384"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3,825</w:t>
            </w:r>
          </w:p>
        </w:tc>
        <w:tc>
          <w:tcPr>
            <w:tcW w:w="384"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3,451</w:t>
            </w:r>
          </w:p>
        </w:tc>
        <w:tc>
          <w:tcPr>
            <w:tcW w:w="38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2,459</w:t>
            </w:r>
          </w:p>
        </w:tc>
        <w:tc>
          <w:tcPr>
            <w:tcW w:w="384"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2,239</w:t>
            </w:r>
          </w:p>
        </w:tc>
        <w:tc>
          <w:tcPr>
            <w:tcW w:w="38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1,512</w:t>
            </w:r>
          </w:p>
        </w:tc>
        <w:tc>
          <w:tcPr>
            <w:tcW w:w="384"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2,998</w:t>
            </w:r>
          </w:p>
        </w:tc>
        <w:tc>
          <w:tcPr>
            <w:tcW w:w="38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2,262</w:t>
            </w:r>
          </w:p>
        </w:tc>
        <w:tc>
          <w:tcPr>
            <w:tcW w:w="384"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1,748</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5" w:type="pct"/>
            <w:tcMar>
              <w:left w:w="57" w:type="dxa"/>
              <w:right w:w="57" w:type="dxa"/>
            </w:tcMar>
          </w:tcPr>
          <w:p w:rsidR="005B5171" w:rsidRPr="005B5171" w:rsidRDefault="005B5171" w:rsidP="005B5171">
            <w:pPr>
              <w:rPr>
                <w:rFonts w:ascii="Segoe UI" w:hAnsi="Segoe UI" w:cs="Segoe UI"/>
              </w:rPr>
            </w:pPr>
            <w:r w:rsidRPr="005B5171">
              <w:rPr>
                <w:rFonts w:ascii="Segoe UI" w:hAnsi="Segoe UI" w:cs="Segoe UI"/>
              </w:rPr>
              <w:t>East Gippsland</w:t>
            </w:r>
          </w:p>
        </w:tc>
        <w:tc>
          <w:tcPr>
            <w:tcW w:w="360"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16,500</w:t>
            </w:r>
          </w:p>
        </w:tc>
        <w:tc>
          <w:tcPr>
            <w:tcW w:w="384"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186</w:t>
            </w:r>
          </w:p>
        </w:tc>
        <w:tc>
          <w:tcPr>
            <w:tcW w:w="385"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599</w:t>
            </w:r>
          </w:p>
        </w:tc>
        <w:tc>
          <w:tcPr>
            <w:tcW w:w="384"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1,942</w:t>
            </w:r>
          </w:p>
        </w:tc>
        <w:tc>
          <w:tcPr>
            <w:tcW w:w="384"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2,517</w:t>
            </w:r>
          </w:p>
        </w:tc>
        <w:tc>
          <w:tcPr>
            <w:tcW w:w="385"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1,554</w:t>
            </w:r>
          </w:p>
        </w:tc>
        <w:tc>
          <w:tcPr>
            <w:tcW w:w="384"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2,069</w:t>
            </w:r>
          </w:p>
        </w:tc>
        <w:tc>
          <w:tcPr>
            <w:tcW w:w="385"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2,238</w:t>
            </w:r>
          </w:p>
        </w:tc>
        <w:tc>
          <w:tcPr>
            <w:tcW w:w="384"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1,971</w:t>
            </w:r>
          </w:p>
        </w:tc>
        <w:tc>
          <w:tcPr>
            <w:tcW w:w="385"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83</w:t>
            </w:r>
          </w:p>
        </w:tc>
        <w:tc>
          <w:tcPr>
            <w:tcW w:w="384"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145</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5" w:type="pct"/>
            <w:tcMar>
              <w:left w:w="57" w:type="dxa"/>
              <w:right w:w="57" w:type="dxa"/>
            </w:tcMar>
          </w:tcPr>
          <w:p w:rsidR="005B5171" w:rsidRPr="005B5171" w:rsidRDefault="005B5171" w:rsidP="005B5171">
            <w:pPr>
              <w:rPr>
                <w:rFonts w:ascii="Segoe UI" w:hAnsi="Segoe UI" w:cs="Segoe UI"/>
              </w:rPr>
            </w:pPr>
            <w:r w:rsidRPr="005B5171">
              <w:rPr>
                <w:rFonts w:ascii="Segoe UI" w:hAnsi="Segoe UI" w:cs="Segoe UI"/>
              </w:rPr>
              <w:t>Gippsland</w:t>
            </w:r>
          </w:p>
        </w:tc>
        <w:tc>
          <w:tcPr>
            <w:tcW w:w="360"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446</w:t>
            </w:r>
          </w:p>
        </w:tc>
        <w:tc>
          <w:tcPr>
            <w:tcW w:w="384"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1,416</w:t>
            </w:r>
          </w:p>
        </w:tc>
        <w:tc>
          <w:tcPr>
            <w:tcW w:w="38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3,289</w:t>
            </w:r>
          </w:p>
        </w:tc>
        <w:tc>
          <w:tcPr>
            <w:tcW w:w="384"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3,326</w:t>
            </w:r>
          </w:p>
        </w:tc>
        <w:tc>
          <w:tcPr>
            <w:tcW w:w="384"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4,327</w:t>
            </w:r>
          </w:p>
        </w:tc>
        <w:tc>
          <w:tcPr>
            <w:tcW w:w="38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3,149</w:t>
            </w:r>
          </w:p>
        </w:tc>
        <w:tc>
          <w:tcPr>
            <w:tcW w:w="384"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2,356</w:t>
            </w:r>
          </w:p>
        </w:tc>
        <w:tc>
          <w:tcPr>
            <w:tcW w:w="38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1,808</w:t>
            </w:r>
          </w:p>
        </w:tc>
        <w:tc>
          <w:tcPr>
            <w:tcW w:w="384"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4,477</w:t>
            </w:r>
          </w:p>
        </w:tc>
        <w:tc>
          <w:tcPr>
            <w:tcW w:w="38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1,735</w:t>
            </w:r>
          </w:p>
        </w:tc>
        <w:tc>
          <w:tcPr>
            <w:tcW w:w="384"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1,116</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5" w:type="pct"/>
            <w:tcMar>
              <w:left w:w="57" w:type="dxa"/>
              <w:right w:w="57" w:type="dxa"/>
            </w:tcMar>
          </w:tcPr>
          <w:p w:rsidR="005B5171" w:rsidRPr="005B5171" w:rsidRDefault="005B5171" w:rsidP="005B5171">
            <w:pPr>
              <w:rPr>
                <w:rFonts w:ascii="Segoe UI" w:hAnsi="Segoe UI" w:cs="Segoe UI"/>
              </w:rPr>
            </w:pPr>
            <w:r w:rsidRPr="005B5171">
              <w:rPr>
                <w:rFonts w:ascii="Segoe UI" w:hAnsi="Segoe UI" w:cs="Segoe UI"/>
              </w:rPr>
              <w:t>North East</w:t>
            </w:r>
          </w:p>
        </w:tc>
        <w:tc>
          <w:tcPr>
            <w:tcW w:w="360"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947</w:t>
            </w:r>
          </w:p>
        </w:tc>
        <w:tc>
          <w:tcPr>
            <w:tcW w:w="384"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3,667</w:t>
            </w:r>
          </w:p>
        </w:tc>
        <w:tc>
          <w:tcPr>
            <w:tcW w:w="385"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8,627</w:t>
            </w:r>
          </w:p>
        </w:tc>
        <w:tc>
          <w:tcPr>
            <w:tcW w:w="384"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5,125</w:t>
            </w:r>
          </w:p>
        </w:tc>
        <w:tc>
          <w:tcPr>
            <w:tcW w:w="384"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5,442</w:t>
            </w:r>
          </w:p>
        </w:tc>
        <w:tc>
          <w:tcPr>
            <w:tcW w:w="385"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4,744</w:t>
            </w:r>
          </w:p>
        </w:tc>
        <w:tc>
          <w:tcPr>
            <w:tcW w:w="384"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3,870</w:t>
            </w:r>
          </w:p>
        </w:tc>
        <w:tc>
          <w:tcPr>
            <w:tcW w:w="385"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2,597</w:t>
            </w:r>
          </w:p>
        </w:tc>
        <w:tc>
          <w:tcPr>
            <w:tcW w:w="384"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9,425</w:t>
            </w:r>
          </w:p>
        </w:tc>
        <w:tc>
          <w:tcPr>
            <w:tcW w:w="385"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4,113</w:t>
            </w:r>
          </w:p>
        </w:tc>
        <w:tc>
          <w:tcPr>
            <w:tcW w:w="384"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2,414</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5" w:type="pct"/>
            <w:tcMar>
              <w:left w:w="57" w:type="dxa"/>
              <w:right w:w="57" w:type="dxa"/>
            </w:tcMar>
          </w:tcPr>
          <w:p w:rsidR="005B5171" w:rsidRPr="005B5171" w:rsidRDefault="005B5171" w:rsidP="005B5171">
            <w:pPr>
              <w:rPr>
                <w:rFonts w:ascii="Segoe UI" w:hAnsi="Segoe UI" w:cs="Segoe UI"/>
              </w:rPr>
            </w:pPr>
            <w:r w:rsidRPr="005B5171">
              <w:rPr>
                <w:rFonts w:ascii="Segoe UI" w:hAnsi="Segoe UI" w:cs="Segoe UI"/>
              </w:rPr>
              <w:t>West</w:t>
            </w:r>
          </w:p>
        </w:tc>
        <w:tc>
          <w:tcPr>
            <w:tcW w:w="360"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126</w:t>
            </w:r>
          </w:p>
        </w:tc>
        <w:tc>
          <w:tcPr>
            <w:tcW w:w="384"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656</w:t>
            </w:r>
          </w:p>
        </w:tc>
        <w:tc>
          <w:tcPr>
            <w:tcW w:w="38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1,576</w:t>
            </w:r>
          </w:p>
        </w:tc>
        <w:tc>
          <w:tcPr>
            <w:tcW w:w="384"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1,321</w:t>
            </w:r>
          </w:p>
        </w:tc>
        <w:tc>
          <w:tcPr>
            <w:tcW w:w="384"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1,187</w:t>
            </w:r>
          </w:p>
        </w:tc>
        <w:tc>
          <w:tcPr>
            <w:tcW w:w="38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1,582</w:t>
            </w:r>
          </w:p>
        </w:tc>
        <w:tc>
          <w:tcPr>
            <w:tcW w:w="384"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901</w:t>
            </w:r>
          </w:p>
        </w:tc>
        <w:tc>
          <w:tcPr>
            <w:tcW w:w="38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434</w:t>
            </w:r>
          </w:p>
        </w:tc>
        <w:tc>
          <w:tcPr>
            <w:tcW w:w="384"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2,475</w:t>
            </w:r>
          </w:p>
        </w:tc>
        <w:tc>
          <w:tcPr>
            <w:tcW w:w="38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1,255</w:t>
            </w:r>
          </w:p>
        </w:tc>
        <w:tc>
          <w:tcPr>
            <w:tcW w:w="384"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1,010</w:t>
            </w:r>
          </w:p>
        </w:tc>
      </w:tr>
      <w:tr w:rsidR="005B5171" w:rsidRPr="005B5171" w:rsidTr="000B1EFD">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5" w:type="pct"/>
            <w:tcMar>
              <w:left w:w="57" w:type="dxa"/>
              <w:right w:w="57" w:type="dxa"/>
            </w:tcMar>
          </w:tcPr>
          <w:p w:rsidR="005B5171" w:rsidRPr="005B5171" w:rsidRDefault="005B5171" w:rsidP="005B5171">
            <w:pPr>
              <w:rPr>
                <w:rFonts w:ascii="Segoe UI" w:hAnsi="Segoe UI" w:cs="Segoe UI"/>
              </w:rPr>
            </w:pPr>
            <w:r w:rsidRPr="005B5171">
              <w:rPr>
                <w:rFonts w:ascii="Segoe UI" w:hAnsi="Segoe UI" w:cs="Segoe UI"/>
              </w:rPr>
              <w:t>Total</w:t>
            </w:r>
          </w:p>
        </w:tc>
        <w:tc>
          <w:tcPr>
            <w:tcW w:w="360"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2,096</w:t>
            </w:r>
          </w:p>
        </w:tc>
        <w:tc>
          <w:tcPr>
            <w:tcW w:w="384"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7,284</w:t>
            </w:r>
          </w:p>
        </w:tc>
        <w:tc>
          <w:tcPr>
            <w:tcW w:w="385"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17,636</w:t>
            </w:r>
          </w:p>
        </w:tc>
        <w:tc>
          <w:tcPr>
            <w:tcW w:w="384"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15,540</w:t>
            </w:r>
          </w:p>
        </w:tc>
        <w:tc>
          <w:tcPr>
            <w:tcW w:w="384"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16,924</w:t>
            </w:r>
          </w:p>
        </w:tc>
        <w:tc>
          <w:tcPr>
            <w:tcW w:w="385"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13,488</w:t>
            </w:r>
          </w:p>
        </w:tc>
        <w:tc>
          <w:tcPr>
            <w:tcW w:w="384"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11,434</w:t>
            </w:r>
          </w:p>
        </w:tc>
        <w:tc>
          <w:tcPr>
            <w:tcW w:w="385"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8,589</w:t>
            </w:r>
          </w:p>
        </w:tc>
        <w:tc>
          <w:tcPr>
            <w:tcW w:w="384"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21,346</w:t>
            </w:r>
          </w:p>
        </w:tc>
        <w:tc>
          <w:tcPr>
            <w:tcW w:w="385"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9,449</w:t>
            </w:r>
          </w:p>
        </w:tc>
        <w:tc>
          <w:tcPr>
            <w:tcW w:w="384"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64,32</w:t>
            </w:r>
          </w:p>
        </w:tc>
      </w:tr>
    </w:tbl>
    <w:p w:rsidR="005B5171" w:rsidRPr="005B5171" w:rsidRDefault="005B5171" w:rsidP="005B5171">
      <w:pPr>
        <w:spacing w:before="80"/>
        <w:rPr>
          <w:rFonts w:ascii="Segoe UI" w:eastAsia="STZhongsong" w:hAnsi="Segoe UI" w:cs="Segoe UI"/>
          <w:bCs/>
          <w:sz w:val="18"/>
          <w:szCs w:val="18"/>
          <w:lang w:eastAsia="ko-KR"/>
        </w:rPr>
      </w:pPr>
      <w:bookmarkStart w:id="143" w:name="_Ref13937899"/>
      <w:r w:rsidRPr="005B5171">
        <w:rPr>
          <w:rFonts w:ascii="Segoe UI" w:eastAsia="STZhongsong" w:hAnsi="Segoe UI" w:cs="Segoe UI"/>
          <w:bCs/>
          <w:sz w:val="18"/>
          <w:szCs w:val="18"/>
          <w:lang w:eastAsia="ko-KR"/>
        </w:rPr>
        <w:t xml:space="preserve">Source: DELWP internal </w:t>
      </w:r>
      <w:proofErr w:type="spellStart"/>
      <w:r w:rsidRPr="005B5171">
        <w:rPr>
          <w:rFonts w:ascii="Segoe UI" w:eastAsia="STZhongsong" w:hAnsi="Segoe UI" w:cs="Segoe UI"/>
          <w:bCs/>
          <w:sz w:val="18"/>
          <w:szCs w:val="18"/>
          <w:lang w:eastAsia="ko-KR"/>
        </w:rPr>
        <w:t>Ensym</w:t>
      </w:r>
      <w:proofErr w:type="spellEnd"/>
      <w:r w:rsidRPr="005B5171">
        <w:rPr>
          <w:rFonts w:ascii="Segoe UI" w:eastAsia="STZhongsong" w:hAnsi="Segoe UI" w:cs="Segoe UI"/>
          <w:bCs/>
          <w:sz w:val="18"/>
          <w:szCs w:val="18"/>
          <w:lang w:eastAsia="ko-KR"/>
        </w:rPr>
        <w:t xml:space="preserve"> modelling</w:t>
      </w:r>
    </w:p>
    <w:p w:rsidR="005B5171" w:rsidRPr="005B5171" w:rsidRDefault="005B5171" w:rsidP="005B5171">
      <w:pPr>
        <w:spacing w:after="200" w:line="240" w:lineRule="auto"/>
        <w:rPr>
          <w:rFonts w:ascii="Segoe UI Semibold" w:eastAsia="Times New Roman" w:hAnsi="Segoe UI Semibold" w:cs="Times New Roman"/>
          <w:color w:val="016295"/>
        </w:rPr>
      </w:pPr>
      <w:bookmarkStart w:id="144" w:name="_Toc25660873"/>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91</w:t>
      </w:r>
      <w:r w:rsidRPr="005B5171">
        <w:rPr>
          <w:rFonts w:ascii="Segoe UI Semibold" w:eastAsia="Times New Roman" w:hAnsi="Segoe UI Semibold" w:cs="Times New Roman"/>
          <w:noProof/>
          <w:color w:val="016295"/>
        </w:rPr>
        <w:fldChar w:fldCharType="end"/>
      </w:r>
      <w:bookmarkEnd w:id="143"/>
      <w:r w:rsidRPr="005B5171">
        <w:rPr>
          <w:rFonts w:ascii="Segoe UI Semibold" w:eastAsia="Times New Roman" w:hAnsi="Segoe UI Semibold" w:cs="Times New Roman"/>
          <w:noProof/>
          <w:color w:val="016295"/>
        </w:rPr>
        <w:t>:</w:t>
      </w:r>
      <w:r w:rsidRPr="005B5171">
        <w:rPr>
          <w:rFonts w:ascii="Segoe UI Semibold" w:eastAsia="Times New Roman" w:hAnsi="Segoe UI Semibold" w:cs="Times New Roman"/>
          <w:color w:val="016295"/>
        </w:rPr>
        <w:t xml:space="preserve"> Value of water yield from forest areas by RFA region ($ ‘000’000)</w:t>
      </w:r>
      <w:bookmarkEnd w:id="144"/>
    </w:p>
    <w:tbl>
      <w:tblPr>
        <w:tblStyle w:val="xTable2"/>
        <w:tblW w:w="5000" w:type="pct"/>
        <w:tblLook w:val="04E0" w:firstRow="1" w:lastRow="1" w:firstColumn="1" w:lastColumn="0" w:noHBand="0" w:noVBand="1"/>
      </w:tblPr>
      <w:tblGrid>
        <w:gridCol w:w="2492"/>
        <w:gridCol w:w="1151"/>
        <w:gridCol w:w="1151"/>
        <w:gridCol w:w="1151"/>
        <w:gridCol w:w="1151"/>
        <w:gridCol w:w="959"/>
        <w:gridCol w:w="959"/>
        <w:gridCol w:w="959"/>
        <w:gridCol w:w="1151"/>
        <w:gridCol w:w="1341"/>
        <w:gridCol w:w="1151"/>
        <w:gridCol w:w="956"/>
      </w:tblGrid>
      <w:tr w:rsidR="005B5171" w:rsidRPr="005B5171" w:rsidTr="000B1EF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855" w:type="pct"/>
            <w:tcMar>
              <w:left w:w="57" w:type="dxa"/>
              <w:right w:w="57" w:type="dxa"/>
            </w:tcMar>
          </w:tcPr>
          <w:p w:rsidR="005B5171" w:rsidRPr="005B5171" w:rsidRDefault="005B5171" w:rsidP="005B5171">
            <w:pPr>
              <w:rPr>
                <w:rFonts w:ascii="Segoe UI" w:hAnsi="Segoe UI" w:cs="Segoe UI"/>
              </w:rPr>
            </w:pPr>
            <w:r w:rsidRPr="005B5171">
              <w:rPr>
                <w:rFonts w:ascii="Segoe UI" w:hAnsi="Segoe UI" w:cs="Segoe UI"/>
              </w:rPr>
              <w:t>RFA region</w:t>
            </w:r>
          </w:p>
        </w:tc>
        <w:tc>
          <w:tcPr>
            <w:tcW w:w="395" w:type="pct"/>
            <w:tcMar>
              <w:left w:w="57" w:type="dxa"/>
              <w:right w:w="57" w:type="dxa"/>
            </w:tcMar>
            <w:hideMark/>
          </w:tcPr>
          <w:p w:rsidR="005B5171" w:rsidRPr="005B5171" w:rsidRDefault="005B5171" w:rsidP="005B5171">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2008</w:t>
            </w:r>
          </w:p>
        </w:tc>
        <w:tc>
          <w:tcPr>
            <w:tcW w:w="395" w:type="pct"/>
            <w:tcMar>
              <w:left w:w="57" w:type="dxa"/>
              <w:right w:w="57" w:type="dxa"/>
            </w:tcMar>
            <w:hideMark/>
          </w:tcPr>
          <w:p w:rsidR="005B5171" w:rsidRPr="005B5171" w:rsidRDefault="005B5171" w:rsidP="005B5171">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2009</w:t>
            </w:r>
          </w:p>
        </w:tc>
        <w:tc>
          <w:tcPr>
            <w:tcW w:w="395" w:type="pct"/>
            <w:tcMar>
              <w:left w:w="57" w:type="dxa"/>
              <w:right w:w="57" w:type="dxa"/>
            </w:tcMar>
            <w:hideMark/>
          </w:tcPr>
          <w:p w:rsidR="005B5171" w:rsidRPr="005B5171" w:rsidRDefault="005B5171" w:rsidP="005B5171">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2010</w:t>
            </w:r>
          </w:p>
        </w:tc>
        <w:tc>
          <w:tcPr>
            <w:tcW w:w="395" w:type="pct"/>
            <w:tcMar>
              <w:left w:w="57" w:type="dxa"/>
              <w:right w:w="57" w:type="dxa"/>
            </w:tcMar>
            <w:hideMark/>
          </w:tcPr>
          <w:p w:rsidR="005B5171" w:rsidRPr="005B5171" w:rsidRDefault="005B5171" w:rsidP="005B5171">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2011</w:t>
            </w:r>
          </w:p>
        </w:tc>
        <w:tc>
          <w:tcPr>
            <w:tcW w:w="329" w:type="pct"/>
            <w:tcMar>
              <w:left w:w="57" w:type="dxa"/>
              <w:right w:w="57" w:type="dxa"/>
            </w:tcMar>
            <w:hideMark/>
          </w:tcPr>
          <w:p w:rsidR="005B5171" w:rsidRPr="005B5171" w:rsidRDefault="005B5171" w:rsidP="005B5171">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2012</w:t>
            </w:r>
          </w:p>
        </w:tc>
        <w:tc>
          <w:tcPr>
            <w:tcW w:w="329" w:type="pct"/>
            <w:tcMar>
              <w:left w:w="57" w:type="dxa"/>
              <w:right w:w="57" w:type="dxa"/>
            </w:tcMar>
            <w:hideMark/>
          </w:tcPr>
          <w:p w:rsidR="005B5171" w:rsidRPr="005B5171" w:rsidRDefault="005B5171" w:rsidP="005B5171">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2013</w:t>
            </w:r>
          </w:p>
        </w:tc>
        <w:tc>
          <w:tcPr>
            <w:tcW w:w="329" w:type="pct"/>
            <w:tcMar>
              <w:left w:w="57" w:type="dxa"/>
              <w:right w:w="57" w:type="dxa"/>
            </w:tcMar>
            <w:hideMark/>
          </w:tcPr>
          <w:p w:rsidR="005B5171" w:rsidRPr="005B5171" w:rsidRDefault="005B5171" w:rsidP="005B5171">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2014</w:t>
            </w:r>
          </w:p>
        </w:tc>
        <w:tc>
          <w:tcPr>
            <w:tcW w:w="395" w:type="pct"/>
            <w:tcMar>
              <w:left w:w="57" w:type="dxa"/>
              <w:right w:w="57" w:type="dxa"/>
            </w:tcMar>
            <w:hideMark/>
          </w:tcPr>
          <w:p w:rsidR="005B5171" w:rsidRPr="005B5171" w:rsidRDefault="005B5171" w:rsidP="005B5171">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2015</w:t>
            </w:r>
          </w:p>
        </w:tc>
        <w:tc>
          <w:tcPr>
            <w:tcW w:w="460" w:type="pct"/>
            <w:tcMar>
              <w:left w:w="57" w:type="dxa"/>
              <w:right w:w="57" w:type="dxa"/>
            </w:tcMar>
            <w:hideMark/>
          </w:tcPr>
          <w:p w:rsidR="005B5171" w:rsidRPr="005B5171" w:rsidRDefault="005B5171" w:rsidP="005B5171">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2016</w:t>
            </w:r>
          </w:p>
        </w:tc>
        <w:tc>
          <w:tcPr>
            <w:tcW w:w="395" w:type="pct"/>
            <w:tcMar>
              <w:left w:w="57" w:type="dxa"/>
              <w:right w:w="57" w:type="dxa"/>
            </w:tcMar>
            <w:hideMark/>
          </w:tcPr>
          <w:p w:rsidR="005B5171" w:rsidRPr="005B5171" w:rsidRDefault="005B5171" w:rsidP="005B5171">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2017</w:t>
            </w:r>
          </w:p>
        </w:tc>
        <w:tc>
          <w:tcPr>
            <w:tcW w:w="329" w:type="pct"/>
            <w:tcMar>
              <w:left w:w="57" w:type="dxa"/>
              <w:right w:w="57" w:type="dxa"/>
            </w:tcMar>
            <w:hideMark/>
          </w:tcPr>
          <w:p w:rsidR="005B5171" w:rsidRPr="005B5171" w:rsidRDefault="005B5171" w:rsidP="005B5171">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2018</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5" w:type="pct"/>
            <w:tcMar>
              <w:left w:w="57" w:type="dxa"/>
              <w:right w:w="57" w:type="dxa"/>
            </w:tcMar>
          </w:tcPr>
          <w:p w:rsidR="005B5171" w:rsidRPr="005B5171" w:rsidRDefault="005B5171" w:rsidP="005B5171">
            <w:pPr>
              <w:rPr>
                <w:rFonts w:ascii="Segoe UI" w:hAnsi="Segoe UI" w:cs="Segoe UI"/>
                <w:sz w:val="18"/>
                <w:szCs w:val="18"/>
              </w:rPr>
            </w:pPr>
            <w:r w:rsidRPr="005B5171">
              <w:rPr>
                <w:rFonts w:ascii="Segoe UI" w:hAnsi="Segoe UI" w:cs="Segoe UI"/>
                <w:sz w:val="18"/>
                <w:szCs w:val="18"/>
              </w:rPr>
              <w:t>Central Highlands</w:t>
            </w:r>
          </w:p>
        </w:tc>
        <w:tc>
          <w:tcPr>
            <w:tcW w:w="39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114</w:t>
            </w:r>
          </w:p>
        </w:tc>
        <w:tc>
          <w:tcPr>
            <w:tcW w:w="39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390</w:t>
            </w:r>
          </w:p>
        </w:tc>
        <w:tc>
          <w:tcPr>
            <w:tcW w:w="39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645</w:t>
            </w:r>
          </w:p>
        </w:tc>
        <w:tc>
          <w:tcPr>
            <w:tcW w:w="39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508</w:t>
            </w:r>
          </w:p>
        </w:tc>
        <w:tc>
          <w:tcPr>
            <w:tcW w:w="329"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450</w:t>
            </w:r>
          </w:p>
        </w:tc>
        <w:tc>
          <w:tcPr>
            <w:tcW w:w="329"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330</w:t>
            </w:r>
          </w:p>
        </w:tc>
        <w:tc>
          <w:tcPr>
            <w:tcW w:w="329"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317</w:t>
            </w:r>
          </w:p>
        </w:tc>
        <w:tc>
          <w:tcPr>
            <w:tcW w:w="39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277</w:t>
            </w:r>
          </w:p>
        </w:tc>
        <w:tc>
          <w:tcPr>
            <w:tcW w:w="460"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685</w:t>
            </w:r>
          </w:p>
        </w:tc>
        <w:tc>
          <w:tcPr>
            <w:tcW w:w="39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264</w:t>
            </w:r>
          </w:p>
        </w:tc>
        <w:tc>
          <w:tcPr>
            <w:tcW w:w="329"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311</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5" w:type="pct"/>
            <w:tcMar>
              <w:left w:w="57" w:type="dxa"/>
              <w:right w:w="57" w:type="dxa"/>
            </w:tcMar>
          </w:tcPr>
          <w:p w:rsidR="005B5171" w:rsidRPr="005B5171" w:rsidRDefault="005B5171" w:rsidP="005B5171">
            <w:pPr>
              <w:rPr>
                <w:rFonts w:ascii="Segoe UI" w:hAnsi="Segoe UI" w:cs="Segoe UI"/>
                <w:sz w:val="18"/>
                <w:szCs w:val="18"/>
              </w:rPr>
            </w:pPr>
            <w:r w:rsidRPr="005B5171">
              <w:rPr>
                <w:rFonts w:ascii="Segoe UI" w:hAnsi="Segoe UI" w:cs="Segoe UI"/>
                <w:sz w:val="18"/>
                <w:szCs w:val="18"/>
              </w:rPr>
              <w:t>East Gippsland</w:t>
            </w:r>
          </w:p>
        </w:tc>
        <w:tc>
          <w:tcPr>
            <w:tcW w:w="395"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10</w:t>
            </w:r>
          </w:p>
        </w:tc>
        <w:tc>
          <w:tcPr>
            <w:tcW w:w="395"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12</w:t>
            </w:r>
          </w:p>
        </w:tc>
        <w:tc>
          <w:tcPr>
            <w:tcW w:w="395"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37</w:t>
            </w:r>
          </w:p>
        </w:tc>
        <w:tc>
          <w:tcPr>
            <w:tcW w:w="395"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120</w:t>
            </w:r>
          </w:p>
        </w:tc>
        <w:tc>
          <w:tcPr>
            <w:tcW w:w="329"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156</w:t>
            </w:r>
          </w:p>
        </w:tc>
        <w:tc>
          <w:tcPr>
            <w:tcW w:w="329"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116</w:t>
            </w:r>
          </w:p>
        </w:tc>
        <w:tc>
          <w:tcPr>
            <w:tcW w:w="329"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76</w:t>
            </w:r>
          </w:p>
        </w:tc>
        <w:tc>
          <w:tcPr>
            <w:tcW w:w="395"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123</w:t>
            </w:r>
          </w:p>
        </w:tc>
        <w:tc>
          <w:tcPr>
            <w:tcW w:w="460"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158</w:t>
            </w:r>
          </w:p>
        </w:tc>
        <w:tc>
          <w:tcPr>
            <w:tcW w:w="395"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4</w:t>
            </w:r>
          </w:p>
        </w:tc>
        <w:tc>
          <w:tcPr>
            <w:tcW w:w="329"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11</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5" w:type="pct"/>
            <w:tcMar>
              <w:left w:w="57" w:type="dxa"/>
              <w:right w:w="57" w:type="dxa"/>
            </w:tcMar>
          </w:tcPr>
          <w:p w:rsidR="005B5171" w:rsidRPr="005B5171" w:rsidRDefault="005B5171" w:rsidP="005B5171">
            <w:pPr>
              <w:rPr>
                <w:rFonts w:ascii="Segoe UI" w:hAnsi="Segoe UI" w:cs="Segoe UI"/>
                <w:sz w:val="18"/>
                <w:szCs w:val="18"/>
              </w:rPr>
            </w:pPr>
            <w:r w:rsidRPr="005B5171">
              <w:rPr>
                <w:rFonts w:ascii="Segoe UI" w:hAnsi="Segoe UI" w:cs="Segoe UI"/>
                <w:sz w:val="18"/>
                <w:szCs w:val="18"/>
              </w:rPr>
              <w:t>Gippsland</w:t>
            </w:r>
          </w:p>
        </w:tc>
        <w:tc>
          <w:tcPr>
            <w:tcW w:w="39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59</w:t>
            </w:r>
          </w:p>
        </w:tc>
        <w:tc>
          <w:tcPr>
            <w:tcW w:w="39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214</w:t>
            </w:r>
          </w:p>
        </w:tc>
        <w:tc>
          <w:tcPr>
            <w:tcW w:w="39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358</w:t>
            </w:r>
          </w:p>
        </w:tc>
        <w:tc>
          <w:tcPr>
            <w:tcW w:w="39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216</w:t>
            </w:r>
          </w:p>
        </w:tc>
        <w:tc>
          <w:tcPr>
            <w:tcW w:w="329"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262</w:t>
            </w:r>
          </w:p>
        </w:tc>
        <w:tc>
          <w:tcPr>
            <w:tcW w:w="329"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258</w:t>
            </w:r>
          </w:p>
        </w:tc>
        <w:tc>
          <w:tcPr>
            <w:tcW w:w="329"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168</w:t>
            </w:r>
          </w:p>
        </w:tc>
        <w:tc>
          <w:tcPr>
            <w:tcW w:w="39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144</w:t>
            </w:r>
          </w:p>
        </w:tc>
        <w:tc>
          <w:tcPr>
            <w:tcW w:w="460"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604</w:t>
            </w:r>
          </w:p>
        </w:tc>
        <w:tc>
          <w:tcPr>
            <w:tcW w:w="39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113</w:t>
            </w:r>
          </w:p>
        </w:tc>
        <w:tc>
          <w:tcPr>
            <w:tcW w:w="329"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95</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5" w:type="pct"/>
            <w:tcMar>
              <w:left w:w="57" w:type="dxa"/>
              <w:right w:w="57" w:type="dxa"/>
            </w:tcMar>
          </w:tcPr>
          <w:p w:rsidR="005B5171" w:rsidRPr="005B5171" w:rsidRDefault="005B5171" w:rsidP="005B5171">
            <w:pPr>
              <w:rPr>
                <w:rFonts w:ascii="Segoe UI" w:hAnsi="Segoe UI" w:cs="Segoe UI"/>
                <w:sz w:val="18"/>
                <w:szCs w:val="18"/>
              </w:rPr>
            </w:pPr>
            <w:r w:rsidRPr="005B5171">
              <w:rPr>
                <w:rFonts w:ascii="Segoe UI" w:hAnsi="Segoe UI" w:cs="Segoe UI"/>
                <w:sz w:val="18"/>
                <w:szCs w:val="18"/>
              </w:rPr>
              <w:t>North East</w:t>
            </w:r>
          </w:p>
        </w:tc>
        <w:tc>
          <w:tcPr>
            <w:tcW w:w="395"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212</w:t>
            </w:r>
          </w:p>
        </w:tc>
        <w:tc>
          <w:tcPr>
            <w:tcW w:w="395"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837</w:t>
            </w:r>
          </w:p>
        </w:tc>
        <w:tc>
          <w:tcPr>
            <w:tcW w:w="395"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1,060</w:t>
            </w:r>
          </w:p>
        </w:tc>
        <w:tc>
          <w:tcPr>
            <w:tcW w:w="395"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205</w:t>
            </w:r>
          </w:p>
        </w:tc>
        <w:tc>
          <w:tcPr>
            <w:tcW w:w="329"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196</w:t>
            </w:r>
          </w:p>
        </w:tc>
        <w:tc>
          <w:tcPr>
            <w:tcW w:w="329"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265</w:t>
            </w:r>
          </w:p>
        </w:tc>
        <w:tc>
          <w:tcPr>
            <w:tcW w:w="329"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234</w:t>
            </w:r>
          </w:p>
        </w:tc>
        <w:tc>
          <w:tcPr>
            <w:tcW w:w="395"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249</w:t>
            </w:r>
          </w:p>
        </w:tc>
        <w:tc>
          <w:tcPr>
            <w:tcW w:w="460"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1,636</w:t>
            </w:r>
          </w:p>
        </w:tc>
        <w:tc>
          <w:tcPr>
            <w:tcW w:w="395"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201</w:t>
            </w:r>
          </w:p>
        </w:tc>
        <w:tc>
          <w:tcPr>
            <w:tcW w:w="329" w:type="pct"/>
            <w:tcMar>
              <w:left w:w="57" w:type="dxa"/>
              <w:right w:w="57" w:type="dxa"/>
            </w:tcMar>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r w:rsidRPr="005B5171">
              <w:rPr>
                <w:rFonts w:ascii="Segoe UI" w:hAnsi="Segoe UI" w:cs="Segoe UI"/>
              </w:rPr>
              <w:t>261</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5" w:type="pct"/>
            <w:tcMar>
              <w:left w:w="57" w:type="dxa"/>
              <w:right w:w="57" w:type="dxa"/>
            </w:tcMar>
          </w:tcPr>
          <w:p w:rsidR="005B5171" w:rsidRPr="005B5171" w:rsidRDefault="005B5171" w:rsidP="005B5171">
            <w:pPr>
              <w:rPr>
                <w:rFonts w:ascii="Segoe UI" w:hAnsi="Segoe UI" w:cs="Segoe UI"/>
                <w:sz w:val="18"/>
                <w:szCs w:val="18"/>
              </w:rPr>
            </w:pPr>
            <w:r w:rsidRPr="005B5171">
              <w:rPr>
                <w:rFonts w:ascii="Segoe UI" w:hAnsi="Segoe UI" w:cs="Segoe UI"/>
                <w:sz w:val="18"/>
                <w:szCs w:val="18"/>
              </w:rPr>
              <w:t>West</w:t>
            </w:r>
          </w:p>
        </w:tc>
        <w:tc>
          <w:tcPr>
            <w:tcW w:w="39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13</w:t>
            </w:r>
          </w:p>
        </w:tc>
        <w:tc>
          <w:tcPr>
            <w:tcW w:w="39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63</w:t>
            </w:r>
          </w:p>
        </w:tc>
        <w:tc>
          <w:tcPr>
            <w:tcW w:w="39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156</w:t>
            </w:r>
          </w:p>
        </w:tc>
        <w:tc>
          <w:tcPr>
            <w:tcW w:w="39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119</w:t>
            </w:r>
          </w:p>
        </w:tc>
        <w:tc>
          <w:tcPr>
            <w:tcW w:w="329"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102</w:t>
            </w:r>
          </w:p>
        </w:tc>
        <w:tc>
          <w:tcPr>
            <w:tcW w:w="329"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127</w:t>
            </w:r>
          </w:p>
        </w:tc>
        <w:tc>
          <w:tcPr>
            <w:tcW w:w="329"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57</w:t>
            </w:r>
          </w:p>
        </w:tc>
        <w:tc>
          <w:tcPr>
            <w:tcW w:w="39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33</w:t>
            </w:r>
          </w:p>
        </w:tc>
        <w:tc>
          <w:tcPr>
            <w:tcW w:w="460"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346</w:t>
            </w:r>
          </w:p>
        </w:tc>
        <w:tc>
          <w:tcPr>
            <w:tcW w:w="395"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69</w:t>
            </w:r>
          </w:p>
        </w:tc>
        <w:tc>
          <w:tcPr>
            <w:tcW w:w="329" w:type="pct"/>
            <w:tcMar>
              <w:left w:w="57" w:type="dxa"/>
              <w:right w:w="57" w:type="dxa"/>
            </w:tcMar>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5B5171">
              <w:rPr>
                <w:rFonts w:ascii="Segoe UI" w:hAnsi="Segoe UI" w:cs="Segoe UI"/>
              </w:rPr>
              <w:t>96</w:t>
            </w:r>
          </w:p>
        </w:tc>
      </w:tr>
      <w:tr w:rsidR="005B5171" w:rsidRPr="005B5171" w:rsidTr="000B1EFD">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5" w:type="pct"/>
            <w:tcMar>
              <w:left w:w="57" w:type="dxa"/>
              <w:right w:w="57" w:type="dxa"/>
            </w:tcMar>
          </w:tcPr>
          <w:p w:rsidR="005B5171" w:rsidRPr="005B5171" w:rsidRDefault="005B5171" w:rsidP="005B5171">
            <w:pPr>
              <w:rPr>
                <w:rFonts w:ascii="Segoe UI" w:hAnsi="Segoe UI" w:cs="Segoe UI"/>
                <w:sz w:val="18"/>
                <w:szCs w:val="18"/>
              </w:rPr>
            </w:pPr>
            <w:r w:rsidRPr="005B5171">
              <w:rPr>
                <w:rFonts w:ascii="Segoe UI" w:hAnsi="Segoe UI" w:cs="Segoe UI"/>
                <w:sz w:val="18"/>
                <w:szCs w:val="18"/>
              </w:rPr>
              <w:t>Total</w:t>
            </w:r>
          </w:p>
        </w:tc>
        <w:tc>
          <w:tcPr>
            <w:tcW w:w="395"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sz w:val="18"/>
                <w:szCs w:val="18"/>
              </w:rPr>
            </w:pPr>
            <w:r w:rsidRPr="005B5171">
              <w:rPr>
                <w:rFonts w:ascii="Segoe UI" w:hAnsi="Segoe UI" w:cs="Segoe UI"/>
              </w:rPr>
              <w:t>408</w:t>
            </w:r>
          </w:p>
        </w:tc>
        <w:tc>
          <w:tcPr>
            <w:tcW w:w="395"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sz w:val="18"/>
                <w:szCs w:val="18"/>
              </w:rPr>
            </w:pPr>
            <w:r w:rsidRPr="005B5171">
              <w:rPr>
                <w:rFonts w:ascii="Segoe UI" w:hAnsi="Segoe UI" w:cs="Segoe UI"/>
              </w:rPr>
              <w:t>1,515</w:t>
            </w:r>
          </w:p>
        </w:tc>
        <w:tc>
          <w:tcPr>
            <w:tcW w:w="395"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sz w:val="18"/>
                <w:szCs w:val="18"/>
              </w:rPr>
            </w:pPr>
            <w:r w:rsidRPr="005B5171">
              <w:rPr>
                <w:rFonts w:ascii="Segoe UI" w:hAnsi="Segoe UI" w:cs="Segoe UI"/>
              </w:rPr>
              <w:t>2,256</w:t>
            </w:r>
          </w:p>
        </w:tc>
        <w:tc>
          <w:tcPr>
            <w:tcW w:w="395"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sz w:val="18"/>
                <w:szCs w:val="18"/>
              </w:rPr>
            </w:pPr>
            <w:r w:rsidRPr="005B5171">
              <w:rPr>
                <w:rFonts w:ascii="Segoe UI" w:hAnsi="Segoe UI" w:cs="Segoe UI"/>
              </w:rPr>
              <w:t>1,168</w:t>
            </w:r>
          </w:p>
        </w:tc>
        <w:tc>
          <w:tcPr>
            <w:tcW w:w="329"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sz w:val="18"/>
                <w:szCs w:val="18"/>
              </w:rPr>
            </w:pPr>
            <w:r w:rsidRPr="005B5171">
              <w:rPr>
                <w:rFonts w:ascii="Segoe UI" w:hAnsi="Segoe UI" w:cs="Segoe UI"/>
              </w:rPr>
              <w:t>1,165</w:t>
            </w:r>
          </w:p>
        </w:tc>
        <w:tc>
          <w:tcPr>
            <w:tcW w:w="329"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sz w:val="18"/>
                <w:szCs w:val="18"/>
              </w:rPr>
            </w:pPr>
            <w:r w:rsidRPr="005B5171">
              <w:rPr>
                <w:rFonts w:ascii="Segoe UI" w:hAnsi="Segoe UI" w:cs="Segoe UI"/>
              </w:rPr>
              <w:t>1,096</w:t>
            </w:r>
          </w:p>
        </w:tc>
        <w:tc>
          <w:tcPr>
            <w:tcW w:w="329"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sz w:val="18"/>
                <w:szCs w:val="18"/>
              </w:rPr>
            </w:pPr>
            <w:r w:rsidRPr="005B5171">
              <w:rPr>
                <w:rFonts w:ascii="Segoe UI" w:hAnsi="Segoe UI" w:cs="Segoe UI"/>
              </w:rPr>
              <w:t>852</w:t>
            </w:r>
          </w:p>
        </w:tc>
        <w:tc>
          <w:tcPr>
            <w:tcW w:w="395"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sz w:val="18"/>
                <w:szCs w:val="18"/>
              </w:rPr>
            </w:pPr>
            <w:r w:rsidRPr="005B5171">
              <w:rPr>
                <w:rFonts w:ascii="Segoe UI" w:hAnsi="Segoe UI" w:cs="Segoe UI"/>
              </w:rPr>
              <w:t>826</w:t>
            </w:r>
          </w:p>
        </w:tc>
        <w:tc>
          <w:tcPr>
            <w:tcW w:w="460"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sz w:val="18"/>
                <w:szCs w:val="18"/>
              </w:rPr>
            </w:pPr>
            <w:r w:rsidRPr="005B5171">
              <w:rPr>
                <w:rFonts w:ascii="Segoe UI" w:hAnsi="Segoe UI" w:cs="Segoe UI"/>
              </w:rPr>
              <w:t>3,429</w:t>
            </w:r>
          </w:p>
        </w:tc>
        <w:tc>
          <w:tcPr>
            <w:tcW w:w="395"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sz w:val="18"/>
                <w:szCs w:val="18"/>
              </w:rPr>
            </w:pPr>
            <w:r w:rsidRPr="005B5171">
              <w:rPr>
                <w:rFonts w:ascii="Segoe UI" w:hAnsi="Segoe UI" w:cs="Segoe UI"/>
              </w:rPr>
              <w:t>651</w:t>
            </w:r>
          </w:p>
        </w:tc>
        <w:tc>
          <w:tcPr>
            <w:tcW w:w="329" w:type="pct"/>
            <w:tcMar>
              <w:left w:w="57" w:type="dxa"/>
              <w:right w:w="57" w:type="dxa"/>
            </w:tcMar>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sz w:val="18"/>
                <w:szCs w:val="18"/>
              </w:rPr>
            </w:pPr>
            <w:r w:rsidRPr="005B5171">
              <w:rPr>
                <w:rFonts w:ascii="Segoe UI" w:hAnsi="Segoe UI" w:cs="Segoe UI"/>
              </w:rPr>
              <w:t>774</w:t>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DELWP internal </w:t>
      </w:r>
      <w:proofErr w:type="spellStart"/>
      <w:r w:rsidRPr="005B5171">
        <w:rPr>
          <w:rFonts w:ascii="Segoe UI" w:eastAsia="STZhongsong" w:hAnsi="Segoe UI" w:cs="Segoe UI"/>
          <w:bCs/>
          <w:sz w:val="18"/>
          <w:szCs w:val="18"/>
          <w:lang w:eastAsia="ko-KR"/>
        </w:rPr>
        <w:t>Ensym</w:t>
      </w:r>
      <w:proofErr w:type="spellEnd"/>
      <w:r w:rsidRPr="005B5171">
        <w:rPr>
          <w:rFonts w:ascii="Segoe UI" w:eastAsia="STZhongsong" w:hAnsi="Segoe UI" w:cs="Segoe UI"/>
          <w:bCs/>
          <w:sz w:val="18"/>
          <w:szCs w:val="18"/>
          <w:lang w:eastAsia="ko-KR"/>
        </w:rPr>
        <w:t xml:space="preserve"> modelling</w:t>
      </w:r>
    </w:p>
    <w:p w:rsidR="005B5171" w:rsidRPr="005B5171" w:rsidRDefault="005B5171" w:rsidP="005B5171">
      <w:pPr>
        <w:rPr>
          <w:rFonts w:ascii="Segoe UI" w:hAnsi="Segoe UI" w:cs="Segoe UI"/>
        </w:rPr>
      </w:pPr>
    </w:p>
    <w:p w:rsidR="005B5171" w:rsidRPr="005B5171" w:rsidRDefault="005B5171" w:rsidP="005B5171">
      <w:pPr>
        <w:rPr>
          <w:rFonts w:ascii="Segoe UI" w:hAnsi="Segoe UI" w:cs="Segoe UI"/>
        </w:rPr>
        <w:sectPr w:rsidR="005B5171" w:rsidRPr="005B5171" w:rsidSect="000749BE">
          <w:pgSz w:w="16840" w:h="11907" w:orient="landscape"/>
          <w:pgMar w:top="851" w:right="1134" w:bottom="851" w:left="1134" w:header="284" w:footer="579" w:gutter="0"/>
          <w:cols w:space="720"/>
        </w:sectPr>
      </w:pPr>
    </w:p>
    <w:p w:rsidR="005B5171" w:rsidRPr="005B5171" w:rsidRDefault="005B5171" w:rsidP="005B5171">
      <w:pPr>
        <w:keepNext/>
        <w:spacing w:before="120" w:after="120" w:line="240" w:lineRule="auto"/>
        <w:jc w:val="both"/>
        <w:outlineLvl w:val="3"/>
        <w:rPr>
          <w:rFonts w:ascii="Segoe UI" w:hAnsi="Segoe UI" w:cs="Segoe UI"/>
          <w:i/>
          <w:sz w:val="24"/>
          <w:szCs w:val="24"/>
        </w:rPr>
      </w:pPr>
      <w:r w:rsidRPr="005B5171">
        <w:rPr>
          <w:rFonts w:ascii="Segoe UI" w:hAnsi="Segoe UI" w:cs="Segoe UI"/>
          <w:i/>
          <w:sz w:val="24"/>
          <w:szCs w:val="24"/>
        </w:rPr>
        <w:t>Water quality regulation (erosion prevention)</w:t>
      </w:r>
    </w:p>
    <w:p w:rsidR="005B5171" w:rsidRPr="005B5171" w:rsidRDefault="005B5171" w:rsidP="005B5171">
      <w:pPr>
        <w:jc w:val="both"/>
        <w:rPr>
          <w:rFonts w:ascii="Segoe UI" w:hAnsi="Segoe UI" w:cs="Segoe UI"/>
        </w:rPr>
      </w:pPr>
      <w:r w:rsidRPr="005B5171">
        <w:rPr>
          <w:rFonts w:ascii="Segoe UI" w:hAnsi="Segoe UI" w:cs="Segoe UI"/>
        </w:rPr>
        <w:t xml:space="preserve">Forests improve water quality by naturally filtering and purifying it, reducing the amount of soil sediment, pollutants and organic matter that would otherwise reach waterways. In this study, the service forests provide in preventing erosion is assessed. To do this, a counterfactual scenario is constructed where forests do not exist and landcover is pasture. This allows assessment of how much sediment is eroded under the forest scenario compared to the no-forest counterfactual.   </w:t>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Quantification of service</w:t>
      </w:r>
    </w:p>
    <w:p w:rsidR="005B5171" w:rsidRPr="005B5171" w:rsidRDefault="005B5171" w:rsidP="005B5171">
      <w:pPr>
        <w:jc w:val="both"/>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REF _Ref13939316 \h  \* MERGEFORMAT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Figure 48</w:t>
      </w:r>
      <w:r w:rsidRPr="005B5171">
        <w:rPr>
          <w:rFonts w:ascii="Segoe UI" w:hAnsi="Segoe UI" w:cs="Segoe UI"/>
        </w:rPr>
        <w:fldChar w:fldCharType="end"/>
      </w:r>
      <w:r w:rsidRPr="005B5171">
        <w:rPr>
          <w:rFonts w:ascii="Segoe UI" w:hAnsi="Segoe UI" w:cs="Segoe UI"/>
        </w:rPr>
        <w:t xml:space="preserve"> shows average annual erosion (for the modelled time period of 2008 to 2018) across Victoria’s RFA regions for both forest and non-forest areas. Yield ranges from less than 0.1 tonne of sediment per hectare per year in large parts of the state to more than 5 tonnes per hectare  per year in some small areas of the North East.</w:t>
      </w:r>
    </w:p>
    <w:p w:rsidR="005B5171" w:rsidRPr="005B5171" w:rsidRDefault="005B5171" w:rsidP="005B5171">
      <w:pPr>
        <w:jc w:val="both"/>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REF _Ref13939318 \h  \* MERGEFORMAT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Figure 49</w:t>
      </w:r>
      <w:r w:rsidRPr="005B5171">
        <w:rPr>
          <w:rFonts w:ascii="Segoe UI" w:hAnsi="Segoe UI" w:cs="Segoe UI"/>
        </w:rPr>
        <w:fldChar w:fldCharType="end"/>
      </w:r>
      <w:r w:rsidRPr="005B5171">
        <w:rPr>
          <w:rFonts w:ascii="Segoe UI" w:hAnsi="Segoe UI" w:cs="Segoe UI"/>
        </w:rPr>
        <w:t xml:space="preserve"> shows the increase in average annual erosion that occurs under a counterfactual scenario where forests do not exist and landcover is pasture. The modelled increase in erosion ranges from 0 to more than 5 tonnes of sediment per hectare  per year. There are significant increases in erosion in parts of the North East and Gippsland RFA regions (alpine area and Wilsons Promontory) as well as the Central Highlands and East Gippsland RFA regions. This illustrates the significant role forests play in preventing sediment erosion.   </w:t>
      </w:r>
    </w:p>
    <w:p w:rsidR="005B5171" w:rsidRPr="005B5171" w:rsidRDefault="005B5171" w:rsidP="005B5171">
      <w:pPr>
        <w:jc w:val="both"/>
        <w:rPr>
          <w:rFonts w:ascii="Segoe UI" w:hAnsi="Segoe UI" w:cs="Segoe UI"/>
        </w:rPr>
      </w:pPr>
      <w:r w:rsidRPr="005B5171">
        <w:rPr>
          <w:rFonts w:ascii="Segoe UI" w:hAnsi="Segoe UI" w:cs="Segoe UI"/>
        </w:rPr>
        <w:t xml:space="preserve">Compared to a no-forest scenario, forests across the five RFA regions prevent, on average, 9.6 million cubic metres of gross sediment erosion per year. Forests prevent a portion of this, 1.6 million cubic metres of sediment, from discharging into major river systems each year. </w:t>
      </w:r>
      <w:r w:rsidRPr="005B5171">
        <w:rPr>
          <w:rFonts w:ascii="Segoe UI" w:hAnsi="Segoe UI" w:cs="Segoe UI"/>
        </w:rPr>
        <w:fldChar w:fldCharType="begin"/>
      </w:r>
      <w:r w:rsidRPr="005B5171">
        <w:rPr>
          <w:rFonts w:ascii="Segoe UI" w:hAnsi="Segoe UI" w:cs="Segoe UI"/>
        </w:rPr>
        <w:instrText xml:space="preserve"> REF _Ref13135375 \h  \* MERGEFORMAT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Table 92</w:t>
      </w:r>
      <w:r w:rsidRPr="005B5171">
        <w:rPr>
          <w:rFonts w:ascii="Segoe UI" w:hAnsi="Segoe UI" w:cs="Segoe UI"/>
        </w:rPr>
        <w:fldChar w:fldCharType="end"/>
      </w:r>
      <w:r w:rsidRPr="005B5171">
        <w:rPr>
          <w:rFonts w:ascii="Segoe UI" w:hAnsi="Segoe UI" w:cs="Segoe UI"/>
        </w:rPr>
        <w:t xml:space="preserve"> presents the results of this modelling – the annual volume of sediment erosion to major waterways avoided under a forest scenario by RFA region.</w:t>
      </w:r>
    </w:p>
    <w:p w:rsidR="005B5171" w:rsidRPr="005B5171" w:rsidRDefault="005B5171" w:rsidP="005B5171">
      <w:pPr>
        <w:jc w:val="both"/>
        <w:rPr>
          <w:rFonts w:ascii="Segoe UI" w:hAnsi="Segoe UI" w:cs="Segoe UI"/>
        </w:rPr>
      </w:pPr>
      <w:r w:rsidRPr="005B5171">
        <w:rPr>
          <w:rFonts w:ascii="Segoe UI" w:hAnsi="Segoe UI" w:cs="Segoe UI"/>
        </w:rPr>
        <w:t xml:space="preserve">The volume of avoided sediment erosion varies significantly from year to year, depending on the severity and timing of rainfall events. On average, erosion prevented by forests is greatest in the North East RFA region, both in terms of total quantity of sediment avoided and quantity avoided per hectare. This is followed by East Gippsland and Gippsland. The total quantity of erosion prevented by forests in the Central Highlands is lower but is comparable with Gippsland and East Gippsland in per hectare terms. The quantity of erosion prevented in the West RFA region is low in total quantity and per hectare terms; this is largely due to low relief terrain and less rainfall resulting in lower erosion rates. </w:t>
      </w:r>
    </w:p>
    <w:p w:rsidR="005B5171" w:rsidRPr="005B5171" w:rsidRDefault="005B5171" w:rsidP="005B5171">
      <w:pPr>
        <w:rPr>
          <w:rFonts w:ascii="Segoe UI" w:hAnsi="Segoe UI" w:cs="Segoe UI"/>
          <w:b/>
          <w:bCs/>
        </w:rPr>
      </w:pPr>
      <w:r w:rsidRPr="005B5171">
        <w:rPr>
          <w:rFonts w:ascii="Segoe UI" w:hAnsi="Segoe UI" w:cs="Segoe UI"/>
        </w:rPr>
        <w:br w:type="page"/>
      </w:r>
    </w:p>
    <w:p w:rsidR="005B5171" w:rsidRPr="005B5171" w:rsidRDefault="005B5171" w:rsidP="005B5171">
      <w:pPr>
        <w:rPr>
          <w:rFonts w:ascii="Segoe UI" w:hAnsi="Segoe UI" w:cs="Segoe UI"/>
        </w:rPr>
      </w:pPr>
      <w:r w:rsidRPr="005B5171">
        <w:rPr>
          <w:rFonts w:ascii="Segoe UI" w:hAnsi="Segoe UI" w:cs="Segoe UI"/>
          <w:noProof/>
        </w:rPr>
        <w:drawing>
          <wp:inline distT="0" distB="0" distL="0" distR="0" wp14:anchorId="2EE78DEA" wp14:editId="043C1F94">
            <wp:extent cx="4968126" cy="3512538"/>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extLst>
                        <a:ext uri="{28A0092B-C50C-407E-A947-70E740481C1C}">
                          <a14:useLocalDpi xmlns:a14="http://schemas.microsoft.com/office/drawing/2010/main"/>
                        </a:ext>
                      </a:extLst>
                    </a:blip>
                    <a:stretch>
                      <a:fillRect/>
                    </a:stretch>
                  </pic:blipFill>
                  <pic:spPr bwMode="auto">
                    <a:xfrm>
                      <a:off x="0" y="0"/>
                      <a:ext cx="4968126" cy="3512538"/>
                    </a:xfrm>
                    <a:prstGeom prst="rect">
                      <a:avLst/>
                    </a:prstGeom>
                    <a:noFill/>
                    <a:ln>
                      <a:noFill/>
                    </a:ln>
                  </pic:spPr>
                </pic:pic>
              </a:graphicData>
            </a:graphic>
          </wp:inline>
        </w:drawing>
      </w:r>
    </w:p>
    <w:p w:rsidR="005B5171" w:rsidRPr="005B5171" w:rsidRDefault="005B5171" w:rsidP="005B5171">
      <w:pPr>
        <w:spacing w:after="200" w:line="240" w:lineRule="auto"/>
        <w:rPr>
          <w:rFonts w:ascii="Segoe UI Semibold" w:eastAsia="Times New Roman" w:hAnsi="Segoe UI Semibold" w:cs="Times New Roman"/>
          <w:color w:val="016295"/>
        </w:rPr>
      </w:pPr>
      <w:bookmarkStart w:id="145" w:name="_Ref13939316"/>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48</w:t>
      </w:r>
      <w:r w:rsidRPr="005B5171">
        <w:rPr>
          <w:rFonts w:ascii="Segoe UI Semibold" w:eastAsia="Times New Roman" w:hAnsi="Segoe UI Semibold" w:cs="Times New Roman"/>
          <w:noProof/>
          <w:color w:val="016295"/>
        </w:rPr>
        <w:fldChar w:fldCharType="end"/>
      </w:r>
      <w:bookmarkEnd w:id="145"/>
      <w:r w:rsidRPr="005B5171">
        <w:rPr>
          <w:rFonts w:ascii="Segoe UI Semibold" w:eastAsia="Times New Roman" w:hAnsi="Segoe UI Semibold" w:cs="Times New Roman"/>
          <w:color w:val="016295"/>
        </w:rPr>
        <w:t xml:space="preserve">: Average annual erosion across Victoria’s RFA regions, 2008–18 </w:t>
      </w:r>
    </w:p>
    <w:p w:rsidR="005B5171" w:rsidRPr="005B5171" w:rsidRDefault="005B5171" w:rsidP="005B5171">
      <w:pPr>
        <w:rPr>
          <w:rFonts w:ascii="Segoe UI" w:hAnsi="Segoe UI" w:cs="Segoe UI"/>
          <w:b/>
          <w:bCs/>
        </w:rPr>
      </w:pPr>
      <w:r w:rsidRPr="005B5171">
        <w:rPr>
          <w:rFonts w:ascii="Segoe UI" w:hAnsi="Segoe UI" w:cs="Segoe UI"/>
          <w:b/>
          <w:bCs/>
          <w:noProof/>
        </w:rPr>
        <w:drawing>
          <wp:inline distT="0" distB="0" distL="0" distR="0" wp14:anchorId="119434E1" wp14:editId="7DBD537B">
            <wp:extent cx="5023364" cy="3551592"/>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email">
                      <a:extLst>
                        <a:ext uri="{28A0092B-C50C-407E-A947-70E740481C1C}">
                          <a14:useLocalDpi xmlns:a14="http://schemas.microsoft.com/office/drawing/2010/main"/>
                        </a:ext>
                      </a:extLst>
                    </a:blip>
                    <a:stretch>
                      <a:fillRect/>
                    </a:stretch>
                  </pic:blipFill>
                  <pic:spPr bwMode="auto">
                    <a:xfrm>
                      <a:off x="0" y="0"/>
                      <a:ext cx="5023364" cy="3551592"/>
                    </a:xfrm>
                    <a:prstGeom prst="rect">
                      <a:avLst/>
                    </a:prstGeom>
                    <a:noFill/>
                    <a:ln>
                      <a:noFill/>
                    </a:ln>
                  </pic:spPr>
                </pic:pic>
              </a:graphicData>
            </a:graphic>
          </wp:inline>
        </w:drawing>
      </w:r>
    </w:p>
    <w:p w:rsidR="005B5171" w:rsidRPr="005B5171" w:rsidRDefault="005B5171" w:rsidP="005B5171">
      <w:pPr>
        <w:spacing w:after="200" w:line="240" w:lineRule="auto"/>
        <w:rPr>
          <w:rFonts w:ascii="Segoe UI Semibold" w:eastAsia="Times New Roman" w:hAnsi="Segoe UI Semibold" w:cs="Times New Roman"/>
          <w:color w:val="016295"/>
        </w:rPr>
      </w:pPr>
      <w:bookmarkStart w:id="146" w:name="_Ref13939318"/>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49</w:t>
      </w:r>
      <w:r w:rsidRPr="005B5171">
        <w:rPr>
          <w:rFonts w:ascii="Segoe UI Semibold" w:eastAsia="Times New Roman" w:hAnsi="Segoe UI Semibold" w:cs="Times New Roman"/>
          <w:noProof/>
          <w:color w:val="016295"/>
        </w:rPr>
        <w:fldChar w:fldCharType="end"/>
      </w:r>
      <w:bookmarkEnd w:id="146"/>
      <w:r w:rsidRPr="005B5171">
        <w:rPr>
          <w:rFonts w:ascii="Segoe UI Semibold" w:eastAsia="Times New Roman" w:hAnsi="Segoe UI Semibold" w:cs="Times New Roman"/>
          <w:color w:val="016295"/>
        </w:rPr>
        <w:t>: Increase in average annual erosion under a no-forest scenario (compared to the forest scenario), 2008–18</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DELWP internal </w:t>
      </w:r>
      <w:proofErr w:type="spellStart"/>
      <w:r w:rsidRPr="005B5171">
        <w:rPr>
          <w:rFonts w:ascii="Segoe UI" w:eastAsia="STZhongsong" w:hAnsi="Segoe UI" w:cs="Segoe UI"/>
          <w:bCs/>
          <w:sz w:val="18"/>
          <w:szCs w:val="18"/>
          <w:lang w:eastAsia="ko-KR"/>
        </w:rPr>
        <w:t>Ensym</w:t>
      </w:r>
      <w:proofErr w:type="spellEnd"/>
      <w:r w:rsidRPr="005B5171">
        <w:rPr>
          <w:rFonts w:ascii="Segoe UI" w:eastAsia="STZhongsong" w:hAnsi="Segoe UI" w:cs="Segoe UI"/>
          <w:bCs/>
          <w:sz w:val="18"/>
          <w:szCs w:val="18"/>
          <w:lang w:eastAsia="ko-KR"/>
        </w:rPr>
        <w:t xml:space="preserve"> modelling</w:t>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Valuation of benefit</w:t>
      </w:r>
    </w:p>
    <w:p w:rsidR="005B5171" w:rsidRPr="005B5171" w:rsidRDefault="005B5171" w:rsidP="005B5171">
      <w:pPr>
        <w:jc w:val="both"/>
        <w:rPr>
          <w:rFonts w:ascii="Segoe UI" w:hAnsi="Segoe UI" w:cs="Segoe UI"/>
        </w:rPr>
      </w:pPr>
      <w:r w:rsidRPr="005B5171">
        <w:rPr>
          <w:rFonts w:ascii="Segoe UI" w:hAnsi="Segoe UI" w:cs="Segoe UI"/>
        </w:rPr>
        <w:t xml:space="preserve">The service of water quality regulation (erosion prevention to major waterways) is valued based on an avoided-cost approach; that is, the cost of supplying an equivalent volume of water to replace water storage that is lost due to sediment accumulation. </w:t>
      </w:r>
    </w:p>
    <w:p w:rsidR="005B5171" w:rsidRPr="005B5171" w:rsidRDefault="005B5171" w:rsidP="005B5171">
      <w:pPr>
        <w:jc w:val="both"/>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REF _Ref14026806 \h  \* MERGEFORMAT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Table 93</w:t>
      </w:r>
      <w:r w:rsidRPr="005B5171">
        <w:rPr>
          <w:rFonts w:ascii="Segoe UI" w:hAnsi="Segoe UI" w:cs="Segoe UI"/>
        </w:rPr>
        <w:fldChar w:fldCharType="end"/>
      </w:r>
      <w:r w:rsidRPr="005B5171">
        <w:rPr>
          <w:rFonts w:ascii="Segoe UI" w:hAnsi="Segoe UI" w:cs="Segoe UI"/>
        </w:rPr>
        <w:t xml:space="preserve"> presents the valuation results. On average, the value of erosion prevention by forests is greatest in the North East RFA region. This is driven by the significant volumes of sediment avoided, and also by the value of water in the northern Victorian declared system. Erosion prevention also has a high value in the Central Highlands, reflecting the high value of avoided sediment accumulation in reservoirs that supply Melbourne’s water. Erosion prevention has a very low value in East Gippsland, which is due to sediment being avoided in unregulated systems, rather than regulated systems with infrastructure such as dams. This low value should be treated with caution because, as discussed above, sediment in these systems may still have impacts on producers, households and the environment.</w:t>
      </w:r>
    </w:p>
    <w:p w:rsidR="005B5171" w:rsidRPr="005B5171" w:rsidRDefault="005B5171" w:rsidP="005B5171">
      <w:pPr>
        <w:jc w:val="both"/>
        <w:rPr>
          <w:rFonts w:ascii="Segoe UI" w:hAnsi="Segoe UI" w:cs="Segoe UI"/>
        </w:rPr>
        <w:sectPr w:rsidR="005B5171" w:rsidRPr="005B5171" w:rsidSect="000749BE">
          <w:pgSz w:w="11907" w:h="16840"/>
          <w:pgMar w:top="1440" w:right="1440" w:bottom="1440" w:left="1440" w:header="284" w:footer="697" w:gutter="0"/>
          <w:cols w:space="720"/>
          <w:docGrid w:linePitch="299"/>
        </w:sectPr>
      </w:pPr>
      <w:r w:rsidRPr="005B5171">
        <w:rPr>
          <w:rFonts w:ascii="Segoe UI" w:hAnsi="Segoe UI" w:cs="Segoe UI"/>
        </w:rPr>
        <w:t xml:space="preserve">  </w:t>
      </w:r>
    </w:p>
    <w:p w:rsidR="005B5171" w:rsidRPr="005B5171" w:rsidRDefault="005B5171" w:rsidP="005B5171">
      <w:pPr>
        <w:spacing w:after="200" w:line="240" w:lineRule="auto"/>
        <w:rPr>
          <w:rFonts w:ascii="Segoe UI Semibold" w:eastAsia="Times New Roman" w:hAnsi="Segoe UI Semibold" w:cs="Times New Roman"/>
          <w:color w:val="016295"/>
        </w:rPr>
      </w:pPr>
      <w:bookmarkStart w:id="147" w:name="_Ref13135375"/>
      <w:bookmarkStart w:id="148" w:name="_Toc25660874"/>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92</w:t>
      </w:r>
      <w:r w:rsidRPr="005B5171">
        <w:rPr>
          <w:rFonts w:ascii="Segoe UI Semibold" w:eastAsia="Times New Roman" w:hAnsi="Segoe UI Semibold" w:cs="Times New Roman"/>
          <w:noProof/>
          <w:color w:val="016295"/>
        </w:rPr>
        <w:fldChar w:fldCharType="end"/>
      </w:r>
      <w:bookmarkEnd w:id="147"/>
      <w:r w:rsidRPr="005B5171">
        <w:rPr>
          <w:rFonts w:ascii="Segoe UI Semibold" w:eastAsia="Times New Roman" w:hAnsi="Segoe UI Semibold" w:cs="Times New Roman"/>
          <w:noProof/>
          <w:color w:val="016295"/>
        </w:rPr>
        <w:t>:</w:t>
      </w:r>
      <w:r w:rsidRPr="005B5171">
        <w:rPr>
          <w:rFonts w:ascii="Segoe UI Semibold" w:eastAsia="Times New Roman" w:hAnsi="Segoe UI Semibold" w:cs="Times New Roman"/>
          <w:color w:val="016295"/>
        </w:rPr>
        <w:t xml:space="preserve"> Volume of sediment erosion to major waterways avoided under a forest scenario by RFA region (cubic metres)</w:t>
      </w:r>
      <w:bookmarkEnd w:id="148"/>
    </w:p>
    <w:tbl>
      <w:tblPr>
        <w:tblStyle w:val="xTable1"/>
        <w:tblW w:w="13594" w:type="dxa"/>
        <w:tblLayout w:type="fixed"/>
        <w:tblLook w:val="04A0" w:firstRow="1" w:lastRow="0" w:firstColumn="1" w:lastColumn="0" w:noHBand="0" w:noVBand="1"/>
      </w:tblPr>
      <w:tblGrid>
        <w:gridCol w:w="1747"/>
        <w:gridCol w:w="1077"/>
        <w:gridCol w:w="1077"/>
        <w:gridCol w:w="1077"/>
        <w:gridCol w:w="1077"/>
        <w:gridCol w:w="1077"/>
        <w:gridCol w:w="1077"/>
        <w:gridCol w:w="1077"/>
        <w:gridCol w:w="1077"/>
        <w:gridCol w:w="1077"/>
        <w:gridCol w:w="1077"/>
        <w:gridCol w:w="1077"/>
      </w:tblGrid>
      <w:tr w:rsidR="005B5171" w:rsidRPr="005B5171" w:rsidTr="000B1EF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747" w:type="dxa"/>
          </w:tcPr>
          <w:p w:rsidR="005B5171" w:rsidRPr="005B5171" w:rsidRDefault="005B5171" w:rsidP="005B5171">
            <w:pPr>
              <w:rPr>
                <w:rFonts w:ascii="Segoe UI" w:hAnsi="Segoe UI" w:cs="Segoe UI"/>
              </w:rPr>
            </w:pPr>
            <w:r w:rsidRPr="005B5171">
              <w:rPr>
                <w:rFonts w:ascii="Segoe UI" w:hAnsi="Segoe UI" w:cs="Segoe UI"/>
              </w:rPr>
              <w:t>RFA region</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2008</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2009</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2010</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2011</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2012</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2013</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2014</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2015</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2016</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2017</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2018</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7" w:type="dxa"/>
          </w:tcPr>
          <w:p w:rsidR="005B5171" w:rsidRPr="005B5171" w:rsidRDefault="005B5171" w:rsidP="005B5171">
            <w:pPr>
              <w:rPr>
                <w:rFonts w:ascii="Segoe UI" w:hAnsi="Segoe UI" w:cs="Segoe UI"/>
              </w:rPr>
            </w:pPr>
            <w:r w:rsidRPr="005B5171">
              <w:rPr>
                <w:rFonts w:ascii="Segoe UI" w:hAnsi="Segoe UI" w:cs="Segoe UI"/>
              </w:rPr>
              <w:t>Central Highlands</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394,783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18,309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242,503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501,377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337,796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116,137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49,163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15,062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133,281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151,123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26,054 </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7" w:type="dxa"/>
          </w:tcPr>
          <w:p w:rsidR="005B5171" w:rsidRPr="005B5171" w:rsidRDefault="005B5171" w:rsidP="005B5171">
            <w:pPr>
              <w:rPr>
                <w:rFonts w:ascii="Segoe UI" w:hAnsi="Segoe UI" w:cs="Segoe UI"/>
              </w:rPr>
            </w:pPr>
            <w:r w:rsidRPr="005B5171">
              <w:rPr>
                <w:rFonts w:ascii="Segoe UI" w:hAnsi="Segoe UI" w:cs="Segoe UI"/>
              </w:rPr>
              <w:t>East Gippsland</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187,526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13,820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534,232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489,422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952,098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416,830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244,520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323,830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293,780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20,569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53,293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7" w:type="dxa"/>
          </w:tcPr>
          <w:p w:rsidR="005B5171" w:rsidRPr="005B5171" w:rsidRDefault="005B5171" w:rsidP="005B5171">
            <w:pPr>
              <w:rPr>
                <w:rFonts w:ascii="Segoe UI" w:hAnsi="Segoe UI" w:cs="Segoe UI"/>
              </w:rPr>
            </w:pPr>
            <w:r w:rsidRPr="005B5171">
              <w:rPr>
                <w:rFonts w:ascii="Segoe UI" w:hAnsi="Segoe UI" w:cs="Segoe UI"/>
              </w:rPr>
              <w:t>Gippsland</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781,261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32,265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681,310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740,824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1,102,519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459,301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133,621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96,164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503,904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187,023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56,413 </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7" w:type="dxa"/>
          </w:tcPr>
          <w:p w:rsidR="005B5171" w:rsidRPr="005B5171" w:rsidRDefault="005B5171" w:rsidP="005B5171">
            <w:pPr>
              <w:rPr>
                <w:rFonts w:ascii="Segoe UI" w:hAnsi="Segoe UI" w:cs="Segoe UI"/>
              </w:rPr>
            </w:pPr>
            <w:r w:rsidRPr="005B5171">
              <w:rPr>
                <w:rFonts w:ascii="Segoe UI" w:hAnsi="Segoe UI" w:cs="Segoe UI"/>
              </w:rPr>
              <w:t>North East</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854,099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31,591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872,244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1,297,452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1,641,543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528,678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163,447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102,727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433,192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237,893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105,715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7" w:type="dxa"/>
          </w:tcPr>
          <w:p w:rsidR="005B5171" w:rsidRPr="005B5171" w:rsidRDefault="005B5171" w:rsidP="005B5171">
            <w:pPr>
              <w:rPr>
                <w:rFonts w:ascii="Segoe UI" w:hAnsi="Segoe UI" w:cs="Segoe UI"/>
              </w:rPr>
            </w:pPr>
            <w:r w:rsidRPr="005B5171">
              <w:rPr>
                <w:rFonts w:ascii="Segoe UI" w:hAnsi="Segoe UI" w:cs="Segoe UI"/>
              </w:rPr>
              <w:t>West</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24,439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3,971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59,582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239,486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63,409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11,123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3,697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76,000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25,063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43,343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16,672 </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7" w:type="dxa"/>
          </w:tcPr>
          <w:p w:rsidR="005B5171" w:rsidRPr="005B5171" w:rsidRDefault="005B5171" w:rsidP="005B5171">
            <w:pPr>
              <w:rPr>
                <w:rFonts w:ascii="Segoe UI" w:hAnsi="Segoe UI" w:cs="Segoe UI"/>
              </w:rPr>
            </w:pPr>
            <w:r w:rsidRPr="005B5171">
              <w:rPr>
                <w:rFonts w:ascii="Segoe UI" w:hAnsi="Segoe UI" w:cs="Segoe UI"/>
              </w:rPr>
              <w:t>Total</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2,242,108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99,957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2,389,871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3,268,561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4,097,365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1,532,070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594,448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613,783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1,389,220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639,950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258,147 </w:t>
            </w:r>
          </w:p>
        </w:tc>
      </w:tr>
    </w:tbl>
    <w:p w:rsidR="005B5171" w:rsidRPr="005B5171" w:rsidRDefault="005B5171" w:rsidP="005B5171">
      <w:pPr>
        <w:spacing w:before="80"/>
        <w:rPr>
          <w:rFonts w:ascii="Segoe UI" w:eastAsia="STZhongsong" w:hAnsi="Segoe UI" w:cs="Segoe UI"/>
          <w:bCs/>
          <w:sz w:val="18"/>
          <w:szCs w:val="18"/>
          <w:lang w:eastAsia="ko-KR"/>
        </w:rPr>
      </w:pPr>
      <w:bookmarkStart w:id="149" w:name="_Ref13478590"/>
      <w:r w:rsidRPr="005B5171">
        <w:rPr>
          <w:rFonts w:ascii="Segoe UI" w:eastAsia="STZhongsong" w:hAnsi="Segoe UI" w:cs="Segoe UI"/>
          <w:bCs/>
          <w:sz w:val="18"/>
          <w:szCs w:val="18"/>
          <w:lang w:eastAsia="ko-KR"/>
        </w:rPr>
        <w:t xml:space="preserve">Source: DELWP internal </w:t>
      </w:r>
      <w:proofErr w:type="spellStart"/>
      <w:r w:rsidRPr="005B5171">
        <w:rPr>
          <w:rFonts w:ascii="Segoe UI" w:eastAsia="STZhongsong" w:hAnsi="Segoe UI" w:cs="Segoe UI"/>
          <w:bCs/>
          <w:sz w:val="18"/>
          <w:szCs w:val="18"/>
          <w:lang w:eastAsia="ko-KR"/>
        </w:rPr>
        <w:t>Ensym</w:t>
      </w:r>
      <w:proofErr w:type="spellEnd"/>
      <w:r w:rsidRPr="005B5171">
        <w:rPr>
          <w:rFonts w:ascii="Segoe UI" w:eastAsia="STZhongsong" w:hAnsi="Segoe UI" w:cs="Segoe UI"/>
          <w:bCs/>
          <w:sz w:val="18"/>
          <w:szCs w:val="18"/>
          <w:lang w:eastAsia="ko-KR"/>
        </w:rPr>
        <w:t xml:space="preserve"> modelling</w:t>
      </w:r>
    </w:p>
    <w:p w:rsidR="005B5171" w:rsidRPr="005B5171" w:rsidRDefault="005B5171" w:rsidP="005B5171">
      <w:pPr>
        <w:spacing w:after="200" w:line="240" w:lineRule="auto"/>
        <w:rPr>
          <w:rFonts w:ascii="Segoe UI Semibold" w:eastAsia="Times New Roman" w:hAnsi="Segoe UI Semibold" w:cs="Times New Roman"/>
          <w:color w:val="016295"/>
        </w:rPr>
      </w:pPr>
      <w:bookmarkStart w:id="150" w:name="_Ref14026806"/>
      <w:bookmarkStart w:id="151" w:name="_Toc25660875"/>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93</w:t>
      </w:r>
      <w:r w:rsidRPr="005B5171">
        <w:rPr>
          <w:rFonts w:ascii="Segoe UI Semibold" w:eastAsia="Times New Roman" w:hAnsi="Segoe UI Semibold" w:cs="Times New Roman"/>
          <w:noProof/>
          <w:color w:val="016295"/>
        </w:rPr>
        <w:fldChar w:fldCharType="end"/>
      </w:r>
      <w:bookmarkEnd w:id="149"/>
      <w:bookmarkEnd w:id="150"/>
      <w:r w:rsidRPr="005B5171">
        <w:rPr>
          <w:rFonts w:ascii="Segoe UI Semibold" w:eastAsia="Times New Roman" w:hAnsi="Segoe UI Semibold" w:cs="Times New Roman"/>
          <w:noProof/>
          <w:color w:val="016295"/>
        </w:rPr>
        <w:t>:</w:t>
      </w:r>
      <w:r w:rsidRPr="005B5171">
        <w:rPr>
          <w:rFonts w:ascii="Segoe UI Semibold" w:eastAsia="Times New Roman" w:hAnsi="Segoe UI Semibold" w:cs="Times New Roman"/>
          <w:color w:val="016295"/>
        </w:rPr>
        <w:t xml:space="preserve"> Value of sediment erosion to major waterways avoided under a forest scenario by RFA region ($)</w:t>
      </w:r>
      <w:bookmarkEnd w:id="151"/>
    </w:p>
    <w:tbl>
      <w:tblPr>
        <w:tblStyle w:val="xTable1"/>
        <w:tblW w:w="13604" w:type="dxa"/>
        <w:tblLayout w:type="fixed"/>
        <w:tblLook w:val="04A0" w:firstRow="1" w:lastRow="0" w:firstColumn="1" w:lastColumn="0" w:noHBand="0" w:noVBand="1"/>
      </w:tblPr>
      <w:tblGrid>
        <w:gridCol w:w="1757"/>
        <w:gridCol w:w="1077"/>
        <w:gridCol w:w="1077"/>
        <w:gridCol w:w="1077"/>
        <w:gridCol w:w="1077"/>
        <w:gridCol w:w="1077"/>
        <w:gridCol w:w="1077"/>
        <w:gridCol w:w="1077"/>
        <w:gridCol w:w="1077"/>
        <w:gridCol w:w="1077"/>
        <w:gridCol w:w="1077"/>
        <w:gridCol w:w="1077"/>
      </w:tblGrid>
      <w:tr w:rsidR="005B5171" w:rsidRPr="005B5171" w:rsidTr="000B1EF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757" w:type="dxa"/>
          </w:tcPr>
          <w:p w:rsidR="005B5171" w:rsidRPr="005B5171" w:rsidRDefault="005B5171" w:rsidP="005B5171">
            <w:pPr>
              <w:rPr>
                <w:rFonts w:ascii="Segoe UI" w:hAnsi="Segoe UI" w:cs="Segoe UI"/>
              </w:rPr>
            </w:pPr>
            <w:r w:rsidRPr="005B5171">
              <w:rPr>
                <w:rFonts w:ascii="Segoe UI" w:hAnsi="Segoe UI" w:cs="Segoe UI"/>
              </w:rPr>
              <w:t>RFA region</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2008</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2009</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2010</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2011</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2012</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2013</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2014</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2015</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2016</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2017</w:t>
            </w:r>
          </w:p>
        </w:tc>
        <w:tc>
          <w:tcPr>
            <w:tcW w:w="107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2018</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tcPr>
          <w:p w:rsidR="005B5171" w:rsidRPr="005B5171" w:rsidRDefault="005B5171" w:rsidP="005B5171">
            <w:pPr>
              <w:rPr>
                <w:rFonts w:ascii="Segoe UI" w:hAnsi="Segoe UI" w:cs="Segoe UI"/>
              </w:rPr>
            </w:pPr>
            <w:r w:rsidRPr="005B5171">
              <w:rPr>
                <w:rFonts w:ascii="Segoe UI" w:hAnsi="Segoe UI" w:cs="Segoe UI"/>
              </w:rPr>
              <w:t>Central Highlands</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740,882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57,718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550,919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1,233,238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802,167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311,452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116,512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38,717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307,586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307,877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65,864 </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tcPr>
          <w:p w:rsidR="005B5171" w:rsidRPr="005B5171" w:rsidRDefault="005B5171" w:rsidP="005B5171">
            <w:pPr>
              <w:rPr>
                <w:rFonts w:ascii="Segoe UI" w:hAnsi="Segoe UI" w:cs="Segoe UI"/>
              </w:rPr>
            </w:pPr>
            <w:r w:rsidRPr="005B5171">
              <w:rPr>
                <w:rFonts w:ascii="Segoe UI" w:hAnsi="Segoe UI" w:cs="Segoe UI"/>
              </w:rPr>
              <w:t>East Gippsland</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147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4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492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306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602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183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191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44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175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37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37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tcPr>
          <w:p w:rsidR="005B5171" w:rsidRPr="005B5171" w:rsidRDefault="005B5171" w:rsidP="005B5171">
            <w:pPr>
              <w:rPr>
                <w:rFonts w:ascii="Segoe UI" w:hAnsi="Segoe UI" w:cs="Segoe UI"/>
              </w:rPr>
            </w:pPr>
            <w:r w:rsidRPr="005B5171">
              <w:rPr>
                <w:rFonts w:ascii="Segoe UI" w:hAnsi="Segoe UI" w:cs="Segoe UI"/>
              </w:rPr>
              <w:t>Gippsland</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365,355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14,980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364,968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468,239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648,536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140,275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65,400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45,327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170,333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88,343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27,597 </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tcPr>
          <w:p w:rsidR="005B5171" w:rsidRPr="005B5171" w:rsidRDefault="005B5171" w:rsidP="005B5171">
            <w:pPr>
              <w:rPr>
                <w:rFonts w:ascii="Segoe UI" w:hAnsi="Segoe UI" w:cs="Segoe UI"/>
              </w:rPr>
            </w:pPr>
            <w:r w:rsidRPr="005B5171">
              <w:rPr>
                <w:rFonts w:ascii="Segoe UI" w:hAnsi="Segoe UI" w:cs="Segoe UI"/>
              </w:rPr>
              <w:t>North East</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1,052,109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36,401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1,115,409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1,670,567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2,089,964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640,355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239,269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118,744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408,322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260,808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118,968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tcPr>
          <w:p w:rsidR="005B5171" w:rsidRPr="005B5171" w:rsidRDefault="005B5171" w:rsidP="005B5171">
            <w:pPr>
              <w:rPr>
                <w:rFonts w:ascii="Segoe UI" w:hAnsi="Segoe UI" w:cs="Segoe UI"/>
              </w:rPr>
            </w:pPr>
            <w:r w:rsidRPr="005B5171">
              <w:rPr>
                <w:rFonts w:ascii="Segoe UI" w:hAnsi="Segoe UI" w:cs="Segoe UI"/>
              </w:rPr>
              <w:t>West</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17,850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4,292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85,673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386,495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66,280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18,929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2,494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81,303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25,960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45,371 </w:t>
            </w:r>
          </w:p>
        </w:tc>
        <w:tc>
          <w:tcPr>
            <w:tcW w:w="0"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33,546 </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7" w:type="dxa"/>
          </w:tcPr>
          <w:p w:rsidR="005B5171" w:rsidRPr="005B5171" w:rsidRDefault="005B5171" w:rsidP="005B5171">
            <w:pPr>
              <w:rPr>
                <w:rFonts w:ascii="Segoe UI" w:hAnsi="Segoe UI" w:cs="Segoe UI"/>
              </w:rPr>
            </w:pPr>
            <w:r w:rsidRPr="005B5171">
              <w:rPr>
                <w:rFonts w:ascii="Segoe UI" w:hAnsi="Segoe UI" w:cs="Segoe UI"/>
              </w:rPr>
              <w:t>Total</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2,176,343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113,394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2,117,461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3,758,845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3,607,549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1,111,194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423,865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284,135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912,376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702,434 </w:t>
            </w:r>
          </w:p>
        </w:tc>
        <w:tc>
          <w:tcPr>
            <w:tcW w:w="0"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246,012 </w:t>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DELWP internal </w:t>
      </w:r>
      <w:proofErr w:type="spellStart"/>
      <w:r w:rsidRPr="005B5171">
        <w:rPr>
          <w:rFonts w:ascii="Segoe UI" w:eastAsia="STZhongsong" w:hAnsi="Segoe UI" w:cs="Segoe UI"/>
          <w:bCs/>
          <w:sz w:val="18"/>
          <w:szCs w:val="18"/>
          <w:lang w:eastAsia="ko-KR"/>
        </w:rPr>
        <w:t>Ensym</w:t>
      </w:r>
      <w:proofErr w:type="spellEnd"/>
      <w:r w:rsidRPr="005B5171">
        <w:rPr>
          <w:rFonts w:ascii="Segoe UI" w:eastAsia="STZhongsong" w:hAnsi="Segoe UI" w:cs="Segoe UI"/>
          <w:bCs/>
          <w:sz w:val="18"/>
          <w:szCs w:val="18"/>
          <w:lang w:eastAsia="ko-KR"/>
        </w:rPr>
        <w:t xml:space="preserve"> modelling</w:t>
      </w:r>
    </w:p>
    <w:p w:rsidR="005B5171" w:rsidRPr="005B5171" w:rsidRDefault="005B5171" w:rsidP="005B5171">
      <w:pPr>
        <w:rPr>
          <w:rFonts w:ascii="Segoe UI" w:hAnsi="Segoe UI" w:cs="Segoe UI"/>
        </w:rPr>
      </w:pPr>
    </w:p>
    <w:p w:rsidR="005B5171" w:rsidRPr="005B5171" w:rsidRDefault="005B5171" w:rsidP="005B5171">
      <w:pPr>
        <w:rPr>
          <w:rFonts w:ascii="Segoe UI" w:hAnsi="Segoe UI" w:cs="Segoe UI"/>
        </w:rPr>
      </w:pPr>
    </w:p>
    <w:p w:rsidR="005B5171" w:rsidRPr="005B5171" w:rsidRDefault="005B5171" w:rsidP="005B5171">
      <w:pPr>
        <w:rPr>
          <w:rFonts w:ascii="Segoe UI" w:hAnsi="Segoe UI" w:cs="Segoe UI"/>
        </w:rPr>
        <w:sectPr w:rsidR="005B5171" w:rsidRPr="005B5171" w:rsidSect="000749BE">
          <w:pgSz w:w="16840" w:h="11907" w:orient="landscape"/>
          <w:pgMar w:top="851" w:right="2211" w:bottom="851" w:left="1758" w:header="284" w:footer="721" w:gutter="0"/>
          <w:cols w:space="720"/>
        </w:sectPr>
      </w:pPr>
    </w:p>
    <w:p w:rsidR="005B5171" w:rsidRPr="005B5171" w:rsidRDefault="005B5171" w:rsidP="005B5171">
      <w:pPr>
        <w:keepNext/>
        <w:spacing w:before="120" w:after="120" w:line="240" w:lineRule="auto"/>
        <w:jc w:val="both"/>
        <w:outlineLvl w:val="3"/>
        <w:rPr>
          <w:rFonts w:ascii="Segoe UI" w:hAnsi="Segoe UI" w:cs="Segoe UI"/>
          <w:i/>
          <w:sz w:val="24"/>
          <w:szCs w:val="24"/>
        </w:rPr>
      </w:pPr>
      <w:bookmarkStart w:id="152" w:name="_Toc11768338"/>
      <w:r w:rsidRPr="005B5171">
        <w:rPr>
          <w:rFonts w:ascii="Segoe UI" w:hAnsi="Segoe UI" w:cs="Segoe UI"/>
          <w:i/>
          <w:sz w:val="24"/>
          <w:szCs w:val="24"/>
        </w:rPr>
        <w:t>Agriculture (grazing)</w:t>
      </w:r>
      <w:bookmarkEnd w:id="152"/>
    </w:p>
    <w:p w:rsidR="005B5171" w:rsidRPr="005B5171" w:rsidRDefault="005B5171" w:rsidP="005B5171">
      <w:pPr>
        <w:jc w:val="both"/>
        <w:rPr>
          <w:rFonts w:ascii="Segoe UI" w:hAnsi="Segoe UI" w:cs="Segoe UI"/>
        </w:rPr>
      </w:pPr>
      <w:r w:rsidRPr="005B5171">
        <w:rPr>
          <w:rFonts w:ascii="Segoe UI" w:hAnsi="Segoe UI" w:cs="Segoe UI"/>
        </w:rPr>
        <w:t>Agricultural production from public forests is typically restricted by government policy for the use of public land. The Victorian Government issues leases and licences for exclusive and non-exclusive use of public land in areas where a particular land use is permitted and in accordance with the specific legislation applicable to the land.</w:t>
      </w:r>
    </w:p>
    <w:p w:rsidR="005B5171" w:rsidRPr="005B5171" w:rsidRDefault="005B5171" w:rsidP="005B5171">
      <w:pPr>
        <w:jc w:val="both"/>
        <w:rPr>
          <w:rFonts w:ascii="Segoe UI" w:hAnsi="Segoe UI" w:cs="Segoe UI"/>
        </w:rPr>
      </w:pPr>
      <w:r w:rsidRPr="005B5171">
        <w:rPr>
          <w:rFonts w:ascii="Segoe UI" w:hAnsi="Segoe UI" w:cs="Segoe UI"/>
        </w:rPr>
        <w:t>Existing capacity for agricultural use of forest on public land has been mapped using spatial data on licences for private use of public land.</w:t>
      </w:r>
      <w:r w:rsidRPr="005B5171">
        <w:rPr>
          <w:rFonts w:ascii="Segoe UI" w:hAnsi="Segoe UI" w:cs="Segoe UI"/>
          <w:vertAlign w:val="superscript"/>
        </w:rPr>
        <w:footnoteReference w:id="9"/>
      </w:r>
      <w:r w:rsidRPr="005B5171">
        <w:rPr>
          <w:rFonts w:ascii="Segoe UI" w:hAnsi="Segoe UI" w:cs="Segoe UI"/>
        </w:rPr>
        <w:t xml:space="preserve"> Spatial analysis reveals types of licences that intersect with areas of forest extent and may support agricultural production (see </w:t>
      </w:r>
      <w:r w:rsidRPr="005B5171">
        <w:rPr>
          <w:rFonts w:ascii="Segoe UI" w:hAnsi="Segoe UI" w:cs="Segoe UI"/>
        </w:rPr>
        <w:fldChar w:fldCharType="begin"/>
      </w:r>
      <w:r w:rsidRPr="005B5171">
        <w:rPr>
          <w:rFonts w:ascii="Segoe UI" w:hAnsi="Segoe UI" w:cs="Segoe UI"/>
        </w:rPr>
        <w:instrText xml:space="preserve"> REF _Ref13821772 \h  \* MERGEFORMAT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Figure 50</w:t>
      </w:r>
      <w:r w:rsidRPr="005B5171">
        <w:rPr>
          <w:rFonts w:ascii="Segoe UI" w:hAnsi="Segoe UI" w:cs="Segoe UI"/>
        </w:rPr>
        <w:fldChar w:fldCharType="end"/>
      </w:r>
      <w:r w:rsidRPr="005B5171">
        <w:rPr>
          <w:rFonts w:ascii="Segoe UI" w:hAnsi="Segoe UI" w:cs="Segoe UI"/>
        </w:rPr>
        <w:t>); these are:</w:t>
      </w:r>
    </w:p>
    <w:p w:rsidR="005B5171" w:rsidRPr="00DB293D" w:rsidRDefault="005B5171" w:rsidP="00DB293D">
      <w:pPr>
        <w:pStyle w:val="ListParagraph"/>
        <w:numPr>
          <w:ilvl w:val="0"/>
          <w:numId w:val="46"/>
        </w:numPr>
        <w:ind w:left="709" w:hanging="425"/>
      </w:pPr>
      <w:r w:rsidRPr="00DB293D">
        <w:t>grazing licences – allowing grazing of livestock on public land;</w:t>
      </w:r>
    </w:p>
    <w:p w:rsidR="005B5171" w:rsidRPr="00DB293D" w:rsidRDefault="005B5171" w:rsidP="00DB293D">
      <w:pPr>
        <w:pStyle w:val="ListParagraph"/>
        <w:numPr>
          <w:ilvl w:val="0"/>
          <w:numId w:val="46"/>
        </w:numPr>
        <w:ind w:left="709" w:hanging="425"/>
      </w:pPr>
      <w:r w:rsidRPr="00DB293D">
        <w:t>water frontage and riparian management licences – allowing access to waterways for agricultural use (such as stock access to water) or recreational use; riparian management licences ensure waterway access is managed to both protect and improve the riparian environment, and typically attract a reduced licence fee; and</w:t>
      </w:r>
    </w:p>
    <w:p w:rsidR="005B5171" w:rsidRPr="00DB293D" w:rsidRDefault="005B5171" w:rsidP="00DB293D">
      <w:pPr>
        <w:pStyle w:val="ListParagraph"/>
        <w:numPr>
          <w:ilvl w:val="0"/>
          <w:numId w:val="46"/>
        </w:numPr>
        <w:ind w:left="709" w:hanging="425"/>
      </w:pPr>
      <w:r w:rsidRPr="00DB293D">
        <w:t>unused roads licences – allowing owner/occupiers of adjoining private land to access unused roads on public land for agricultural purposes.</w:t>
      </w:r>
    </w:p>
    <w:p w:rsidR="005B5171" w:rsidRPr="005B5171" w:rsidRDefault="005B5171" w:rsidP="005B5171">
      <w:pPr>
        <w:jc w:val="both"/>
        <w:rPr>
          <w:rFonts w:ascii="Segoe UI" w:hAnsi="Segoe UI" w:cs="Segoe UI"/>
        </w:rPr>
      </w:pPr>
      <w:r w:rsidRPr="005B5171">
        <w:rPr>
          <w:rFonts w:ascii="Segoe UI" w:hAnsi="Segoe UI" w:cs="Segoe UI"/>
        </w:rPr>
        <w:t xml:space="preserve">There are around 14,100 licences covering forests within Victoria’s RFA regions (not including beekeeping licences) – see </w:t>
      </w:r>
      <w:r w:rsidRPr="005B5171">
        <w:rPr>
          <w:rFonts w:ascii="Segoe UI" w:hAnsi="Segoe UI" w:cs="Segoe UI"/>
        </w:rPr>
        <w:fldChar w:fldCharType="begin"/>
      </w:r>
      <w:r w:rsidRPr="005B5171">
        <w:rPr>
          <w:rFonts w:ascii="Segoe UI" w:hAnsi="Segoe UI" w:cs="Segoe UI"/>
        </w:rPr>
        <w:instrText xml:space="preserve"> REF _Ref14026806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93</w:t>
      </w:r>
      <w:r w:rsidRPr="005B5171">
        <w:rPr>
          <w:rFonts w:ascii="Segoe UI" w:hAnsi="Segoe UI" w:cs="Segoe UI"/>
        </w:rPr>
        <w:fldChar w:fldCharType="end"/>
      </w:r>
      <w:r w:rsidRPr="005B5171">
        <w:rPr>
          <w:rFonts w:ascii="Segoe UI" w:hAnsi="Segoe UI" w:cs="Segoe UI"/>
        </w:rPr>
        <w:t xml:space="preserve">. These licences cover almost 500,000 hectares of forest, or 8per cent of total forest across Victoria’s RFA regions. Most of the forest area licensed is for grazing purposes (89 per cent of total forest area licensed), with smaller areas licensed for unused road access, water frontage access and riparian management and other uses. </w:t>
      </w:r>
    </w:p>
    <w:p w:rsidR="005B5171" w:rsidRPr="005B5171" w:rsidRDefault="005B5171" w:rsidP="005B5171">
      <w:pPr>
        <w:jc w:val="both"/>
        <w:rPr>
          <w:rFonts w:ascii="Segoe UI" w:hAnsi="Segoe UI" w:cs="Segoe UI"/>
        </w:rPr>
      </w:pPr>
      <w:r w:rsidRPr="005B5171">
        <w:rPr>
          <w:rFonts w:ascii="Segoe UI" w:hAnsi="Segoe UI" w:cs="Segoe UI"/>
        </w:rPr>
        <w:t xml:space="preserve">The largest area of forest covered by licences is in the Gippsland RFA region (300,000 hectares). The West RFA region has the greatest number of licences containing forest (4,700), although the total area of forest licensed is quite low (11,000 hectares). This is likely due to the West RFA region having a large number of unused road licences which intersect with the mapped forest extent boundary. </w:t>
      </w:r>
    </w:p>
    <w:p w:rsidR="005B5171" w:rsidRPr="005B5171" w:rsidRDefault="005B5171" w:rsidP="005B5171">
      <w:pPr>
        <w:jc w:val="both"/>
        <w:rPr>
          <w:rFonts w:ascii="Segoe UI" w:hAnsi="Segoe UI" w:cs="Segoe UI"/>
        </w:rPr>
      </w:pPr>
      <w:r w:rsidRPr="005B5171">
        <w:rPr>
          <w:rFonts w:ascii="Segoe UI" w:hAnsi="Segoe UI" w:cs="Segoe UI"/>
        </w:rPr>
        <w:t>Grazing licences represent large portions of the total forest areas licensed in the East Gippsland, Gippsland and North East RFA regions (</w:t>
      </w:r>
      <w:r w:rsidRPr="005B5171">
        <w:rPr>
          <w:rFonts w:ascii="Segoe UI" w:hAnsi="Segoe UI" w:cs="Segoe UI"/>
        </w:rPr>
        <w:fldChar w:fldCharType="begin"/>
      </w:r>
      <w:r w:rsidRPr="005B5171">
        <w:rPr>
          <w:rFonts w:ascii="Segoe UI" w:hAnsi="Segoe UI" w:cs="Segoe UI"/>
        </w:rPr>
        <w:instrText xml:space="preserve"> REF _Ref13821772 \h  \* MERGEFORMAT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Figure 50</w:t>
      </w:r>
      <w:r w:rsidRPr="005B5171">
        <w:rPr>
          <w:rFonts w:ascii="Segoe UI" w:hAnsi="Segoe UI" w:cs="Segoe UI"/>
        </w:rPr>
        <w:fldChar w:fldCharType="end"/>
      </w:r>
      <w:r w:rsidRPr="005B5171">
        <w:rPr>
          <w:rFonts w:ascii="Segoe UI" w:hAnsi="Segoe UI" w:cs="Segoe UI"/>
        </w:rPr>
        <w:t xml:space="preserve">). It should be noted that the number of licences issued and area licensed is an indicator of </w:t>
      </w:r>
      <w:r w:rsidRPr="005B5171">
        <w:rPr>
          <w:rFonts w:ascii="Segoe UI" w:hAnsi="Segoe UI" w:cs="Segoe UI"/>
          <w:i/>
        </w:rPr>
        <w:t>opportunity</w:t>
      </w:r>
      <w:r w:rsidRPr="005B5171">
        <w:rPr>
          <w:rFonts w:ascii="Segoe UI" w:hAnsi="Segoe UI" w:cs="Segoe UI"/>
        </w:rPr>
        <w:t xml:space="preserve"> for use of public forests. It is does not show whether forests are actually being used for grazing or other agricultural purposes. However, licences are a source of revenue to the state regardless of whether licensed areas are being occupied by stock or not.  </w:t>
      </w:r>
    </w:p>
    <w:p w:rsidR="005B5171" w:rsidRPr="005B5171" w:rsidRDefault="005B5171" w:rsidP="005B5171">
      <w:pPr>
        <w:rPr>
          <w:rFonts w:ascii="Segoe UI" w:hAnsi="Segoe UI" w:cs="Segoe UI"/>
        </w:rPr>
      </w:pPr>
      <w:r w:rsidRPr="005B5171">
        <w:rPr>
          <w:rFonts w:ascii="Segoe UI" w:hAnsi="Segoe UI" w:cs="Segoe UI"/>
        </w:rPr>
        <w:br w:type="page"/>
      </w:r>
    </w:p>
    <w:p w:rsidR="005B5171" w:rsidRPr="005B5171" w:rsidRDefault="005B5171" w:rsidP="005B5171">
      <w:pPr>
        <w:spacing w:after="200" w:line="240" w:lineRule="auto"/>
        <w:rPr>
          <w:rFonts w:ascii="Segoe UI Semibold" w:eastAsia="Times New Roman" w:hAnsi="Segoe UI Semibold" w:cs="Times New Roman"/>
          <w:color w:val="016295"/>
        </w:rPr>
      </w:pPr>
      <w:bookmarkStart w:id="153" w:name="_Toc25660876"/>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94</w:t>
      </w:r>
      <w:r w:rsidRPr="005B5171">
        <w:rPr>
          <w:rFonts w:ascii="Segoe UI Semibold" w:eastAsia="Times New Roman" w:hAnsi="Segoe UI Semibold" w:cs="Times New Roman"/>
          <w:noProof/>
          <w:color w:val="016295"/>
        </w:rPr>
        <w:fldChar w:fldCharType="end"/>
      </w:r>
      <w:r w:rsidRPr="005B5171">
        <w:rPr>
          <w:rFonts w:ascii="Segoe UI Semibold" w:eastAsia="Times New Roman" w:hAnsi="Segoe UI Semibold" w:cs="Times New Roman"/>
          <w:color w:val="016295"/>
        </w:rPr>
        <w:t>: Licences covering forest areas</w:t>
      </w:r>
      <w:bookmarkEnd w:id="153"/>
    </w:p>
    <w:tbl>
      <w:tblPr>
        <w:tblStyle w:val="xTable1"/>
        <w:tblW w:w="0" w:type="auto"/>
        <w:tblLook w:val="04E0" w:firstRow="1" w:lastRow="1" w:firstColumn="1" w:lastColumn="0" w:noHBand="0" w:noVBand="1"/>
      </w:tblPr>
      <w:tblGrid>
        <w:gridCol w:w="1709"/>
        <w:gridCol w:w="2025"/>
        <w:gridCol w:w="2126"/>
      </w:tblGrid>
      <w:tr w:rsidR="005B5171" w:rsidRPr="005B5171" w:rsidTr="000B1E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RFA region</w:t>
            </w:r>
          </w:p>
          <w:p w:rsidR="005B5171" w:rsidRPr="005B5171" w:rsidRDefault="005B5171" w:rsidP="005B5171">
            <w:pPr>
              <w:rPr>
                <w:rFonts w:ascii="Segoe UI" w:hAnsi="Segoe UI" w:cs="Segoe UI"/>
              </w:rPr>
            </w:pPr>
          </w:p>
        </w:tc>
        <w:tc>
          <w:tcPr>
            <w:tcW w:w="2025"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Number of licences</w:t>
            </w:r>
          </w:p>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p>
        </w:tc>
        <w:tc>
          <w:tcPr>
            <w:tcW w:w="2126"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 xml:space="preserve">Area of forest licensed (ha)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Central Highlands</w:t>
            </w:r>
          </w:p>
        </w:tc>
        <w:tc>
          <w:tcPr>
            <w:tcW w:w="0" w:type="dxa"/>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 1,728 </w:t>
            </w:r>
          </w:p>
        </w:tc>
        <w:tc>
          <w:tcPr>
            <w:tcW w:w="0" w:type="dxa"/>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 5,783 </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East Gippsland</w:t>
            </w:r>
          </w:p>
        </w:tc>
        <w:tc>
          <w:tcPr>
            <w:tcW w:w="0" w:type="dxa"/>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 xml:space="preserve"> 630 </w:t>
            </w:r>
          </w:p>
        </w:tc>
        <w:tc>
          <w:tcPr>
            <w:tcW w:w="0" w:type="dxa"/>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 xml:space="preserve"> 44,354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Gippsland</w:t>
            </w:r>
          </w:p>
        </w:tc>
        <w:tc>
          <w:tcPr>
            <w:tcW w:w="0" w:type="dxa"/>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 2,756 </w:t>
            </w:r>
          </w:p>
        </w:tc>
        <w:tc>
          <w:tcPr>
            <w:tcW w:w="0" w:type="dxa"/>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 301,147 </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North East</w:t>
            </w:r>
          </w:p>
        </w:tc>
        <w:tc>
          <w:tcPr>
            <w:tcW w:w="0" w:type="dxa"/>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 xml:space="preserve"> 4,067 </w:t>
            </w:r>
          </w:p>
        </w:tc>
        <w:tc>
          <w:tcPr>
            <w:tcW w:w="0" w:type="dxa"/>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 xml:space="preserve"> 132,126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West</w:t>
            </w:r>
          </w:p>
        </w:tc>
        <w:tc>
          <w:tcPr>
            <w:tcW w:w="0" w:type="dxa"/>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 4,950 </w:t>
            </w:r>
          </w:p>
        </w:tc>
        <w:tc>
          <w:tcPr>
            <w:tcW w:w="0" w:type="dxa"/>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 10,980 </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Non-RFA</w:t>
            </w:r>
          </w:p>
        </w:tc>
        <w:tc>
          <w:tcPr>
            <w:tcW w:w="0" w:type="dxa"/>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 xml:space="preserve"> 4,695 </w:t>
            </w:r>
          </w:p>
        </w:tc>
        <w:tc>
          <w:tcPr>
            <w:tcW w:w="0" w:type="dxa"/>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 xml:space="preserve"> 44,000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Total RFA</w:t>
            </w:r>
          </w:p>
        </w:tc>
        <w:tc>
          <w:tcPr>
            <w:tcW w:w="0" w:type="dxa"/>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 14,131 </w:t>
            </w:r>
          </w:p>
        </w:tc>
        <w:tc>
          <w:tcPr>
            <w:tcW w:w="0" w:type="dxa"/>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 494,391 </w:t>
            </w:r>
          </w:p>
        </w:tc>
      </w:tr>
      <w:tr w:rsidR="005B5171" w:rsidRPr="005B5171" w:rsidTr="000B1EF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Total Victoria</w:t>
            </w:r>
          </w:p>
        </w:tc>
        <w:tc>
          <w:tcPr>
            <w:tcW w:w="0" w:type="dxa"/>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 xml:space="preserve"> 18,826 </w:t>
            </w:r>
          </w:p>
        </w:tc>
        <w:tc>
          <w:tcPr>
            <w:tcW w:w="0" w:type="dxa"/>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 xml:space="preserve"> 538,391 </w:t>
            </w:r>
          </w:p>
        </w:tc>
      </w:tr>
    </w:tbl>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Notes: </w:t>
      </w:r>
      <w:r w:rsidRPr="005B5171">
        <w:rPr>
          <w:rFonts w:ascii="Segoe UI" w:eastAsia="STZhongsong" w:hAnsi="Segoe UI" w:cs="Segoe UI"/>
          <w:bCs/>
          <w:sz w:val="18"/>
          <w:szCs w:val="18"/>
          <w:lang w:eastAsia="ko-KR"/>
        </w:rPr>
        <w:tab/>
        <w:t xml:space="preserve">Includes grazing licences, water frontage and riparian management licences, unused road licences and </w:t>
      </w:r>
      <w:r w:rsidRPr="005B5171">
        <w:rPr>
          <w:rFonts w:ascii="Segoe UI" w:eastAsia="STZhongsong" w:hAnsi="Segoe UI" w:cs="Segoe UI"/>
          <w:bCs/>
          <w:sz w:val="18"/>
          <w:szCs w:val="18"/>
          <w:lang w:eastAsia="ko-KR"/>
        </w:rPr>
        <w:tab/>
      </w:r>
      <w:r w:rsidRPr="005B5171">
        <w:rPr>
          <w:rFonts w:ascii="Segoe UI" w:eastAsia="STZhongsong" w:hAnsi="Segoe UI" w:cs="Segoe UI"/>
          <w:bCs/>
          <w:sz w:val="18"/>
          <w:szCs w:val="18"/>
          <w:lang w:eastAsia="ko-KR"/>
        </w:rPr>
        <w:tab/>
        <w:t>miscellaneous licences that interest with forest extent mapping.</w:t>
      </w:r>
      <w:r w:rsidRPr="005B5171">
        <w:rPr>
          <w:rFonts w:ascii="Segoe UI" w:eastAsia="STZhongsong" w:hAnsi="Segoe UI" w:cs="Segoe UI"/>
          <w:bCs/>
          <w:sz w:val="18"/>
          <w:szCs w:val="18"/>
          <w:lang w:eastAsia="ko-KR"/>
        </w:rPr>
        <w:tab/>
      </w:r>
    </w:p>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ab/>
      </w:r>
      <w:r w:rsidRPr="005B5171">
        <w:rPr>
          <w:rFonts w:ascii="Segoe UI" w:eastAsia="STZhongsong" w:hAnsi="Segoe UI" w:cs="Segoe UI"/>
          <w:bCs/>
          <w:sz w:val="18"/>
          <w:szCs w:val="18"/>
          <w:lang w:eastAsia="ko-KR"/>
        </w:rPr>
        <w:tab/>
        <w:t>Figures exclude any non-forest area components of licences.</w:t>
      </w:r>
    </w:p>
    <w:p w:rsidR="005B5171" w:rsidRPr="005B5171" w:rsidRDefault="005B5171" w:rsidP="005B5171">
      <w:pPr>
        <w:keepNext/>
        <w:spacing w:after="480" w:line="276" w:lineRule="auto"/>
        <w:rPr>
          <w:rFonts w:ascii="Segoe UI" w:hAnsi="Segoe UI" w:cs="Segoe UI"/>
        </w:rPr>
      </w:pPr>
      <w:r w:rsidRPr="005B5171">
        <w:rPr>
          <w:rFonts w:ascii="Segoe UI" w:hAnsi="Segoe UI" w:cs="Segoe UI"/>
          <w:noProof/>
        </w:rPr>
        <w:drawing>
          <wp:inline distT="0" distB="0" distL="0" distR="0" wp14:anchorId="63389B47" wp14:editId="0DA9EDE7">
            <wp:extent cx="6261100" cy="4426638"/>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gricultural leases.jpg"/>
                    <pic:cNvPicPr/>
                  </pic:nvPicPr>
                  <pic:blipFill>
                    <a:blip r:embed="rId37" cstate="email">
                      <a:extLst>
                        <a:ext uri="{28A0092B-C50C-407E-A947-70E740481C1C}">
                          <a14:useLocalDpi xmlns:a14="http://schemas.microsoft.com/office/drawing/2010/main"/>
                        </a:ext>
                      </a:extLst>
                    </a:blip>
                    <a:stretch>
                      <a:fillRect/>
                    </a:stretch>
                  </pic:blipFill>
                  <pic:spPr>
                    <a:xfrm>
                      <a:off x="0" y="0"/>
                      <a:ext cx="6261889" cy="4427196"/>
                    </a:xfrm>
                    <a:prstGeom prst="rect">
                      <a:avLst/>
                    </a:prstGeom>
                  </pic:spPr>
                </pic:pic>
              </a:graphicData>
            </a:graphic>
          </wp:inline>
        </w:drawing>
      </w:r>
    </w:p>
    <w:p w:rsidR="005B5171" w:rsidRPr="005B5171" w:rsidRDefault="005B5171" w:rsidP="005B5171">
      <w:pPr>
        <w:spacing w:after="200" w:line="240" w:lineRule="auto"/>
        <w:rPr>
          <w:rFonts w:ascii="Segoe UI Semibold" w:eastAsia="Times New Roman" w:hAnsi="Segoe UI Semibold" w:cs="Times New Roman"/>
          <w:color w:val="016295"/>
        </w:rPr>
      </w:pPr>
      <w:bookmarkStart w:id="154" w:name="_Ref13821772"/>
      <w:bookmarkStart w:id="155" w:name="_Ref13821765"/>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50</w:t>
      </w:r>
      <w:r w:rsidRPr="005B5171">
        <w:rPr>
          <w:rFonts w:ascii="Segoe UI Semibold" w:eastAsia="Times New Roman" w:hAnsi="Segoe UI Semibold" w:cs="Times New Roman"/>
          <w:noProof/>
          <w:color w:val="016295"/>
        </w:rPr>
        <w:fldChar w:fldCharType="end"/>
      </w:r>
      <w:bookmarkEnd w:id="154"/>
      <w:r w:rsidRPr="005B5171">
        <w:rPr>
          <w:rFonts w:ascii="Segoe UI Semibold" w:eastAsia="Times New Roman" w:hAnsi="Segoe UI Semibold" w:cs="Times New Roman"/>
          <w:color w:val="016295"/>
        </w:rPr>
        <w:t>: Victorian agricultural licences covering forest areas</w:t>
      </w:r>
      <w:bookmarkEnd w:id="155"/>
      <w:r w:rsidRPr="005B5171">
        <w:rPr>
          <w:rFonts w:ascii="Segoe UI Semibold" w:eastAsia="Times New Roman" w:hAnsi="Segoe UI Semibold" w:cs="Times New Roman"/>
          <w:color w:val="016295"/>
        </w:rPr>
        <w:t xml:space="preserve"> </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w:t>
      </w:r>
      <w:bookmarkStart w:id="156" w:name="_Toc11768339"/>
      <w:r w:rsidR="00DB293D" w:rsidRPr="005B5171">
        <w:rPr>
          <w:rFonts w:ascii="Segoe UI" w:eastAsia="STZhongsong" w:hAnsi="Segoe UI" w:cs="Segoe UI"/>
          <w:bCs/>
          <w:sz w:val="18"/>
          <w:szCs w:val="18"/>
          <w:lang w:eastAsia="ko-KR"/>
        </w:rPr>
        <w:t>DELWP corporate</w:t>
      </w:r>
      <w:r w:rsidRPr="005B5171">
        <w:rPr>
          <w:rFonts w:ascii="Segoe UI" w:eastAsia="STZhongsong" w:hAnsi="Segoe UI" w:cs="Segoe UI"/>
          <w:bCs/>
          <w:sz w:val="18"/>
          <w:szCs w:val="18"/>
          <w:lang w:eastAsia="ko-KR"/>
        </w:rPr>
        <w:t xml:space="preserve"> data </w:t>
      </w:r>
      <w:r w:rsidRPr="005B5171">
        <w:rPr>
          <w:rFonts w:ascii="Segoe UI" w:eastAsia="STZhongsong" w:hAnsi="Segoe UI" w:cs="Segoe UI"/>
          <w:bCs/>
          <w:sz w:val="18"/>
          <w:szCs w:val="18"/>
          <w:lang w:eastAsia="ko-KR"/>
        </w:rPr>
        <w:br w:type="page"/>
      </w:r>
    </w:p>
    <w:p w:rsidR="005B5171" w:rsidRPr="005B5171" w:rsidRDefault="005B5171" w:rsidP="005B5171">
      <w:pPr>
        <w:keepNext/>
        <w:spacing w:before="120" w:after="120" w:line="240" w:lineRule="auto"/>
        <w:jc w:val="both"/>
        <w:outlineLvl w:val="3"/>
        <w:rPr>
          <w:rFonts w:ascii="Segoe UI" w:hAnsi="Segoe UI" w:cs="Segoe UI"/>
          <w:i/>
          <w:sz w:val="24"/>
          <w:szCs w:val="24"/>
        </w:rPr>
      </w:pPr>
      <w:r w:rsidRPr="005B5171">
        <w:rPr>
          <w:rFonts w:ascii="Segoe UI" w:hAnsi="Segoe UI" w:cs="Segoe UI"/>
          <w:i/>
          <w:sz w:val="24"/>
          <w:szCs w:val="24"/>
        </w:rPr>
        <w:t>Honey provision</w:t>
      </w:r>
      <w:bookmarkEnd w:id="156"/>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 xml:space="preserve">Honey production is heavily dependent on forest ecosystems for floral resources that sustain bee populations. Nationally, native flora has been estimated to support 70 per cent to 80 per cent of honey production (Gibbs &amp; </w:t>
      </w:r>
      <w:proofErr w:type="spellStart"/>
      <w:r w:rsidRPr="005B5171">
        <w:rPr>
          <w:rFonts w:ascii="Segoe UI" w:hAnsi="Segoe UI" w:cs="Segoe UI"/>
          <w:lang w:eastAsia="en-AU"/>
        </w:rPr>
        <w:t>Muirhead</w:t>
      </w:r>
      <w:proofErr w:type="spellEnd"/>
      <w:r w:rsidRPr="005B5171">
        <w:rPr>
          <w:rFonts w:ascii="Segoe UI" w:hAnsi="Segoe UI" w:cs="Segoe UI"/>
          <w:lang w:eastAsia="en-AU"/>
        </w:rPr>
        <w:t xml:space="preserve"> 1998, p. 37). Eucalypts are by far the most common source of nectar and pollen.</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Forest ecosystem extent (</w:t>
      </w:r>
      <w:r w:rsidRPr="005B5171">
        <w:rPr>
          <w:rFonts w:ascii="Segoe UI" w:hAnsi="Segoe UI" w:cs="Segoe UI"/>
          <w:lang w:eastAsia="en-AU"/>
        </w:rPr>
        <w:fldChar w:fldCharType="begin"/>
      </w:r>
      <w:r w:rsidRPr="005B5171">
        <w:rPr>
          <w:rFonts w:ascii="Segoe UI" w:hAnsi="Segoe UI" w:cs="Segoe UI"/>
          <w:lang w:eastAsia="en-AU"/>
        </w:rPr>
        <w:instrText xml:space="preserve"> REF _Ref25250040 \h </w:instrText>
      </w:r>
      <w:r w:rsidRPr="005B5171">
        <w:rPr>
          <w:rFonts w:ascii="Segoe UI" w:hAnsi="Segoe UI" w:cs="Segoe UI"/>
          <w:lang w:eastAsia="en-AU"/>
        </w:rPr>
      </w:r>
      <w:r w:rsidRPr="005B5171">
        <w:rPr>
          <w:rFonts w:ascii="Segoe UI" w:hAnsi="Segoe UI" w:cs="Segoe UI"/>
          <w:lang w:eastAsia="en-AU"/>
        </w:rPr>
        <w:fldChar w:fldCharType="separate"/>
      </w:r>
      <w:r w:rsidRPr="005B5171">
        <w:rPr>
          <w:rFonts w:ascii="Segoe UI" w:hAnsi="Segoe UI" w:cs="Segoe UI"/>
        </w:rPr>
        <w:t xml:space="preserve">Figure </w:t>
      </w:r>
      <w:r w:rsidRPr="005B5171">
        <w:rPr>
          <w:rFonts w:ascii="Segoe UI" w:hAnsi="Segoe UI" w:cs="Segoe UI"/>
          <w:noProof/>
        </w:rPr>
        <w:t>51</w:t>
      </w:r>
      <w:r w:rsidRPr="005B5171">
        <w:rPr>
          <w:rFonts w:ascii="Segoe UI" w:hAnsi="Segoe UI" w:cs="Segoe UI"/>
          <w:lang w:eastAsia="en-AU"/>
        </w:rPr>
        <w:fldChar w:fldCharType="end"/>
      </w:r>
      <w:r w:rsidRPr="005B5171">
        <w:rPr>
          <w:rFonts w:ascii="Segoe UI" w:hAnsi="Segoe UI" w:cs="Segoe UI"/>
          <w:lang w:eastAsia="en-AU"/>
        </w:rPr>
        <w:t>) provides a broad indicator of provision of habitat for bees. The maintenance of forest ecosystem extent and condition is crucial to supporting bee populations, without which the ecosystem service of honey provision would decline.</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There are 4,485 licensed apiary sites on public land across Victoria.</w:t>
      </w:r>
      <w:r w:rsidRPr="005B5171">
        <w:rPr>
          <w:rFonts w:ascii="Segoe UI" w:hAnsi="Segoe UI" w:cs="Segoe UI"/>
          <w:vertAlign w:val="superscript"/>
          <w:lang w:eastAsia="en-AU"/>
        </w:rPr>
        <w:footnoteReference w:id="10"/>
      </w:r>
      <w:r w:rsidRPr="005B5171">
        <w:rPr>
          <w:rFonts w:ascii="Segoe UI" w:hAnsi="Segoe UI" w:cs="Segoe UI"/>
          <w:lang w:eastAsia="en-AU"/>
        </w:rPr>
        <w:t xml:space="preserve"> Fifty-five per cent of sites are in RFA regions, with the largest number in the West RFA region (22</w:t>
      </w:r>
      <w:r w:rsidRPr="005B5171" w:rsidDel="004B2070">
        <w:rPr>
          <w:rFonts w:ascii="Segoe UI" w:hAnsi="Segoe UI" w:cs="Segoe UI"/>
          <w:lang w:eastAsia="en-AU"/>
        </w:rPr>
        <w:t xml:space="preserve"> </w:t>
      </w:r>
      <w:r w:rsidRPr="005B5171">
        <w:rPr>
          <w:rFonts w:ascii="Segoe UI" w:hAnsi="Segoe UI" w:cs="Segoe UI"/>
          <w:lang w:eastAsia="en-AU"/>
        </w:rPr>
        <w:t xml:space="preserve">per cent of total sites) followed by Gippsland (13 per cent).  </w:t>
      </w:r>
    </w:p>
    <w:p w:rsidR="005B5171" w:rsidRPr="005B5171" w:rsidRDefault="005B5171" w:rsidP="005B5171">
      <w:pPr>
        <w:spacing w:before="120" w:after="120" w:line="240" w:lineRule="auto"/>
        <w:rPr>
          <w:rFonts w:ascii="Segoe UI" w:hAnsi="Segoe UI" w:cs="Segoe UI"/>
          <w:lang w:eastAsia="en-AU"/>
        </w:rPr>
      </w:pPr>
    </w:p>
    <w:p w:rsidR="005B5171" w:rsidRPr="005B5171" w:rsidRDefault="005B5171" w:rsidP="005B5171">
      <w:pPr>
        <w:keepNext/>
        <w:spacing w:before="60" w:after="120" w:line="200" w:lineRule="atLeast"/>
        <w:jc w:val="both"/>
        <w:rPr>
          <w:rFonts w:eastAsia="Times New Roman" w:cs="Arial"/>
          <w:b/>
          <w:bCs/>
          <w:color w:val="000000" w:themeColor="text1"/>
          <w:sz w:val="16"/>
          <w:szCs w:val="20"/>
          <w:lang w:eastAsia="en-AU"/>
        </w:rPr>
      </w:pPr>
      <w:r w:rsidRPr="005B5171">
        <w:rPr>
          <w:rFonts w:eastAsia="Times New Roman" w:cs="Arial"/>
          <w:b/>
          <w:bCs/>
          <w:noProof/>
          <w:color w:val="000000" w:themeColor="text1"/>
          <w:sz w:val="16"/>
          <w:szCs w:val="20"/>
          <w:lang w:eastAsia="en-AU"/>
        </w:rPr>
        <w:drawing>
          <wp:inline distT="0" distB="0" distL="0" distR="0" wp14:anchorId="4B187B1A" wp14:editId="05377987">
            <wp:extent cx="5438775" cy="1990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38775" cy="1990725"/>
                    </a:xfrm>
                    <a:prstGeom prst="rect">
                      <a:avLst/>
                    </a:prstGeom>
                  </pic:spPr>
                </pic:pic>
              </a:graphicData>
            </a:graphic>
          </wp:inline>
        </w:drawing>
      </w:r>
    </w:p>
    <w:p w:rsidR="005B5171" w:rsidRPr="005B5171" w:rsidRDefault="005B5171" w:rsidP="005B5171">
      <w:pPr>
        <w:spacing w:after="200" w:line="240" w:lineRule="auto"/>
        <w:jc w:val="both"/>
        <w:rPr>
          <w:rFonts w:ascii="Segoe UI Semibold" w:eastAsia="Times New Roman" w:hAnsi="Segoe UI Semibold" w:cs="Times New Roman"/>
          <w:color w:val="016295"/>
        </w:rPr>
      </w:pPr>
      <w:bookmarkStart w:id="157" w:name="_Ref13567078"/>
      <w:bookmarkStart w:id="158" w:name="_Ref25250040"/>
      <w:r w:rsidRPr="005B5171">
        <w:rPr>
          <w:rFonts w:ascii="Segoe UI Semibold" w:eastAsia="Times New Roman" w:hAnsi="Segoe UI Semibold" w:cs="Times New Roman"/>
          <w:color w:val="016295"/>
        </w:rPr>
        <w:t xml:space="preserve">Figure </w:t>
      </w:r>
      <w:bookmarkEnd w:id="157"/>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51</w:t>
      </w:r>
      <w:r w:rsidRPr="005B5171">
        <w:rPr>
          <w:rFonts w:ascii="Segoe UI Semibold" w:eastAsia="Times New Roman" w:hAnsi="Segoe UI Semibold" w:cs="Times New Roman"/>
          <w:noProof/>
          <w:color w:val="016295"/>
        </w:rPr>
        <w:fldChar w:fldCharType="end"/>
      </w:r>
      <w:bookmarkEnd w:id="158"/>
      <w:r w:rsidRPr="005B5171">
        <w:rPr>
          <w:rFonts w:ascii="Segoe UI Semibold" w:eastAsia="Times New Roman" w:hAnsi="Segoe UI Semibold" w:cs="Times New Roman"/>
          <w:color w:val="016295"/>
        </w:rPr>
        <w:t>: Apiary sites and forest extent (left) and in RFA regions (right)</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DELWP corporate data </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 xml:space="preserve">Although all apiary sites in this dataset are on public land, for a small number of these sites the nearest forest is on private land. </w:t>
      </w:r>
      <w:r w:rsidRPr="005B5171">
        <w:rPr>
          <w:rFonts w:ascii="Segoe UI" w:hAnsi="Segoe UI" w:cs="Segoe UI"/>
        </w:rPr>
        <w:t>Data on the number and location of hives on private land is not available; however, in 2001 it was estimated that 30 per cent of hives were located on private land (Centre for International Economics 2005, p. 141).</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 xml:space="preserve">Apiary sites are not always licensed, and licensed sites may not always be occupied by hives. Occupation is dependent on nearby floral resources, which are seasonal and variable. Although occupation is sporadic, apiarists tend to retain sites to ensure access. A hive of bees may be moved several times a year. </w:t>
      </w:r>
    </w:p>
    <w:p w:rsidR="005B5171" w:rsidRPr="005B5171" w:rsidRDefault="005B5171" w:rsidP="005B5171">
      <w:pPr>
        <w:rPr>
          <w:rFonts w:ascii="Segoe UI" w:hAnsi="Segoe UI" w:cs="Segoe UI"/>
          <w:lang w:eastAsia="en-AU"/>
        </w:rPr>
      </w:pPr>
      <w:r w:rsidRPr="005B5171">
        <w:rPr>
          <w:rFonts w:ascii="Segoe UI" w:hAnsi="Segoe UI" w:cs="Segoe UI"/>
          <w:lang w:eastAsia="en-AU"/>
        </w:rPr>
        <w:br w:type="page"/>
      </w:r>
    </w:p>
    <w:p w:rsidR="005B5171" w:rsidRPr="005B5171" w:rsidRDefault="005B5171" w:rsidP="005B5171">
      <w:pPr>
        <w:keepNext/>
        <w:spacing w:after="200" w:line="240" w:lineRule="auto"/>
        <w:rPr>
          <w:rFonts w:ascii="Segoe UI Semibold" w:eastAsia="Times New Roman" w:hAnsi="Segoe UI Semibold" w:cs="Times New Roman"/>
          <w:color w:val="016295"/>
        </w:rPr>
      </w:pPr>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95</w:t>
      </w:r>
      <w:r w:rsidRPr="005B5171">
        <w:rPr>
          <w:rFonts w:ascii="Segoe UI Semibold" w:eastAsia="Times New Roman" w:hAnsi="Segoe UI Semibold" w:cs="Times New Roman"/>
          <w:noProof/>
          <w:color w:val="016295"/>
        </w:rPr>
        <w:fldChar w:fldCharType="end"/>
      </w:r>
      <w:r w:rsidRPr="005B5171">
        <w:rPr>
          <w:rFonts w:ascii="Segoe UI Semibold" w:eastAsia="Times New Roman" w:hAnsi="Segoe UI Semibold" w:cs="Times New Roman"/>
          <w:color w:val="016295"/>
        </w:rPr>
        <w:t>: Apiary sites by RFA region and average distance of sites from forest</w:t>
      </w:r>
    </w:p>
    <w:tbl>
      <w:tblPr>
        <w:tblStyle w:val="xTable1"/>
        <w:tblW w:w="0" w:type="auto"/>
        <w:tblLayout w:type="fixed"/>
        <w:tblLook w:val="04E0" w:firstRow="1" w:lastRow="1" w:firstColumn="1" w:lastColumn="0" w:noHBand="0" w:noVBand="1"/>
      </w:tblPr>
      <w:tblGrid>
        <w:gridCol w:w="2067"/>
        <w:gridCol w:w="1376"/>
        <w:gridCol w:w="1377"/>
        <w:gridCol w:w="1701"/>
      </w:tblGrid>
      <w:tr w:rsidR="005B5171" w:rsidRPr="005B5171" w:rsidTr="000B1E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7" w:type="dxa"/>
          </w:tcPr>
          <w:p w:rsidR="005B5171" w:rsidRPr="005B5171" w:rsidRDefault="005B5171" w:rsidP="005B5171">
            <w:pPr>
              <w:rPr>
                <w:rFonts w:ascii="Segoe UI" w:hAnsi="Segoe UI" w:cs="Segoe UI"/>
              </w:rPr>
            </w:pPr>
            <w:r w:rsidRPr="005B5171">
              <w:rPr>
                <w:rFonts w:ascii="Segoe UI" w:hAnsi="Segoe UI" w:cs="Segoe UI"/>
              </w:rPr>
              <w:t>RFA region</w:t>
            </w:r>
          </w:p>
        </w:tc>
        <w:tc>
          <w:tcPr>
            <w:tcW w:w="1376"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Sites</w:t>
            </w:r>
          </w:p>
        </w:tc>
        <w:tc>
          <w:tcPr>
            <w:tcW w:w="1377"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 xml:space="preserve"> per cent of total ( per cent)</w:t>
            </w:r>
          </w:p>
        </w:tc>
        <w:tc>
          <w:tcPr>
            <w:tcW w:w="1701"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Average distance from forest (m)</w:t>
            </w:r>
            <w:r w:rsidRPr="005B5171">
              <w:rPr>
                <w:rFonts w:ascii="Segoe UI" w:hAnsi="Segoe UI" w:cs="Segoe UI"/>
                <w:vertAlign w:val="superscript"/>
              </w:rPr>
              <w:t xml:space="preserve"> </w:t>
            </w:r>
            <w:r w:rsidRPr="005B5171">
              <w:rPr>
                <w:rFonts w:ascii="Segoe UI" w:hAnsi="Segoe UI" w:cs="Segoe UI"/>
                <w:position w:val="8"/>
              </w:rPr>
              <w:t>a</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rsidR="005B5171" w:rsidRPr="005B5171" w:rsidRDefault="005B5171" w:rsidP="005B5171">
            <w:pPr>
              <w:rPr>
                <w:rFonts w:ascii="Segoe UI" w:hAnsi="Segoe UI" w:cs="Segoe UI"/>
              </w:rPr>
            </w:pPr>
            <w:r w:rsidRPr="005B5171">
              <w:rPr>
                <w:rFonts w:ascii="Segoe UI" w:hAnsi="Segoe UI" w:cs="Segoe UI"/>
              </w:rPr>
              <w:t xml:space="preserve">Central Highlands </w:t>
            </w:r>
          </w:p>
        </w:tc>
        <w:tc>
          <w:tcPr>
            <w:tcW w:w="0" w:type="dxa"/>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170</w:t>
            </w:r>
          </w:p>
        </w:tc>
        <w:tc>
          <w:tcPr>
            <w:tcW w:w="0" w:type="dxa"/>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4</w:t>
            </w:r>
          </w:p>
        </w:tc>
        <w:tc>
          <w:tcPr>
            <w:tcW w:w="1701" w:type="dxa"/>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rsidR="005B5171" w:rsidRPr="005B5171" w:rsidRDefault="005B5171" w:rsidP="005B5171">
            <w:pPr>
              <w:rPr>
                <w:rFonts w:ascii="Segoe UI" w:hAnsi="Segoe UI" w:cs="Segoe UI"/>
              </w:rPr>
            </w:pPr>
            <w:r w:rsidRPr="005B5171">
              <w:rPr>
                <w:rFonts w:ascii="Segoe UI" w:hAnsi="Segoe UI" w:cs="Segoe UI"/>
              </w:rPr>
              <w:t xml:space="preserve">East Gippsland </w:t>
            </w:r>
          </w:p>
        </w:tc>
        <w:tc>
          <w:tcPr>
            <w:tcW w:w="0" w:type="dxa"/>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349</w:t>
            </w:r>
          </w:p>
        </w:tc>
        <w:tc>
          <w:tcPr>
            <w:tcW w:w="0" w:type="dxa"/>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8</w:t>
            </w:r>
          </w:p>
        </w:tc>
        <w:tc>
          <w:tcPr>
            <w:tcW w:w="1701" w:type="dxa"/>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5</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rsidR="005B5171" w:rsidRPr="005B5171" w:rsidRDefault="005B5171" w:rsidP="005B5171">
            <w:pPr>
              <w:rPr>
                <w:rFonts w:ascii="Segoe UI" w:hAnsi="Segoe UI" w:cs="Segoe UI"/>
              </w:rPr>
            </w:pPr>
            <w:r w:rsidRPr="005B5171">
              <w:rPr>
                <w:rFonts w:ascii="Segoe UI" w:hAnsi="Segoe UI" w:cs="Segoe UI"/>
              </w:rPr>
              <w:t xml:space="preserve">Gippsland </w:t>
            </w:r>
          </w:p>
        </w:tc>
        <w:tc>
          <w:tcPr>
            <w:tcW w:w="0" w:type="dxa"/>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586</w:t>
            </w:r>
          </w:p>
        </w:tc>
        <w:tc>
          <w:tcPr>
            <w:tcW w:w="0" w:type="dxa"/>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13</w:t>
            </w:r>
          </w:p>
        </w:tc>
        <w:tc>
          <w:tcPr>
            <w:tcW w:w="1701" w:type="dxa"/>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26</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rsidR="005B5171" w:rsidRPr="005B5171" w:rsidRDefault="005B5171" w:rsidP="005B5171">
            <w:pPr>
              <w:rPr>
                <w:rFonts w:ascii="Segoe UI" w:hAnsi="Segoe UI" w:cs="Segoe UI"/>
              </w:rPr>
            </w:pPr>
            <w:r w:rsidRPr="005B5171">
              <w:rPr>
                <w:rFonts w:ascii="Segoe UI" w:hAnsi="Segoe UI" w:cs="Segoe UI"/>
              </w:rPr>
              <w:t xml:space="preserve">North East </w:t>
            </w:r>
          </w:p>
        </w:tc>
        <w:tc>
          <w:tcPr>
            <w:tcW w:w="0" w:type="dxa"/>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363</w:t>
            </w:r>
          </w:p>
        </w:tc>
        <w:tc>
          <w:tcPr>
            <w:tcW w:w="0" w:type="dxa"/>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8</w:t>
            </w:r>
          </w:p>
        </w:tc>
        <w:tc>
          <w:tcPr>
            <w:tcW w:w="1701" w:type="dxa"/>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14</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rsidR="005B5171" w:rsidRPr="005B5171" w:rsidRDefault="005B5171" w:rsidP="005B5171">
            <w:pPr>
              <w:rPr>
                <w:rFonts w:ascii="Segoe UI" w:hAnsi="Segoe UI" w:cs="Segoe UI"/>
              </w:rPr>
            </w:pPr>
            <w:r w:rsidRPr="005B5171">
              <w:rPr>
                <w:rFonts w:ascii="Segoe UI" w:hAnsi="Segoe UI" w:cs="Segoe UI"/>
              </w:rPr>
              <w:t xml:space="preserve">West </w:t>
            </w:r>
          </w:p>
        </w:tc>
        <w:tc>
          <w:tcPr>
            <w:tcW w:w="0" w:type="dxa"/>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1,007</w:t>
            </w:r>
          </w:p>
        </w:tc>
        <w:tc>
          <w:tcPr>
            <w:tcW w:w="0" w:type="dxa"/>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22</w:t>
            </w:r>
          </w:p>
        </w:tc>
        <w:tc>
          <w:tcPr>
            <w:tcW w:w="1701" w:type="dxa"/>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239</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rsidR="005B5171" w:rsidRPr="005B5171" w:rsidRDefault="005B5171" w:rsidP="005B5171">
            <w:pPr>
              <w:rPr>
                <w:rFonts w:ascii="Segoe UI" w:hAnsi="Segoe UI" w:cs="Segoe UI"/>
              </w:rPr>
            </w:pPr>
            <w:r w:rsidRPr="005B5171">
              <w:rPr>
                <w:rFonts w:ascii="Segoe UI" w:hAnsi="Segoe UI" w:cs="Segoe UI"/>
              </w:rPr>
              <w:t>Non-RFA</w:t>
            </w:r>
          </w:p>
        </w:tc>
        <w:tc>
          <w:tcPr>
            <w:tcW w:w="0" w:type="dxa"/>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2,010</w:t>
            </w:r>
          </w:p>
        </w:tc>
        <w:tc>
          <w:tcPr>
            <w:tcW w:w="0" w:type="dxa"/>
            <w:hideMark/>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45</w:t>
            </w:r>
          </w:p>
        </w:tc>
        <w:tc>
          <w:tcPr>
            <w:tcW w:w="1701" w:type="dxa"/>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287</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rsidR="005B5171" w:rsidRPr="005B5171" w:rsidRDefault="005B5171" w:rsidP="005B5171">
            <w:pPr>
              <w:rPr>
                <w:rFonts w:ascii="Segoe UI" w:hAnsi="Segoe UI" w:cs="Segoe UI"/>
              </w:rPr>
            </w:pPr>
            <w:r w:rsidRPr="005B5171">
              <w:rPr>
                <w:rFonts w:ascii="Segoe UI" w:hAnsi="Segoe UI" w:cs="Segoe UI"/>
              </w:rPr>
              <w:t>Total RFA</w:t>
            </w:r>
          </w:p>
        </w:tc>
        <w:tc>
          <w:tcPr>
            <w:tcW w:w="0" w:type="dxa"/>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2,475</w:t>
            </w:r>
          </w:p>
        </w:tc>
        <w:tc>
          <w:tcPr>
            <w:tcW w:w="0" w:type="dxa"/>
            <w:hideMark/>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55</w:t>
            </w:r>
          </w:p>
        </w:tc>
        <w:tc>
          <w:tcPr>
            <w:tcW w:w="1701" w:type="dxa"/>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w:t>
            </w:r>
          </w:p>
        </w:tc>
      </w:tr>
      <w:tr w:rsidR="005B5171" w:rsidRPr="005B5171" w:rsidTr="000B1EFD">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rsidR="005B5171" w:rsidRPr="005B5171" w:rsidRDefault="005B5171" w:rsidP="005B5171">
            <w:pPr>
              <w:rPr>
                <w:rFonts w:ascii="Segoe UI" w:hAnsi="Segoe UI" w:cs="Segoe UI"/>
              </w:rPr>
            </w:pPr>
            <w:r w:rsidRPr="005B5171">
              <w:rPr>
                <w:rFonts w:ascii="Segoe UI" w:hAnsi="Segoe UI" w:cs="Segoe UI"/>
              </w:rPr>
              <w:t>Total Victoria</w:t>
            </w:r>
          </w:p>
        </w:tc>
        <w:tc>
          <w:tcPr>
            <w:tcW w:w="0" w:type="dxa"/>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4,485</w:t>
            </w:r>
          </w:p>
        </w:tc>
        <w:tc>
          <w:tcPr>
            <w:tcW w:w="0" w:type="dxa"/>
            <w:hideMark/>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100</w:t>
            </w:r>
          </w:p>
        </w:tc>
        <w:tc>
          <w:tcPr>
            <w:tcW w:w="1701" w:type="dxa"/>
          </w:tcPr>
          <w:p w:rsidR="005B5171" w:rsidRPr="005B5171" w:rsidRDefault="005B5171" w:rsidP="005B5171">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w:t>
            </w:r>
          </w:p>
        </w:tc>
      </w:tr>
    </w:tbl>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a</w:t>
      </w:r>
      <w:r w:rsidRPr="005B5171">
        <w:rPr>
          <w:rFonts w:ascii="Segoe UI" w:eastAsia="STZhongsong" w:hAnsi="Segoe UI" w:cs="Segoe UI"/>
          <w:bCs/>
          <w:sz w:val="18"/>
          <w:szCs w:val="18"/>
          <w:lang w:eastAsia="ko-KR"/>
        </w:rPr>
        <w:tab/>
      </w:r>
      <w:proofErr w:type="spellStart"/>
      <w:r w:rsidRPr="005B5171">
        <w:rPr>
          <w:rFonts w:ascii="Segoe UI" w:eastAsia="STZhongsong" w:hAnsi="Segoe UI" w:cs="Segoe UI"/>
          <w:bCs/>
          <w:sz w:val="18"/>
          <w:szCs w:val="18"/>
          <w:lang w:eastAsia="ko-KR"/>
        </w:rPr>
        <w:t>A</w:t>
      </w:r>
      <w:proofErr w:type="spellEnd"/>
      <w:r w:rsidRPr="005B5171">
        <w:rPr>
          <w:rFonts w:ascii="Segoe UI" w:eastAsia="STZhongsong" w:hAnsi="Segoe UI" w:cs="Segoe UI"/>
          <w:bCs/>
          <w:sz w:val="18"/>
          <w:szCs w:val="18"/>
          <w:lang w:eastAsia="ko-KR"/>
        </w:rPr>
        <w:t xml:space="preserve"> distance of 0 metres indicates that apiary sites are </w:t>
      </w:r>
      <w:r w:rsidRPr="005B5171">
        <w:rPr>
          <w:rFonts w:ascii="Segoe UI" w:eastAsia="STZhongsong" w:hAnsi="Segoe UI" w:cs="Segoe UI"/>
          <w:bCs/>
          <w:i/>
          <w:sz w:val="18"/>
          <w:szCs w:val="18"/>
          <w:lang w:eastAsia="ko-KR"/>
        </w:rPr>
        <w:t>within</w:t>
      </w:r>
      <w:r w:rsidRPr="005B5171">
        <w:rPr>
          <w:rFonts w:ascii="Segoe UI" w:eastAsia="STZhongsong" w:hAnsi="Segoe UI" w:cs="Segoe UI"/>
          <w:bCs/>
          <w:sz w:val="18"/>
          <w:szCs w:val="18"/>
          <w:lang w:eastAsia="ko-KR"/>
        </w:rPr>
        <w:t xml:space="preserve"> forest areas.</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Source: DELWP</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 xml:space="preserve">A survey conducted by ABARES found that, in 2014–15, 58 per cent of honey produced in Victoria was derived from public land, with 40 per cent from State forests and 11 per cent from national parks (van Dijk, </w:t>
      </w:r>
      <w:proofErr w:type="spellStart"/>
      <w:r w:rsidRPr="005B5171">
        <w:rPr>
          <w:rFonts w:ascii="Segoe UI" w:hAnsi="Segoe UI" w:cs="Segoe UI"/>
          <w:lang w:eastAsia="en-AU"/>
        </w:rPr>
        <w:t>Gomboso</w:t>
      </w:r>
      <w:proofErr w:type="spellEnd"/>
      <w:r w:rsidRPr="005B5171">
        <w:rPr>
          <w:rFonts w:ascii="Segoe UI" w:hAnsi="Segoe UI" w:cs="Segoe UI"/>
          <w:lang w:eastAsia="en-AU"/>
        </w:rPr>
        <w:t xml:space="preserve"> &amp; </w:t>
      </w:r>
      <w:proofErr w:type="spellStart"/>
      <w:r w:rsidRPr="005B5171">
        <w:rPr>
          <w:rFonts w:ascii="Segoe UI" w:hAnsi="Segoe UI" w:cs="Segoe UI"/>
          <w:lang w:eastAsia="en-AU"/>
        </w:rPr>
        <w:t>Levantis</w:t>
      </w:r>
      <w:proofErr w:type="spellEnd"/>
      <w:r w:rsidRPr="005B5171">
        <w:rPr>
          <w:rFonts w:ascii="Segoe UI" w:hAnsi="Segoe UI" w:cs="Segoe UI"/>
          <w:lang w:eastAsia="en-AU"/>
        </w:rPr>
        <w:t xml:space="preserve"> 2016). Eight per cent was derived from other public land, 19 per cent from crops and 23 per cent from other private land (</w:t>
      </w:r>
      <w:r w:rsidRPr="005B5171">
        <w:rPr>
          <w:rFonts w:ascii="Segoe UI" w:hAnsi="Segoe UI" w:cs="Segoe UI"/>
          <w:lang w:eastAsia="en-AU"/>
        </w:rPr>
        <w:fldChar w:fldCharType="begin"/>
      </w:r>
      <w:r w:rsidRPr="005B5171">
        <w:rPr>
          <w:rFonts w:ascii="Segoe UI" w:hAnsi="Segoe UI" w:cs="Segoe UI"/>
          <w:lang w:eastAsia="en-AU"/>
        </w:rPr>
        <w:instrText xml:space="preserve"> REF _Ref13836586 \h </w:instrText>
      </w:r>
      <w:r w:rsidRPr="005B5171">
        <w:rPr>
          <w:rFonts w:ascii="Segoe UI" w:hAnsi="Segoe UI" w:cs="Segoe UI"/>
          <w:lang w:eastAsia="en-AU"/>
        </w:rPr>
      </w:r>
      <w:r w:rsidRPr="005B5171">
        <w:rPr>
          <w:rFonts w:ascii="Segoe UI" w:hAnsi="Segoe UI" w:cs="Segoe UI"/>
          <w:lang w:eastAsia="en-AU"/>
        </w:rPr>
        <w:fldChar w:fldCharType="separate"/>
      </w:r>
      <w:r w:rsidRPr="005B5171">
        <w:rPr>
          <w:rFonts w:ascii="Segoe UI" w:hAnsi="Segoe UI" w:cs="Segoe UI"/>
        </w:rPr>
        <w:t xml:space="preserve">Table </w:t>
      </w:r>
      <w:r w:rsidRPr="005B5171">
        <w:rPr>
          <w:rFonts w:ascii="Segoe UI" w:hAnsi="Segoe UI" w:cs="Segoe UI"/>
          <w:noProof/>
        </w:rPr>
        <w:t>96</w:t>
      </w:r>
      <w:r w:rsidRPr="005B5171">
        <w:rPr>
          <w:rFonts w:ascii="Segoe UI" w:hAnsi="Segoe UI" w:cs="Segoe UI"/>
          <w:lang w:eastAsia="en-AU"/>
        </w:rPr>
        <w:fldChar w:fldCharType="end"/>
      </w:r>
      <w:r w:rsidRPr="005B5171">
        <w:rPr>
          <w:rFonts w:ascii="Segoe UI" w:hAnsi="Segoe UI" w:cs="Segoe UI"/>
          <w:lang w:eastAsia="en-AU"/>
        </w:rPr>
        <w:t xml:space="preserve">). This suggests that, at a minimum, 50 per cent of Victorian honey is derived from forested areas (State forests and parks). </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 xml:space="preserve">However, the proportion is likely higher because ‘other public land’ and ‘other private land’ could also include forested areas. For the purposes of this analysis, an upper bound of 70 per cent has been used. This assumes that all ‘other public land’ and half of ‘other private land’ is forested area.  </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The ABARES survey found that there were 68,200 registered hives in Victoria, and it estimates an average annual honey production of 59.4 kilograms per hive. This equates to total production of around 4,000 tonnes of honey per year.</w:t>
      </w:r>
      <w:r w:rsidRPr="005B5171">
        <w:rPr>
          <w:rFonts w:ascii="Segoe UI" w:hAnsi="Segoe UI" w:cs="Segoe UI"/>
        </w:rPr>
        <w:t xml:space="preserve"> Earlier estimates of Victoria’s honey production are of a similar magnitude. In 2015 it was estimated that Victoria produces around 4,250 tonnes of honey per year, around 17</w:t>
      </w:r>
      <w:r w:rsidRPr="005B5171" w:rsidDel="004B2070">
        <w:rPr>
          <w:rFonts w:ascii="Segoe UI" w:hAnsi="Segoe UI" w:cs="Segoe UI"/>
        </w:rPr>
        <w:t xml:space="preserve"> </w:t>
      </w:r>
      <w:r w:rsidRPr="005B5171">
        <w:rPr>
          <w:rFonts w:ascii="Segoe UI" w:hAnsi="Segoe UI" w:cs="Segoe UI"/>
        </w:rPr>
        <w:t xml:space="preserve">per cent of Australia’s honey production (DELWP &amp; Parks Victoria 2015, p. 73; DSE 2012c). Applying the estimate that 50–70 per cent of Victorian honey is derived from forested areas suggests that 2,000 to 2,800 tonnes of honey can be attributed to forests. </w:t>
      </w:r>
      <w:r w:rsidRPr="005B5171">
        <w:rPr>
          <w:rFonts w:ascii="Segoe UI" w:hAnsi="Segoe UI" w:cs="Segoe UI"/>
          <w:lang w:eastAsia="en-AU"/>
        </w:rPr>
        <w:t>Based on the proportion of apiary sites in RFA regions (5</w:t>
      </w:r>
      <w:r w:rsidRPr="005B5171">
        <w:rPr>
          <w:rFonts w:ascii="Segoe UI" w:hAnsi="Segoe UI" w:cs="Segoe UI"/>
        </w:rPr>
        <w:t>5 per cent</w:t>
      </w:r>
      <w:r w:rsidRPr="005B5171">
        <w:rPr>
          <w:rFonts w:ascii="Segoe UI" w:hAnsi="Segoe UI" w:cs="Segoe UI"/>
          <w:lang w:eastAsia="en-AU"/>
        </w:rPr>
        <w:t xml:space="preserve">), the volume derived from forests in RFA regions is around 1,000–1,500 tonnes per year. </w:t>
      </w:r>
    </w:p>
    <w:p w:rsidR="005B5171" w:rsidRPr="005B5171" w:rsidRDefault="005B5171" w:rsidP="005B5171">
      <w:pPr>
        <w:jc w:val="both"/>
        <w:rPr>
          <w:rFonts w:ascii="Segoe UI" w:hAnsi="Segoe UI" w:cs="Segoe UI"/>
          <w:lang w:eastAsia="en-AU"/>
        </w:rPr>
      </w:pPr>
      <w:r w:rsidRPr="005B5171">
        <w:rPr>
          <w:rFonts w:ascii="Segoe UI" w:hAnsi="Segoe UI" w:cs="Segoe UI"/>
        </w:rPr>
        <w:t>Given the assumptions made around the use of apiary sites in RFA regions, confidence in the precision of this estimate is low, and it should be considered an indicative estimate only.</w:t>
      </w:r>
      <w:r w:rsidRPr="005B5171">
        <w:rPr>
          <w:rFonts w:ascii="Segoe UI" w:hAnsi="Segoe UI" w:cs="Segoe UI"/>
          <w:lang w:eastAsia="en-AU"/>
        </w:rPr>
        <w:t xml:space="preserve"> For the same reason, the quantity of honey attributable to each RFA region cannot be estimated with confidence. However, the number of apiary sites in each RFA region is an indicator of access to floral resources and suggests that the West and Gippsland RFA regions are particularly important areas for beekeeping.   </w:t>
      </w:r>
    </w:p>
    <w:p w:rsidR="005B5171" w:rsidRPr="005B5171" w:rsidRDefault="005B5171" w:rsidP="005B5171">
      <w:pPr>
        <w:spacing w:after="200" w:line="240" w:lineRule="auto"/>
        <w:rPr>
          <w:rFonts w:ascii="Segoe UI Semibold" w:eastAsia="Times New Roman" w:hAnsi="Segoe UI Semibold" w:cs="Times New Roman"/>
          <w:color w:val="016295"/>
        </w:rPr>
      </w:pPr>
      <w:bookmarkStart w:id="159" w:name="_Ref11756137"/>
      <w:bookmarkStart w:id="160" w:name="_Ref13836586"/>
      <w:bookmarkStart w:id="161" w:name="_Toc25660877"/>
      <w:r w:rsidRPr="005B5171">
        <w:rPr>
          <w:rFonts w:ascii="Segoe UI Semibold" w:eastAsia="Times New Roman" w:hAnsi="Segoe UI Semibold" w:cs="Times New Roman"/>
          <w:color w:val="016295"/>
        </w:rPr>
        <w:t xml:space="preserve">Table </w:t>
      </w:r>
      <w:bookmarkEnd w:id="159"/>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96</w:t>
      </w:r>
      <w:r w:rsidRPr="005B5171">
        <w:rPr>
          <w:rFonts w:ascii="Segoe UI Semibold" w:eastAsia="Times New Roman" w:hAnsi="Segoe UI Semibold" w:cs="Times New Roman"/>
          <w:color w:val="016295"/>
        </w:rPr>
        <w:fldChar w:fldCharType="end"/>
      </w:r>
      <w:bookmarkEnd w:id="160"/>
      <w:r w:rsidRPr="005B5171">
        <w:rPr>
          <w:rFonts w:ascii="Segoe UI Semibold" w:eastAsia="Times New Roman" w:hAnsi="Segoe UI Semibold" w:cs="Times New Roman"/>
          <w:color w:val="016295"/>
        </w:rPr>
        <w:t>: Proportion of honey produced, by land type, Victoria, 2014–15</w:t>
      </w:r>
      <w:bookmarkEnd w:id="161"/>
    </w:p>
    <w:tbl>
      <w:tblPr>
        <w:tblW w:w="0" w:type="auto"/>
        <w:tblLayout w:type="fixed"/>
        <w:tblCellMar>
          <w:top w:w="85" w:type="dxa"/>
          <w:bottom w:w="85" w:type="dxa"/>
        </w:tblCellMar>
        <w:tblLook w:val="04A0" w:firstRow="1" w:lastRow="0" w:firstColumn="1" w:lastColumn="0" w:noHBand="0" w:noVBand="1"/>
      </w:tblPr>
      <w:tblGrid>
        <w:gridCol w:w="3293"/>
        <w:gridCol w:w="1634"/>
      </w:tblGrid>
      <w:tr w:rsidR="005B5171" w:rsidRPr="005B5171" w:rsidTr="000B1EFD">
        <w:trPr>
          <w:trHeight w:val="283"/>
        </w:trPr>
        <w:tc>
          <w:tcPr>
            <w:tcW w:w="3293" w:type="dxa"/>
            <w:tcBorders>
              <w:bottom w:val="single" w:sz="4" w:space="0" w:color="7F7F7F" w:themeColor="text1" w:themeTint="80"/>
            </w:tcBorders>
            <w:shd w:val="clear" w:color="auto" w:fill="E2EFD9" w:themeFill="accent6" w:themeFillTint="33"/>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Land type</w:t>
            </w:r>
          </w:p>
        </w:tc>
        <w:tc>
          <w:tcPr>
            <w:tcW w:w="1634" w:type="dxa"/>
            <w:tcBorders>
              <w:bottom w:val="single" w:sz="4" w:space="0" w:color="7F7F7F" w:themeColor="text1" w:themeTint="80"/>
            </w:tcBorders>
            <w:shd w:val="clear" w:color="auto" w:fill="E2EFD9" w:themeFill="accent6" w:themeFillTint="33"/>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Proportion ( per cent)</w:t>
            </w:r>
          </w:p>
        </w:tc>
      </w:tr>
      <w:tr w:rsidR="005B5171" w:rsidRPr="005B5171" w:rsidTr="000B1EFD">
        <w:trPr>
          <w:trHeight w:val="283"/>
        </w:trPr>
        <w:tc>
          <w:tcPr>
            <w:tcW w:w="4927" w:type="dxa"/>
            <w:gridSpan w:val="2"/>
            <w:tcBorders>
              <w:top w:val="single" w:sz="4" w:space="0" w:color="7F7F7F" w:themeColor="text1" w:themeTint="80"/>
            </w:tcBorders>
            <w:shd w:val="clear" w:color="auto" w:fill="F2F2F2" w:themeFill="background1" w:themeFillShade="F2"/>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Public land</w:t>
            </w:r>
          </w:p>
        </w:tc>
      </w:tr>
      <w:tr w:rsidR="005B5171" w:rsidRPr="005B5171" w:rsidTr="000B1EFD">
        <w:trPr>
          <w:trHeight w:val="283"/>
        </w:trPr>
        <w:tc>
          <w:tcPr>
            <w:tcW w:w="3293" w:type="dxa"/>
            <w:tcBorders>
              <w:top w:val="single" w:sz="4" w:space="0" w:color="7F7F7F" w:themeColor="text1" w:themeTint="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State forests</w:t>
            </w:r>
          </w:p>
        </w:tc>
        <w:tc>
          <w:tcPr>
            <w:tcW w:w="1634"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40</w:t>
            </w:r>
          </w:p>
        </w:tc>
      </w:tr>
      <w:tr w:rsidR="005B5171" w:rsidRPr="005B5171" w:rsidTr="000B1EFD">
        <w:trPr>
          <w:trHeight w:val="283"/>
        </w:trPr>
        <w:tc>
          <w:tcPr>
            <w:tcW w:w="3293" w:type="dxa"/>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National parks</w:t>
            </w:r>
          </w:p>
        </w:tc>
        <w:tc>
          <w:tcPr>
            <w:tcW w:w="1634" w:type="dxa"/>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11</w:t>
            </w:r>
          </w:p>
        </w:tc>
      </w:tr>
      <w:tr w:rsidR="005B5171" w:rsidRPr="005B5171" w:rsidTr="000B1EFD">
        <w:trPr>
          <w:trHeight w:val="283"/>
        </w:trPr>
        <w:tc>
          <w:tcPr>
            <w:tcW w:w="3293" w:type="dxa"/>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Other public land</w:t>
            </w:r>
          </w:p>
        </w:tc>
        <w:tc>
          <w:tcPr>
            <w:tcW w:w="1634" w:type="dxa"/>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8</w:t>
            </w:r>
          </w:p>
        </w:tc>
      </w:tr>
      <w:tr w:rsidR="005B5171" w:rsidRPr="005B5171" w:rsidTr="000B1EFD">
        <w:trPr>
          <w:trHeight w:val="283"/>
        </w:trPr>
        <w:tc>
          <w:tcPr>
            <w:tcW w:w="3293" w:type="dxa"/>
            <w:tcBorders>
              <w:bottom w:val="single" w:sz="4" w:space="0" w:color="7F7F7F" w:themeColor="text1" w:themeTint="80"/>
            </w:tcBorders>
            <w:noWrap/>
          </w:tcPr>
          <w:p w:rsidR="005B5171" w:rsidRPr="005B5171" w:rsidRDefault="005B5171" w:rsidP="005B5171">
            <w:pPr>
              <w:spacing w:before="20" w:after="0" w:line="240" w:lineRule="auto"/>
              <w:rPr>
                <w:rFonts w:ascii="Segoe UI" w:eastAsia="Calibri" w:hAnsi="Segoe UI" w:cs="Calibri"/>
                <w:b/>
                <w:sz w:val="19"/>
                <w:szCs w:val="19"/>
                <w:lang w:eastAsia="en-AU"/>
              </w:rPr>
            </w:pPr>
            <w:r w:rsidRPr="005B5171">
              <w:rPr>
                <w:rFonts w:ascii="Segoe UI" w:eastAsia="Calibri" w:hAnsi="Segoe UI" w:cs="Calibri"/>
                <w:b/>
                <w:sz w:val="19"/>
                <w:szCs w:val="19"/>
                <w:lang w:eastAsia="en-AU"/>
              </w:rPr>
              <w:t>Total public land</w:t>
            </w:r>
          </w:p>
        </w:tc>
        <w:tc>
          <w:tcPr>
            <w:tcW w:w="1634" w:type="dxa"/>
            <w:tcBorders>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58</w:t>
            </w:r>
          </w:p>
        </w:tc>
      </w:tr>
      <w:tr w:rsidR="005B5171" w:rsidRPr="005B5171" w:rsidTr="000B1EFD">
        <w:trPr>
          <w:trHeight w:val="283"/>
        </w:trPr>
        <w:tc>
          <w:tcPr>
            <w:tcW w:w="4927" w:type="dxa"/>
            <w:gridSpan w:val="2"/>
            <w:tcBorders>
              <w:top w:val="single" w:sz="4" w:space="0" w:color="7F7F7F" w:themeColor="text1" w:themeTint="80"/>
              <w:bottom w:val="single" w:sz="4" w:space="0" w:color="7F7F7F" w:themeColor="text1" w:themeTint="80"/>
            </w:tcBorders>
            <w:shd w:val="clear" w:color="auto" w:fill="F2F2F2" w:themeFill="background1" w:themeFillShade="F2"/>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Private land</w:t>
            </w:r>
          </w:p>
        </w:tc>
      </w:tr>
      <w:tr w:rsidR="005B5171" w:rsidRPr="005B5171" w:rsidTr="000B1EFD">
        <w:trPr>
          <w:trHeight w:val="283"/>
        </w:trPr>
        <w:tc>
          <w:tcPr>
            <w:tcW w:w="3293" w:type="dxa"/>
            <w:tcBorders>
              <w:top w:val="single" w:sz="4" w:space="0" w:color="7F7F7F" w:themeColor="text1" w:themeTint="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Crops (without paid pollination)</w:t>
            </w:r>
          </w:p>
        </w:tc>
        <w:tc>
          <w:tcPr>
            <w:tcW w:w="1634" w:type="dxa"/>
            <w:tcBorders>
              <w:top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16</w:t>
            </w:r>
          </w:p>
        </w:tc>
      </w:tr>
      <w:tr w:rsidR="005B5171" w:rsidRPr="005B5171" w:rsidTr="000B1EFD">
        <w:trPr>
          <w:trHeight w:val="283"/>
        </w:trPr>
        <w:tc>
          <w:tcPr>
            <w:tcW w:w="3293" w:type="dxa"/>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Crops (with paid pollination)</w:t>
            </w:r>
          </w:p>
        </w:tc>
        <w:tc>
          <w:tcPr>
            <w:tcW w:w="1634" w:type="dxa"/>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w:t>
            </w:r>
          </w:p>
        </w:tc>
      </w:tr>
      <w:tr w:rsidR="005B5171" w:rsidRPr="005B5171" w:rsidTr="000B1EFD">
        <w:trPr>
          <w:trHeight w:val="283"/>
        </w:trPr>
        <w:tc>
          <w:tcPr>
            <w:tcW w:w="3293" w:type="dxa"/>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Other private land</w:t>
            </w:r>
          </w:p>
        </w:tc>
        <w:tc>
          <w:tcPr>
            <w:tcW w:w="1634" w:type="dxa"/>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23</w:t>
            </w:r>
          </w:p>
        </w:tc>
      </w:tr>
      <w:tr w:rsidR="005B5171" w:rsidRPr="005B5171" w:rsidTr="000B1EFD">
        <w:trPr>
          <w:trHeight w:val="283"/>
        </w:trPr>
        <w:tc>
          <w:tcPr>
            <w:tcW w:w="3293" w:type="dxa"/>
            <w:tcBorders>
              <w:bottom w:val="single" w:sz="4" w:space="0" w:color="7F7F7F" w:themeColor="text1" w:themeTint="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b/>
                <w:sz w:val="19"/>
                <w:szCs w:val="19"/>
                <w:lang w:eastAsia="en-AU"/>
              </w:rPr>
              <w:t>Total private land</w:t>
            </w:r>
          </w:p>
        </w:tc>
        <w:tc>
          <w:tcPr>
            <w:tcW w:w="1634" w:type="dxa"/>
            <w:tcBorders>
              <w:bottom w:val="single" w:sz="4"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42</w:t>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ABARES 2016 </w:t>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Valuation of service</w:t>
      </w:r>
    </w:p>
    <w:p w:rsidR="005B5171" w:rsidRPr="005B5171" w:rsidRDefault="005B5171" w:rsidP="005B5171">
      <w:pPr>
        <w:jc w:val="both"/>
        <w:rPr>
          <w:rFonts w:ascii="Segoe UI" w:hAnsi="Segoe UI" w:cs="Segoe UI"/>
        </w:rPr>
      </w:pPr>
      <w:r w:rsidRPr="005B5171">
        <w:rPr>
          <w:rFonts w:ascii="Segoe UI" w:hAnsi="Segoe UI" w:cs="Segoe UI"/>
        </w:rPr>
        <w:t xml:space="preserve">Honey provision can be valued using market information reported in the ABARES survey. Analysis of survey data suggests that average cash receipts per kilogram of honey were around $6.30 per kilogram and average cash costs were $3.40 per kilogram in 2014–-15. The difference is $2.90 per kilogram of honey, or $2,900 per tonne. Applying this to the volume of honey derived from forests in RFA regions suggests that the industry is valued at $3.0–4.5 million per year. This represents the value contributed by forest ecosystems. </w:t>
      </w:r>
    </w:p>
    <w:p w:rsidR="005B5171" w:rsidRPr="005B5171" w:rsidRDefault="005B5171" w:rsidP="005B5171">
      <w:pPr>
        <w:keepNext/>
        <w:spacing w:before="120" w:after="120" w:line="240" w:lineRule="auto"/>
        <w:jc w:val="both"/>
        <w:outlineLvl w:val="3"/>
        <w:rPr>
          <w:rFonts w:ascii="Segoe UI" w:hAnsi="Segoe UI" w:cs="Segoe UI"/>
          <w:i/>
          <w:sz w:val="24"/>
          <w:szCs w:val="24"/>
        </w:rPr>
      </w:pPr>
      <w:bookmarkStart w:id="162" w:name="_Toc11768341"/>
      <w:r w:rsidRPr="005B5171">
        <w:rPr>
          <w:rFonts w:ascii="Segoe UI" w:hAnsi="Segoe UI" w:cs="Segoe UI"/>
          <w:i/>
          <w:sz w:val="24"/>
          <w:szCs w:val="24"/>
        </w:rPr>
        <w:t>Pollination</w:t>
      </w:r>
      <w:bookmarkEnd w:id="162"/>
    </w:p>
    <w:p w:rsidR="005B5171" w:rsidRPr="005B5171" w:rsidRDefault="005B5171" w:rsidP="005B5171">
      <w:pPr>
        <w:jc w:val="both"/>
        <w:rPr>
          <w:rFonts w:ascii="Segoe UI" w:hAnsi="Segoe UI" w:cs="Segoe UI"/>
        </w:rPr>
      </w:pPr>
      <w:r w:rsidRPr="005B5171">
        <w:rPr>
          <w:rFonts w:ascii="Segoe UI" w:hAnsi="Segoe UI" w:cs="Segoe UI"/>
        </w:rPr>
        <w:t xml:space="preserve">Native and introduced pollinators support agricultural activity which provides benefits to producers and consumers of agricultural products. Pollinators also support the maintenance of forests and other ecosystems. </w:t>
      </w:r>
    </w:p>
    <w:p w:rsidR="005B5171" w:rsidRPr="005B5171" w:rsidRDefault="005B5171" w:rsidP="005B5171">
      <w:pPr>
        <w:jc w:val="both"/>
        <w:rPr>
          <w:rFonts w:ascii="Segoe UI" w:hAnsi="Segoe UI" w:cs="Segoe UI"/>
        </w:rPr>
      </w:pPr>
      <w:r w:rsidRPr="005B5171">
        <w:rPr>
          <w:rFonts w:ascii="Segoe UI" w:hAnsi="Segoe UI" w:cs="Segoe UI"/>
        </w:rPr>
        <w:t xml:space="preserve">Pollination of horticultural/agricultural crops is highly dependent on access to adequate seasonal floral resources from across the general landscape, including native forests. Providers of paid pollination services typically strengthen and/or rest bee colonies by placing hives in or near areas of native vegetation, including both state and private forests. Hives are then transported to agricultural areas to pollinate specific crops (such as Victoria’s almond orchards). </w:t>
      </w:r>
    </w:p>
    <w:p w:rsidR="005B5171" w:rsidRPr="005B5171" w:rsidRDefault="005B5171" w:rsidP="005B5171">
      <w:pPr>
        <w:jc w:val="both"/>
        <w:rPr>
          <w:rFonts w:ascii="Segoe UI" w:hAnsi="Segoe UI" w:cs="Segoe UI"/>
        </w:rPr>
      </w:pPr>
      <w:r w:rsidRPr="005B5171">
        <w:rPr>
          <w:rFonts w:ascii="Segoe UI" w:hAnsi="Segoe UI" w:cs="Segoe UI"/>
        </w:rPr>
        <w:t>Almonds are the most common crop that uses paid pollination services in Victoria, with 94 per cent of pollination service providers supplying almond crops (</w:t>
      </w:r>
      <w:r w:rsidRPr="005B5171">
        <w:rPr>
          <w:rFonts w:ascii="Segoe UI" w:hAnsi="Segoe UI" w:cs="Segoe UI"/>
        </w:rPr>
        <w:fldChar w:fldCharType="begin"/>
      </w:r>
      <w:r w:rsidRPr="005B5171">
        <w:rPr>
          <w:rFonts w:ascii="Segoe UI" w:hAnsi="Segoe UI" w:cs="Segoe UI"/>
        </w:rPr>
        <w:instrText xml:space="preserve"> REF _Ref14619298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97</w:t>
      </w:r>
      <w:r w:rsidRPr="005B5171">
        <w:rPr>
          <w:rFonts w:ascii="Segoe UI" w:hAnsi="Segoe UI" w:cs="Segoe UI"/>
        </w:rPr>
        <w:fldChar w:fldCharType="end"/>
      </w:r>
      <w:r w:rsidRPr="005B5171">
        <w:rPr>
          <w:rFonts w:ascii="Segoe UI" w:hAnsi="Segoe UI" w:cs="Segoe UI"/>
        </w:rPr>
        <w:t xml:space="preserve">). Around 20 per cent of pollination service providers supply oilseed crops (such as canola), and 10 per cent supply other fruit crops (apples, stone fruits, etc.). </w:t>
      </w:r>
    </w:p>
    <w:p w:rsidR="005B5171" w:rsidRPr="005B5171" w:rsidRDefault="005B5171" w:rsidP="005B5171">
      <w:pPr>
        <w:jc w:val="both"/>
        <w:rPr>
          <w:rFonts w:ascii="Segoe UI" w:hAnsi="Segoe UI" w:cs="Segoe UI"/>
        </w:rPr>
      </w:pPr>
      <w:r w:rsidRPr="005B5171">
        <w:rPr>
          <w:rFonts w:ascii="Segoe UI" w:hAnsi="Segoe UI" w:cs="Segoe UI"/>
        </w:rPr>
        <w:t xml:space="preserve">Paid pollination services have increased over the past decade, with over 50 per cent of Victorian beekeepers providing paid pollination services in 2014–1; this is up from under 40 per cent in 2006–07. Around 14 per cent of Victorian beekeeping businesses not offering paid pollination services in 2014–15 planned to commence in the next five years, and over 55 per cent offering paid pollination services planned to expand. </w:t>
      </w:r>
    </w:p>
    <w:p w:rsidR="005B5171" w:rsidRPr="005B5171" w:rsidRDefault="005B5171" w:rsidP="005B5171">
      <w:pPr>
        <w:spacing w:after="200" w:line="240" w:lineRule="auto"/>
        <w:rPr>
          <w:rFonts w:ascii="Segoe UI Semibold" w:eastAsia="Times New Roman" w:hAnsi="Segoe UI Semibold" w:cs="Times New Roman"/>
          <w:color w:val="016295"/>
        </w:rPr>
      </w:pPr>
      <w:bookmarkStart w:id="163" w:name="_Ref4415726"/>
      <w:bookmarkStart w:id="164" w:name="_Ref14619298"/>
      <w:bookmarkStart w:id="165" w:name="_Toc25660878"/>
      <w:r w:rsidRPr="005B5171">
        <w:rPr>
          <w:rFonts w:ascii="Segoe UI Semibold" w:eastAsia="Times New Roman" w:hAnsi="Segoe UI Semibold" w:cs="Times New Roman"/>
          <w:color w:val="016295"/>
        </w:rPr>
        <w:t xml:space="preserve">Table </w:t>
      </w:r>
      <w:bookmarkEnd w:id="163"/>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97</w:t>
      </w:r>
      <w:r w:rsidRPr="005B5171">
        <w:rPr>
          <w:rFonts w:ascii="Segoe UI Semibold" w:eastAsia="Times New Roman" w:hAnsi="Segoe UI Semibold" w:cs="Times New Roman"/>
          <w:color w:val="016295"/>
        </w:rPr>
        <w:fldChar w:fldCharType="end"/>
      </w:r>
      <w:bookmarkEnd w:id="164"/>
      <w:r w:rsidRPr="005B5171">
        <w:rPr>
          <w:rFonts w:ascii="Segoe UI Semibold" w:eastAsia="Times New Roman" w:hAnsi="Segoe UI Semibold" w:cs="Times New Roman"/>
          <w:color w:val="016295"/>
        </w:rPr>
        <w:t>: Types of crops pollinated by paid pollination service providers, Victoria, 2014–15</w:t>
      </w:r>
      <w:bookmarkEnd w:id="165"/>
    </w:p>
    <w:tbl>
      <w:tblPr>
        <w:tblStyle w:val="xTable1"/>
        <w:tblW w:w="0" w:type="auto"/>
        <w:tblLook w:val="04A0" w:firstRow="1" w:lastRow="0" w:firstColumn="1" w:lastColumn="0" w:noHBand="0" w:noVBand="1"/>
      </w:tblPr>
      <w:tblGrid>
        <w:gridCol w:w="2295"/>
        <w:gridCol w:w="824"/>
      </w:tblGrid>
      <w:tr w:rsidR="005B5171" w:rsidRPr="005B5171" w:rsidTr="000B1E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gridSpan w:val="2"/>
          </w:tcPr>
          <w:p w:rsidR="005B5171" w:rsidRPr="005B5171" w:rsidRDefault="005B5171" w:rsidP="005B5171">
            <w:pPr>
              <w:rPr>
                <w:rFonts w:ascii="Segoe UI" w:hAnsi="Segoe UI" w:cs="Segoe UI"/>
              </w:rPr>
            </w:pPr>
            <w:r w:rsidRPr="005B5171">
              <w:rPr>
                <w:rFonts w:ascii="Segoe UI" w:hAnsi="Segoe UI" w:cs="Segoe UI"/>
              </w:rPr>
              <w:t>Proportion of pollination service providers pollinating crop ( per cent)</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Almonds</w:t>
            </w:r>
          </w:p>
        </w:tc>
        <w:tc>
          <w:tcPr>
            <w:tcW w:w="0"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94</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Cherries</w:t>
            </w:r>
          </w:p>
        </w:tc>
        <w:tc>
          <w:tcPr>
            <w:tcW w:w="0"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4</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Pome fruits</w:t>
            </w:r>
          </w:p>
        </w:tc>
        <w:tc>
          <w:tcPr>
            <w:tcW w:w="0"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7</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Other fruit</w:t>
            </w:r>
          </w:p>
        </w:tc>
        <w:tc>
          <w:tcPr>
            <w:tcW w:w="0"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11</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Oilseeds</w:t>
            </w:r>
          </w:p>
        </w:tc>
        <w:tc>
          <w:tcPr>
            <w:tcW w:w="0"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18</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Vegetables</w:t>
            </w:r>
          </w:p>
        </w:tc>
        <w:tc>
          <w:tcPr>
            <w:tcW w:w="0"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4</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rPr>
                <w:rFonts w:ascii="Segoe UI" w:hAnsi="Segoe UI" w:cs="Segoe UI"/>
              </w:rPr>
            </w:pPr>
            <w:r w:rsidRPr="005B5171">
              <w:rPr>
                <w:rFonts w:ascii="Segoe UI" w:hAnsi="Segoe UI" w:cs="Segoe UI"/>
              </w:rPr>
              <w:t>Other</w:t>
            </w:r>
          </w:p>
        </w:tc>
        <w:tc>
          <w:tcPr>
            <w:tcW w:w="0"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6</w:t>
            </w:r>
          </w:p>
        </w:tc>
      </w:tr>
    </w:tbl>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Note: Beekeeping businesses can pollinate multiple types of crops throughout a given year.  </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Source: ABARES. 2016</w:t>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Valuation of services</w:t>
      </w:r>
    </w:p>
    <w:p w:rsidR="005B5171" w:rsidRPr="005B5171" w:rsidRDefault="005B5171" w:rsidP="005B5171">
      <w:pPr>
        <w:jc w:val="both"/>
        <w:rPr>
          <w:rFonts w:ascii="Segoe UI" w:hAnsi="Segoe UI" w:cs="Segoe UI"/>
        </w:rPr>
      </w:pPr>
      <w:r w:rsidRPr="005B5171">
        <w:rPr>
          <w:rFonts w:ascii="Segoe UI" w:hAnsi="Segoe UI" w:cs="Segoe UI"/>
        </w:rPr>
        <w:t xml:space="preserve">The contribution of forests to paid pollination services can be valued using market information reported by ABARES. In 2014–15, Victorian beekeepers received an average of $27,000 for paid pollination services. This suggests an average payment of around $70 per hive (as beekeepers reported an average of 380 hives). Although, as not all beekeepers offer paid pollination services, the average payment per hive used for paid pollination services would be higher. </w:t>
      </w:r>
    </w:p>
    <w:p w:rsidR="005B5171" w:rsidRPr="005B5171" w:rsidRDefault="005B5171" w:rsidP="005B5171">
      <w:pPr>
        <w:jc w:val="both"/>
        <w:rPr>
          <w:rFonts w:ascii="Segoe UI" w:hAnsi="Segoe UI" w:cs="Segoe UI"/>
        </w:rPr>
      </w:pPr>
      <w:r w:rsidRPr="005B5171">
        <w:rPr>
          <w:rFonts w:ascii="Segoe UI" w:hAnsi="Segoe UI" w:cs="Segoe UI"/>
        </w:rPr>
        <w:t xml:space="preserve">The average annual cash costs per beekeeping business in Victoria are $109,500 </w:t>
      </w:r>
      <w:r w:rsidRPr="005B5171">
        <w:rPr>
          <w:rFonts w:ascii="Segoe UI" w:hAnsi="Segoe UI" w:cs="Segoe UI"/>
          <w:lang w:eastAsia="en-AU"/>
        </w:rPr>
        <w:t xml:space="preserve">(van Dijk, </w:t>
      </w:r>
      <w:proofErr w:type="spellStart"/>
      <w:r w:rsidRPr="005B5171">
        <w:rPr>
          <w:rFonts w:ascii="Segoe UI" w:hAnsi="Segoe UI" w:cs="Segoe UI"/>
          <w:lang w:eastAsia="en-AU"/>
        </w:rPr>
        <w:t>Gomboso</w:t>
      </w:r>
      <w:proofErr w:type="spellEnd"/>
      <w:r w:rsidRPr="005B5171">
        <w:rPr>
          <w:rFonts w:ascii="Segoe UI" w:hAnsi="Segoe UI" w:cs="Segoe UI"/>
          <w:lang w:eastAsia="en-AU"/>
        </w:rPr>
        <w:t xml:space="preserve"> &amp; </w:t>
      </w:r>
      <w:proofErr w:type="spellStart"/>
      <w:r w:rsidRPr="005B5171">
        <w:rPr>
          <w:rFonts w:ascii="Segoe UI" w:hAnsi="Segoe UI" w:cs="Segoe UI"/>
          <w:lang w:eastAsia="en-AU"/>
        </w:rPr>
        <w:t>Levantis</w:t>
      </w:r>
      <w:proofErr w:type="spellEnd"/>
      <w:r w:rsidRPr="005B5171">
        <w:rPr>
          <w:rFonts w:ascii="Segoe UI" w:hAnsi="Segoe UI" w:cs="Segoe UI"/>
          <w:lang w:eastAsia="en-AU"/>
        </w:rPr>
        <w:t xml:space="preserve"> 2016)</w:t>
      </w:r>
      <w:r w:rsidRPr="005B5171">
        <w:rPr>
          <w:rFonts w:ascii="Segoe UI" w:hAnsi="Segoe UI" w:cs="Segoe UI"/>
        </w:rPr>
        <w:t>. Attributing a portion of these costs to pollination services, in line with the proportion of average cash receipts that are for pollination services (13 per cent), suggests average annual cash costs for pollination services of around $15,000 per business. This results in an average cash profit (cash receipts less cash costs) of $12,000 per business. Applying this to the number of commercial beekeeping businesses in Victoria (220)</w:t>
      </w:r>
      <w:r w:rsidRPr="005B5171" w:rsidDel="00F073F2">
        <w:rPr>
          <w:rFonts w:ascii="Segoe UI" w:hAnsi="Segoe UI" w:cs="Segoe UI"/>
          <w:vertAlign w:val="superscript"/>
        </w:rPr>
        <w:t xml:space="preserve"> </w:t>
      </w:r>
      <w:r w:rsidRPr="005B5171">
        <w:rPr>
          <w:rFonts w:ascii="Segoe UI" w:hAnsi="Segoe UI" w:cs="Segoe UI"/>
          <w:lang w:eastAsia="en-AU"/>
        </w:rPr>
        <w:t xml:space="preserve">(van Dijk, </w:t>
      </w:r>
      <w:proofErr w:type="spellStart"/>
      <w:r w:rsidRPr="005B5171">
        <w:rPr>
          <w:rFonts w:ascii="Segoe UI" w:hAnsi="Segoe UI" w:cs="Segoe UI"/>
          <w:lang w:eastAsia="en-AU"/>
        </w:rPr>
        <w:t>Gomboso</w:t>
      </w:r>
      <w:proofErr w:type="spellEnd"/>
      <w:r w:rsidRPr="005B5171">
        <w:rPr>
          <w:rFonts w:ascii="Segoe UI" w:hAnsi="Segoe UI" w:cs="Segoe UI"/>
          <w:lang w:eastAsia="en-AU"/>
        </w:rPr>
        <w:t xml:space="preserve"> &amp; </w:t>
      </w:r>
      <w:proofErr w:type="spellStart"/>
      <w:r w:rsidRPr="005B5171">
        <w:rPr>
          <w:rFonts w:ascii="Segoe UI" w:hAnsi="Segoe UI" w:cs="Segoe UI"/>
          <w:lang w:eastAsia="en-AU"/>
        </w:rPr>
        <w:t>Levantis</w:t>
      </w:r>
      <w:proofErr w:type="spellEnd"/>
      <w:r w:rsidRPr="005B5171">
        <w:rPr>
          <w:rFonts w:ascii="Segoe UI" w:hAnsi="Segoe UI" w:cs="Segoe UI"/>
          <w:lang w:eastAsia="en-AU"/>
        </w:rPr>
        <w:t xml:space="preserve"> 2016, p. 3)</w:t>
      </w:r>
      <w:r w:rsidRPr="005B5171">
        <w:rPr>
          <w:rFonts w:ascii="Segoe UI" w:hAnsi="Segoe UI" w:cs="Segoe UI"/>
        </w:rPr>
        <w:t xml:space="preserve">, the reliance of beekeeping businesses on forested areas (50–70 per cent – see </w:t>
      </w:r>
      <w:r w:rsidRPr="005B5171">
        <w:rPr>
          <w:rFonts w:ascii="Segoe UI" w:hAnsi="Segoe UI" w:cs="Segoe UI"/>
        </w:rPr>
        <w:fldChar w:fldCharType="begin"/>
      </w:r>
      <w:r w:rsidRPr="005B5171">
        <w:rPr>
          <w:rFonts w:ascii="Segoe UI" w:hAnsi="Segoe UI" w:cs="Segoe UI"/>
        </w:rPr>
        <w:instrText xml:space="preserve"> REF _Ref13836586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96</w:t>
      </w:r>
      <w:r w:rsidRPr="005B5171">
        <w:rPr>
          <w:rFonts w:ascii="Segoe UI" w:hAnsi="Segoe UI" w:cs="Segoe UI"/>
        </w:rPr>
        <w:fldChar w:fldCharType="end"/>
      </w:r>
      <w:r w:rsidRPr="005B5171">
        <w:rPr>
          <w:rFonts w:ascii="Segoe UI" w:hAnsi="Segoe UI" w:cs="Segoe UI"/>
        </w:rPr>
        <w:t xml:space="preserve">) and the proportion of apiary sites in RFA regions (55 per cent), the value contributed to paid pollination services by forests in RFA regions is estimated at around $750,000 to $1,050,000 per year. Given the extrapolation of data and assumptions made around the use of apiary sites in RFA regions, confidence in the precision of this estimate is low, and it should be considered an indicative estimate only. </w:t>
      </w:r>
    </w:p>
    <w:p w:rsidR="005B5171" w:rsidRPr="005B5171" w:rsidRDefault="005B5171" w:rsidP="005B5171">
      <w:pPr>
        <w:jc w:val="both"/>
        <w:rPr>
          <w:rFonts w:ascii="Segoe UI" w:hAnsi="Segoe UI" w:cs="Segoe UI"/>
        </w:rPr>
      </w:pPr>
      <w:r w:rsidRPr="005B5171">
        <w:rPr>
          <w:rFonts w:ascii="Segoe UI" w:hAnsi="Segoe UI" w:cs="Segoe UI"/>
        </w:rPr>
        <w:t xml:space="preserve">This valuation method represents a lower bound estimate of the value of pollination services, as it is based on the market value of paid pollination services, rather than the benefit that pollination (both commercial and wild) provides to producers and consumers of agricultural products. </w:t>
      </w:r>
    </w:p>
    <w:p w:rsidR="005B5171" w:rsidRPr="005B5171" w:rsidRDefault="005B5171" w:rsidP="005B5171">
      <w:pPr>
        <w:jc w:val="both"/>
        <w:rPr>
          <w:rFonts w:ascii="Segoe UI" w:hAnsi="Segoe UI" w:cs="Segoe UI"/>
        </w:rPr>
      </w:pPr>
      <w:r w:rsidRPr="005B5171">
        <w:rPr>
          <w:rFonts w:ascii="Segoe UI" w:hAnsi="Segoe UI" w:cs="Segoe UI"/>
        </w:rPr>
        <w:t>However, a 2018 study by Curtin University modelled the impact of a supply shock (due to the absence of pollination) on 53 honeybee pollination dependent agricultural crops, and estimated the economic value of pollination in Victoria as between $3.2 billion and $9.0 billion (</w:t>
      </w:r>
      <w:proofErr w:type="spellStart"/>
      <w:r w:rsidRPr="005B5171">
        <w:rPr>
          <w:rFonts w:ascii="Segoe UI" w:hAnsi="Segoe UI" w:cs="Segoe UI"/>
        </w:rPr>
        <w:t>Karasinski</w:t>
      </w:r>
      <w:proofErr w:type="spellEnd"/>
      <w:r w:rsidRPr="005B5171">
        <w:rPr>
          <w:rFonts w:ascii="Segoe UI" w:hAnsi="Segoe UI" w:cs="Segoe UI"/>
        </w:rPr>
        <w:t xml:space="preserve"> 2018). This is the highest estimate of all states and territories which likely represents the composition of agricultural crops grown in Victoria (such as almonds), and the volume and price of agricultural production. This is likely an upper bound estimate of the value of pollination, as it is based on the sudden loss of crops due to the absence of pollination. </w:t>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Avoiding double counting</w:t>
      </w:r>
    </w:p>
    <w:p w:rsidR="005B5171" w:rsidRPr="005B5171" w:rsidRDefault="005B5171" w:rsidP="005B5171">
      <w:pPr>
        <w:jc w:val="both"/>
        <w:rPr>
          <w:rFonts w:ascii="Segoe UI" w:hAnsi="Segoe UI" w:cs="Segoe UI"/>
        </w:rPr>
      </w:pPr>
      <w:r w:rsidRPr="005B5171">
        <w:rPr>
          <w:rFonts w:ascii="Segoe UI" w:hAnsi="Segoe UI" w:cs="Segoe UI"/>
        </w:rPr>
        <w:t xml:space="preserve">Note that there is likely to be substantial overlap between honey provision and pollination services. For example, incidental pollination by bees is a positive externality of honey production. To avoid double counting, benefits from honey provision and benefits from pollination should always be reported separately. </w:t>
      </w:r>
    </w:p>
    <w:p w:rsidR="005B5171" w:rsidRPr="005B5171" w:rsidRDefault="005B5171" w:rsidP="005B5171">
      <w:pPr>
        <w:keepNext/>
        <w:spacing w:before="120" w:after="120" w:line="240" w:lineRule="auto"/>
        <w:jc w:val="both"/>
        <w:outlineLvl w:val="3"/>
        <w:rPr>
          <w:rFonts w:ascii="Segoe UI" w:hAnsi="Segoe UI" w:cs="Segoe UI"/>
          <w:i/>
          <w:sz w:val="24"/>
          <w:szCs w:val="24"/>
        </w:rPr>
      </w:pPr>
      <w:r w:rsidRPr="005B5171">
        <w:rPr>
          <w:rFonts w:ascii="Segoe UI" w:hAnsi="Segoe UI" w:cs="Segoe UI"/>
          <w:i/>
          <w:sz w:val="24"/>
          <w:szCs w:val="24"/>
        </w:rPr>
        <w:t>Minerals</w:t>
      </w:r>
    </w:p>
    <w:p w:rsidR="005B5171" w:rsidRPr="005B5171" w:rsidRDefault="005B5171" w:rsidP="005B5171">
      <w:pPr>
        <w:jc w:val="both"/>
        <w:rPr>
          <w:rFonts w:ascii="Segoe UI" w:hAnsi="Segoe UI" w:cs="Segoe UI"/>
        </w:rPr>
      </w:pPr>
      <w:r w:rsidRPr="005B5171">
        <w:rPr>
          <w:rFonts w:ascii="Segoe UI" w:hAnsi="Segoe UI" w:cs="Segoe UI"/>
        </w:rPr>
        <w:t xml:space="preserve">Extraction of mineral resources on public land is regulated by the </w:t>
      </w:r>
      <w:r w:rsidRPr="005B5171">
        <w:rPr>
          <w:rFonts w:ascii="Segoe UI" w:hAnsi="Segoe UI" w:cs="Segoe UI"/>
          <w:i/>
        </w:rPr>
        <w:t>Mineral Resources (Sustainable Development) Act 1990</w:t>
      </w:r>
      <w:r w:rsidRPr="005B5171">
        <w:rPr>
          <w:rFonts w:ascii="Segoe UI" w:hAnsi="Segoe UI" w:cs="Segoe UI"/>
        </w:rPr>
        <w:t xml:space="preserve"> (Vic.). Forest areas often contain mineral resource deposits and consequently are an important source of revenue for business and government.  </w:t>
      </w:r>
    </w:p>
    <w:p w:rsidR="005B5171" w:rsidRPr="005B5171" w:rsidRDefault="005B5171" w:rsidP="005B5171">
      <w:pPr>
        <w:jc w:val="both"/>
        <w:rPr>
          <w:rFonts w:ascii="Segoe UI" w:hAnsi="Segoe UI" w:cs="Segoe UI"/>
        </w:rPr>
      </w:pPr>
      <w:r w:rsidRPr="005B5171">
        <w:rPr>
          <w:rFonts w:ascii="Segoe UI" w:hAnsi="Segoe UI" w:cs="Segoe UI"/>
        </w:rPr>
        <w:t xml:space="preserve">Recreational prospecting and fossicking are permitted in State forests and in certain parks. Recreational prospectors and fossickers must purchase a Miner’s Right. This allows the holder of the right to remove and keep minerals discovered on Crown land or private land (where the landowner has given permission). </w:t>
      </w:r>
    </w:p>
    <w:p w:rsidR="005B5171" w:rsidRPr="005B5171" w:rsidRDefault="005B5171" w:rsidP="005B5171">
      <w:pPr>
        <w:jc w:val="both"/>
        <w:rPr>
          <w:rFonts w:ascii="Segoe UI" w:hAnsi="Segoe UI" w:cs="Segoe UI"/>
        </w:rPr>
      </w:pPr>
      <w:r w:rsidRPr="005B5171">
        <w:rPr>
          <w:rFonts w:ascii="Segoe UI" w:hAnsi="Segoe UI" w:cs="Segoe UI"/>
        </w:rPr>
        <w:t>There are also 227 mining licences across Victoria,</w:t>
      </w:r>
      <w:r w:rsidRPr="005B5171">
        <w:rPr>
          <w:rFonts w:ascii="Segoe UI" w:hAnsi="Segoe UI" w:cs="Segoe UI"/>
          <w:vertAlign w:val="superscript"/>
        </w:rPr>
        <w:footnoteReference w:id="11"/>
      </w:r>
      <w:r w:rsidRPr="005B5171">
        <w:rPr>
          <w:rFonts w:ascii="Segoe UI" w:hAnsi="Segoe UI" w:cs="Segoe UI"/>
        </w:rPr>
        <w:t xml:space="preserve"> covering around 65,000 hectares (</w:t>
      </w:r>
      <w:r w:rsidRPr="005B5171">
        <w:rPr>
          <w:rFonts w:ascii="Segoe UI" w:hAnsi="Segoe UI" w:cs="Segoe UI"/>
        </w:rPr>
        <w:fldChar w:fldCharType="begin"/>
      </w:r>
      <w:r w:rsidRPr="005B5171">
        <w:rPr>
          <w:rFonts w:ascii="Segoe UI" w:hAnsi="Segoe UI" w:cs="Segoe UI"/>
        </w:rPr>
        <w:instrText xml:space="preserve"> REF _Ref14619878 \h  \* MERGEFORMAT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Table 98</w:t>
      </w:r>
      <w:r w:rsidRPr="005B5171">
        <w:rPr>
          <w:rFonts w:ascii="Segoe UI" w:hAnsi="Segoe UI" w:cs="Segoe UI"/>
        </w:rPr>
        <w:fldChar w:fldCharType="end"/>
      </w:r>
      <w:r w:rsidRPr="005B5171">
        <w:rPr>
          <w:rFonts w:ascii="Segoe UI" w:hAnsi="Segoe UI" w:cs="Segoe UI"/>
        </w:rPr>
        <w:t xml:space="preserve">). Just under half (44 per cent) are within the five RFA regions and 37 per cent are within, or intersect with, forest areas in RFA regions. Gippsland has the highest number of licences that intersect with forests (35), covering over 6,600 hectares of forest. The West RFA region has 27 licences that intersect with forest, covering over 6,300 hectares of forest. </w:t>
      </w:r>
    </w:p>
    <w:p w:rsidR="005B5171" w:rsidRPr="005B5171" w:rsidRDefault="005B5171" w:rsidP="005B5171">
      <w:pPr>
        <w:spacing w:after="200" w:line="240" w:lineRule="auto"/>
        <w:rPr>
          <w:rFonts w:ascii="Segoe UI Semibold" w:eastAsia="Times New Roman" w:hAnsi="Segoe UI Semibold" w:cs="Times New Roman"/>
          <w:color w:val="016295"/>
        </w:rPr>
      </w:pPr>
      <w:bookmarkStart w:id="166" w:name="_Ref14619878"/>
      <w:bookmarkStart w:id="167" w:name="_Toc25660879"/>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98</w:t>
      </w:r>
      <w:r w:rsidRPr="005B5171">
        <w:rPr>
          <w:rFonts w:ascii="Segoe UI Semibold" w:eastAsia="Times New Roman" w:hAnsi="Segoe UI Semibold" w:cs="Times New Roman"/>
          <w:noProof/>
          <w:color w:val="016295"/>
        </w:rPr>
        <w:fldChar w:fldCharType="end"/>
      </w:r>
      <w:bookmarkEnd w:id="166"/>
      <w:r w:rsidRPr="005B5171">
        <w:rPr>
          <w:rFonts w:ascii="Segoe UI Semibold" w:eastAsia="Times New Roman" w:hAnsi="Segoe UI Semibold" w:cs="Times New Roman"/>
          <w:noProof/>
          <w:color w:val="016295"/>
        </w:rPr>
        <w:t>:</w:t>
      </w:r>
      <w:r w:rsidRPr="005B5171">
        <w:rPr>
          <w:rFonts w:ascii="Segoe UI Semibold" w:eastAsia="Times New Roman" w:hAnsi="Segoe UI Semibold" w:cs="Times New Roman"/>
          <w:color w:val="016295"/>
        </w:rPr>
        <w:t xml:space="preserve"> Current mining licences</w:t>
      </w:r>
      <w:bookmarkEnd w:id="167"/>
    </w:p>
    <w:tbl>
      <w:tblPr>
        <w:tblStyle w:val="xTable1"/>
        <w:tblW w:w="9072" w:type="dxa"/>
        <w:tblLayout w:type="fixed"/>
        <w:tblLook w:val="04E0" w:firstRow="1" w:lastRow="1" w:firstColumn="1" w:lastColumn="0" w:noHBand="0" w:noVBand="1"/>
      </w:tblPr>
      <w:tblGrid>
        <w:gridCol w:w="1796"/>
        <w:gridCol w:w="1212"/>
        <w:gridCol w:w="1213"/>
        <w:gridCol w:w="1213"/>
        <w:gridCol w:w="1212"/>
        <w:gridCol w:w="1213"/>
        <w:gridCol w:w="1213"/>
      </w:tblGrid>
      <w:tr w:rsidR="005B5171" w:rsidRPr="005B5171" w:rsidTr="000B1E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6" w:type="dxa"/>
          </w:tcPr>
          <w:p w:rsidR="005B5171" w:rsidRPr="005B5171" w:rsidRDefault="005B5171" w:rsidP="005B5171">
            <w:pPr>
              <w:rPr>
                <w:rFonts w:ascii="Segoe UI" w:hAnsi="Segoe UI" w:cs="Segoe UI"/>
              </w:rPr>
            </w:pPr>
            <w:r w:rsidRPr="005B5171">
              <w:rPr>
                <w:rFonts w:ascii="Segoe UI" w:hAnsi="Segoe UI" w:cs="Segoe UI"/>
              </w:rPr>
              <w:t>RFA region</w:t>
            </w:r>
          </w:p>
        </w:tc>
        <w:tc>
          <w:tcPr>
            <w:tcW w:w="1212" w:type="dxa"/>
            <w:tcMar>
              <w:left w:w="57" w:type="dxa"/>
              <w:right w:w="57" w:type="dxa"/>
            </w:tcMar>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Total number of licences</w:t>
            </w:r>
          </w:p>
        </w:tc>
        <w:tc>
          <w:tcPr>
            <w:tcW w:w="1213" w:type="dxa"/>
            <w:tcMar>
              <w:left w:w="57" w:type="dxa"/>
              <w:right w:w="57" w:type="dxa"/>
            </w:tcMar>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Total area licensed (ha)</w:t>
            </w:r>
          </w:p>
        </w:tc>
        <w:tc>
          <w:tcPr>
            <w:tcW w:w="1213" w:type="dxa"/>
            <w:tcMar>
              <w:left w:w="57" w:type="dxa"/>
              <w:right w:w="57" w:type="dxa"/>
            </w:tcMar>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Number of licences in forests</w:t>
            </w:r>
          </w:p>
        </w:tc>
        <w:tc>
          <w:tcPr>
            <w:tcW w:w="1212" w:type="dxa"/>
            <w:tcMar>
              <w:left w:w="57" w:type="dxa"/>
              <w:right w:w="57" w:type="dxa"/>
            </w:tcMar>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Area of forest licensed (ha)</w:t>
            </w:r>
          </w:p>
        </w:tc>
        <w:tc>
          <w:tcPr>
            <w:tcW w:w="1213" w:type="dxa"/>
            <w:tcMar>
              <w:left w:w="57" w:type="dxa"/>
              <w:right w:w="57" w:type="dxa"/>
            </w:tcMar>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 xml:space="preserve"> per cent total licences in forests</w:t>
            </w:r>
          </w:p>
        </w:tc>
        <w:tc>
          <w:tcPr>
            <w:tcW w:w="1213" w:type="dxa"/>
            <w:tcMar>
              <w:left w:w="57" w:type="dxa"/>
              <w:right w:w="57" w:type="dxa"/>
            </w:tcMar>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 xml:space="preserve"> per cent total area licensed that is in forests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005B5171" w:rsidRPr="005B5171" w:rsidRDefault="005B5171" w:rsidP="005B5171">
            <w:pPr>
              <w:rPr>
                <w:rFonts w:ascii="Segoe UI" w:hAnsi="Segoe UI" w:cs="Segoe UI"/>
              </w:rPr>
            </w:pPr>
            <w:r w:rsidRPr="005B5171">
              <w:rPr>
                <w:rFonts w:ascii="Segoe UI" w:hAnsi="Segoe UI" w:cs="Segoe UI"/>
              </w:rPr>
              <w:t>Central Highlands</w:t>
            </w:r>
          </w:p>
        </w:tc>
        <w:tc>
          <w:tcPr>
            <w:tcW w:w="1212"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10 </w:t>
            </w:r>
          </w:p>
        </w:tc>
        <w:tc>
          <w:tcPr>
            <w:tcW w:w="1213"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1,031 </w:t>
            </w:r>
          </w:p>
        </w:tc>
        <w:tc>
          <w:tcPr>
            <w:tcW w:w="1213"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9 </w:t>
            </w:r>
          </w:p>
        </w:tc>
        <w:tc>
          <w:tcPr>
            <w:tcW w:w="1212"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1,009 </w:t>
            </w:r>
          </w:p>
        </w:tc>
        <w:tc>
          <w:tcPr>
            <w:tcW w:w="1213"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90</w:t>
            </w:r>
          </w:p>
        </w:tc>
        <w:tc>
          <w:tcPr>
            <w:tcW w:w="1213"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98</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005B5171" w:rsidRPr="005B5171" w:rsidRDefault="005B5171" w:rsidP="005B5171">
            <w:pPr>
              <w:rPr>
                <w:rFonts w:ascii="Segoe UI" w:hAnsi="Segoe UI" w:cs="Segoe UI"/>
              </w:rPr>
            </w:pPr>
            <w:r w:rsidRPr="005B5171">
              <w:rPr>
                <w:rFonts w:ascii="Segoe UI" w:hAnsi="Segoe UI" w:cs="Segoe UI"/>
              </w:rPr>
              <w:t>East Gippsland</w:t>
            </w:r>
          </w:p>
        </w:tc>
        <w:tc>
          <w:tcPr>
            <w:tcW w:w="1212"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 </w:t>
            </w:r>
          </w:p>
        </w:tc>
        <w:tc>
          <w:tcPr>
            <w:tcW w:w="1213"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 </w:t>
            </w:r>
          </w:p>
        </w:tc>
        <w:tc>
          <w:tcPr>
            <w:tcW w:w="1213"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 </w:t>
            </w:r>
          </w:p>
        </w:tc>
        <w:tc>
          <w:tcPr>
            <w:tcW w:w="1212"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 </w:t>
            </w:r>
          </w:p>
        </w:tc>
        <w:tc>
          <w:tcPr>
            <w:tcW w:w="1213"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100</w:t>
            </w:r>
          </w:p>
        </w:tc>
        <w:tc>
          <w:tcPr>
            <w:tcW w:w="1213"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100</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005B5171" w:rsidRPr="005B5171" w:rsidRDefault="005B5171" w:rsidP="005B5171">
            <w:pPr>
              <w:rPr>
                <w:rFonts w:ascii="Segoe UI" w:hAnsi="Segoe UI" w:cs="Segoe UI"/>
              </w:rPr>
            </w:pPr>
            <w:r w:rsidRPr="005B5171">
              <w:rPr>
                <w:rFonts w:ascii="Segoe UI" w:hAnsi="Segoe UI" w:cs="Segoe UI"/>
              </w:rPr>
              <w:t>Gippsland</w:t>
            </w:r>
          </w:p>
        </w:tc>
        <w:tc>
          <w:tcPr>
            <w:tcW w:w="1212"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43 </w:t>
            </w:r>
          </w:p>
        </w:tc>
        <w:tc>
          <w:tcPr>
            <w:tcW w:w="1213"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20,820 </w:t>
            </w:r>
          </w:p>
        </w:tc>
        <w:tc>
          <w:tcPr>
            <w:tcW w:w="1213"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35 </w:t>
            </w:r>
          </w:p>
        </w:tc>
        <w:tc>
          <w:tcPr>
            <w:tcW w:w="1212"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6,723 </w:t>
            </w:r>
          </w:p>
        </w:tc>
        <w:tc>
          <w:tcPr>
            <w:tcW w:w="1213"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81</w:t>
            </w:r>
          </w:p>
        </w:tc>
        <w:tc>
          <w:tcPr>
            <w:tcW w:w="1213"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32</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005B5171" w:rsidRPr="005B5171" w:rsidRDefault="005B5171" w:rsidP="005B5171">
            <w:pPr>
              <w:rPr>
                <w:rFonts w:ascii="Segoe UI" w:hAnsi="Segoe UI" w:cs="Segoe UI"/>
              </w:rPr>
            </w:pPr>
            <w:r w:rsidRPr="005B5171">
              <w:rPr>
                <w:rFonts w:ascii="Segoe UI" w:hAnsi="Segoe UI" w:cs="Segoe UI"/>
              </w:rPr>
              <w:t>North East</w:t>
            </w:r>
          </w:p>
        </w:tc>
        <w:tc>
          <w:tcPr>
            <w:tcW w:w="1212"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14 </w:t>
            </w:r>
          </w:p>
        </w:tc>
        <w:tc>
          <w:tcPr>
            <w:tcW w:w="1213"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720 </w:t>
            </w:r>
          </w:p>
        </w:tc>
        <w:tc>
          <w:tcPr>
            <w:tcW w:w="1213"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13 </w:t>
            </w:r>
          </w:p>
        </w:tc>
        <w:tc>
          <w:tcPr>
            <w:tcW w:w="1212"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642 </w:t>
            </w:r>
          </w:p>
        </w:tc>
        <w:tc>
          <w:tcPr>
            <w:tcW w:w="1213"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93</w:t>
            </w:r>
          </w:p>
        </w:tc>
        <w:tc>
          <w:tcPr>
            <w:tcW w:w="1213"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89</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005B5171" w:rsidRPr="005B5171" w:rsidRDefault="005B5171" w:rsidP="005B5171">
            <w:pPr>
              <w:rPr>
                <w:rFonts w:ascii="Segoe UI" w:hAnsi="Segoe UI" w:cs="Segoe UI"/>
              </w:rPr>
            </w:pPr>
            <w:r w:rsidRPr="005B5171">
              <w:rPr>
                <w:rFonts w:ascii="Segoe UI" w:hAnsi="Segoe UI" w:cs="Segoe UI"/>
              </w:rPr>
              <w:t>West</w:t>
            </w:r>
          </w:p>
        </w:tc>
        <w:tc>
          <w:tcPr>
            <w:tcW w:w="1212"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33 </w:t>
            </w:r>
          </w:p>
        </w:tc>
        <w:tc>
          <w:tcPr>
            <w:tcW w:w="1213"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15,177 </w:t>
            </w:r>
          </w:p>
        </w:tc>
        <w:tc>
          <w:tcPr>
            <w:tcW w:w="1213"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27 </w:t>
            </w:r>
          </w:p>
        </w:tc>
        <w:tc>
          <w:tcPr>
            <w:tcW w:w="1212"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6,364 </w:t>
            </w:r>
          </w:p>
        </w:tc>
        <w:tc>
          <w:tcPr>
            <w:tcW w:w="1213"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82</w:t>
            </w:r>
          </w:p>
        </w:tc>
        <w:tc>
          <w:tcPr>
            <w:tcW w:w="1213"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42</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005B5171" w:rsidRPr="005B5171" w:rsidRDefault="005B5171" w:rsidP="005B5171">
            <w:pPr>
              <w:rPr>
                <w:rFonts w:ascii="Segoe UI" w:hAnsi="Segoe UI" w:cs="Segoe UI"/>
              </w:rPr>
            </w:pPr>
            <w:r w:rsidRPr="005B5171">
              <w:rPr>
                <w:rFonts w:ascii="Segoe UI" w:hAnsi="Segoe UI" w:cs="Segoe UI"/>
              </w:rPr>
              <w:t>Non-RFA</w:t>
            </w:r>
          </w:p>
        </w:tc>
        <w:tc>
          <w:tcPr>
            <w:tcW w:w="1212"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126 </w:t>
            </w:r>
          </w:p>
        </w:tc>
        <w:tc>
          <w:tcPr>
            <w:tcW w:w="1213"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27,027 </w:t>
            </w:r>
          </w:p>
        </w:tc>
        <w:tc>
          <w:tcPr>
            <w:tcW w:w="1213"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70 </w:t>
            </w:r>
          </w:p>
        </w:tc>
        <w:tc>
          <w:tcPr>
            <w:tcW w:w="1212"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4,866 </w:t>
            </w:r>
          </w:p>
        </w:tc>
        <w:tc>
          <w:tcPr>
            <w:tcW w:w="1213"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56</w:t>
            </w:r>
          </w:p>
        </w:tc>
        <w:tc>
          <w:tcPr>
            <w:tcW w:w="1213"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18</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005B5171" w:rsidRPr="005B5171" w:rsidRDefault="005B5171" w:rsidP="005B5171">
            <w:pPr>
              <w:rPr>
                <w:rFonts w:ascii="Segoe UI" w:hAnsi="Segoe UI" w:cs="Segoe UI"/>
              </w:rPr>
            </w:pPr>
            <w:r w:rsidRPr="005B5171">
              <w:rPr>
                <w:rFonts w:ascii="Segoe UI" w:hAnsi="Segoe UI" w:cs="Segoe UI"/>
              </w:rPr>
              <w:t>Total RFA</w:t>
            </w:r>
          </w:p>
        </w:tc>
        <w:tc>
          <w:tcPr>
            <w:tcW w:w="1212"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101 </w:t>
            </w:r>
          </w:p>
        </w:tc>
        <w:tc>
          <w:tcPr>
            <w:tcW w:w="1213"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37,749 </w:t>
            </w:r>
          </w:p>
        </w:tc>
        <w:tc>
          <w:tcPr>
            <w:tcW w:w="1213"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85 </w:t>
            </w:r>
          </w:p>
        </w:tc>
        <w:tc>
          <w:tcPr>
            <w:tcW w:w="1212"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14,738 </w:t>
            </w:r>
          </w:p>
        </w:tc>
        <w:tc>
          <w:tcPr>
            <w:tcW w:w="1213"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84</w:t>
            </w:r>
          </w:p>
        </w:tc>
        <w:tc>
          <w:tcPr>
            <w:tcW w:w="1213"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39</w:t>
            </w:r>
          </w:p>
        </w:tc>
      </w:tr>
      <w:tr w:rsidR="005B5171" w:rsidRPr="005B5171" w:rsidTr="000B1EF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005B5171" w:rsidRPr="005B5171" w:rsidRDefault="005B5171" w:rsidP="005B5171">
            <w:pPr>
              <w:rPr>
                <w:rFonts w:ascii="Segoe UI" w:hAnsi="Segoe UI" w:cs="Segoe UI"/>
              </w:rPr>
            </w:pPr>
            <w:r w:rsidRPr="005B5171">
              <w:rPr>
                <w:rFonts w:ascii="Segoe UI" w:hAnsi="Segoe UI" w:cs="Segoe UI"/>
              </w:rPr>
              <w:t>Total Victoria</w:t>
            </w:r>
          </w:p>
        </w:tc>
        <w:tc>
          <w:tcPr>
            <w:tcW w:w="1212" w:type="dxa"/>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227 </w:t>
            </w:r>
          </w:p>
        </w:tc>
        <w:tc>
          <w:tcPr>
            <w:tcW w:w="1213" w:type="dxa"/>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64,776 </w:t>
            </w:r>
          </w:p>
        </w:tc>
        <w:tc>
          <w:tcPr>
            <w:tcW w:w="1213" w:type="dxa"/>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155 </w:t>
            </w:r>
          </w:p>
        </w:tc>
        <w:tc>
          <w:tcPr>
            <w:tcW w:w="1212" w:type="dxa"/>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19,604 </w:t>
            </w:r>
          </w:p>
        </w:tc>
        <w:tc>
          <w:tcPr>
            <w:tcW w:w="1213" w:type="dxa"/>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68</w:t>
            </w:r>
          </w:p>
        </w:tc>
        <w:tc>
          <w:tcPr>
            <w:tcW w:w="1213" w:type="dxa"/>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30</w:t>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DJPR dataset: Current mining licences and leases </w:t>
      </w:r>
    </w:p>
    <w:p w:rsidR="005B5171" w:rsidRPr="005B5171" w:rsidRDefault="005B5171" w:rsidP="005B5171">
      <w:pPr>
        <w:keepNext/>
        <w:spacing w:before="120" w:after="120" w:line="240" w:lineRule="auto"/>
        <w:jc w:val="both"/>
        <w:outlineLvl w:val="3"/>
        <w:rPr>
          <w:rFonts w:ascii="Segoe UI" w:hAnsi="Segoe UI" w:cs="Segoe UI"/>
          <w:i/>
          <w:sz w:val="24"/>
          <w:szCs w:val="24"/>
        </w:rPr>
      </w:pPr>
      <w:bookmarkStart w:id="168" w:name="_Toc11768343"/>
      <w:bookmarkStart w:id="169" w:name="_Toc11768345"/>
      <w:r w:rsidRPr="005B5171">
        <w:rPr>
          <w:rFonts w:ascii="Segoe UI" w:hAnsi="Segoe UI" w:cs="Segoe UI"/>
          <w:i/>
          <w:sz w:val="24"/>
          <w:szCs w:val="24"/>
        </w:rPr>
        <w:t>C</w:t>
      </w:r>
      <w:bookmarkEnd w:id="168"/>
      <w:r w:rsidRPr="005B5171">
        <w:rPr>
          <w:rFonts w:ascii="Segoe UI" w:hAnsi="Segoe UI" w:cs="Segoe UI"/>
          <w:i/>
          <w:sz w:val="24"/>
          <w:szCs w:val="24"/>
        </w:rPr>
        <w:t>ultural connection and heritage</w:t>
      </w:r>
      <w:bookmarkEnd w:id="169"/>
    </w:p>
    <w:p w:rsidR="005B5171" w:rsidRPr="005B5171" w:rsidRDefault="005B5171" w:rsidP="005B5171">
      <w:pPr>
        <w:jc w:val="both"/>
        <w:rPr>
          <w:rFonts w:ascii="Segoe UI" w:hAnsi="Segoe UI" w:cs="Segoe UI"/>
        </w:rPr>
      </w:pPr>
      <w:r w:rsidRPr="005B5171">
        <w:rPr>
          <w:rFonts w:ascii="Segoe UI" w:hAnsi="Segoe UI" w:cs="Segoe UI"/>
        </w:rPr>
        <w:t xml:space="preserve">Forests provide ecosystems, landscapes and sites of historical significance that Victorian, Australian and global communities value as part of their heritage. Forests provide immense cultural and spiritual connection to Traditional Owners and Aboriginal communities, as well as providing cultural and heritage value to non-Aboriginal Victorians. </w:t>
      </w:r>
    </w:p>
    <w:p w:rsidR="005B5171" w:rsidRPr="005B5171" w:rsidRDefault="005B5171" w:rsidP="005B5171">
      <w:pPr>
        <w:jc w:val="both"/>
        <w:rPr>
          <w:rFonts w:ascii="Segoe UI" w:hAnsi="Segoe UI" w:cs="Segoe UI"/>
        </w:rPr>
      </w:pPr>
      <w:r w:rsidRPr="005B5171">
        <w:rPr>
          <w:rFonts w:ascii="Segoe UI" w:hAnsi="Segoe UI" w:cs="Segoe UI"/>
        </w:rPr>
        <w:t xml:space="preserve">The cultural value of forests to Traditional Owners and Aboriginal communities is not quantified in this study, though this value can conceptually sit within an ecosystem accounting framework. The RFA modernisation program is partnering with Traditional Owners, as the original custodians of Victoria’s land and waters, to support and facilitate Traditional Owners to capture information about their values (including tangible and intangible values). Ecosystem accounting is a developing field, and there is scope for cultural values to be meaningfully incorporated into ecosystem accounting frameworks in Victoria in the future. </w:t>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Quantification of service and valuation of benefit</w:t>
      </w:r>
    </w:p>
    <w:p w:rsidR="005B5171" w:rsidRPr="005B5171" w:rsidRDefault="005B5171" w:rsidP="005B5171">
      <w:pPr>
        <w:jc w:val="both"/>
        <w:rPr>
          <w:rFonts w:ascii="Segoe UI" w:hAnsi="Segoe UI" w:cs="Segoe UI"/>
        </w:rPr>
      </w:pPr>
      <w:r w:rsidRPr="005B5171">
        <w:rPr>
          <w:rFonts w:ascii="Segoe UI" w:hAnsi="Segoe UI" w:cs="Segoe UI"/>
        </w:rPr>
        <w:t xml:space="preserve">Non-Aboriginal heritage value has previously been estimated for Victoria’s parks (DELWP &amp; Parks Victoria 2015, p. 119). For a significant number of visitors to Victoria’s parks, historic heritage is their primary reason for visiting. This is reflected in the activities undertaken by visitors to parks, including visiting historic places. In 2009, 55 per cent of the population had visited a heritage place managed by Parks Victoria within the previous 12 months. </w:t>
      </w:r>
    </w:p>
    <w:p w:rsidR="005B5171" w:rsidRPr="005B5171" w:rsidRDefault="005B5171" w:rsidP="005B5171">
      <w:pPr>
        <w:jc w:val="both"/>
        <w:rPr>
          <w:rFonts w:ascii="Segoe UI" w:hAnsi="Segoe UI" w:cs="Segoe UI"/>
        </w:rPr>
      </w:pPr>
      <w:r w:rsidRPr="005B5171">
        <w:rPr>
          <w:rFonts w:ascii="Segoe UI" w:hAnsi="Segoe UI" w:cs="Segoe UI"/>
        </w:rPr>
        <w:t>A 2009 survey found that 60 per cent of Victorian households would support a yearly charge to maintain heritage places in parks. These survey results have been used to estimate a value range for the</w:t>
      </w:r>
      <w:r w:rsidRPr="005B5171">
        <w:rPr>
          <w:rFonts w:ascii="Segoe UI" w:hAnsi="Segoe UI" w:cs="Segoe UI"/>
          <w:b/>
        </w:rPr>
        <w:t xml:space="preserve"> </w:t>
      </w:r>
      <w:r w:rsidRPr="005B5171">
        <w:rPr>
          <w:rFonts w:ascii="Segoe UI" w:hAnsi="Segoe UI" w:cs="Segoe UI"/>
        </w:rPr>
        <w:t>maintenance of park-related heritage of $6–23 million per year. These estimates are thought to be a lower bound of the value people place on park-related heritage</w:t>
      </w:r>
      <w:bookmarkStart w:id="170" w:name="_Toc392883784"/>
      <w:bookmarkStart w:id="171" w:name="_Toc393119283"/>
      <w:r w:rsidRPr="005B5171">
        <w:rPr>
          <w:rFonts w:ascii="Segoe UI" w:hAnsi="Segoe UI" w:cs="Segoe UI"/>
        </w:rPr>
        <w:t xml:space="preserve"> and is indicative only. </w:t>
      </w:r>
      <w:bookmarkEnd w:id="170"/>
      <w:bookmarkEnd w:id="171"/>
    </w:p>
    <w:p w:rsidR="005B5171" w:rsidRPr="005B5171" w:rsidRDefault="005B5171" w:rsidP="005B5171">
      <w:pPr>
        <w:keepNext/>
        <w:spacing w:before="120" w:after="120" w:line="240" w:lineRule="auto"/>
        <w:jc w:val="both"/>
        <w:outlineLvl w:val="3"/>
        <w:rPr>
          <w:rFonts w:ascii="Segoe UI" w:hAnsi="Segoe UI" w:cs="Segoe UI"/>
          <w:i/>
          <w:sz w:val="24"/>
          <w:szCs w:val="24"/>
        </w:rPr>
      </w:pPr>
      <w:r w:rsidRPr="005B5171">
        <w:rPr>
          <w:rFonts w:ascii="Segoe UI" w:hAnsi="Segoe UI" w:cs="Segoe UI"/>
          <w:i/>
          <w:sz w:val="24"/>
          <w:szCs w:val="24"/>
        </w:rPr>
        <w:t>Recreation service: tourism, enjoyment and health and wellbeing</w:t>
      </w:r>
    </w:p>
    <w:p w:rsidR="005B5171" w:rsidRPr="005B5171" w:rsidRDefault="005B5171" w:rsidP="005B5171">
      <w:pPr>
        <w:jc w:val="both"/>
        <w:rPr>
          <w:rFonts w:ascii="Segoe UI" w:hAnsi="Segoe UI" w:cs="Segoe UI"/>
        </w:rPr>
      </w:pPr>
      <w:r w:rsidRPr="005B5171">
        <w:rPr>
          <w:rFonts w:ascii="Segoe UI" w:hAnsi="Segoe UI" w:cs="Segoe UI"/>
        </w:rPr>
        <w:t xml:space="preserve">There were over 42.33 million visits to state and national parks in 2016–17 (Parks Victoria 2018).  This figure includes 25.52 million visits from Melbourne residents, 14.31 million from regional Victorians, 1.4 million from interstate travellers and 660,000 from international visitors. There is limited information available specific to State forests, where information is available on built assets but not on visitation. Consequently, this analysis draws on existing visitation data from parks and should not be considered representative of State forests and the whole of Victoria’s public forests. </w:t>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Quantification of service and valuation of benefit</w:t>
      </w:r>
    </w:p>
    <w:p w:rsidR="005B5171" w:rsidRPr="005B5171" w:rsidRDefault="005B5171" w:rsidP="005B5171">
      <w:pPr>
        <w:jc w:val="both"/>
        <w:rPr>
          <w:rFonts w:ascii="Segoe UI" w:hAnsi="Segoe UI" w:cs="Segoe UI"/>
        </w:rPr>
      </w:pPr>
      <w:r w:rsidRPr="005B5171">
        <w:rPr>
          <w:rFonts w:ascii="Segoe UI" w:hAnsi="Segoe UI" w:cs="Segoe UI"/>
        </w:rPr>
        <w:t xml:space="preserve">In 2015, a study estimated the economic contribution of tourism associated with Victorian parks added $1 billion to the Victorian economy and support 13,800 full-time equivalent (FTE) jobs. This study focused on parks, so would overestimate economic contribution of </w:t>
      </w:r>
      <w:r w:rsidRPr="005B5171">
        <w:rPr>
          <w:rFonts w:ascii="Segoe UI" w:hAnsi="Segoe UI" w:cs="Segoe UI"/>
          <w:i/>
        </w:rPr>
        <w:t>forests</w:t>
      </w:r>
      <w:r w:rsidRPr="005B5171">
        <w:rPr>
          <w:rFonts w:ascii="Segoe UI" w:hAnsi="Segoe UI" w:cs="Segoe UI"/>
        </w:rPr>
        <w:t xml:space="preserve"> in parks, as forests are only part of the reason people visit parks. People are also motivated by attributes such as rivers, ocean and mountain landscapes. However, forests and other native vegetation in landscapes are a key reason people visit parks and State forests. </w:t>
      </w:r>
    </w:p>
    <w:p w:rsidR="005B5171" w:rsidRPr="005B5171" w:rsidRDefault="005B5171" w:rsidP="005B5171">
      <w:pPr>
        <w:jc w:val="both"/>
        <w:rPr>
          <w:rFonts w:ascii="Segoe UI" w:hAnsi="Segoe UI" w:cs="Segoe UI"/>
        </w:rPr>
      </w:pPr>
      <w:r w:rsidRPr="005B5171">
        <w:rPr>
          <w:rFonts w:ascii="Segoe UI" w:hAnsi="Segoe UI" w:cs="Segoe UI"/>
        </w:rPr>
        <w:t>Contribution of park tourism to regional economies and employment was estimated based on Victorian tourism regions</w:t>
      </w:r>
      <w:r w:rsidRPr="005B5171">
        <w:rPr>
          <w:rFonts w:ascii="Segoe UI" w:hAnsi="Segoe UI" w:cs="Segoe UI"/>
          <w:vertAlign w:val="superscript"/>
        </w:rPr>
        <w:footnoteReference w:id="12"/>
      </w:r>
      <w:r w:rsidRPr="005B5171">
        <w:rPr>
          <w:rFonts w:ascii="Segoe UI" w:hAnsi="Segoe UI" w:cs="Segoe UI"/>
        </w:rPr>
        <w:t xml:space="preserve"> (</w:t>
      </w:r>
      <w:r w:rsidRPr="005B5171">
        <w:rPr>
          <w:rFonts w:ascii="Segoe UI" w:hAnsi="Segoe UI" w:cs="Segoe UI"/>
        </w:rPr>
        <w:fldChar w:fldCharType="begin"/>
      </w:r>
      <w:r w:rsidRPr="005B5171">
        <w:rPr>
          <w:rFonts w:ascii="Segoe UI" w:hAnsi="Segoe UI" w:cs="Segoe UI"/>
        </w:rPr>
        <w:instrText xml:space="preserve"> REF _Ref10154163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99</w:t>
      </w:r>
      <w:r w:rsidRPr="005B5171">
        <w:rPr>
          <w:rFonts w:ascii="Segoe UI" w:hAnsi="Segoe UI" w:cs="Segoe UI"/>
        </w:rPr>
        <w:fldChar w:fldCharType="end"/>
      </w:r>
      <w:r w:rsidRPr="005B5171">
        <w:rPr>
          <w:rFonts w:ascii="Segoe UI" w:hAnsi="Segoe UI" w:cs="Segoe UI"/>
        </w:rPr>
        <w:t xml:space="preserve">). Although tourism regions do not align with RFA regions, a rough overlay gives an indication of park tourism associated with each RFA region – see </w:t>
      </w:r>
      <w:r w:rsidRPr="005B5171">
        <w:rPr>
          <w:rFonts w:ascii="Segoe UI" w:hAnsi="Segoe UI" w:cs="Segoe UI"/>
        </w:rPr>
        <w:fldChar w:fldCharType="begin"/>
      </w:r>
      <w:r w:rsidRPr="005B5171">
        <w:rPr>
          <w:rFonts w:ascii="Segoe UI" w:hAnsi="Segoe UI" w:cs="Segoe UI"/>
        </w:rPr>
        <w:instrText xml:space="preserve"> REF _Ref10154163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99</w:t>
      </w:r>
      <w:r w:rsidRPr="005B5171">
        <w:rPr>
          <w:rFonts w:ascii="Segoe UI" w:hAnsi="Segoe UI" w:cs="Segoe UI"/>
        </w:rPr>
        <w:fldChar w:fldCharType="end"/>
      </w:r>
      <w:r w:rsidRPr="005B5171">
        <w:rPr>
          <w:rFonts w:ascii="Segoe UI" w:hAnsi="Segoe UI" w:cs="Segoe UI"/>
        </w:rPr>
        <w:t>. This suggests that the largest economic contribution of park tourism is in western Victoria – over $200 million. The Grampians (contributing over $100 million) and the Great Ocean Road area (contributing over $80 million) are significant drivers of this. The total economic contribution of park tourism in RFA regions is roughly around $450 million.</w:t>
      </w:r>
    </w:p>
    <w:p w:rsidR="005B5171" w:rsidRPr="005B5171" w:rsidRDefault="005B5171" w:rsidP="005B5171">
      <w:pPr>
        <w:jc w:val="both"/>
        <w:rPr>
          <w:rFonts w:ascii="Segoe UI" w:hAnsi="Segoe UI" w:cs="Segoe UI"/>
        </w:rPr>
      </w:pPr>
      <w:r w:rsidRPr="005B5171">
        <w:rPr>
          <w:rFonts w:ascii="Segoe UI" w:hAnsi="Segoe UI" w:cs="Segoe UI"/>
        </w:rPr>
        <w:t xml:space="preserve">Indirect economic benefit of parks to the government can also be considered through health benefits. The </w:t>
      </w:r>
      <w:r w:rsidRPr="005B5171">
        <w:rPr>
          <w:rFonts w:ascii="Segoe UI" w:hAnsi="Segoe UI" w:cs="Segoe UI"/>
          <w:i/>
        </w:rPr>
        <w:t>Valuing Victoria’s parks</w:t>
      </w:r>
      <w:r w:rsidRPr="005B5171">
        <w:rPr>
          <w:rFonts w:ascii="Segoe UI" w:hAnsi="Segoe UI" w:cs="Segoe UI"/>
        </w:rPr>
        <w:t xml:space="preserve"> report estimates that over 750,000 people visit state and national parks each year specifically to do physical exercise. Based on the avoided healthcare costs and productivity impacts associated with physical activity, the value of health and wellbeing benefits has been estimated at $118 million year (DELWP &amp; Parks Victoria 2015, pp. 110–11).</w:t>
      </w:r>
    </w:p>
    <w:p w:rsidR="005B5171" w:rsidRPr="005B5171" w:rsidRDefault="005B5171" w:rsidP="005B5171">
      <w:pPr>
        <w:spacing w:after="200" w:line="240" w:lineRule="auto"/>
        <w:rPr>
          <w:rFonts w:ascii="Segoe UI Semibold" w:eastAsia="Times New Roman" w:hAnsi="Segoe UI Semibold" w:cs="Times New Roman"/>
          <w:color w:val="016295"/>
        </w:rPr>
      </w:pPr>
      <w:bookmarkStart w:id="172" w:name="_Ref10154163"/>
      <w:bookmarkStart w:id="173" w:name="_Toc25660880"/>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99</w:t>
      </w:r>
      <w:r w:rsidRPr="005B5171">
        <w:rPr>
          <w:rFonts w:ascii="Segoe UI Semibold" w:eastAsia="Times New Roman" w:hAnsi="Segoe UI Semibold" w:cs="Times New Roman"/>
          <w:noProof/>
          <w:color w:val="016295"/>
        </w:rPr>
        <w:fldChar w:fldCharType="end"/>
      </w:r>
      <w:bookmarkEnd w:id="172"/>
      <w:r w:rsidRPr="005B5171">
        <w:rPr>
          <w:rFonts w:ascii="Segoe UI Semibold" w:eastAsia="Times New Roman" w:hAnsi="Segoe UI Semibold" w:cs="Times New Roman"/>
          <w:noProof/>
          <w:color w:val="016295"/>
        </w:rPr>
        <w:t>:</w:t>
      </w:r>
      <w:r w:rsidRPr="005B5171">
        <w:rPr>
          <w:rFonts w:ascii="Segoe UI Semibold" w:eastAsia="Times New Roman" w:hAnsi="Segoe UI Semibold" w:cs="Times New Roman"/>
          <w:color w:val="016295"/>
        </w:rPr>
        <w:t xml:space="preserve"> Economic contribution of park tourism, 2010–11</w:t>
      </w:r>
      <w:bookmarkEnd w:id="173"/>
    </w:p>
    <w:tbl>
      <w:tblPr>
        <w:tblStyle w:val="xTable2"/>
        <w:tblW w:w="8931" w:type="dxa"/>
        <w:tblLayout w:type="fixed"/>
        <w:tblLook w:val="04A0" w:firstRow="1" w:lastRow="0" w:firstColumn="1" w:lastColumn="0" w:noHBand="0" w:noVBand="1"/>
      </w:tblPr>
      <w:tblGrid>
        <w:gridCol w:w="2268"/>
        <w:gridCol w:w="2694"/>
        <w:gridCol w:w="1323"/>
        <w:gridCol w:w="1323"/>
        <w:gridCol w:w="1323"/>
      </w:tblGrid>
      <w:tr w:rsidR="005B5171" w:rsidRPr="005B5171" w:rsidTr="000B1EF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268" w:type="dxa"/>
          </w:tcPr>
          <w:p w:rsidR="005B5171" w:rsidRPr="005B5171" w:rsidRDefault="005B5171" w:rsidP="005B5171">
            <w:pPr>
              <w:rPr>
                <w:rFonts w:ascii="Segoe UI" w:hAnsi="Segoe UI" w:cs="Segoe UI"/>
              </w:rPr>
            </w:pPr>
            <w:r w:rsidRPr="005B5171">
              <w:rPr>
                <w:rFonts w:ascii="Segoe UI" w:hAnsi="Segoe UI" w:cs="Segoe UI"/>
              </w:rPr>
              <w:t>RFA region</w:t>
            </w:r>
          </w:p>
        </w:tc>
        <w:tc>
          <w:tcPr>
            <w:tcW w:w="2694"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Nearest tourism region</w:t>
            </w:r>
            <w:r w:rsidRPr="005B5171">
              <w:rPr>
                <w:rFonts w:ascii="Segoe UI" w:hAnsi="Segoe UI" w:cs="Segoe UI"/>
                <w:position w:val="8"/>
              </w:rPr>
              <w:t>a</w:t>
            </w:r>
          </w:p>
        </w:tc>
        <w:tc>
          <w:tcPr>
            <w:tcW w:w="1323"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Gross value added $ million</w:t>
            </w:r>
          </w:p>
        </w:tc>
        <w:tc>
          <w:tcPr>
            <w:tcW w:w="1323"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FTE employment</w:t>
            </w:r>
          </w:p>
        </w:tc>
        <w:tc>
          <w:tcPr>
            <w:tcW w:w="1323" w:type="dxa"/>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 xml:space="preserve"> per cent of regional economy</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tcPr>
          <w:p w:rsidR="005B5171" w:rsidRPr="005B5171" w:rsidRDefault="005B5171" w:rsidP="005B5171">
            <w:pPr>
              <w:rPr>
                <w:rFonts w:ascii="Segoe UI" w:hAnsi="Segoe UI" w:cs="Segoe UI"/>
              </w:rPr>
            </w:pPr>
            <w:r w:rsidRPr="005B5171">
              <w:rPr>
                <w:rFonts w:ascii="Segoe UI" w:hAnsi="Segoe UI" w:cs="Segoe UI"/>
              </w:rPr>
              <w:t>Central Highlands</w:t>
            </w:r>
          </w:p>
        </w:tc>
        <w:tc>
          <w:tcPr>
            <w:tcW w:w="2694" w:type="dxa"/>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Yarra Valley and Dandenong Ranges</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85</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 1,103 </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0.3</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tcPr>
          <w:p w:rsidR="005B5171" w:rsidRPr="005B5171" w:rsidRDefault="005B5171" w:rsidP="005B5171">
            <w:pPr>
              <w:rPr>
                <w:rFonts w:ascii="Segoe UI" w:hAnsi="Segoe UI" w:cs="Segoe UI"/>
              </w:rPr>
            </w:pPr>
            <w:r w:rsidRPr="005B5171">
              <w:rPr>
                <w:rFonts w:ascii="Segoe UI" w:hAnsi="Segoe UI" w:cs="Segoe UI"/>
              </w:rPr>
              <w:t>East Gippsland and Gippsland</w:t>
            </w:r>
          </w:p>
        </w:tc>
        <w:tc>
          <w:tcPr>
            <w:tcW w:w="2694" w:type="dxa"/>
          </w:tcPr>
          <w:p w:rsidR="005B5171" w:rsidRPr="005B5171" w:rsidRDefault="005B5171" w:rsidP="005B5171">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Gippsland</w:t>
            </w:r>
          </w:p>
        </w:tc>
        <w:tc>
          <w:tcPr>
            <w:tcW w:w="1323"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82</w:t>
            </w:r>
          </w:p>
        </w:tc>
        <w:tc>
          <w:tcPr>
            <w:tcW w:w="1323"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 xml:space="preserve"> 1,112 </w:t>
            </w:r>
          </w:p>
        </w:tc>
        <w:tc>
          <w:tcPr>
            <w:tcW w:w="1323"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0.3</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tcPr>
          <w:p w:rsidR="005B5171" w:rsidRPr="005B5171" w:rsidRDefault="005B5171" w:rsidP="005B5171">
            <w:pPr>
              <w:rPr>
                <w:rFonts w:ascii="Segoe UI" w:hAnsi="Segoe UI" w:cs="Segoe UI"/>
              </w:rPr>
            </w:pPr>
            <w:r w:rsidRPr="005B5171">
              <w:rPr>
                <w:rFonts w:ascii="Segoe UI" w:hAnsi="Segoe UI" w:cs="Segoe UI"/>
              </w:rPr>
              <w:t>North East</w:t>
            </w:r>
          </w:p>
        </w:tc>
        <w:tc>
          <w:tcPr>
            <w:tcW w:w="2694" w:type="dxa"/>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Victoria's High Country</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56</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 779 </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0.8</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vMerge w:val="restart"/>
          </w:tcPr>
          <w:p w:rsidR="005B5171" w:rsidRPr="005B5171" w:rsidRDefault="005B5171" w:rsidP="005B5171">
            <w:pPr>
              <w:rPr>
                <w:rFonts w:ascii="Segoe UI" w:hAnsi="Segoe UI" w:cs="Segoe UI"/>
              </w:rPr>
            </w:pPr>
            <w:r w:rsidRPr="005B5171">
              <w:rPr>
                <w:rFonts w:ascii="Segoe UI" w:hAnsi="Segoe UI" w:cs="Segoe UI"/>
              </w:rPr>
              <w:t>West</w:t>
            </w:r>
          </w:p>
          <w:p w:rsidR="005B5171" w:rsidRPr="005B5171" w:rsidRDefault="005B5171" w:rsidP="005B5171">
            <w:pPr>
              <w:rPr>
                <w:rFonts w:ascii="Segoe UI" w:hAnsi="Segoe UI" w:cs="Segoe UI"/>
              </w:rPr>
            </w:pPr>
          </w:p>
        </w:tc>
        <w:tc>
          <w:tcPr>
            <w:tcW w:w="2694" w:type="dxa"/>
          </w:tcPr>
          <w:p w:rsidR="005B5171" w:rsidRPr="005B5171" w:rsidRDefault="005B5171" w:rsidP="005B5171">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Grampians</w:t>
            </w:r>
          </w:p>
        </w:tc>
        <w:tc>
          <w:tcPr>
            <w:tcW w:w="1323"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102</w:t>
            </w:r>
          </w:p>
        </w:tc>
        <w:tc>
          <w:tcPr>
            <w:tcW w:w="1323"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 xml:space="preserve"> 1,164 </w:t>
            </w:r>
          </w:p>
        </w:tc>
        <w:tc>
          <w:tcPr>
            <w:tcW w:w="1323"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0.4</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vMerge/>
          </w:tcPr>
          <w:p w:rsidR="005B5171" w:rsidRPr="005B5171" w:rsidRDefault="005B5171" w:rsidP="005B5171">
            <w:pPr>
              <w:rPr>
                <w:rFonts w:ascii="Segoe UI" w:hAnsi="Segoe UI" w:cs="Segoe UI"/>
              </w:rPr>
            </w:pPr>
          </w:p>
        </w:tc>
        <w:tc>
          <w:tcPr>
            <w:tcW w:w="2694" w:type="dxa"/>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Great Ocean Road</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87</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 1,235 </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0.3</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vMerge/>
          </w:tcPr>
          <w:p w:rsidR="005B5171" w:rsidRPr="005B5171" w:rsidRDefault="005B5171" w:rsidP="005B5171">
            <w:pPr>
              <w:rPr>
                <w:rFonts w:ascii="Segoe UI" w:hAnsi="Segoe UI" w:cs="Segoe UI"/>
              </w:rPr>
            </w:pPr>
          </w:p>
        </w:tc>
        <w:tc>
          <w:tcPr>
            <w:tcW w:w="2694" w:type="dxa"/>
          </w:tcPr>
          <w:p w:rsidR="005B5171" w:rsidRPr="005B5171" w:rsidRDefault="005B5171" w:rsidP="005B5171">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Daylesford and the Macedon Ranges</w:t>
            </w:r>
          </w:p>
        </w:tc>
        <w:tc>
          <w:tcPr>
            <w:tcW w:w="1323"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23</w:t>
            </w:r>
          </w:p>
        </w:tc>
        <w:tc>
          <w:tcPr>
            <w:tcW w:w="1323"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 xml:space="preserve"> 269 </w:t>
            </w:r>
          </w:p>
        </w:tc>
        <w:tc>
          <w:tcPr>
            <w:tcW w:w="1323"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0.2</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vMerge/>
          </w:tcPr>
          <w:p w:rsidR="005B5171" w:rsidRPr="005B5171" w:rsidRDefault="005B5171" w:rsidP="005B5171">
            <w:pPr>
              <w:rPr>
                <w:rFonts w:ascii="Segoe UI" w:hAnsi="Segoe UI" w:cs="Segoe UI"/>
              </w:rPr>
            </w:pPr>
          </w:p>
        </w:tc>
        <w:tc>
          <w:tcPr>
            <w:tcW w:w="2694" w:type="dxa"/>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Goldfields</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17</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 240 </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0.1</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vMerge/>
          </w:tcPr>
          <w:p w:rsidR="005B5171" w:rsidRPr="005B5171" w:rsidRDefault="005B5171" w:rsidP="005B5171">
            <w:pPr>
              <w:rPr>
                <w:rFonts w:ascii="Segoe UI" w:hAnsi="Segoe UI" w:cs="Segoe UI"/>
              </w:rPr>
            </w:pPr>
          </w:p>
        </w:tc>
        <w:tc>
          <w:tcPr>
            <w:tcW w:w="2694" w:type="dxa"/>
          </w:tcPr>
          <w:p w:rsidR="005B5171" w:rsidRPr="005B5171" w:rsidRDefault="005B5171" w:rsidP="005B5171">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Total</w:t>
            </w:r>
          </w:p>
        </w:tc>
        <w:tc>
          <w:tcPr>
            <w:tcW w:w="1323"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229</w:t>
            </w:r>
          </w:p>
        </w:tc>
        <w:tc>
          <w:tcPr>
            <w:tcW w:w="1323"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2,908</w:t>
            </w:r>
          </w:p>
        </w:tc>
        <w:tc>
          <w:tcPr>
            <w:tcW w:w="1323"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vMerge w:val="restart"/>
          </w:tcPr>
          <w:p w:rsidR="005B5171" w:rsidRPr="005B5171" w:rsidRDefault="005B5171" w:rsidP="005B5171">
            <w:pPr>
              <w:rPr>
                <w:rFonts w:ascii="Segoe UI" w:hAnsi="Segoe UI" w:cs="Segoe UI"/>
              </w:rPr>
            </w:pPr>
            <w:r w:rsidRPr="005B5171">
              <w:rPr>
                <w:rFonts w:ascii="Segoe UI" w:hAnsi="Segoe UI" w:cs="Segoe UI"/>
              </w:rPr>
              <w:t>Non-RFA</w:t>
            </w:r>
          </w:p>
          <w:p w:rsidR="005B5171" w:rsidRPr="005B5171" w:rsidRDefault="005B5171" w:rsidP="005B5171">
            <w:pPr>
              <w:rPr>
                <w:rFonts w:ascii="Segoe UI" w:hAnsi="Segoe UI" w:cs="Segoe UI"/>
              </w:rPr>
            </w:pPr>
          </w:p>
        </w:tc>
        <w:tc>
          <w:tcPr>
            <w:tcW w:w="2694" w:type="dxa"/>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Melbourne</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433</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 6,130 </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0.1</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vMerge/>
          </w:tcPr>
          <w:p w:rsidR="005B5171" w:rsidRPr="005B5171" w:rsidRDefault="005B5171" w:rsidP="005B5171">
            <w:pPr>
              <w:rPr>
                <w:rFonts w:ascii="Segoe UI" w:hAnsi="Segoe UI" w:cs="Segoe UI"/>
              </w:rPr>
            </w:pPr>
          </w:p>
        </w:tc>
        <w:tc>
          <w:tcPr>
            <w:tcW w:w="2694" w:type="dxa"/>
          </w:tcPr>
          <w:p w:rsidR="005B5171" w:rsidRPr="005B5171" w:rsidRDefault="005B5171" w:rsidP="005B5171">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Mornington Peninsula</w:t>
            </w:r>
          </w:p>
        </w:tc>
        <w:tc>
          <w:tcPr>
            <w:tcW w:w="1323"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47</w:t>
            </w:r>
          </w:p>
        </w:tc>
        <w:tc>
          <w:tcPr>
            <w:tcW w:w="1323"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 xml:space="preserve"> 639 </w:t>
            </w:r>
          </w:p>
        </w:tc>
        <w:tc>
          <w:tcPr>
            <w:tcW w:w="1323"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0.2</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vMerge/>
          </w:tcPr>
          <w:p w:rsidR="005B5171" w:rsidRPr="005B5171" w:rsidRDefault="005B5171" w:rsidP="005B5171">
            <w:pPr>
              <w:rPr>
                <w:rFonts w:ascii="Segoe UI" w:hAnsi="Segoe UI" w:cs="Segoe UI"/>
              </w:rPr>
            </w:pPr>
          </w:p>
        </w:tc>
        <w:tc>
          <w:tcPr>
            <w:tcW w:w="2694" w:type="dxa"/>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Phillip Island</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20</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 219 </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0.5</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vMerge/>
          </w:tcPr>
          <w:p w:rsidR="005B5171" w:rsidRPr="005B5171" w:rsidRDefault="005B5171" w:rsidP="005B5171">
            <w:pPr>
              <w:rPr>
                <w:rFonts w:ascii="Segoe UI" w:hAnsi="Segoe UI" w:cs="Segoe UI"/>
              </w:rPr>
            </w:pPr>
          </w:p>
        </w:tc>
        <w:tc>
          <w:tcPr>
            <w:tcW w:w="2694" w:type="dxa"/>
          </w:tcPr>
          <w:p w:rsidR="005B5171" w:rsidRPr="005B5171" w:rsidRDefault="005B5171" w:rsidP="005B5171">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Murray</w:t>
            </w:r>
          </w:p>
        </w:tc>
        <w:tc>
          <w:tcPr>
            <w:tcW w:w="1323"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71</w:t>
            </w:r>
          </w:p>
        </w:tc>
        <w:tc>
          <w:tcPr>
            <w:tcW w:w="1323"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 xml:space="preserve"> 894 </w:t>
            </w:r>
          </w:p>
        </w:tc>
        <w:tc>
          <w:tcPr>
            <w:tcW w:w="1323"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0.2</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vMerge/>
          </w:tcPr>
          <w:p w:rsidR="005B5171" w:rsidRPr="005B5171" w:rsidRDefault="005B5171" w:rsidP="005B5171">
            <w:pPr>
              <w:rPr>
                <w:rFonts w:ascii="Segoe UI" w:hAnsi="Segoe UI" w:cs="Segoe UI"/>
              </w:rPr>
            </w:pPr>
          </w:p>
        </w:tc>
        <w:tc>
          <w:tcPr>
            <w:tcW w:w="2694" w:type="dxa"/>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Total</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571</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 7,882 </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tcPr>
          <w:p w:rsidR="005B5171" w:rsidRPr="005B5171" w:rsidRDefault="005B5171" w:rsidP="005B5171">
            <w:pPr>
              <w:rPr>
                <w:rFonts w:ascii="Segoe UI" w:hAnsi="Segoe UI" w:cs="Segoe UI"/>
              </w:rPr>
            </w:pPr>
            <w:r w:rsidRPr="005B5171">
              <w:rPr>
                <w:rFonts w:ascii="Segoe UI" w:hAnsi="Segoe UI" w:cs="Segoe UI"/>
              </w:rPr>
              <w:t>Total RFA</w:t>
            </w:r>
          </w:p>
        </w:tc>
        <w:tc>
          <w:tcPr>
            <w:tcW w:w="2694" w:type="dxa"/>
          </w:tcPr>
          <w:p w:rsidR="005B5171" w:rsidRPr="005B5171" w:rsidRDefault="005B5171" w:rsidP="005B5171">
            <w:pPr>
              <w:cnfStyle w:val="000000010000" w:firstRow="0" w:lastRow="0" w:firstColumn="0" w:lastColumn="0" w:oddVBand="0" w:evenVBand="0" w:oddHBand="0" w:evenHBand="1" w:firstRowFirstColumn="0" w:firstRowLastColumn="0" w:lastRowFirstColumn="0" w:lastRowLastColumn="0"/>
              <w:rPr>
                <w:rFonts w:ascii="Segoe UI" w:hAnsi="Segoe UI" w:cs="Segoe UI"/>
              </w:rPr>
            </w:pPr>
          </w:p>
        </w:tc>
        <w:tc>
          <w:tcPr>
            <w:tcW w:w="1323"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452</w:t>
            </w:r>
          </w:p>
        </w:tc>
        <w:tc>
          <w:tcPr>
            <w:tcW w:w="1323"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5B5171">
              <w:rPr>
                <w:rFonts w:ascii="Segoe UI" w:hAnsi="Segoe UI" w:cs="Segoe UI"/>
              </w:rPr>
              <w:t xml:space="preserve"> 5,902 </w:t>
            </w:r>
          </w:p>
        </w:tc>
        <w:tc>
          <w:tcPr>
            <w:tcW w:w="1323" w:type="dxa"/>
            <w:vAlign w:val="center"/>
          </w:tcPr>
          <w:p w:rsidR="005B5171" w:rsidRPr="005B5171" w:rsidRDefault="005B5171" w:rsidP="005B5171">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tcPr>
          <w:p w:rsidR="005B5171" w:rsidRPr="005B5171" w:rsidRDefault="005B5171" w:rsidP="005B5171">
            <w:pPr>
              <w:rPr>
                <w:rFonts w:ascii="Segoe UI" w:hAnsi="Segoe UI" w:cs="Segoe UI"/>
              </w:rPr>
            </w:pPr>
            <w:r w:rsidRPr="005B5171">
              <w:rPr>
                <w:rFonts w:ascii="Segoe UI" w:hAnsi="Segoe UI" w:cs="Segoe UI"/>
              </w:rPr>
              <w:t>Total Victoria</w:t>
            </w:r>
          </w:p>
        </w:tc>
        <w:tc>
          <w:tcPr>
            <w:tcW w:w="2694" w:type="dxa"/>
          </w:tcPr>
          <w:p w:rsidR="005B5171" w:rsidRPr="005B5171" w:rsidRDefault="005B5171" w:rsidP="005B5171">
            <w:pPr>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1,021</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5B5171">
              <w:rPr>
                <w:rFonts w:ascii="Segoe UI" w:hAnsi="Segoe UI" w:cs="Segoe UI"/>
              </w:rPr>
              <w:t xml:space="preserve"> 13,783 </w:t>
            </w:r>
          </w:p>
        </w:tc>
        <w:tc>
          <w:tcPr>
            <w:tcW w:w="1323" w:type="dxa"/>
            <w:vAlign w:val="center"/>
          </w:tcPr>
          <w:p w:rsidR="005B5171" w:rsidRPr="005B5171" w:rsidRDefault="005B5171" w:rsidP="005B5171">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bl>
    <w:p w:rsidR="005B5171" w:rsidRPr="005B5171" w:rsidRDefault="005B5171" w:rsidP="005B5171">
      <w:pPr>
        <w:tabs>
          <w:tab w:val="left" w:pos="426"/>
        </w:tabs>
        <w:spacing w:before="80"/>
        <w:ind w:left="426" w:hanging="426"/>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a</w:t>
      </w:r>
      <w:r w:rsidRPr="005B5171">
        <w:rPr>
          <w:rFonts w:ascii="Segoe UI" w:eastAsia="STZhongsong" w:hAnsi="Segoe UI" w:cs="Segoe UI"/>
          <w:bCs/>
          <w:sz w:val="18"/>
          <w:szCs w:val="18"/>
          <w:lang w:eastAsia="ko-KR"/>
        </w:rPr>
        <w:tab/>
        <w:t xml:space="preserve">Note that tourism regions and RFA regions do not align exactly. Consequently, the economic contribution of park tourism in each RFA region should be considered a rough alignment only. </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Source: DELWP analysis based on Deloitte 2014 (Unpublished).</w:t>
      </w:r>
    </w:p>
    <w:p w:rsidR="005B5171" w:rsidRPr="005B5171" w:rsidRDefault="005B5171" w:rsidP="005B5171">
      <w:pPr>
        <w:keepNext/>
        <w:spacing w:before="120" w:after="120" w:line="240" w:lineRule="auto"/>
        <w:jc w:val="both"/>
        <w:outlineLvl w:val="3"/>
        <w:rPr>
          <w:rFonts w:ascii="Segoe UI" w:hAnsi="Segoe UI" w:cs="Segoe UI"/>
          <w:i/>
          <w:sz w:val="24"/>
          <w:szCs w:val="24"/>
          <w:lang w:eastAsia="en-AU"/>
        </w:rPr>
      </w:pPr>
      <w:bookmarkStart w:id="174" w:name="_Toc11768346"/>
      <w:r w:rsidRPr="005B5171">
        <w:rPr>
          <w:rFonts w:ascii="Segoe UI" w:hAnsi="Segoe UI" w:cs="Segoe UI"/>
          <w:i/>
          <w:sz w:val="24"/>
          <w:szCs w:val="24"/>
          <w:lang w:eastAsia="en-AU"/>
        </w:rPr>
        <w:t>Habitat</w:t>
      </w:r>
      <w:bookmarkEnd w:id="174"/>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 xml:space="preserve">Forest ecosystems provide living spaces for plants and animals and support the maintenance of biodiversity. This provides benefits to people who simply value the existence of biodiversity and species. Habitat is also strongly linked to other services such as recreation and tourism, as people visit forest areas to experience a particular habitat or see a certain species. </w:t>
      </w:r>
    </w:p>
    <w:p w:rsidR="005B5171" w:rsidRPr="005B5171" w:rsidRDefault="005B5171" w:rsidP="005B5171">
      <w:pPr>
        <w:jc w:val="both"/>
        <w:rPr>
          <w:rFonts w:ascii="Segoe UI" w:hAnsi="Segoe UI" w:cs="Segoe UI"/>
        </w:rPr>
      </w:pPr>
      <w:r w:rsidRPr="005B5171">
        <w:rPr>
          <w:rFonts w:ascii="Segoe UI" w:hAnsi="Segoe UI" w:cs="Segoe UI"/>
        </w:rPr>
        <w:t xml:space="preserve">Provision of habitat has not been valued in monetary terms for this study. Stated preference techniques could be used to derive Victorians’ willingness to pay for the existence of forests (conservation of habitat and species). For example, a 2007 study undertaken for VEAC found that households in Melbourne and Bairnsdale were willing to pay $1.45 and $3.29 respectively per year for 20 years for a 1,000 hectare increase in area of healthy Murray River Red Gum forest (URS 2007). The same study found that households in Melbourne and Bairnsdale were willing to pay $11.16 and $8.10 respectively per year for 20 years for a 1,000 hectare increase in area of protected rainforest, and 65 cents and 33 cents respectively for a 1,000 hectare increase in area of protected old-growth forest This does not mean that particular communities should bear financial responsibility for habitat conservation, but rather demonstrates that different communities (and people within communities) may place greater value on certain areas of forest. </w:t>
      </w:r>
    </w:p>
    <w:p w:rsidR="005B5171" w:rsidRPr="005B5171" w:rsidRDefault="005B5171" w:rsidP="005B5171">
      <w:pPr>
        <w:jc w:val="both"/>
        <w:rPr>
          <w:rFonts w:ascii="Segoe UI" w:hAnsi="Segoe UI" w:cs="Segoe UI"/>
        </w:rPr>
      </w:pPr>
      <w:r w:rsidRPr="005B5171">
        <w:rPr>
          <w:rFonts w:ascii="Segoe UI" w:hAnsi="Segoe UI" w:cs="Segoe UI"/>
        </w:rPr>
        <w:t>Willingness to pay for environmental impacts (such as increased area or quality of habitat) can vary significantly depending on the impacts being surveyed, the location of impacts, and the demographics of survey respondents. The quality of results is also highly dependent on the rigour of survey design and implementation.</w:t>
      </w:r>
    </w:p>
    <w:p w:rsidR="005B5171" w:rsidRPr="005B5171" w:rsidRDefault="005B5171" w:rsidP="005B5171">
      <w:pPr>
        <w:keepNext/>
        <w:spacing w:before="120" w:after="120" w:line="240" w:lineRule="auto"/>
        <w:jc w:val="both"/>
        <w:outlineLvl w:val="3"/>
        <w:rPr>
          <w:rFonts w:ascii="Segoe UI" w:hAnsi="Segoe UI" w:cs="Segoe UI"/>
          <w:i/>
          <w:sz w:val="24"/>
          <w:szCs w:val="24"/>
          <w:lang w:eastAsia="en-AU"/>
        </w:rPr>
      </w:pPr>
      <w:bookmarkStart w:id="175" w:name="_Toc11768348"/>
      <w:r w:rsidRPr="005B5171">
        <w:rPr>
          <w:rFonts w:ascii="Segoe UI" w:hAnsi="Segoe UI" w:cs="Segoe UI"/>
          <w:i/>
          <w:sz w:val="24"/>
          <w:szCs w:val="24"/>
          <w:lang w:eastAsia="en-AU"/>
        </w:rPr>
        <w:t>Carbon sequestration and storage</w:t>
      </w:r>
      <w:bookmarkEnd w:id="175"/>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 xml:space="preserve">Forest ecosystems sequester (capture) carbon dioxide from the atmosphere and store it (known as a carbon sink) as organic carbon in plant biomass (trunks, branches, foliage and roots) and soil. Carbon stored in plant biomass and soils is a stock. The sequestration and emission of carbon from a forest ecosystem’s carbon balance is known as the carbon flow. The carbon balance, regardless of scale, will vary over time but, generally, will be equal to the sum of carbon both sequestered and emitted from a forest ecosystem. Forests sequester and store large amounts of carbon in biomass and soils over long time periods, which contributes to the overall carbon balance for the planet, regulating both local, regional and broadscale climate and mitigating climate change. </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 xml:space="preserve">Carbon is emitted to the atmosphere from forest ecosystems due to disturbances such as fire, the senescence of trees and the natural breakdown of vegetation and soils. The carbon balance is also altered when timber is removed from forest ecosystems through harvesting, noting that carbon can be stored in solid wood products (such as building materials or furniture). </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The beneficiary of climate regulation services is the Victorian community, as well as the global community more broadly, who experience reduced impacts of climate change.</w:t>
      </w: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Quantification of carbon storage</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Biomass data has been used to calculate stock of above-ground carbon across Victoria’s forests. This includes living and dead above-ground biomass, but not below-ground biomass (root systems) or soil carbon, largely due to difficulties and expense in extracting and quantifying root biomass as well as the representativity of point sampling for soil carbon. Biomass data was supplied from the VFMP and was created by integrating Landsat satellite time series with Victoria’s forest monitoring and forecasting framework. A conversion factor of 0.47 is used to convert biomass to carbon (Gifford 2000).</w:t>
      </w:r>
    </w:p>
    <w:p w:rsidR="005B5171" w:rsidRPr="005B5171" w:rsidRDefault="005B5171" w:rsidP="005B5171">
      <w:pPr>
        <w:jc w:val="both"/>
        <w:rPr>
          <w:rFonts w:cs="Times New Roman"/>
          <w:lang w:eastAsia="en-AU"/>
        </w:rPr>
      </w:pPr>
      <w:r w:rsidRPr="005B5171">
        <w:rPr>
          <w:rFonts w:ascii="Segoe UI" w:hAnsi="Segoe UI" w:cs="Segoe UI"/>
          <w:lang w:eastAsia="en-AU"/>
        </w:rPr>
        <w:t>In 2017, an estimated 1.1 billion tonnes of carbon was determined to be stored in above-ground biomass in State forests on public land across Victoria’s RFA regions; this is around 4 billion tonnes of carbon dioxide equivalent (CO2e).</w:t>
      </w:r>
      <w:r w:rsidRPr="005B5171">
        <w:rPr>
          <w:rFonts w:ascii="Segoe UI" w:hAnsi="Segoe UI" w:cs="Segoe UI"/>
          <w:vertAlign w:val="superscript"/>
          <w:lang w:eastAsia="en-AU"/>
        </w:rPr>
        <w:footnoteReference w:id="13"/>
      </w:r>
      <w:r w:rsidRPr="005B5171">
        <w:rPr>
          <w:rFonts w:ascii="Segoe UI" w:hAnsi="Segoe UI" w:cs="Segoe UI"/>
          <w:lang w:eastAsia="en-AU"/>
        </w:rPr>
        <w:t xml:space="preserve"> Carbon stocks fluctuate from year to year, driven by disturbance events such as bushfires or removal of carbon through timber harvesting. From 1988 carbon stocks have averaged 1.1 billion tonnes, with a high of 1,141 million tonnes in 1989 and a low of 937 million tonnes in 2007.</w:t>
      </w:r>
      <w:r w:rsidRPr="005B5171">
        <w:rPr>
          <w:rFonts w:ascii="Segoe UI" w:hAnsi="Segoe UI" w:cs="Segoe UI"/>
          <w:vertAlign w:val="superscript"/>
          <w:lang w:eastAsia="en-AU"/>
        </w:rPr>
        <w:footnoteReference w:id="14"/>
      </w:r>
      <w:r w:rsidRPr="005B5171">
        <w:rPr>
          <w:rFonts w:ascii="Segoe UI" w:hAnsi="Segoe UI" w:cs="Segoe UI"/>
          <w:lang w:eastAsia="en-AU"/>
        </w:rPr>
        <w:t xml:space="preserve"> There were significant bushfires in 2006–07 which contributed to this reduction in carbon stocks, particularly in the Gippsland RFA region and the North East RFA region, as can be seen </w:t>
      </w:r>
      <w:r w:rsidRPr="005B5171">
        <w:rPr>
          <w:rFonts w:ascii="Segoe UI" w:hAnsi="Segoe UI" w:cs="Segoe UI"/>
        </w:rPr>
        <w:t xml:space="preserve">in </w:t>
      </w:r>
      <w:r w:rsidRPr="005B5171">
        <w:rPr>
          <w:rFonts w:ascii="Segoe UI" w:hAnsi="Segoe UI" w:cs="Segoe UI"/>
        </w:rPr>
        <w:fldChar w:fldCharType="begin"/>
      </w:r>
      <w:r w:rsidRPr="005B5171">
        <w:rPr>
          <w:rFonts w:ascii="Segoe UI" w:hAnsi="Segoe UI" w:cs="Segoe UI"/>
        </w:rPr>
        <w:instrText xml:space="preserve"> REF _Ref25250147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Figure </w:t>
      </w:r>
      <w:r w:rsidRPr="005B5171">
        <w:rPr>
          <w:rFonts w:ascii="Segoe UI" w:hAnsi="Segoe UI" w:cs="Segoe UI"/>
          <w:noProof/>
        </w:rPr>
        <w:t>52</w:t>
      </w:r>
      <w:r w:rsidRPr="005B5171">
        <w:rPr>
          <w:rFonts w:ascii="Segoe UI" w:hAnsi="Segoe UI" w:cs="Segoe UI"/>
        </w:rPr>
        <w:fldChar w:fldCharType="end"/>
      </w:r>
      <w:r w:rsidRPr="005B5171">
        <w:rPr>
          <w:rFonts w:ascii="Segoe UI" w:hAnsi="Segoe UI" w:cs="Segoe UI"/>
        </w:rPr>
        <w:t xml:space="preserve">. </w:t>
      </w:r>
      <w:r w:rsidRPr="005B5171">
        <w:rPr>
          <w:rFonts w:ascii="Segoe UI" w:hAnsi="Segoe UI" w:cs="Segoe UI"/>
          <w:lang w:eastAsia="en-AU"/>
        </w:rPr>
        <w:t>The impact of other major bushfire seasons can be seen in the data, such as the 2003 bushfires in Gippsland and the North East, the 2009 bushfires in the Central Highlands, and the 2014 bushfires in East Gippsland. There has been a steady increase in carbon stocks over the past decade, driven by increases in Gippsland and the North East. However, this trend may be impacted by the 2018–19 bushfire season which saw significant fires in Gippsland.</w:t>
      </w:r>
    </w:p>
    <w:p w:rsidR="005B5171" w:rsidRPr="005B5171" w:rsidRDefault="005B5171" w:rsidP="005B5171">
      <w:pPr>
        <w:keepNext/>
        <w:spacing w:before="60" w:after="120" w:line="200" w:lineRule="atLeast"/>
        <w:ind w:hanging="567"/>
        <w:jc w:val="both"/>
        <w:rPr>
          <w:rFonts w:ascii="Segoe UI" w:eastAsia="Times New Roman" w:hAnsi="Segoe UI" w:cs="Arial"/>
          <w:b/>
          <w:bCs/>
          <w:color w:val="000000" w:themeColor="text1"/>
          <w:sz w:val="16"/>
          <w:szCs w:val="20"/>
          <w:lang w:eastAsia="en-AU"/>
        </w:rPr>
      </w:pPr>
      <w:r w:rsidRPr="005B5171">
        <w:rPr>
          <w:rFonts w:ascii="Segoe UI" w:eastAsia="Times New Roman" w:hAnsi="Segoe UI" w:cs="Arial"/>
          <w:b/>
          <w:bCs/>
          <w:noProof/>
          <w:color w:val="000000" w:themeColor="text1"/>
          <w:sz w:val="16"/>
          <w:szCs w:val="20"/>
          <w:lang w:eastAsia="en-AU"/>
        </w:rPr>
        <w:drawing>
          <wp:inline distT="0" distB="0" distL="0" distR="0" wp14:anchorId="3C3DE4CB" wp14:editId="2D7F14CB">
            <wp:extent cx="6478270" cy="2734310"/>
            <wp:effectExtent l="0" t="0" r="0" b="8890"/>
            <wp:docPr id="50" name="Chart 50">
              <a:extLst xmlns:a="http://schemas.openxmlformats.org/drawingml/2006/main">
                <a:ext uri="{FF2B5EF4-FFF2-40B4-BE49-F238E27FC236}">
                  <a16:creationId xmlns:a16="http://schemas.microsoft.com/office/drawing/2014/main" id="{A4A2CC55-A1F5-4169-8010-AA592680D4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B5171" w:rsidRPr="005B5171" w:rsidRDefault="005B5171" w:rsidP="005B5171">
      <w:pPr>
        <w:spacing w:after="200" w:line="240" w:lineRule="auto"/>
        <w:jc w:val="both"/>
        <w:rPr>
          <w:rFonts w:ascii="Segoe UI Semibold" w:eastAsia="Times New Roman" w:hAnsi="Segoe UI Semibold" w:cs="Times New Roman"/>
          <w:color w:val="016295"/>
        </w:rPr>
      </w:pPr>
      <w:bookmarkStart w:id="176" w:name="_Ref25250147"/>
      <w:bookmarkStart w:id="177" w:name="_Ref14333832"/>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52</w:t>
      </w:r>
      <w:r w:rsidRPr="005B5171">
        <w:rPr>
          <w:rFonts w:ascii="Segoe UI Semibold" w:eastAsia="Times New Roman" w:hAnsi="Segoe UI Semibold" w:cs="Times New Roman"/>
          <w:noProof/>
          <w:color w:val="016295"/>
        </w:rPr>
        <w:fldChar w:fldCharType="end"/>
      </w:r>
      <w:bookmarkEnd w:id="176"/>
      <w:bookmarkEnd w:id="177"/>
      <w:r w:rsidRPr="005B5171">
        <w:rPr>
          <w:rFonts w:ascii="Segoe UI Semibold" w:eastAsia="Times New Roman" w:hAnsi="Segoe UI Semibold" w:cs="Times New Roman"/>
          <w:color w:val="016295"/>
        </w:rPr>
        <w:t>: Above-ground carbon on public land by RFA region, 1988–2017</w:t>
      </w:r>
    </w:p>
    <w:p w:rsidR="005B5171" w:rsidRPr="005B5171" w:rsidRDefault="005B5171" w:rsidP="005B5171">
      <w:pPr>
        <w:tabs>
          <w:tab w:val="left" w:pos="426"/>
        </w:tabs>
        <w:spacing w:before="80"/>
        <w:contextualSpacing/>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Note: Data is not available for 1999, 2000, 2001 and 2002. </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DELWP </w:t>
      </w:r>
      <w:proofErr w:type="spellStart"/>
      <w:r w:rsidRPr="005B5171">
        <w:rPr>
          <w:rFonts w:ascii="Segoe UI" w:eastAsia="STZhongsong" w:hAnsi="Segoe UI" w:cs="Segoe UI"/>
          <w:bCs/>
          <w:sz w:val="18"/>
          <w:szCs w:val="18"/>
          <w:lang w:eastAsia="ko-KR"/>
        </w:rPr>
        <w:t>Ensym</w:t>
      </w:r>
      <w:proofErr w:type="spellEnd"/>
      <w:r w:rsidRPr="005B5171">
        <w:rPr>
          <w:rFonts w:ascii="Segoe UI" w:eastAsia="STZhongsong" w:hAnsi="Segoe UI" w:cs="Segoe UI"/>
          <w:bCs/>
          <w:sz w:val="18"/>
          <w:szCs w:val="18"/>
          <w:lang w:eastAsia="ko-KR"/>
        </w:rPr>
        <w:t xml:space="preserve"> modelling (Unpublished)</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fldChar w:fldCharType="begin"/>
      </w:r>
      <w:r w:rsidRPr="005B5171">
        <w:rPr>
          <w:rFonts w:ascii="Segoe UI" w:hAnsi="Segoe UI" w:cs="Segoe UI"/>
          <w:lang w:eastAsia="en-AU"/>
        </w:rPr>
        <w:instrText xml:space="preserve"> REF _Ref25250457 \h </w:instrText>
      </w:r>
      <w:r w:rsidRPr="005B5171">
        <w:rPr>
          <w:rFonts w:ascii="Segoe UI" w:hAnsi="Segoe UI" w:cs="Segoe UI"/>
          <w:lang w:eastAsia="en-AU"/>
        </w:rPr>
      </w:r>
      <w:r w:rsidRPr="005B5171">
        <w:rPr>
          <w:rFonts w:ascii="Segoe UI" w:hAnsi="Segoe UI" w:cs="Segoe UI"/>
          <w:lang w:eastAsia="en-AU"/>
        </w:rPr>
        <w:fldChar w:fldCharType="separate"/>
      </w:r>
      <w:r w:rsidRPr="005B5171">
        <w:rPr>
          <w:rFonts w:ascii="Segoe UI" w:hAnsi="Segoe UI" w:cs="Segoe UI"/>
        </w:rPr>
        <w:t xml:space="preserve">Figure </w:t>
      </w:r>
      <w:r w:rsidRPr="005B5171">
        <w:rPr>
          <w:rFonts w:ascii="Segoe UI" w:hAnsi="Segoe UI" w:cs="Segoe UI"/>
          <w:noProof/>
        </w:rPr>
        <w:t>53</w:t>
      </w:r>
      <w:r w:rsidRPr="005B5171">
        <w:rPr>
          <w:rFonts w:ascii="Segoe UI" w:hAnsi="Segoe UI" w:cs="Segoe UI"/>
          <w:lang w:eastAsia="en-AU"/>
        </w:rPr>
        <w:fldChar w:fldCharType="end"/>
      </w:r>
      <w:r w:rsidRPr="005B5171">
        <w:rPr>
          <w:rFonts w:ascii="Segoe UI" w:hAnsi="Segoe UI" w:cs="Segoe UI"/>
          <w:lang w:eastAsia="en-AU"/>
        </w:rPr>
        <w:t xml:space="preserve"> shows the distribution of above-ground carbon stocks on public land across Victoria in 2017. It shows the significant density of carbon storage in forests in the east of the state, and in the Otway Ranges in the West RFA region. </w:t>
      </w:r>
      <w:r w:rsidRPr="005B5171">
        <w:rPr>
          <w:rFonts w:ascii="Segoe UI" w:hAnsi="Segoe UI" w:cs="Segoe UI"/>
          <w:lang w:eastAsia="en-AU"/>
        </w:rPr>
        <w:fldChar w:fldCharType="begin"/>
      </w:r>
      <w:r w:rsidRPr="005B5171">
        <w:rPr>
          <w:rFonts w:ascii="Segoe UI" w:hAnsi="Segoe UI" w:cs="Segoe UI"/>
          <w:lang w:eastAsia="en-AU"/>
        </w:rPr>
        <w:instrText xml:space="preserve"> REF _Ref25251630 \h </w:instrText>
      </w:r>
      <w:r w:rsidRPr="005B5171">
        <w:rPr>
          <w:rFonts w:ascii="Segoe UI" w:hAnsi="Segoe UI" w:cs="Segoe UI"/>
          <w:lang w:eastAsia="en-AU"/>
        </w:rPr>
      </w:r>
      <w:r w:rsidRPr="005B5171">
        <w:rPr>
          <w:rFonts w:ascii="Segoe UI" w:hAnsi="Segoe UI" w:cs="Segoe UI"/>
          <w:lang w:eastAsia="en-AU"/>
        </w:rPr>
        <w:fldChar w:fldCharType="separate"/>
      </w:r>
      <w:r w:rsidRPr="005B5171">
        <w:rPr>
          <w:rFonts w:ascii="Segoe UI" w:hAnsi="Segoe UI" w:cs="Segoe UI"/>
        </w:rPr>
        <w:t xml:space="preserve">Figure </w:t>
      </w:r>
      <w:r w:rsidRPr="005B5171">
        <w:rPr>
          <w:rFonts w:ascii="Segoe UI" w:hAnsi="Segoe UI" w:cs="Segoe UI"/>
          <w:noProof/>
        </w:rPr>
        <w:t>54</w:t>
      </w:r>
      <w:r w:rsidRPr="005B5171">
        <w:rPr>
          <w:rFonts w:ascii="Segoe UI" w:hAnsi="Segoe UI" w:cs="Segoe UI"/>
          <w:lang w:eastAsia="en-AU"/>
        </w:rPr>
        <w:fldChar w:fldCharType="end"/>
      </w:r>
      <w:r w:rsidRPr="005B5171">
        <w:rPr>
          <w:rFonts w:ascii="Segoe UI" w:hAnsi="Segoe UI" w:cs="Segoe UI"/>
          <w:lang w:eastAsia="en-AU"/>
        </w:rPr>
        <w:t xml:space="preserve"> shows the change in above-ground carbon stocks in forest areas between 2006 and 2007, a period of significant bushfire activity and loss of forest carbon stocks. The 2007 fire extent is also mapped. The reduction in carbon stocks from the 2007 Alpine fires is clearly evident. The map also shows carbon stocks in the Grampians in the West RFA region recovering from the 2006 fires.</w:t>
      </w:r>
    </w:p>
    <w:p w:rsidR="005B5171" w:rsidRPr="005B5171" w:rsidRDefault="005B5171" w:rsidP="005B5171">
      <w:pPr>
        <w:keepNext/>
        <w:spacing w:before="120" w:after="120" w:line="240" w:lineRule="auto"/>
        <w:jc w:val="both"/>
        <w:rPr>
          <w:rFonts w:ascii="Segoe UI" w:hAnsi="Segoe UI" w:cs="Segoe UI"/>
          <w:lang w:eastAsia="en-AU"/>
        </w:rPr>
      </w:pPr>
      <w:r w:rsidRPr="005B5171">
        <w:rPr>
          <w:rFonts w:ascii="Segoe UI" w:hAnsi="Segoe UI" w:cs="Segoe UI"/>
          <w:noProof/>
          <w:lang w:eastAsia="en-AU"/>
        </w:rPr>
        <w:drawing>
          <wp:inline distT="0" distB="0" distL="0" distR="0" wp14:anchorId="7F4D6970" wp14:editId="57D2E8A5">
            <wp:extent cx="5567882" cy="3938258"/>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572780" cy="3941723"/>
                    </a:xfrm>
                    <a:prstGeom prst="rect">
                      <a:avLst/>
                    </a:prstGeom>
                    <a:noFill/>
                    <a:ln>
                      <a:noFill/>
                    </a:ln>
                  </pic:spPr>
                </pic:pic>
              </a:graphicData>
            </a:graphic>
          </wp:inline>
        </w:drawing>
      </w:r>
    </w:p>
    <w:p w:rsidR="005B5171" w:rsidRPr="005B5171" w:rsidRDefault="005B5171" w:rsidP="005B5171">
      <w:pPr>
        <w:spacing w:after="200" w:line="240" w:lineRule="auto"/>
        <w:jc w:val="both"/>
        <w:rPr>
          <w:rFonts w:ascii="Segoe UI Semibold" w:eastAsia="Times New Roman" w:hAnsi="Segoe UI Semibold" w:cs="Times New Roman"/>
          <w:color w:val="016295"/>
        </w:rPr>
      </w:pPr>
      <w:bookmarkStart w:id="178" w:name="_Ref25250457"/>
      <w:bookmarkStart w:id="179" w:name="_Ref14030316"/>
      <w:bookmarkStart w:id="180" w:name="_Ref14030506"/>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53</w:t>
      </w:r>
      <w:r w:rsidRPr="005B5171">
        <w:rPr>
          <w:rFonts w:ascii="Segoe UI Semibold" w:eastAsia="Times New Roman" w:hAnsi="Segoe UI Semibold" w:cs="Times New Roman"/>
          <w:noProof/>
          <w:color w:val="016295"/>
        </w:rPr>
        <w:fldChar w:fldCharType="end"/>
      </w:r>
      <w:bookmarkEnd w:id="178"/>
      <w:bookmarkEnd w:id="179"/>
      <w:r w:rsidRPr="005B5171">
        <w:rPr>
          <w:rFonts w:ascii="Segoe UI Semibold" w:eastAsia="Times New Roman" w:hAnsi="Segoe UI Semibold" w:cs="Times New Roman"/>
          <w:color w:val="016295"/>
        </w:rPr>
        <w:t>: Above-ground carbon on public land, 2017</w:t>
      </w:r>
    </w:p>
    <w:bookmarkEnd w:id="180"/>
    <w:p w:rsidR="005B5171" w:rsidRPr="005B5171" w:rsidRDefault="005B5171" w:rsidP="005B5171">
      <w:pPr>
        <w:keepNext/>
        <w:spacing w:before="120" w:after="120" w:line="240" w:lineRule="auto"/>
        <w:jc w:val="both"/>
        <w:rPr>
          <w:rFonts w:ascii="Segoe UI" w:hAnsi="Segoe UI" w:cs="Segoe UI"/>
          <w:lang w:eastAsia="en-AU"/>
        </w:rPr>
      </w:pPr>
      <w:r w:rsidRPr="005B5171">
        <w:rPr>
          <w:rFonts w:ascii="Segoe UI" w:hAnsi="Segoe UI" w:cs="Segoe UI"/>
          <w:noProof/>
          <w:lang w:eastAsia="en-AU"/>
        </w:rPr>
        <w:drawing>
          <wp:inline distT="0" distB="0" distL="0" distR="0" wp14:anchorId="5133DEA1" wp14:editId="4DF0946A">
            <wp:extent cx="5585988" cy="39445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587666" cy="3945728"/>
                    </a:xfrm>
                    <a:prstGeom prst="rect">
                      <a:avLst/>
                    </a:prstGeom>
                    <a:noFill/>
                    <a:ln>
                      <a:noFill/>
                    </a:ln>
                  </pic:spPr>
                </pic:pic>
              </a:graphicData>
            </a:graphic>
          </wp:inline>
        </w:drawing>
      </w:r>
    </w:p>
    <w:p w:rsidR="005B5171" w:rsidRPr="005B5171" w:rsidRDefault="005B5171" w:rsidP="005B5171">
      <w:pPr>
        <w:spacing w:after="200" w:line="240" w:lineRule="auto"/>
        <w:jc w:val="both"/>
        <w:rPr>
          <w:rFonts w:ascii="Segoe UI Semibold" w:eastAsia="Times New Roman" w:hAnsi="Segoe UI Semibold" w:cs="Times New Roman"/>
          <w:color w:val="016295"/>
        </w:rPr>
      </w:pPr>
      <w:bookmarkStart w:id="181" w:name="_Ref25251630"/>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54</w:t>
      </w:r>
      <w:r w:rsidRPr="005B5171">
        <w:rPr>
          <w:rFonts w:ascii="Segoe UI Semibold" w:eastAsia="Times New Roman" w:hAnsi="Segoe UI Semibold" w:cs="Times New Roman"/>
          <w:noProof/>
          <w:color w:val="016295"/>
        </w:rPr>
        <w:fldChar w:fldCharType="end"/>
      </w:r>
      <w:bookmarkEnd w:id="181"/>
      <w:r w:rsidRPr="005B5171">
        <w:rPr>
          <w:rFonts w:ascii="Segoe UI Semibold" w:eastAsia="Times New Roman" w:hAnsi="Segoe UI Semibold" w:cs="Times New Roman"/>
          <w:color w:val="016295"/>
        </w:rPr>
        <w:t>: Change in above-ground carbon on public land between 2006 and 2007</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DELWP </w:t>
      </w:r>
      <w:proofErr w:type="spellStart"/>
      <w:r w:rsidRPr="005B5171">
        <w:rPr>
          <w:rFonts w:ascii="Segoe UI" w:eastAsia="STZhongsong" w:hAnsi="Segoe UI" w:cs="Segoe UI"/>
          <w:bCs/>
          <w:sz w:val="18"/>
          <w:szCs w:val="18"/>
          <w:lang w:eastAsia="ko-KR"/>
        </w:rPr>
        <w:t>Ensym</w:t>
      </w:r>
      <w:proofErr w:type="spellEnd"/>
      <w:r w:rsidRPr="005B5171">
        <w:rPr>
          <w:rFonts w:ascii="Segoe UI" w:eastAsia="STZhongsong" w:hAnsi="Segoe UI" w:cs="Segoe UI"/>
          <w:bCs/>
          <w:sz w:val="18"/>
          <w:szCs w:val="18"/>
          <w:lang w:eastAsia="ko-KR"/>
        </w:rPr>
        <w:t xml:space="preserve"> modelling (Unpublished)</w:t>
      </w:r>
    </w:p>
    <w:p w:rsidR="005B5171" w:rsidRPr="005B5171" w:rsidRDefault="005B5171" w:rsidP="005B5171">
      <w:pPr>
        <w:jc w:val="both"/>
        <w:rPr>
          <w:rFonts w:cs="Segoe UI"/>
        </w:rPr>
      </w:pPr>
      <w:r w:rsidRPr="005B5171">
        <w:rPr>
          <w:rFonts w:ascii="Segoe UI" w:hAnsi="Segoe UI" w:cs="Segoe UI"/>
          <w:lang w:eastAsia="en-AU"/>
        </w:rPr>
        <w:fldChar w:fldCharType="begin"/>
      </w:r>
      <w:r w:rsidRPr="005B5171">
        <w:rPr>
          <w:rFonts w:ascii="Segoe UI" w:hAnsi="Segoe UI" w:cs="Segoe UI"/>
          <w:lang w:eastAsia="en-AU"/>
        </w:rPr>
        <w:instrText xml:space="preserve"> REF _Ref14619298 \h </w:instrText>
      </w:r>
      <w:r w:rsidRPr="005B5171">
        <w:rPr>
          <w:rFonts w:ascii="Segoe UI" w:hAnsi="Segoe UI" w:cs="Segoe UI"/>
          <w:lang w:eastAsia="en-AU"/>
        </w:rPr>
      </w:r>
      <w:r w:rsidRPr="005B5171">
        <w:rPr>
          <w:rFonts w:ascii="Segoe UI" w:hAnsi="Segoe UI" w:cs="Segoe UI"/>
          <w:lang w:eastAsia="en-AU"/>
        </w:rPr>
        <w:fldChar w:fldCharType="separate"/>
      </w:r>
      <w:r w:rsidRPr="005B5171">
        <w:rPr>
          <w:rFonts w:ascii="Segoe UI" w:hAnsi="Segoe UI" w:cs="Segoe UI"/>
        </w:rPr>
        <w:t xml:space="preserve">Table </w:t>
      </w:r>
      <w:r w:rsidRPr="005B5171">
        <w:rPr>
          <w:rFonts w:ascii="Segoe UI" w:hAnsi="Segoe UI" w:cs="Segoe UI"/>
          <w:noProof/>
        </w:rPr>
        <w:t>97</w:t>
      </w:r>
      <w:r w:rsidRPr="005B5171">
        <w:rPr>
          <w:rFonts w:ascii="Segoe UI" w:hAnsi="Segoe UI" w:cs="Segoe UI"/>
          <w:lang w:eastAsia="en-AU"/>
        </w:rPr>
        <w:fldChar w:fldCharType="end"/>
      </w:r>
      <w:r w:rsidRPr="005B5171">
        <w:rPr>
          <w:rFonts w:ascii="Segoe UI" w:hAnsi="Segoe UI" w:cs="Segoe UI"/>
          <w:lang w:eastAsia="en-AU"/>
        </w:rPr>
        <w:t xml:space="preserve"> reports the quantity of above-ground biomass, carbon and carbon dioxide equivalent (CO2e) on public land across the five RFA regions in 2017, the most recent year of data available. Gippsland has the highest carbon stock on public land (around 300 million tonnes in 2017), followed by North East and East Gippsland (both around 250 million tonnes of carbon in 2017). However, Gippsland, East Gippsland and the North East RFA regions have larger areas of forest on public land than the Central Highlands and West RFA regions. </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 xml:space="preserve">Central Highlands has the highest average above-ground carbon stock per hectare of forest on public land (250 tonnes per hectare in 2017), followed by East Gippsland (232 tonnes per hectare in 2017). This is likely driven by composition and age of species in these RFA regions. </w:t>
      </w:r>
    </w:p>
    <w:p w:rsidR="005B5171" w:rsidRPr="005B5171" w:rsidRDefault="005B5171" w:rsidP="005B5171">
      <w:pPr>
        <w:spacing w:after="200" w:line="240" w:lineRule="auto"/>
        <w:rPr>
          <w:rFonts w:ascii="Segoe UI Semibold" w:eastAsia="Times New Roman" w:hAnsi="Segoe UI Semibold" w:cs="Times New Roman"/>
          <w:color w:val="016295"/>
        </w:rPr>
      </w:pPr>
      <w:bookmarkStart w:id="182" w:name="_Toc25660881"/>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100</w:t>
      </w:r>
      <w:r w:rsidRPr="005B5171">
        <w:rPr>
          <w:rFonts w:ascii="Segoe UI Semibold" w:eastAsia="Times New Roman" w:hAnsi="Segoe UI Semibold" w:cs="Times New Roman"/>
          <w:noProof/>
          <w:color w:val="016295"/>
        </w:rPr>
        <w:fldChar w:fldCharType="end"/>
      </w:r>
      <w:r w:rsidRPr="005B5171">
        <w:rPr>
          <w:rFonts w:ascii="Segoe UI Semibold" w:eastAsia="Times New Roman" w:hAnsi="Segoe UI Semibold" w:cs="Times New Roman"/>
          <w:color w:val="016295"/>
        </w:rPr>
        <w:t>: Above-ground biomass and carbon on public land 2017</w:t>
      </w:r>
      <w:bookmarkEnd w:id="182"/>
      <w:r w:rsidRPr="005B5171">
        <w:rPr>
          <w:rFonts w:ascii="Segoe UI Semibold" w:eastAsia="Times New Roman" w:hAnsi="Segoe UI Semibold" w:cs="Times New Roman"/>
          <w:color w:val="016295"/>
        </w:rPr>
        <w:t xml:space="preserve"> </w:t>
      </w:r>
    </w:p>
    <w:tbl>
      <w:tblPr>
        <w:tblStyle w:val="xTable1"/>
        <w:tblW w:w="8732" w:type="dxa"/>
        <w:tblInd w:w="-10" w:type="dxa"/>
        <w:tblLayout w:type="fixed"/>
        <w:tblLook w:val="04A0" w:firstRow="1" w:lastRow="0" w:firstColumn="1" w:lastColumn="0" w:noHBand="0" w:noVBand="1"/>
      </w:tblPr>
      <w:tblGrid>
        <w:gridCol w:w="1927"/>
        <w:gridCol w:w="1617"/>
        <w:gridCol w:w="1559"/>
        <w:gridCol w:w="1701"/>
        <w:gridCol w:w="1928"/>
      </w:tblGrid>
      <w:tr w:rsidR="005B5171" w:rsidRPr="005B5171" w:rsidTr="000B1EFD">
        <w:trPr>
          <w:cnfStyle w:val="100000000000" w:firstRow="1" w:lastRow="0" w:firstColumn="0" w:lastColumn="0" w:oddVBand="0" w:evenVBand="0" w:oddHBand="0" w:evenHBand="0" w:firstRowFirstColumn="0" w:firstRowLastColumn="0" w:lastRowFirstColumn="0" w:lastRowLastColumn="0"/>
          <w:trHeight w:val="408"/>
        </w:trPr>
        <w:tc>
          <w:tcPr>
            <w:cnfStyle w:val="001000000100" w:firstRow="0" w:lastRow="0" w:firstColumn="1" w:lastColumn="0" w:oddVBand="0" w:evenVBand="0" w:oddHBand="0" w:evenHBand="0" w:firstRowFirstColumn="1" w:firstRowLastColumn="0" w:lastRowFirstColumn="0" w:lastRowLastColumn="0"/>
            <w:tcW w:w="1927" w:type="dxa"/>
            <w:hideMark/>
          </w:tcPr>
          <w:p w:rsidR="005B5171" w:rsidRPr="005B5171" w:rsidRDefault="005B5171" w:rsidP="005B5171">
            <w:pPr>
              <w:rPr>
                <w:rFonts w:ascii="Segoe UI" w:hAnsi="Segoe UI" w:cs="Segoe UI"/>
              </w:rPr>
            </w:pPr>
            <w:r w:rsidRPr="005B5171">
              <w:rPr>
                <w:rFonts w:ascii="Segoe UI" w:hAnsi="Segoe UI" w:cs="Segoe UI"/>
              </w:rPr>
              <w:t>Region</w:t>
            </w:r>
          </w:p>
        </w:tc>
        <w:tc>
          <w:tcPr>
            <w:tcW w:w="1617"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Total biomass (tonnes)</w:t>
            </w:r>
          </w:p>
        </w:tc>
        <w:tc>
          <w:tcPr>
            <w:tcW w:w="1559"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Total carbon (tonnes)</w:t>
            </w:r>
          </w:p>
        </w:tc>
        <w:tc>
          <w:tcPr>
            <w:tcW w:w="1701"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CO2e (tonnes)</w:t>
            </w:r>
          </w:p>
        </w:tc>
        <w:tc>
          <w:tcPr>
            <w:tcW w:w="1928" w:type="dxa"/>
            <w:hideMark/>
          </w:tcPr>
          <w:p w:rsidR="005B5171" w:rsidRPr="005B5171" w:rsidRDefault="005B5171" w:rsidP="005B517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rPr>
              <w:t>Carbon per hectare (tonnes)</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7" w:type="dxa"/>
            <w:hideMark/>
          </w:tcPr>
          <w:p w:rsidR="005B5171" w:rsidRPr="005B5171" w:rsidRDefault="005B5171" w:rsidP="005B5171">
            <w:pPr>
              <w:rPr>
                <w:rFonts w:ascii="Segoe UI" w:hAnsi="Segoe UI" w:cs="Segoe UI"/>
              </w:rPr>
            </w:pPr>
            <w:r w:rsidRPr="005B5171">
              <w:rPr>
                <w:rFonts w:ascii="Segoe UI" w:hAnsi="Segoe UI" w:cs="Segoe UI"/>
              </w:rPr>
              <w:t>Central Highlands</w:t>
            </w:r>
          </w:p>
        </w:tc>
        <w:tc>
          <w:tcPr>
            <w:tcW w:w="1617"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332,262,052</w:t>
            </w:r>
          </w:p>
        </w:tc>
        <w:tc>
          <w:tcPr>
            <w:tcW w:w="1559"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156,163,164 </w:t>
            </w:r>
          </w:p>
        </w:tc>
        <w:tc>
          <w:tcPr>
            <w:tcW w:w="1701"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572,181,835 </w:t>
            </w:r>
          </w:p>
        </w:tc>
        <w:tc>
          <w:tcPr>
            <w:tcW w:w="192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250</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7" w:type="dxa"/>
            <w:hideMark/>
          </w:tcPr>
          <w:p w:rsidR="005B5171" w:rsidRPr="005B5171" w:rsidRDefault="005B5171" w:rsidP="005B5171">
            <w:pPr>
              <w:rPr>
                <w:rFonts w:ascii="Segoe UI" w:hAnsi="Segoe UI" w:cs="Segoe UI"/>
              </w:rPr>
            </w:pPr>
            <w:r w:rsidRPr="005B5171">
              <w:rPr>
                <w:rFonts w:ascii="Segoe UI" w:hAnsi="Segoe UI" w:cs="Segoe UI"/>
              </w:rPr>
              <w:t>East Gippsland</w:t>
            </w:r>
          </w:p>
        </w:tc>
        <w:tc>
          <w:tcPr>
            <w:tcW w:w="1617"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521,012,249</w:t>
            </w:r>
          </w:p>
        </w:tc>
        <w:tc>
          <w:tcPr>
            <w:tcW w:w="1559"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244,875,757 </w:t>
            </w:r>
          </w:p>
        </w:tc>
        <w:tc>
          <w:tcPr>
            <w:tcW w:w="1701"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897,224,774 </w:t>
            </w:r>
          </w:p>
        </w:tc>
        <w:tc>
          <w:tcPr>
            <w:tcW w:w="192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232</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7" w:type="dxa"/>
            <w:hideMark/>
          </w:tcPr>
          <w:p w:rsidR="005B5171" w:rsidRPr="005B5171" w:rsidRDefault="005B5171" w:rsidP="005B5171">
            <w:pPr>
              <w:rPr>
                <w:rFonts w:ascii="Segoe UI" w:hAnsi="Segoe UI" w:cs="Segoe UI"/>
              </w:rPr>
            </w:pPr>
            <w:r w:rsidRPr="005B5171">
              <w:rPr>
                <w:rFonts w:ascii="Segoe UI" w:hAnsi="Segoe UI" w:cs="Segoe UI"/>
              </w:rPr>
              <w:t>Gippsland</w:t>
            </w:r>
          </w:p>
        </w:tc>
        <w:tc>
          <w:tcPr>
            <w:tcW w:w="1617"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638,676,349</w:t>
            </w:r>
          </w:p>
        </w:tc>
        <w:tc>
          <w:tcPr>
            <w:tcW w:w="1559"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300,177,884 </w:t>
            </w:r>
          </w:p>
        </w:tc>
        <w:tc>
          <w:tcPr>
            <w:tcW w:w="1701"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1,099,851,767 </w:t>
            </w:r>
          </w:p>
        </w:tc>
        <w:tc>
          <w:tcPr>
            <w:tcW w:w="192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206</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7" w:type="dxa"/>
            <w:hideMark/>
          </w:tcPr>
          <w:p w:rsidR="005B5171" w:rsidRPr="005B5171" w:rsidRDefault="005B5171" w:rsidP="005B5171">
            <w:pPr>
              <w:rPr>
                <w:rFonts w:ascii="Segoe UI" w:hAnsi="Segoe UI" w:cs="Segoe UI"/>
              </w:rPr>
            </w:pPr>
            <w:r w:rsidRPr="005B5171">
              <w:rPr>
                <w:rFonts w:ascii="Segoe UI" w:hAnsi="Segoe UI" w:cs="Segoe UI"/>
              </w:rPr>
              <w:t>North East</w:t>
            </w:r>
          </w:p>
        </w:tc>
        <w:tc>
          <w:tcPr>
            <w:tcW w:w="1617"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531,181,572</w:t>
            </w:r>
          </w:p>
        </w:tc>
        <w:tc>
          <w:tcPr>
            <w:tcW w:w="1559"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249,655,339 </w:t>
            </w:r>
          </w:p>
        </w:tc>
        <w:tc>
          <w:tcPr>
            <w:tcW w:w="1701"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914,737,162 </w:t>
            </w:r>
          </w:p>
        </w:tc>
        <w:tc>
          <w:tcPr>
            <w:tcW w:w="192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199</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7" w:type="dxa"/>
            <w:hideMark/>
          </w:tcPr>
          <w:p w:rsidR="005B5171" w:rsidRPr="005B5171" w:rsidRDefault="005B5171" w:rsidP="005B5171">
            <w:pPr>
              <w:rPr>
                <w:rFonts w:ascii="Segoe UI" w:hAnsi="Segoe UI" w:cs="Segoe UI"/>
              </w:rPr>
            </w:pPr>
            <w:r w:rsidRPr="005B5171">
              <w:rPr>
                <w:rFonts w:ascii="Segoe UI" w:hAnsi="Segoe UI" w:cs="Segoe UI"/>
              </w:rPr>
              <w:t>West</w:t>
            </w:r>
          </w:p>
        </w:tc>
        <w:tc>
          <w:tcPr>
            <w:tcW w:w="1617"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319,645,024</w:t>
            </w:r>
          </w:p>
        </w:tc>
        <w:tc>
          <w:tcPr>
            <w:tcW w:w="1559"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150,233,161 </w:t>
            </w:r>
          </w:p>
        </w:tc>
        <w:tc>
          <w:tcPr>
            <w:tcW w:w="1701"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550,454,303 </w:t>
            </w:r>
          </w:p>
        </w:tc>
        <w:tc>
          <w:tcPr>
            <w:tcW w:w="1928" w:type="dxa"/>
            <w:hideMark/>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145</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7" w:type="dxa"/>
            <w:hideMark/>
          </w:tcPr>
          <w:p w:rsidR="005B5171" w:rsidRPr="005B5171" w:rsidRDefault="005B5171" w:rsidP="005B5171">
            <w:pPr>
              <w:rPr>
                <w:rFonts w:ascii="Segoe UI" w:hAnsi="Segoe UI" w:cs="Segoe UI"/>
              </w:rPr>
            </w:pPr>
            <w:r w:rsidRPr="005B5171">
              <w:rPr>
                <w:rFonts w:ascii="Segoe UI" w:hAnsi="Segoe UI" w:cs="Segoe UI"/>
              </w:rPr>
              <w:t>Total</w:t>
            </w:r>
          </w:p>
        </w:tc>
        <w:tc>
          <w:tcPr>
            <w:tcW w:w="1617"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2,342,777,246</w:t>
            </w:r>
          </w:p>
        </w:tc>
        <w:tc>
          <w:tcPr>
            <w:tcW w:w="1559"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1,101,105,306</w:t>
            </w:r>
          </w:p>
        </w:tc>
        <w:tc>
          <w:tcPr>
            <w:tcW w:w="1701"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4,034,449,840</w:t>
            </w:r>
          </w:p>
        </w:tc>
        <w:tc>
          <w:tcPr>
            <w:tcW w:w="1928" w:type="dxa"/>
            <w:hideMark/>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203</w:t>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DELWP </w:t>
      </w:r>
      <w:proofErr w:type="spellStart"/>
      <w:r w:rsidRPr="005B5171">
        <w:rPr>
          <w:rFonts w:ascii="Segoe UI" w:eastAsia="STZhongsong" w:hAnsi="Segoe UI" w:cs="Segoe UI"/>
          <w:bCs/>
          <w:sz w:val="18"/>
          <w:szCs w:val="18"/>
          <w:lang w:eastAsia="ko-KR"/>
        </w:rPr>
        <w:t>Ensym</w:t>
      </w:r>
      <w:proofErr w:type="spellEnd"/>
      <w:r w:rsidRPr="005B5171">
        <w:rPr>
          <w:rFonts w:ascii="Segoe UI" w:eastAsia="STZhongsong" w:hAnsi="Segoe UI" w:cs="Segoe UI"/>
          <w:bCs/>
          <w:sz w:val="18"/>
          <w:szCs w:val="18"/>
          <w:lang w:eastAsia="ko-KR"/>
        </w:rPr>
        <w:t xml:space="preserve"> modelling (Unpublished)</w:t>
      </w:r>
      <w:bookmarkStart w:id="183" w:name="_Ref4586653"/>
    </w:p>
    <w:bookmarkEnd w:id="183"/>
    <w:p w:rsidR="005B5171" w:rsidRPr="005B5171" w:rsidRDefault="005B5171" w:rsidP="005B5171">
      <w:pPr>
        <w:spacing w:before="120" w:after="120" w:line="240" w:lineRule="auto"/>
        <w:jc w:val="both"/>
        <w:rPr>
          <w:rFonts w:ascii="Segoe UI" w:hAnsi="Segoe UI" w:cs="Segoe UI"/>
          <w:lang w:eastAsia="en-AU"/>
        </w:rPr>
      </w:pPr>
    </w:p>
    <w:p w:rsidR="005B5171" w:rsidRPr="005B5171" w:rsidRDefault="005B5171" w:rsidP="005B5171">
      <w:pPr>
        <w:keepNext/>
        <w:keepLines/>
        <w:spacing w:before="40" w:after="40"/>
        <w:outlineLvl w:val="4"/>
        <w:rPr>
          <w:rFonts w:ascii="Segoe UI" w:eastAsia="STZhongsong" w:hAnsi="Segoe UI" w:cs="Majalla UI"/>
          <w:i/>
          <w:color w:val="13345C"/>
        </w:rPr>
      </w:pPr>
      <w:r w:rsidRPr="005B5171">
        <w:rPr>
          <w:rFonts w:ascii="Segoe UI" w:eastAsia="STZhongsong" w:hAnsi="Segoe UI" w:cs="Majalla UI"/>
          <w:i/>
          <w:color w:val="13345C"/>
        </w:rPr>
        <w:t>Valuation of carbon storage</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Carbon stocks can be valued by applying a dollar value to each tonne of carbon dioxide equivalent (CO2e). One tonne of carbon is equal to 3.664 tonnes of CO2e (</w:t>
      </w:r>
      <w:proofErr w:type="spellStart"/>
      <w:r w:rsidRPr="005B5171">
        <w:rPr>
          <w:rFonts w:ascii="Segoe UI" w:hAnsi="Segoe UI" w:cs="Segoe UI"/>
          <w:lang w:eastAsia="en-AU"/>
        </w:rPr>
        <w:t>DoEE</w:t>
      </w:r>
      <w:proofErr w:type="spellEnd"/>
      <w:r w:rsidRPr="005B5171">
        <w:rPr>
          <w:rFonts w:ascii="Segoe UI" w:hAnsi="Segoe UI" w:cs="Segoe UI"/>
          <w:lang w:eastAsia="en-AU"/>
        </w:rPr>
        <w:t xml:space="preserve"> 2017). The values used in this analysis are:</w:t>
      </w:r>
    </w:p>
    <w:p w:rsidR="005B5171" w:rsidRPr="00DB293D" w:rsidRDefault="005B5171" w:rsidP="00DB293D">
      <w:pPr>
        <w:pStyle w:val="ListParagraph"/>
        <w:numPr>
          <w:ilvl w:val="0"/>
          <w:numId w:val="47"/>
        </w:numPr>
        <w:rPr>
          <w:lang w:eastAsia="en-AU"/>
        </w:rPr>
      </w:pPr>
      <w:r w:rsidRPr="00DB293D">
        <w:rPr>
          <w:lang w:eastAsia="en-AU"/>
        </w:rPr>
        <w:t>Lower bound –- $12 per tonne of CO2e</w:t>
      </w:r>
    </w:p>
    <w:p w:rsidR="005B5171" w:rsidRPr="00DB293D" w:rsidRDefault="005B5171" w:rsidP="00DB293D">
      <w:pPr>
        <w:pStyle w:val="ListParagraph"/>
        <w:numPr>
          <w:ilvl w:val="0"/>
          <w:numId w:val="47"/>
        </w:numPr>
        <w:rPr>
          <w:lang w:eastAsia="en-AU"/>
        </w:rPr>
      </w:pPr>
      <w:r w:rsidRPr="00DB293D">
        <w:rPr>
          <w:lang w:eastAsia="en-AU"/>
        </w:rPr>
        <w:t>Central –- $20 per tonne of CO2e</w:t>
      </w:r>
    </w:p>
    <w:p w:rsidR="005B5171" w:rsidRPr="00DB293D" w:rsidRDefault="005B5171" w:rsidP="00DB293D">
      <w:pPr>
        <w:pStyle w:val="ListParagraph"/>
        <w:numPr>
          <w:ilvl w:val="0"/>
          <w:numId w:val="47"/>
        </w:numPr>
        <w:rPr>
          <w:lang w:eastAsia="en-AU"/>
        </w:rPr>
      </w:pPr>
      <w:r w:rsidRPr="00DB293D">
        <w:rPr>
          <w:lang w:eastAsia="en-AU"/>
        </w:rPr>
        <w:t xml:space="preserve">Upper bound –- $59 per tonne of CO2e </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In the absence of a clear carbon price in Australia, these values have been derived from a median of existing international carbon market values. Values were obtained from the World Bank Carbon Pricing Dashboard data, with a central value bounded by upper and lower values to support sensitivity testing.</w:t>
      </w:r>
      <w:r w:rsidRPr="005B5171">
        <w:rPr>
          <w:rFonts w:ascii="Segoe UI" w:hAnsi="Segoe UI" w:cs="Segoe UI"/>
          <w:vertAlign w:val="superscript"/>
        </w:rPr>
        <w:t xml:space="preserve"> </w:t>
      </w:r>
      <w:r w:rsidRPr="005B5171">
        <w:rPr>
          <w:rFonts w:ascii="Segoe UI" w:hAnsi="Segoe UI" w:cs="Segoe UI"/>
          <w:vertAlign w:val="superscript"/>
          <w:lang w:eastAsia="en-AU"/>
        </w:rPr>
        <w:footnoteReference w:id="15"/>
      </w:r>
      <w:r w:rsidRPr="005B5171">
        <w:rPr>
          <w:rFonts w:ascii="Segoe UI" w:hAnsi="Segoe UI" w:cs="Segoe UI"/>
          <w:lang w:eastAsia="en-AU"/>
        </w:rPr>
        <w:t xml:space="preserve"> </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 xml:space="preserve">The estimated total value of carbon stock in forests across Victoria’s RFA regions (for aboveground biomass) is around $81 billion, with a lower and upper bound of around $48 billion and $238 billion. These values represent the total value of carbon stock, rather than an annual value. That is, if all carbon stored in Victorian forests was released, the cost to offset emissions would be $81 billion. These values represent the total value of </w:t>
      </w:r>
      <w:r w:rsidRPr="005B5171">
        <w:rPr>
          <w:rFonts w:ascii="Segoe UI" w:hAnsi="Segoe UI" w:cs="Segoe UI"/>
          <w:i/>
          <w:lang w:eastAsia="en-AU"/>
        </w:rPr>
        <w:t xml:space="preserve">above-ground </w:t>
      </w:r>
      <w:r w:rsidRPr="005B5171">
        <w:rPr>
          <w:rFonts w:ascii="Segoe UI" w:hAnsi="Segoe UI" w:cs="Segoe UI"/>
          <w:lang w:eastAsia="en-AU"/>
        </w:rPr>
        <w:t xml:space="preserve">carbon stock </w:t>
      </w:r>
      <w:r w:rsidRPr="005B5171">
        <w:rPr>
          <w:rFonts w:ascii="Segoe UI" w:hAnsi="Segoe UI" w:cs="Segoe UI"/>
          <w:i/>
          <w:lang w:eastAsia="en-AU"/>
        </w:rPr>
        <w:t>within the public forest boundary</w:t>
      </w:r>
      <w:r w:rsidRPr="005B5171">
        <w:rPr>
          <w:rFonts w:ascii="Segoe UI" w:hAnsi="Segoe UI" w:cs="Segoe UI"/>
          <w:lang w:eastAsia="en-AU"/>
        </w:rPr>
        <w:t xml:space="preserve">. They do not account for carbon stocks in timber removed from forest areas. The value of carbon stock in each RFA region is outlined in </w:t>
      </w:r>
      <w:r w:rsidRPr="005B5171">
        <w:rPr>
          <w:rFonts w:ascii="Segoe UI" w:hAnsi="Segoe UI" w:cs="Segoe UI"/>
          <w:lang w:eastAsia="en-AU"/>
        </w:rPr>
        <w:fldChar w:fldCharType="begin"/>
      </w:r>
      <w:r w:rsidRPr="005B5171">
        <w:rPr>
          <w:rFonts w:ascii="Segoe UI" w:hAnsi="Segoe UI" w:cs="Segoe UI"/>
          <w:lang w:eastAsia="en-AU"/>
        </w:rPr>
        <w:instrText xml:space="preserve"> REF _Ref14621479 \h </w:instrText>
      </w:r>
      <w:r w:rsidRPr="005B5171">
        <w:rPr>
          <w:rFonts w:ascii="Segoe UI" w:hAnsi="Segoe UI" w:cs="Segoe UI"/>
          <w:lang w:eastAsia="en-AU"/>
        </w:rPr>
      </w:r>
      <w:r w:rsidRPr="005B5171">
        <w:rPr>
          <w:rFonts w:ascii="Segoe UI" w:hAnsi="Segoe UI" w:cs="Segoe UI"/>
          <w:lang w:eastAsia="en-AU"/>
        </w:rPr>
        <w:fldChar w:fldCharType="separate"/>
      </w:r>
      <w:r w:rsidRPr="005B5171">
        <w:rPr>
          <w:rFonts w:ascii="Segoe UI" w:hAnsi="Segoe UI" w:cs="Segoe UI"/>
        </w:rPr>
        <w:t xml:space="preserve">Table </w:t>
      </w:r>
      <w:r w:rsidRPr="005B5171">
        <w:rPr>
          <w:rFonts w:ascii="Segoe UI" w:hAnsi="Segoe UI" w:cs="Segoe UI"/>
          <w:noProof/>
        </w:rPr>
        <w:t>101</w:t>
      </w:r>
      <w:r w:rsidRPr="005B5171">
        <w:rPr>
          <w:rFonts w:ascii="Segoe UI" w:hAnsi="Segoe UI" w:cs="Segoe UI"/>
          <w:lang w:eastAsia="en-AU"/>
        </w:rPr>
        <w:fldChar w:fldCharType="end"/>
      </w:r>
      <w:r w:rsidRPr="005B5171">
        <w:rPr>
          <w:rFonts w:ascii="Segoe UI" w:hAnsi="Segoe UI" w:cs="Segoe UI"/>
          <w:lang w:eastAsia="en-AU"/>
        </w:rPr>
        <w:t>. Note that the value of a set quantity of carbon stock is expected to increase over time, as CO2e market prices are projected to increase.</w:t>
      </w:r>
    </w:p>
    <w:p w:rsidR="005B5171" w:rsidRPr="005B5171" w:rsidRDefault="005B5171" w:rsidP="005B5171">
      <w:pPr>
        <w:spacing w:after="200" w:line="240" w:lineRule="auto"/>
        <w:rPr>
          <w:rFonts w:ascii="Segoe UI Semibold" w:eastAsia="Times New Roman" w:hAnsi="Segoe UI Semibold" w:cs="Times New Roman"/>
          <w:color w:val="016295"/>
        </w:rPr>
      </w:pPr>
      <w:bookmarkStart w:id="184" w:name="_Ref14621479"/>
      <w:bookmarkStart w:id="185" w:name="_Toc25660882"/>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101</w:t>
      </w:r>
      <w:r w:rsidRPr="005B5171">
        <w:rPr>
          <w:rFonts w:ascii="Segoe UI Semibold" w:eastAsia="Times New Roman" w:hAnsi="Segoe UI Semibold" w:cs="Times New Roman"/>
          <w:noProof/>
          <w:color w:val="016295"/>
        </w:rPr>
        <w:fldChar w:fldCharType="end"/>
      </w:r>
      <w:bookmarkEnd w:id="184"/>
      <w:r w:rsidRPr="005B5171">
        <w:rPr>
          <w:rFonts w:ascii="Segoe UI Semibold" w:eastAsia="Times New Roman" w:hAnsi="Segoe UI Semibold" w:cs="Times New Roman"/>
          <w:color w:val="016295"/>
        </w:rPr>
        <w:t>: Value of above-ground carbon stocks on public land 2017</w:t>
      </w:r>
      <w:bookmarkEnd w:id="185"/>
    </w:p>
    <w:tbl>
      <w:tblPr>
        <w:tblStyle w:val="xTable1"/>
        <w:tblW w:w="0" w:type="auto"/>
        <w:tblInd w:w="10" w:type="dxa"/>
        <w:tblLook w:val="04E0" w:firstRow="1" w:lastRow="1" w:firstColumn="1" w:lastColumn="0" w:noHBand="0" w:noVBand="1"/>
      </w:tblPr>
      <w:tblGrid>
        <w:gridCol w:w="1709"/>
        <w:gridCol w:w="1701"/>
        <w:gridCol w:w="703"/>
        <w:gridCol w:w="818"/>
        <w:gridCol w:w="713"/>
      </w:tblGrid>
      <w:tr w:rsidR="005B5171" w:rsidRPr="005B5171" w:rsidTr="000B1E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5B5171" w:rsidRPr="005B5171" w:rsidRDefault="005B5171" w:rsidP="005B5171">
            <w:pPr>
              <w:spacing w:before="120" w:after="120" w:line="240" w:lineRule="auto"/>
              <w:jc w:val="both"/>
              <w:rPr>
                <w:rFonts w:ascii="Segoe UI" w:hAnsi="Segoe UI" w:cs="Segoe UI"/>
                <w:b/>
                <w:lang w:eastAsia="en-AU"/>
              </w:rPr>
            </w:pPr>
            <w:r w:rsidRPr="005B5171">
              <w:rPr>
                <w:rFonts w:ascii="Segoe UI" w:hAnsi="Segoe UI" w:cs="Segoe UI"/>
                <w:lang w:eastAsia="en-AU"/>
              </w:rPr>
              <w:t>Region</w:t>
            </w:r>
          </w:p>
        </w:tc>
        <w:tc>
          <w:tcPr>
            <w:tcW w:w="1701" w:type="dxa"/>
          </w:tcPr>
          <w:p w:rsidR="005B5171" w:rsidRPr="005B5171" w:rsidRDefault="005B5171" w:rsidP="005B5171">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B5171">
              <w:rPr>
                <w:rFonts w:ascii="Segoe UI" w:hAnsi="Segoe UI" w:cs="Segoe UI"/>
                <w:lang w:eastAsia="en-AU"/>
              </w:rPr>
              <w:t>Carbon dioxide equivalent (CO2e) (tonnes)</w:t>
            </w:r>
          </w:p>
        </w:tc>
        <w:tc>
          <w:tcPr>
            <w:tcW w:w="0" w:type="dxa"/>
            <w:gridSpan w:val="3"/>
          </w:tcPr>
          <w:p w:rsidR="005B5171" w:rsidRPr="005B5171" w:rsidRDefault="005B5171" w:rsidP="005B5171">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b/>
                <w:lang w:eastAsia="en-AU"/>
              </w:rPr>
            </w:pPr>
            <w:r w:rsidRPr="005B5171">
              <w:rPr>
                <w:rFonts w:ascii="Segoe UI" w:hAnsi="Segoe UI" w:cs="Segoe UI"/>
                <w:lang w:eastAsia="en-AU"/>
              </w:rPr>
              <w:t>$ billion</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spacing w:after="0" w:line="240" w:lineRule="auto"/>
              <w:rPr>
                <w:rFonts w:ascii="Calibri" w:eastAsia="STZhongsong" w:hAnsi="Calibri" w:cs="Segoe UI"/>
                <w:sz w:val="20"/>
                <w:szCs w:val="20"/>
                <w:lang w:eastAsia="ko-KR"/>
              </w:rPr>
            </w:pPr>
          </w:p>
        </w:tc>
        <w:tc>
          <w:tcPr>
            <w:tcW w:w="1701" w:type="dxa"/>
          </w:tcPr>
          <w:p w:rsidR="005B5171" w:rsidRPr="005B5171" w:rsidRDefault="005B5171" w:rsidP="005B5171">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Segoe UI" w:hAnsi="Segoe UI" w:cs="Segoe UI"/>
                <w:i/>
                <w:lang w:eastAsia="en-AU"/>
              </w:rPr>
            </w:pPr>
          </w:p>
        </w:tc>
        <w:tc>
          <w:tcPr>
            <w:tcW w:w="0" w:type="auto"/>
          </w:tcPr>
          <w:p w:rsidR="005B5171" w:rsidRPr="005B5171" w:rsidRDefault="005B5171" w:rsidP="005B5171">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Segoe UI" w:hAnsi="Segoe UI" w:cs="Segoe UI"/>
                <w:i/>
                <w:lang w:eastAsia="en-AU"/>
              </w:rPr>
            </w:pPr>
            <w:r w:rsidRPr="005B5171">
              <w:rPr>
                <w:rFonts w:ascii="Segoe UI" w:hAnsi="Segoe UI" w:cs="Segoe UI"/>
                <w:i/>
                <w:lang w:eastAsia="en-AU"/>
              </w:rPr>
              <w:t>Lower</w:t>
            </w:r>
          </w:p>
        </w:tc>
        <w:tc>
          <w:tcPr>
            <w:tcW w:w="0" w:type="auto"/>
          </w:tcPr>
          <w:p w:rsidR="005B5171" w:rsidRPr="005B5171" w:rsidRDefault="005B5171" w:rsidP="005B5171">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Segoe UI" w:hAnsi="Segoe UI" w:cs="Segoe UI"/>
                <w:i/>
                <w:lang w:eastAsia="en-AU"/>
              </w:rPr>
            </w:pPr>
            <w:r w:rsidRPr="005B5171">
              <w:rPr>
                <w:rFonts w:ascii="Segoe UI" w:hAnsi="Segoe UI" w:cs="Segoe UI"/>
                <w:i/>
                <w:lang w:eastAsia="en-AU"/>
              </w:rPr>
              <w:t>Central</w:t>
            </w:r>
          </w:p>
        </w:tc>
        <w:tc>
          <w:tcPr>
            <w:tcW w:w="0" w:type="auto"/>
          </w:tcPr>
          <w:p w:rsidR="005B5171" w:rsidRPr="005B5171" w:rsidRDefault="005B5171" w:rsidP="005B5171">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Segoe UI" w:hAnsi="Segoe UI" w:cs="Segoe UI"/>
                <w:i/>
                <w:lang w:eastAsia="en-AU"/>
              </w:rPr>
            </w:pPr>
            <w:r w:rsidRPr="005B5171">
              <w:rPr>
                <w:rFonts w:ascii="Segoe UI" w:hAnsi="Segoe UI" w:cs="Segoe UI"/>
                <w:i/>
                <w:lang w:eastAsia="en-AU"/>
              </w:rPr>
              <w:t>Upper</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spacing w:after="0" w:line="240" w:lineRule="auto"/>
              <w:rPr>
                <w:rFonts w:ascii="Segoe UI" w:eastAsia="Calibri" w:hAnsi="Segoe UI" w:cs="Calibri"/>
                <w:szCs w:val="19"/>
                <w:lang w:eastAsia="en-AU"/>
              </w:rPr>
            </w:pPr>
            <w:r w:rsidRPr="005B5171">
              <w:rPr>
                <w:rFonts w:ascii="Segoe UI" w:eastAsia="Calibri" w:hAnsi="Segoe UI" w:cs="Calibri"/>
                <w:szCs w:val="19"/>
                <w:lang w:eastAsia="en-AU"/>
              </w:rPr>
              <w:t>Central Highlands</w:t>
            </w:r>
          </w:p>
        </w:tc>
        <w:tc>
          <w:tcPr>
            <w:tcW w:w="1701"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572,181,835 </w:t>
            </w:r>
          </w:p>
        </w:tc>
        <w:tc>
          <w:tcPr>
            <w:tcW w:w="0" w:type="auto"/>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6.9 </w:t>
            </w:r>
          </w:p>
        </w:tc>
        <w:tc>
          <w:tcPr>
            <w:tcW w:w="0" w:type="auto"/>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11.4 </w:t>
            </w:r>
          </w:p>
        </w:tc>
        <w:tc>
          <w:tcPr>
            <w:tcW w:w="0" w:type="auto"/>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33.8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spacing w:after="0" w:line="240" w:lineRule="auto"/>
              <w:rPr>
                <w:rFonts w:ascii="Segoe UI" w:eastAsia="Calibri" w:hAnsi="Segoe UI" w:cs="Calibri"/>
                <w:szCs w:val="19"/>
                <w:lang w:eastAsia="en-AU"/>
              </w:rPr>
            </w:pPr>
            <w:r w:rsidRPr="005B5171">
              <w:rPr>
                <w:rFonts w:ascii="Segoe UI" w:eastAsia="Calibri" w:hAnsi="Segoe UI" w:cs="Calibri"/>
                <w:szCs w:val="19"/>
                <w:lang w:eastAsia="en-AU"/>
              </w:rPr>
              <w:t>East Gippsland</w:t>
            </w:r>
          </w:p>
        </w:tc>
        <w:tc>
          <w:tcPr>
            <w:tcW w:w="1701"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897,224,774 </w:t>
            </w:r>
          </w:p>
        </w:tc>
        <w:tc>
          <w:tcPr>
            <w:tcW w:w="0" w:type="auto"/>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10.8 </w:t>
            </w:r>
          </w:p>
        </w:tc>
        <w:tc>
          <w:tcPr>
            <w:tcW w:w="0" w:type="auto"/>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17.9 </w:t>
            </w:r>
          </w:p>
        </w:tc>
        <w:tc>
          <w:tcPr>
            <w:tcW w:w="0" w:type="auto"/>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52.9 </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spacing w:after="0" w:line="240" w:lineRule="auto"/>
              <w:rPr>
                <w:rFonts w:ascii="Segoe UI" w:eastAsia="Calibri" w:hAnsi="Segoe UI" w:cs="Calibri"/>
                <w:szCs w:val="19"/>
                <w:lang w:eastAsia="en-AU"/>
              </w:rPr>
            </w:pPr>
            <w:r w:rsidRPr="005B5171">
              <w:rPr>
                <w:rFonts w:ascii="Segoe UI" w:eastAsia="Calibri" w:hAnsi="Segoe UI" w:cs="Calibri"/>
                <w:szCs w:val="19"/>
                <w:lang w:eastAsia="en-AU"/>
              </w:rPr>
              <w:t>Gippsland</w:t>
            </w:r>
          </w:p>
        </w:tc>
        <w:tc>
          <w:tcPr>
            <w:tcW w:w="1701"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1,099,851,767 </w:t>
            </w:r>
          </w:p>
        </w:tc>
        <w:tc>
          <w:tcPr>
            <w:tcW w:w="0" w:type="auto"/>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13.2 </w:t>
            </w:r>
          </w:p>
        </w:tc>
        <w:tc>
          <w:tcPr>
            <w:tcW w:w="0" w:type="auto"/>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22.0 </w:t>
            </w:r>
          </w:p>
        </w:tc>
        <w:tc>
          <w:tcPr>
            <w:tcW w:w="0" w:type="auto"/>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64.9 </w:t>
            </w:r>
          </w:p>
        </w:tc>
      </w:tr>
      <w:tr w:rsidR="005B5171" w:rsidRPr="005B5171" w:rsidTr="000B1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spacing w:after="0" w:line="240" w:lineRule="auto"/>
              <w:rPr>
                <w:rFonts w:ascii="Segoe UI" w:eastAsia="Calibri" w:hAnsi="Segoe UI" w:cs="Calibri"/>
                <w:szCs w:val="19"/>
                <w:lang w:eastAsia="en-AU"/>
              </w:rPr>
            </w:pPr>
            <w:r w:rsidRPr="005B5171">
              <w:rPr>
                <w:rFonts w:ascii="Segoe UI" w:eastAsia="Calibri" w:hAnsi="Segoe UI" w:cs="Calibri"/>
                <w:szCs w:val="19"/>
                <w:lang w:eastAsia="en-AU"/>
              </w:rPr>
              <w:t>North East</w:t>
            </w:r>
          </w:p>
        </w:tc>
        <w:tc>
          <w:tcPr>
            <w:tcW w:w="1701" w:type="dxa"/>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914,737,162 </w:t>
            </w:r>
          </w:p>
        </w:tc>
        <w:tc>
          <w:tcPr>
            <w:tcW w:w="0" w:type="auto"/>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11.0 </w:t>
            </w:r>
          </w:p>
        </w:tc>
        <w:tc>
          <w:tcPr>
            <w:tcW w:w="0" w:type="auto"/>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18.3 </w:t>
            </w:r>
          </w:p>
        </w:tc>
        <w:tc>
          <w:tcPr>
            <w:tcW w:w="0" w:type="auto"/>
          </w:tcPr>
          <w:p w:rsidR="005B5171" w:rsidRPr="005B5171" w:rsidRDefault="005B5171" w:rsidP="005B51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54.0 </w:t>
            </w:r>
          </w:p>
        </w:tc>
      </w:tr>
      <w:tr w:rsidR="005B5171" w:rsidRPr="005B5171" w:rsidTr="000B1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spacing w:after="0" w:line="240" w:lineRule="auto"/>
              <w:rPr>
                <w:rFonts w:ascii="Segoe UI" w:eastAsia="Calibri" w:hAnsi="Segoe UI" w:cs="Calibri"/>
                <w:szCs w:val="19"/>
                <w:lang w:eastAsia="en-AU"/>
              </w:rPr>
            </w:pPr>
            <w:r w:rsidRPr="005B5171">
              <w:rPr>
                <w:rFonts w:ascii="Segoe UI" w:eastAsia="Calibri" w:hAnsi="Segoe UI" w:cs="Calibri"/>
                <w:szCs w:val="19"/>
                <w:lang w:eastAsia="en-AU"/>
              </w:rPr>
              <w:t>West</w:t>
            </w:r>
          </w:p>
        </w:tc>
        <w:tc>
          <w:tcPr>
            <w:tcW w:w="1701" w:type="dxa"/>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550,454,303 </w:t>
            </w:r>
          </w:p>
        </w:tc>
        <w:tc>
          <w:tcPr>
            <w:tcW w:w="0" w:type="auto"/>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6.6 </w:t>
            </w:r>
          </w:p>
        </w:tc>
        <w:tc>
          <w:tcPr>
            <w:tcW w:w="0" w:type="auto"/>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11.0 </w:t>
            </w:r>
          </w:p>
        </w:tc>
        <w:tc>
          <w:tcPr>
            <w:tcW w:w="0" w:type="auto"/>
          </w:tcPr>
          <w:p w:rsidR="005B5171" w:rsidRPr="005B5171" w:rsidRDefault="005B5171" w:rsidP="005B51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 xml:space="preserve"> 32.5 </w:t>
            </w:r>
          </w:p>
        </w:tc>
      </w:tr>
      <w:tr w:rsidR="005B5171" w:rsidRPr="005B5171" w:rsidTr="000B1EF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5171" w:rsidRPr="005B5171" w:rsidRDefault="005B5171" w:rsidP="005B5171">
            <w:pPr>
              <w:spacing w:after="0" w:line="240" w:lineRule="auto"/>
              <w:rPr>
                <w:rFonts w:ascii="Segoe UI" w:eastAsia="Calibri" w:hAnsi="Segoe UI" w:cs="Calibri"/>
                <w:szCs w:val="19"/>
                <w:lang w:eastAsia="en-AU"/>
              </w:rPr>
            </w:pPr>
            <w:r w:rsidRPr="005B5171">
              <w:rPr>
                <w:rFonts w:ascii="Segoe UI" w:eastAsia="Calibri" w:hAnsi="Segoe UI" w:cs="Calibri"/>
                <w:szCs w:val="19"/>
                <w:lang w:eastAsia="en-AU"/>
              </w:rPr>
              <w:t>Total Victoria</w:t>
            </w:r>
          </w:p>
        </w:tc>
        <w:tc>
          <w:tcPr>
            <w:tcW w:w="1701" w:type="dxa"/>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4,034,449,840</w:t>
            </w:r>
          </w:p>
        </w:tc>
        <w:tc>
          <w:tcPr>
            <w:tcW w:w="0" w:type="dxa"/>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48.4</w:t>
            </w:r>
          </w:p>
        </w:tc>
        <w:tc>
          <w:tcPr>
            <w:tcW w:w="0" w:type="dxa"/>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80.7</w:t>
            </w:r>
          </w:p>
        </w:tc>
        <w:tc>
          <w:tcPr>
            <w:tcW w:w="0" w:type="dxa"/>
          </w:tcPr>
          <w:p w:rsidR="005B5171" w:rsidRPr="005B5171" w:rsidRDefault="005B5171" w:rsidP="005B517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5B5171">
              <w:rPr>
                <w:rFonts w:ascii="Segoe UI" w:eastAsia="Calibri" w:hAnsi="Segoe UI" w:cs="Calibri"/>
                <w:szCs w:val="19"/>
                <w:lang w:eastAsia="en-AU"/>
              </w:rPr>
              <w:t>238.0</w:t>
            </w:r>
          </w:p>
        </w:tc>
      </w:tr>
    </w:tbl>
    <w:p w:rsidR="005B5171" w:rsidRPr="005B5171" w:rsidRDefault="005B5171" w:rsidP="005B5171">
      <w:pPr>
        <w:rPr>
          <w:rFonts w:ascii="Segoe UI" w:hAnsi="Segoe UI" w:cs="Segoe UI"/>
        </w:rPr>
      </w:pPr>
    </w:p>
    <w:p w:rsidR="005B5171" w:rsidRPr="005B5171" w:rsidRDefault="005B5171" w:rsidP="005B5171">
      <w:pPr>
        <w:keepNext/>
        <w:spacing w:before="120" w:after="120" w:line="240" w:lineRule="auto"/>
        <w:jc w:val="both"/>
        <w:outlineLvl w:val="3"/>
        <w:rPr>
          <w:rFonts w:ascii="Segoe UI" w:hAnsi="Segoe UI" w:cs="Segoe UI"/>
          <w:i/>
          <w:sz w:val="24"/>
          <w:szCs w:val="24"/>
          <w:lang w:eastAsia="en-AU"/>
        </w:rPr>
      </w:pPr>
      <w:bookmarkStart w:id="186" w:name="_Toc11768349"/>
      <w:r w:rsidRPr="005B5171">
        <w:rPr>
          <w:rFonts w:ascii="Segoe UI" w:hAnsi="Segoe UI" w:cs="Segoe UI"/>
          <w:i/>
          <w:sz w:val="24"/>
          <w:szCs w:val="24"/>
          <w:lang w:eastAsia="en-AU"/>
        </w:rPr>
        <w:t>Air quality</w:t>
      </w:r>
      <w:bookmarkEnd w:id="186"/>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 xml:space="preserve">Forests provide the ecosystem service of air quality regulation, as trees and other native vegetation help filter a number of air pollutants. They intercept and trap airborne particles and absorb other pollutants such as carbon monoxide, sulphur dioxide and nitrogen dioxide.  </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 xml:space="preserve">This ecosystem service provides benefits to people through improved amenity and health outcomes. The links between human exposure to poor air quality and its effects on human health are an increasing focus for research and policy development. There is an increasing body of evidence demonstrating that air pollution is associated with adverse health effects, including impacts on premature mortality and effects on the cardiovascular and respiratory systems (Environment Protection Authority Victoria 2018). </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The quantity of pollutants filtered by forest ecosystems and the value of benefits to people have not been estimated for this study due to the absence of data. While quantity estimates for some pollutants emitted to the atmosphere are available for Victoria,</w:t>
      </w:r>
      <w:r w:rsidRPr="005B5171">
        <w:rPr>
          <w:rFonts w:ascii="Segoe UI" w:hAnsi="Segoe UI" w:cs="Segoe UI"/>
          <w:vertAlign w:val="superscript"/>
          <w:lang w:eastAsia="en-AU"/>
        </w:rPr>
        <w:footnoteReference w:id="16"/>
      </w:r>
      <w:r w:rsidRPr="005B5171">
        <w:rPr>
          <w:rFonts w:ascii="Segoe UI" w:hAnsi="Segoe UI" w:cs="Segoe UI"/>
          <w:lang w:eastAsia="en-AU"/>
        </w:rPr>
        <w:t xml:space="preserve"> data on the quantity of pollutants removed from the atmosphere by forests is not available.  </w:t>
      </w:r>
    </w:p>
    <w:p w:rsidR="005B5171" w:rsidRPr="005B5171" w:rsidRDefault="005B5171" w:rsidP="005B5171">
      <w:pPr>
        <w:jc w:val="both"/>
        <w:rPr>
          <w:rFonts w:ascii="Segoe UI" w:hAnsi="Segoe UI" w:cs="Segoe UI"/>
          <w:lang w:eastAsia="en-AU"/>
        </w:rPr>
      </w:pPr>
      <w:r w:rsidRPr="005B5171">
        <w:rPr>
          <w:rFonts w:ascii="Segoe UI" w:hAnsi="Segoe UI" w:cs="Segoe UI"/>
          <w:lang w:eastAsia="en-AU"/>
        </w:rPr>
        <w:t>Benefits from air quality regulation could be valued based on avoided health impacts, such as the avoided cost of medical treatment. This would require information on the quantity of pollutants filtered by forests and the avoided health impacts associated with this.</w:t>
      </w:r>
    </w:p>
    <w:p w:rsidR="005B5171" w:rsidRPr="005B5171" w:rsidRDefault="005B5171" w:rsidP="005B5171">
      <w:pPr>
        <w:rPr>
          <w:rFonts w:ascii="Segoe UI" w:hAnsi="Segoe UI" w:cs="Segoe UI"/>
          <w:lang w:eastAsia="en-AU"/>
        </w:rPr>
      </w:pPr>
      <w:r w:rsidRPr="005B5171">
        <w:rPr>
          <w:rFonts w:ascii="Segoe UI" w:hAnsi="Segoe UI" w:cs="Segoe UI"/>
          <w:lang w:eastAsia="en-AU"/>
        </w:rPr>
        <w:br w:type="page"/>
      </w:r>
    </w:p>
    <w:p w:rsidR="005B5171" w:rsidRPr="005B5171" w:rsidRDefault="005B5171" w:rsidP="005B5171">
      <w:pPr>
        <w:keepNext/>
        <w:spacing w:before="240" w:after="240" w:line="240" w:lineRule="auto"/>
        <w:outlineLvl w:val="2"/>
        <w:rPr>
          <w:rFonts w:ascii="Segoe UI" w:hAnsi="Segoe UI" w:cs="Segoe UI"/>
          <w:b/>
          <w:color w:val="000000"/>
          <w:sz w:val="24"/>
          <w:szCs w:val="24"/>
        </w:rPr>
      </w:pPr>
      <w:bookmarkStart w:id="187" w:name="_Toc11768352"/>
      <w:bookmarkStart w:id="188" w:name="_Toc30492034"/>
      <w:bookmarkStart w:id="189" w:name="_Toc33002132"/>
      <w:bookmarkStart w:id="190" w:name="_Hlk19260402"/>
      <w:r w:rsidRPr="005B5171">
        <w:rPr>
          <w:rFonts w:ascii="Segoe UI" w:hAnsi="Segoe UI" w:cs="Segoe UI"/>
          <w:b/>
          <w:color w:val="000000"/>
          <w:sz w:val="24"/>
          <w:szCs w:val="24"/>
        </w:rPr>
        <w:t>I</w:t>
      </w:r>
      <w:bookmarkStart w:id="191" w:name="_Hlk13571125"/>
      <w:r w:rsidRPr="005B5171">
        <w:rPr>
          <w:rFonts w:ascii="Segoe UI" w:hAnsi="Segoe UI" w:cs="Segoe UI"/>
          <w:b/>
          <w:color w:val="000000"/>
          <w:sz w:val="24"/>
          <w:szCs w:val="24"/>
        </w:rPr>
        <w:t>ndicator 6.1d: Production and consumption and import/export of wood, wood products and non-wood products</w:t>
      </w:r>
      <w:bookmarkEnd w:id="187"/>
      <w:bookmarkEnd w:id="188"/>
      <w:bookmarkEnd w:id="189"/>
    </w:p>
    <w:p w:rsidR="005B5171" w:rsidRPr="005B5171" w:rsidRDefault="005B5171" w:rsidP="005B5171">
      <w:pPr>
        <w:jc w:val="both"/>
        <w:rPr>
          <w:rFonts w:ascii="Segoe UI" w:hAnsi="Segoe UI" w:cs="Segoe UI"/>
        </w:rPr>
      </w:pPr>
      <w:bookmarkStart w:id="192" w:name="_Hlk19272532"/>
      <w:bookmarkEnd w:id="191"/>
      <w:r w:rsidRPr="005B5171">
        <w:rPr>
          <w:rFonts w:ascii="Segoe UI" w:hAnsi="Segoe UI" w:cs="Segoe UI"/>
        </w:rPr>
        <w:t xml:space="preserve">This indicator measures the ratio of import to export consumption of forest-based products in Victoria and Australia. Consumption trends over time provide a measure of the ability of Australian forest and timber industries, through both domestic production and importation, to meet Australian society’s demand for forest-based products and the industries’ contribution to the economy. This includes a range of wood products, from structural-grade timbers to woodchips, pa per and pa per board. </w:t>
      </w:r>
    </w:p>
    <w:p w:rsidR="005B5171" w:rsidRPr="005B5171" w:rsidRDefault="005B5171" w:rsidP="005B5171">
      <w:pPr>
        <w:jc w:val="both"/>
        <w:rPr>
          <w:rFonts w:ascii="Segoe UI" w:hAnsi="Segoe UI" w:cs="Segoe UI"/>
        </w:rPr>
      </w:pPr>
      <w:r w:rsidRPr="005B5171">
        <w:rPr>
          <w:rFonts w:ascii="Segoe UI" w:hAnsi="Segoe UI" w:cs="Segoe UI"/>
        </w:rPr>
        <w:t>In 2017–18, Australia imported $5.6 billion of wood and wood products – an increase of about 26 per cent compared to 2007–08 (</w:t>
      </w:r>
      <w:r w:rsidRPr="005B5171">
        <w:rPr>
          <w:rFonts w:ascii="Segoe UI" w:hAnsi="Segoe UI" w:cs="Segoe UI"/>
        </w:rPr>
        <w:fldChar w:fldCharType="begin"/>
      </w:r>
      <w:r w:rsidRPr="005B5171">
        <w:rPr>
          <w:rFonts w:ascii="Segoe UI" w:hAnsi="Segoe UI" w:cs="Segoe UI"/>
        </w:rPr>
        <w:instrText xml:space="preserve"> REF _Ref523484299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Figure </w:t>
      </w:r>
      <w:r w:rsidRPr="005B5171">
        <w:rPr>
          <w:rFonts w:ascii="Segoe UI" w:hAnsi="Segoe UI" w:cs="Segoe UI"/>
          <w:noProof/>
        </w:rPr>
        <w:t>55</w:t>
      </w:r>
      <w:r w:rsidRPr="005B5171">
        <w:rPr>
          <w:rFonts w:ascii="Segoe UI" w:hAnsi="Segoe UI" w:cs="Segoe UI"/>
        </w:rPr>
        <w:fldChar w:fldCharType="end"/>
      </w:r>
      <w:r w:rsidRPr="005B5171">
        <w:rPr>
          <w:rFonts w:ascii="Segoe UI" w:hAnsi="Segoe UI" w:cs="Segoe UI"/>
        </w:rPr>
        <w:t xml:space="preserve">). In the same year, Australia exported $3.6 billion of wood and wood products – an increase of 45 per cent compared to 2007–08. On average, the trade deficit for wood and wood products has remained at just under 50 per cent over the last 10 years. </w:t>
      </w:r>
    </w:p>
    <w:p w:rsidR="005B5171" w:rsidRPr="005B5171" w:rsidRDefault="005B5171" w:rsidP="005B5171">
      <w:pPr>
        <w:keepNext/>
        <w:rPr>
          <w:rFonts w:ascii="Segoe UI" w:hAnsi="Segoe UI" w:cs="Segoe UI"/>
        </w:rPr>
      </w:pPr>
      <w:r w:rsidRPr="005B5171">
        <w:rPr>
          <w:rFonts w:ascii="Segoe UI" w:hAnsi="Segoe UI" w:cs="Segoe UI"/>
          <w:noProof/>
        </w:rPr>
        <w:drawing>
          <wp:inline distT="0" distB="0" distL="0" distR="0" wp14:anchorId="217A7CC1" wp14:editId="7310AE35">
            <wp:extent cx="5613991" cy="2923953"/>
            <wp:effectExtent l="0" t="0" r="6350" b="10160"/>
            <wp:docPr id="52" name="Chart 52">
              <a:extLst xmlns:a="http://schemas.openxmlformats.org/drawingml/2006/main">
                <a:ext uri="{FF2B5EF4-FFF2-40B4-BE49-F238E27FC236}">
                  <a16:creationId xmlns:a16="http://schemas.microsoft.com/office/drawing/2014/main" id="{721FF18B-AC2E-47E0-A7ED-8821F5DF6D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B5171" w:rsidRPr="005B5171" w:rsidRDefault="005B5171" w:rsidP="005B5171">
      <w:pPr>
        <w:spacing w:after="200" w:line="240" w:lineRule="auto"/>
        <w:rPr>
          <w:rFonts w:ascii="Segoe UI Semibold" w:eastAsia="Times New Roman" w:hAnsi="Segoe UI Semibold" w:cs="Times New Roman"/>
          <w:color w:val="016295"/>
        </w:rPr>
      </w:pPr>
      <w:bookmarkStart w:id="193" w:name="_Ref523484299"/>
      <w:bookmarkStart w:id="194" w:name="_Toc3364517"/>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55</w:t>
      </w:r>
      <w:r w:rsidRPr="005B5171">
        <w:rPr>
          <w:rFonts w:ascii="Segoe UI Semibold" w:eastAsia="Times New Roman" w:hAnsi="Segoe UI Semibold" w:cs="Times New Roman"/>
          <w:noProof/>
          <w:color w:val="016295"/>
        </w:rPr>
        <w:fldChar w:fldCharType="end"/>
      </w:r>
      <w:bookmarkEnd w:id="193"/>
      <w:r w:rsidRPr="005B5171">
        <w:rPr>
          <w:rFonts w:ascii="Segoe UI Semibold" w:eastAsia="Times New Roman" w:hAnsi="Segoe UI Semibold" w:cs="Times New Roman"/>
          <w:color w:val="016295"/>
        </w:rPr>
        <w:t>: Import/export trend in wood products in Australia, 2007–08 to 2017–1</w:t>
      </w:r>
      <w:bookmarkEnd w:id="194"/>
      <w:r w:rsidRPr="005B5171">
        <w:rPr>
          <w:rFonts w:ascii="Segoe UI Semibold" w:eastAsia="Times New Roman" w:hAnsi="Segoe UI Semibold" w:cs="Times New Roman"/>
          <w:color w:val="016295"/>
        </w:rPr>
        <w:t>8</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Data source: Australian Department of Agriculture and Water Resources ABARES (2019).</w:t>
      </w:r>
    </w:p>
    <w:p w:rsidR="005B5171" w:rsidRPr="005B5171" w:rsidRDefault="005B5171" w:rsidP="005B5171">
      <w:pPr>
        <w:keepNext/>
        <w:spacing w:before="120" w:after="120" w:line="240" w:lineRule="auto"/>
        <w:jc w:val="both"/>
        <w:outlineLvl w:val="3"/>
        <w:rPr>
          <w:rFonts w:ascii="Segoe UI" w:hAnsi="Segoe UI" w:cs="Segoe UI"/>
          <w:i/>
          <w:sz w:val="24"/>
          <w:szCs w:val="24"/>
        </w:rPr>
      </w:pPr>
      <w:r w:rsidRPr="005B5171">
        <w:rPr>
          <w:rFonts w:ascii="Segoe UI" w:hAnsi="Segoe UI" w:cs="Segoe UI"/>
          <w:i/>
          <w:sz w:val="24"/>
          <w:szCs w:val="24"/>
        </w:rPr>
        <w:t>Victorian breakdown</w:t>
      </w:r>
    </w:p>
    <w:p w:rsidR="005B5171" w:rsidRPr="005B5171" w:rsidRDefault="005B5171" w:rsidP="005B5171">
      <w:pPr>
        <w:jc w:val="both"/>
        <w:rPr>
          <w:rFonts w:ascii="Segoe UI" w:hAnsi="Segoe UI" w:cs="Segoe UI"/>
        </w:rPr>
      </w:pPr>
      <w:r w:rsidRPr="005B5171">
        <w:rPr>
          <w:rFonts w:ascii="Segoe UI" w:hAnsi="Segoe UI" w:cs="Segoe UI"/>
        </w:rPr>
        <w:t xml:space="preserve">For Victoria, ABARES provides a breakdown of import/export trade deficit data of secondary wood products (SWP) by value, which provides some indication of trends in trade deficit of wood products. SWP include wooden furniture, prefabricated buildings and printed articles. The printed articles include newspapers, printed books, magazines, journals and other printed paper products. </w:t>
      </w:r>
    </w:p>
    <w:p w:rsidR="005B5171" w:rsidRPr="005B5171" w:rsidRDefault="005B5171" w:rsidP="005B5171">
      <w:pPr>
        <w:jc w:val="both"/>
        <w:rPr>
          <w:rFonts w:ascii="Segoe UI" w:hAnsi="Segoe UI" w:cs="Segoe UI"/>
        </w:rPr>
      </w:pPr>
      <w:r w:rsidRPr="005B5171">
        <w:rPr>
          <w:rFonts w:ascii="Segoe UI" w:hAnsi="Segoe UI" w:cs="Segoe UI"/>
        </w:rPr>
        <w:t>The value of SWP imported to Victoria has increased significantly, by about 46 per cent, from $0.676 billion to $1.001 billion between 2007–08 and 2017–18 (</w:t>
      </w:r>
      <w:r w:rsidRPr="005B5171">
        <w:rPr>
          <w:rFonts w:ascii="Segoe UI" w:hAnsi="Segoe UI" w:cs="Segoe UI"/>
        </w:rPr>
        <w:fldChar w:fldCharType="begin"/>
      </w:r>
      <w:r w:rsidRPr="005B5171">
        <w:rPr>
          <w:rFonts w:ascii="Segoe UI" w:hAnsi="Segoe UI" w:cs="Segoe UI"/>
        </w:rPr>
        <w:instrText xml:space="preserve"> REF _Ref19872287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Figure </w:t>
      </w:r>
      <w:r w:rsidRPr="005B5171">
        <w:rPr>
          <w:rFonts w:ascii="Segoe UI" w:hAnsi="Segoe UI" w:cs="Segoe UI"/>
          <w:noProof/>
        </w:rPr>
        <w:t>56</w:t>
      </w:r>
      <w:r w:rsidRPr="005B5171">
        <w:rPr>
          <w:rFonts w:ascii="Segoe UI" w:hAnsi="Segoe UI" w:cs="Segoe UI"/>
        </w:rPr>
        <w:fldChar w:fldCharType="end"/>
      </w:r>
      <w:r w:rsidRPr="005B5171">
        <w:rPr>
          <w:rFonts w:ascii="Segoe UI" w:hAnsi="Segoe UI" w:cs="Segoe UI"/>
        </w:rPr>
        <w:t xml:space="preserve">). </w:t>
      </w:r>
    </w:p>
    <w:p w:rsidR="005B5171" w:rsidRPr="005B5171" w:rsidRDefault="005B5171" w:rsidP="005B5171">
      <w:pPr>
        <w:jc w:val="both"/>
        <w:rPr>
          <w:rFonts w:ascii="Segoe UI" w:hAnsi="Segoe UI" w:cs="Segoe UI"/>
        </w:rPr>
      </w:pPr>
      <w:r w:rsidRPr="005B5171">
        <w:rPr>
          <w:rFonts w:ascii="Segoe UI" w:hAnsi="Segoe UI" w:cs="Segoe UI"/>
        </w:rPr>
        <w:t xml:space="preserve">By contrast, the value of SWP exported has decreased by 15 per cent, from $0.097 billion to $0.082 billion. The sharp rise in import value is mainly due to imports of wooden furniture (up by 200 per cent) and prefabricated buildings (up by 400 per cent). This has contributed to the widening of the Victorian trade deficit for SWP by about 57 per cent between 2007–08 and 2017–18. </w:t>
      </w:r>
    </w:p>
    <w:p w:rsidR="005B5171" w:rsidRPr="005B5171" w:rsidRDefault="005B5171" w:rsidP="005B5171">
      <w:pPr>
        <w:rPr>
          <w:rFonts w:ascii="Segoe UI" w:hAnsi="Segoe UI" w:cs="Segoe UI"/>
        </w:rPr>
      </w:pPr>
    </w:p>
    <w:p w:rsidR="005B5171" w:rsidRPr="005B5171" w:rsidRDefault="005B5171" w:rsidP="005B5171">
      <w:pPr>
        <w:rPr>
          <w:rFonts w:ascii="Segoe UI" w:hAnsi="Segoe UI" w:cs="Segoe UI"/>
        </w:rPr>
      </w:pPr>
      <w:bookmarkStart w:id="195" w:name="_Ref523484305"/>
      <w:bookmarkStart w:id="196" w:name="_Toc3364518"/>
      <w:bookmarkStart w:id="197" w:name="_Ref19269225"/>
      <w:r w:rsidRPr="005B5171">
        <w:rPr>
          <w:rFonts w:ascii="Segoe UI" w:hAnsi="Segoe UI" w:cs="Segoe UI"/>
          <w:noProof/>
        </w:rPr>
        <w:drawing>
          <wp:inline distT="0" distB="0" distL="0" distR="0" wp14:anchorId="61F82D00" wp14:editId="08E33BAF">
            <wp:extent cx="5582093" cy="3221665"/>
            <wp:effectExtent l="0" t="0" r="0" b="17145"/>
            <wp:docPr id="57" name="Chart 57">
              <a:extLst xmlns:a="http://schemas.openxmlformats.org/drawingml/2006/main">
                <a:ext uri="{FF2B5EF4-FFF2-40B4-BE49-F238E27FC236}">
                  <a16:creationId xmlns:a16="http://schemas.microsoft.com/office/drawing/2014/main" id="{A394F47A-4983-4B0D-96FB-49CF4CD90C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B5171" w:rsidRPr="005B5171" w:rsidRDefault="005B5171" w:rsidP="005B5171">
      <w:pPr>
        <w:spacing w:after="200" w:line="240" w:lineRule="auto"/>
        <w:rPr>
          <w:rFonts w:ascii="Segoe UI Semibold" w:eastAsia="Times New Roman" w:hAnsi="Segoe UI Semibold" w:cs="Times New Roman"/>
          <w:color w:val="016295"/>
        </w:rPr>
      </w:pPr>
      <w:bookmarkStart w:id="198" w:name="_Ref19872287"/>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56</w:t>
      </w:r>
      <w:r w:rsidRPr="005B5171">
        <w:rPr>
          <w:rFonts w:ascii="Segoe UI Semibold" w:eastAsia="Times New Roman" w:hAnsi="Segoe UI Semibold" w:cs="Times New Roman"/>
          <w:noProof/>
          <w:color w:val="016295"/>
        </w:rPr>
        <w:fldChar w:fldCharType="end"/>
      </w:r>
      <w:bookmarkEnd w:id="195"/>
      <w:bookmarkEnd w:id="198"/>
      <w:r w:rsidRPr="005B5171">
        <w:rPr>
          <w:rFonts w:ascii="Segoe UI Semibold" w:eastAsia="Times New Roman" w:hAnsi="Segoe UI Semibold" w:cs="Times New Roman"/>
          <w:color w:val="016295"/>
        </w:rPr>
        <w:t>: Import/export trends in SWP in Victoria, 2007–08 to 2017–1</w:t>
      </w:r>
      <w:bookmarkEnd w:id="196"/>
      <w:r w:rsidRPr="005B5171">
        <w:rPr>
          <w:rFonts w:ascii="Segoe UI Semibold" w:eastAsia="Times New Roman" w:hAnsi="Segoe UI Semibold" w:cs="Times New Roman"/>
          <w:color w:val="016295"/>
        </w:rPr>
        <w:t>8</w:t>
      </w:r>
      <w:bookmarkEnd w:id="197"/>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Data source: Australian Department of Agriculture and Water Resources ABARES (2019).</w:t>
      </w:r>
    </w:p>
    <w:p w:rsidR="005B5171" w:rsidRPr="005B5171" w:rsidRDefault="005B5171" w:rsidP="005B5171">
      <w:pPr>
        <w:rPr>
          <w:rFonts w:ascii="Segoe UI" w:eastAsia="STZhongsong" w:hAnsi="Segoe UI" w:cs="Segoe UI"/>
          <w:bCs/>
          <w:sz w:val="18"/>
          <w:szCs w:val="18"/>
          <w:lang w:eastAsia="ko-KR"/>
        </w:rPr>
      </w:pPr>
      <w:r w:rsidRPr="005B5171">
        <w:rPr>
          <w:rFonts w:ascii="Segoe UI" w:hAnsi="Segoe UI" w:cs="Segoe UI"/>
        </w:rPr>
        <w:br w:type="page"/>
      </w:r>
    </w:p>
    <w:p w:rsidR="005B5171" w:rsidRPr="005B5171" w:rsidRDefault="005B5171" w:rsidP="005B5171">
      <w:pPr>
        <w:keepNext/>
        <w:spacing w:before="240" w:after="240" w:line="240" w:lineRule="auto"/>
        <w:outlineLvl w:val="2"/>
        <w:rPr>
          <w:rFonts w:ascii="Segoe UI" w:hAnsi="Segoe UI" w:cs="Segoe UI"/>
          <w:b/>
          <w:color w:val="000000"/>
          <w:sz w:val="24"/>
          <w:szCs w:val="24"/>
        </w:rPr>
      </w:pPr>
      <w:bookmarkStart w:id="199" w:name="_Toc30492035"/>
      <w:bookmarkStart w:id="200" w:name="_Toc33002133"/>
      <w:bookmarkEnd w:id="190"/>
      <w:bookmarkEnd w:id="192"/>
      <w:r w:rsidRPr="005B5171">
        <w:rPr>
          <w:rFonts w:ascii="Segoe UI" w:hAnsi="Segoe UI" w:cs="Segoe UI"/>
          <w:b/>
          <w:color w:val="000000"/>
          <w:sz w:val="24"/>
          <w:szCs w:val="24"/>
        </w:rPr>
        <w:t>Indicator 6.1e: Degree of recycling of forest products</w:t>
      </w:r>
      <w:bookmarkEnd w:id="199"/>
      <w:bookmarkEnd w:id="200"/>
    </w:p>
    <w:p w:rsidR="005B5171" w:rsidRPr="005B5171" w:rsidRDefault="005B5171" w:rsidP="005B5171">
      <w:pPr>
        <w:jc w:val="both"/>
        <w:rPr>
          <w:rFonts w:ascii="Segoe UI" w:hAnsi="Segoe UI" w:cs="Segoe UI"/>
        </w:rPr>
      </w:pPr>
      <w:r w:rsidRPr="005B5171">
        <w:rPr>
          <w:rFonts w:ascii="Segoe UI" w:hAnsi="Segoe UI" w:cs="Segoe UI"/>
        </w:rPr>
        <w:t>This indicator measures the extent to which recycling or reuse of forest products occurs. As global demand for forest products increase, there is a growing need to meet societal demands for recycling of forest products.</w:t>
      </w:r>
    </w:p>
    <w:p w:rsidR="005B5171" w:rsidRPr="005B5171" w:rsidRDefault="005B5171" w:rsidP="005B5171">
      <w:pPr>
        <w:jc w:val="both"/>
        <w:rPr>
          <w:rFonts w:ascii="Segoe UI" w:hAnsi="Segoe UI" w:cs="Segoe UI"/>
        </w:rPr>
      </w:pPr>
      <w:r w:rsidRPr="005B5171">
        <w:rPr>
          <w:rFonts w:ascii="Segoe UI" w:hAnsi="Segoe UI" w:cs="Segoe UI"/>
        </w:rPr>
        <w:fldChar w:fldCharType="begin"/>
      </w:r>
      <w:r w:rsidRPr="005B5171">
        <w:rPr>
          <w:rFonts w:ascii="Segoe UI" w:hAnsi="Segoe UI" w:cs="Segoe UI"/>
        </w:rPr>
        <w:instrText xml:space="preserve"> REF _Ref523733892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Figure </w:t>
      </w:r>
      <w:r w:rsidRPr="005B5171">
        <w:rPr>
          <w:rFonts w:ascii="Segoe UI" w:hAnsi="Segoe UI" w:cs="Segoe UI"/>
          <w:noProof/>
        </w:rPr>
        <w:t>57</w:t>
      </w:r>
      <w:r w:rsidRPr="005B5171">
        <w:rPr>
          <w:rFonts w:ascii="Segoe UI" w:hAnsi="Segoe UI" w:cs="Segoe UI"/>
        </w:rPr>
        <w:fldChar w:fldCharType="end"/>
      </w:r>
      <w:r w:rsidRPr="005B5171">
        <w:rPr>
          <w:rFonts w:ascii="Segoe UI" w:hAnsi="Segoe UI" w:cs="Segoe UI"/>
        </w:rPr>
        <w:t xml:space="preserve"> shows a 28 per cent increase in recycling of forest-derived products between 2008–09 and 2016–17, with the largest contributor being paper and paperboard. Timber product recycling specifically increased by 15 per cent over the same period (Sustainability Victoria 2017).</w:t>
      </w:r>
    </w:p>
    <w:p w:rsidR="005B5171" w:rsidRPr="005B5171" w:rsidRDefault="005B5171" w:rsidP="005B5171">
      <w:pPr>
        <w:keepNext/>
        <w:rPr>
          <w:rFonts w:ascii="Segoe UI" w:hAnsi="Segoe UI" w:cs="Segoe UI"/>
        </w:rPr>
      </w:pPr>
      <w:r w:rsidRPr="005B5171">
        <w:rPr>
          <w:rFonts w:ascii="Segoe UI" w:hAnsi="Segoe UI" w:cs="Segoe UI"/>
          <w:noProof/>
        </w:rPr>
        <w:drawing>
          <wp:inline distT="0" distB="0" distL="0" distR="0" wp14:anchorId="10756485" wp14:editId="029E01C9">
            <wp:extent cx="5731510" cy="4149510"/>
            <wp:effectExtent l="0" t="0" r="0" b="0"/>
            <wp:docPr id="1602056160" name="Picture 160205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731510" cy="4149510"/>
                    </a:xfrm>
                    <a:prstGeom prst="rect">
                      <a:avLst/>
                    </a:prstGeom>
                    <a:noFill/>
                    <a:ln>
                      <a:noFill/>
                    </a:ln>
                  </pic:spPr>
                </pic:pic>
              </a:graphicData>
            </a:graphic>
          </wp:inline>
        </w:drawing>
      </w:r>
    </w:p>
    <w:p w:rsidR="005B5171" w:rsidRPr="005B5171" w:rsidRDefault="005B5171" w:rsidP="005B5171">
      <w:pPr>
        <w:spacing w:after="200" w:line="240" w:lineRule="auto"/>
        <w:rPr>
          <w:rFonts w:ascii="Segoe UI Semibold" w:eastAsia="Times New Roman" w:hAnsi="Segoe UI Semibold" w:cs="Times New Roman"/>
          <w:color w:val="016295"/>
        </w:rPr>
      </w:pPr>
      <w:bookmarkStart w:id="201" w:name="_Ref523733892"/>
      <w:bookmarkStart w:id="202" w:name="_Toc3364530"/>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57</w:t>
      </w:r>
      <w:r w:rsidRPr="005B5171">
        <w:rPr>
          <w:rFonts w:ascii="Segoe UI Semibold" w:eastAsia="Times New Roman" w:hAnsi="Segoe UI Semibold" w:cs="Times New Roman"/>
          <w:noProof/>
          <w:color w:val="016295"/>
        </w:rPr>
        <w:fldChar w:fldCharType="end"/>
      </w:r>
      <w:bookmarkEnd w:id="201"/>
      <w:r w:rsidRPr="005B5171">
        <w:rPr>
          <w:rFonts w:ascii="Segoe UI Semibold" w:eastAsia="Times New Roman" w:hAnsi="Segoe UI Semibold" w:cs="Times New Roman"/>
          <w:color w:val="016295"/>
        </w:rPr>
        <w:t>: Recycling of various forest-derived products in Victoria, 2008–09 to 2016–17</w:t>
      </w:r>
      <w:bookmarkEnd w:id="202"/>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en-AU"/>
        </w:rPr>
        <w:t>Data source</w:t>
      </w:r>
      <w:r w:rsidRPr="005B5171">
        <w:rPr>
          <w:rFonts w:ascii="Segoe UI" w:eastAsia="STZhongsong" w:hAnsi="Segoe UI" w:cs="Segoe UI"/>
          <w:bCs/>
          <w:sz w:val="18"/>
          <w:szCs w:val="18"/>
          <w:lang w:eastAsia="ko-KR"/>
        </w:rPr>
        <w:t>: Sustainability Victoria (2018).</w:t>
      </w:r>
    </w:p>
    <w:p w:rsidR="005B5171" w:rsidRPr="005B5171" w:rsidRDefault="005B5171" w:rsidP="005B5171">
      <w:pPr>
        <w:jc w:val="both"/>
        <w:rPr>
          <w:rFonts w:ascii="Segoe UI" w:hAnsi="Segoe UI" w:cs="Segoe UI"/>
        </w:rPr>
      </w:pPr>
      <w:r w:rsidRPr="005B5171">
        <w:rPr>
          <w:rFonts w:ascii="Segoe UI" w:hAnsi="Segoe UI" w:cs="Segoe UI"/>
        </w:rPr>
        <w:t>Considering recycling rates as a proportion of total use, the waste recovery rate for forest-derived products has fluctuated, between 42 per cent and 54 per cent for wood and timber (average 49 per cent), and between 66 per cent and 78 per cent for paper and paperboard (average 73 per cent) between 2008–09 and 2016–17 (</w:t>
      </w:r>
      <w:r w:rsidRPr="005B5171">
        <w:rPr>
          <w:rFonts w:ascii="Segoe UI" w:hAnsi="Segoe UI" w:cs="Segoe UI"/>
        </w:rPr>
        <w:fldChar w:fldCharType="begin"/>
      </w:r>
      <w:r w:rsidRPr="005B5171">
        <w:rPr>
          <w:rFonts w:ascii="Segoe UI" w:hAnsi="Segoe UI" w:cs="Segoe UI"/>
        </w:rPr>
        <w:instrText xml:space="preserve"> REF _Ref13571337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Figure </w:t>
      </w:r>
      <w:r w:rsidRPr="005B5171">
        <w:rPr>
          <w:rFonts w:ascii="Segoe UI" w:hAnsi="Segoe UI" w:cs="Segoe UI"/>
          <w:noProof/>
        </w:rPr>
        <w:t>58</w:t>
      </w:r>
      <w:r w:rsidRPr="005B5171">
        <w:rPr>
          <w:rFonts w:ascii="Segoe UI" w:hAnsi="Segoe UI" w:cs="Segoe UI"/>
        </w:rPr>
        <w:fldChar w:fldCharType="end"/>
      </w:r>
      <w:r w:rsidRPr="005B5171">
        <w:rPr>
          <w:rFonts w:ascii="Segoe UI" w:hAnsi="Segoe UI" w:cs="Segoe UI"/>
        </w:rPr>
        <w:t>). Victoria’s rate for paper and paperboard waste recovery is much higher than the national average of 60 per cent (</w:t>
      </w:r>
      <w:proofErr w:type="spellStart"/>
      <w:r w:rsidRPr="005B5171">
        <w:rPr>
          <w:rFonts w:ascii="Segoe UI" w:hAnsi="Segoe UI" w:cs="Segoe UI"/>
        </w:rPr>
        <w:t>DoEE</w:t>
      </w:r>
      <w:proofErr w:type="spellEnd"/>
      <w:r w:rsidRPr="005B5171">
        <w:rPr>
          <w:rFonts w:ascii="Segoe UI" w:hAnsi="Segoe UI" w:cs="Segoe UI"/>
        </w:rPr>
        <w:t xml:space="preserve"> 2016). Data for national waste recovery rates of wood and timber products were not found.</w:t>
      </w:r>
    </w:p>
    <w:p w:rsidR="005B5171" w:rsidRPr="005B5171" w:rsidRDefault="005B5171" w:rsidP="005B5171">
      <w:pPr>
        <w:jc w:val="both"/>
        <w:rPr>
          <w:rFonts w:ascii="Segoe UI" w:hAnsi="Segoe UI" w:cs="Segoe UI"/>
        </w:rPr>
      </w:pPr>
      <w:r w:rsidRPr="005B5171">
        <w:rPr>
          <w:rFonts w:ascii="Segoe UI" w:hAnsi="Segoe UI" w:cs="Segoe UI"/>
        </w:rPr>
        <w:t xml:space="preserve">Sustainability Victoria forecasts that waste recovery rates for paper and paperboard, and organic materials (including wood and timber), will continue to increase, with potential fluctuations, in line with past trends (Sustainability Victoria 2018). It is therefore likely that Victoria will continue to have a high rate of waste recovery. </w:t>
      </w:r>
    </w:p>
    <w:p w:rsidR="005B5171" w:rsidRPr="005B5171" w:rsidRDefault="005B5171" w:rsidP="005B5171">
      <w:pPr>
        <w:keepNext/>
        <w:rPr>
          <w:rFonts w:ascii="Segoe UI" w:hAnsi="Segoe UI" w:cs="Segoe UI"/>
        </w:rPr>
      </w:pPr>
      <w:r w:rsidRPr="005B5171">
        <w:rPr>
          <w:rFonts w:ascii="Segoe UI" w:hAnsi="Segoe UI" w:cs="Segoe UI"/>
          <w:noProof/>
        </w:rPr>
        <w:drawing>
          <wp:inline distT="0" distB="0" distL="0" distR="0" wp14:anchorId="02B729BB" wp14:editId="47C896C5">
            <wp:extent cx="5731510" cy="3743217"/>
            <wp:effectExtent l="0" t="0" r="0" b="0"/>
            <wp:docPr id="1602056161" name="Picture 160205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731510" cy="3743217"/>
                    </a:xfrm>
                    <a:prstGeom prst="rect">
                      <a:avLst/>
                    </a:prstGeom>
                    <a:noFill/>
                    <a:ln>
                      <a:noFill/>
                    </a:ln>
                  </pic:spPr>
                </pic:pic>
              </a:graphicData>
            </a:graphic>
          </wp:inline>
        </w:drawing>
      </w:r>
    </w:p>
    <w:p w:rsidR="005B5171" w:rsidRPr="005B5171" w:rsidRDefault="005B5171" w:rsidP="005B5171">
      <w:pPr>
        <w:spacing w:after="200" w:line="240" w:lineRule="auto"/>
        <w:rPr>
          <w:rFonts w:ascii="Segoe UI Semibold" w:eastAsia="Times New Roman" w:hAnsi="Segoe UI Semibold" w:cs="Times New Roman"/>
          <w:color w:val="016295"/>
        </w:rPr>
      </w:pPr>
      <w:bookmarkStart w:id="203" w:name="_Ref13571337"/>
      <w:r w:rsidRPr="005B5171">
        <w:rPr>
          <w:rFonts w:ascii="Segoe UI Semibold" w:eastAsia="Times New Roman" w:hAnsi="Segoe UI Semibold" w:cs="Times New Roman"/>
          <w:color w:val="016295"/>
        </w:rPr>
        <w:t xml:space="preserve">Figure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Figure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58</w:t>
      </w:r>
      <w:r w:rsidRPr="005B5171">
        <w:rPr>
          <w:rFonts w:ascii="Segoe UI Semibold" w:eastAsia="Times New Roman" w:hAnsi="Segoe UI Semibold" w:cs="Times New Roman"/>
          <w:noProof/>
          <w:color w:val="016295"/>
        </w:rPr>
        <w:fldChar w:fldCharType="end"/>
      </w:r>
      <w:bookmarkEnd w:id="203"/>
      <w:r w:rsidRPr="005B5171">
        <w:rPr>
          <w:rFonts w:ascii="Segoe UI Semibold" w:eastAsia="Times New Roman" w:hAnsi="Segoe UI Semibold" w:cs="Times New Roman"/>
          <w:color w:val="016295"/>
        </w:rPr>
        <w:t xml:space="preserve">: Waste recovery rates for forest-derived products in Victoria, 2008–09 to </w:t>
      </w:r>
      <w:r w:rsidRPr="005B5171">
        <w:rPr>
          <w:rFonts w:ascii="Segoe UI Semibold" w:eastAsia="Times New Roman" w:hAnsi="Segoe UI Semibold" w:cs="Times New Roman"/>
          <w:color w:val="016295"/>
        </w:rPr>
        <w:br/>
        <w:t>2015–16</w:t>
      </w:r>
    </w:p>
    <w:p w:rsidR="005B5171" w:rsidRPr="005B5171" w:rsidRDefault="005B5171" w:rsidP="005B5171">
      <w:pPr>
        <w:spacing w:after="0" w:line="240" w:lineRule="auto"/>
        <w:rPr>
          <w:rFonts w:ascii="Calibri" w:eastAsia="STZhongsong" w:hAnsi="Calibri" w:cs="Segoe UI"/>
          <w:bCs/>
          <w:sz w:val="20"/>
          <w:szCs w:val="20"/>
          <w:lang w:eastAsia="ko-KR"/>
        </w:rPr>
      </w:pPr>
      <w:r w:rsidRPr="005B5171">
        <w:rPr>
          <w:rFonts w:ascii="Calibri" w:eastAsia="STZhongsong" w:hAnsi="Calibri" w:cs="Segoe UI"/>
          <w:bCs/>
          <w:sz w:val="20"/>
          <w:szCs w:val="20"/>
          <w:lang w:eastAsia="ko-KR"/>
        </w:rPr>
        <w:t>Note: Waste recovery is defined as the use of waste as an input material to create new products.</w:t>
      </w:r>
    </w:p>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Data source: </w:t>
      </w:r>
      <w:r w:rsidRPr="005B5171">
        <w:rPr>
          <w:rFonts w:ascii="Calibri" w:eastAsia="STZhongsong" w:hAnsi="Calibri" w:cs="Segoe UI"/>
          <w:bCs/>
          <w:sz w:val="20"/>
          <w:szCs w:val="20"/>
          <w:lang w:eastAsia="en-AU"/>
        </w:rPr>
        <w:t xml:space="preserve">Sustainability Victoria </w:t>
      </w:r>
      <w:r w:rsidRPr="005B5171">
        <w:rPr>
          <w:rFonts w:ascii="Segoe UI" w:eastAsia="STZhongsong" w:hAnsi="Segoe UI" w:cs="Segoe UI"/>
          <w:bCs/>
          <w:sz w:val="18"/>
          <w:szCs w:val="18"/>
          <w:lang w:eastAsia="ko-KR"/>
        </w:rPr>
        <w:t>(</w:t>
      </w:r>
      <w:r w:rsidRPr="005B5171">
        <w:rPr>
          <w:rFonts w:ascii="Calibri" w:eastAsia="STZhongsong" w:hAnsi="Calibri" w:cs="Segoe UI"/>
          <w:bCs/>
          <w:sz w:val="20"/>
          <w:szCs w:val="20"/>
          <w:lang w:eastAsia="en-AU"/>
        </w:rPr>
        <w:t>2018</w:t>
      </w:r>
      <w:r w:rsidRPr="005B5171">
        <w:rPr>
          <w:rFonts w:ascii="Segoe UI" w:eastAsia="STZhongsong" w:hAnsi="Segoe UI" w:cs="Segoe UI"/>
          <w:bCs/>
          <w:sz w:val="18"/>
          <w:szCs w:val="18"/>
          <w:lang w:eastAsia="ko-KR"/>
        </w:rPr>
        <w:t>)</w:t>
      </w:r>
    </w:p>
    <w:p w:rsidR="005B5171" w:rsidRPr="005B5171" w:rsidRDefault="005B5171" w:rsidP="005B5171">
      <w:pPr>
        <w:rPr>
          <w:rFonts w:ascii="Segoe UI" w:eastAsia="STZhongsong" w:hAnsi="Segoe UI" w:cs="Segoe UI"/>
          <w:bCs/>
          <w:sz w:val="18"/>
          <w:szCs w:val="18"/>
          <w:lang w:eastAsia="ko-KR"/>
        </w:rPr>
      </w:pPr>
      <w:r w:rsidRPr="005B5171">
        <w:rPr>
          <w:rFonts w:ascii="Segoe UI" w:hAnsi="Segoe UI" w:cs="Segoe UI"/>
        </w:rPr>
        <w:br w:type="page"/>
      </w:r>
    </w:p>
    <w:p w:rsidR="005B5171" w:rsidRPr="005B5171" w:rsidRDefault="005B5171" w:rsidP="005B5171">
      <w:pPr>
        <w:keepNext/>
        <w:spacing w:before="240" w:after="240" w:line="240" w:lineRule="auto"/>
        <w:outlineLvl w:val="2"/>
        <w:rPr>
          <w:rFonts w:ascii="Segoe UI" w:hAnsi="Segoe UI" w:cs="Segoe UI"/>
          <w:b/>
          <w:color w:val="000000"/>
          <w:sz w:val="24"/>
          <w:szCs w:val="24"/>
        </w:rPr>
      </w:pPr>
      <w:bookmarkStart w:id="204" w:name="_Toc11768353"/>
      <w:bookmarkStart w:id="205" w:name="_Toc30492036"/>
      <w:bookmarkStart w:id="206" w:name="_Toc33002134"/>
      <w:r w:rsidRPr="005B5171">
        <w:rPr>
          <w:rFonts w:ascii="Segoe UI" w:hAnsi="Segoe UI" w:cs="Segoe UI"/>
          <w:b/>
          <w:color w:val="000000"/>
          <w:sz w:val="24"/>
          <w:szCs w:val="24"/>
        </w:rPr>
        <w:t>Indicator 6.2a: Investment and expenditure in forest management</w:t>
      </w:r>
      <w:bookmarkEnd w:id="204"/>
      <w:bookmarkEnd w:id="205"/>
      <w:bookmarkEnd w:id="206"/>
    </w:p>
    <w:p w:rsidR="005B5171" w:rsidRPr="005B5171" w:rsidRDefault="005B5171" w:rsidP="005B5171">
      <w:pPr>
        <w:jc w:val="both"/>
        <w:rPr>
          <w:rFonts w:ascii="Segoe UI" w:hAnsi="Segoe UI" w:cs="Segoe UI"/>
        </w:rPr>
      </w:pPr>
      <w:r w:rsidRPr="005B5171">
        <w:rPr>
          <w:rFonts w:ascii="Segoe UI" w:hAnsi="Segoe UI" w:cs="Segoe UI"/>
        </w:rPr>
        <w:t xml:space="preserve">As described in the VSOFR 2018: </w:t>
      </w:r>
    </w:p>
    <w:p w:rsidR="005B5171" w:rsidRPr="005B5171" w:rsidRDefault="005B5171" w:rsidP="005B5171">
      <w:pPr>
        <w:spacing w:line="250" w:lineRule="auto"/>
        <w:ind w:left="794" w:right="794"/>
        <w:jc w:val="both"/>
        <w:rPr>
          <w:rFonts w:ascii="Segoe UI" w:hAnsi="Segoe UI" w:cs="Segoe UI"/>
          <w:iCs/>
          <w:sz w:val="20"/>
          <w:szCs w:val="14"/>
        </w:rPr>
      </w:pPr>
      <w:r w:rsidRPr="005B5171">
        <w:rPr>
          <w:rFonts w:ascii="Segoe UI" w:hAnsi="Segoe UI" w:cs="Segoe UI"/>
          <w:iCs/>
          <w:sz w:val="20"/>
          <w:szCs w:val="14"/>
        </w:rPr>
        <w:t xml:space="preserve">The agency responsible for managing natural resources, including State forests, in Victoria has changed several times during the reporting period. In April 2013, the Department of Sustainability and Environment merged with the Department of Primary Industries to form the Department of Environment and Primary Industries (DEPI). In January 2015, DELWP, which has broad responsibility for Victoria’s natural environments (including forest management, and fire and emergency management), was created following a government restructure. Together with Parks Victoria and </w:t>
      </w:r>
      <w:proofErr w:type="spellStart"/>
      <w:r w:rsidRPr="005B5171">
        <w:rPr>
          <w:rFonts w:ascii="Segoe UI" w:hAnsi="Segoe UI" w:cs="Segoe UI"/>
          <w:iCs/>
          <w:sz w:val="20"/>
          <w:szCs w:val="14"/>
        </w:rPr>
        <w:t>VicForests</w:t>
      </w:r>
      <w:proofErr w:type="spellEnd"/>
      <w:r w:rsidRPr="005B5171">
        <w:rPr>
          <w:rFonts w:ascii="Segoe UI" w:hAnsi="Segoe UI" w:cs="Segoe UI"/>
          <w:iCs/>
          <w:sz w:val="20"/>
          <w:szCs w:val="14"/>
        </w:rPr>
        <w:t xml:space="preserve">, DELWP is responsible for managing Victoria’s parks and reserves, and State forests. </w:t>
      </w:r>
      <w:proofErr w:type="spellStart"/>
      <w:r w:rsidRPr="005B5171">
        <w:rPr>
          <w:rFonts w:ascii="Segoe UI" w:hAnsi="Segoe UI" w:cs="Segoe UI"/>
          <w:iCs/>
          <w:sz w:val="20"/>
          <w:szCs w:val="14"/>
        </w:rPr>
        <w:t>VicForests</w:t>
      </w:r>
      <w:proofErr w:type="spellEnd"/>
      <w:r w:rsidRPr="005B5171">
        <w:rPr>
          <w:rFonts w:ascii="Segoe UI" w:hAnsi="Segoe UI" w:cs="Segoe UI"/>
          <w:iCs/>
          <w:sz w:val="20"/>
          <w:szCs w:val="14"/>
        </w:rPr>
        <w:t xml:space="preserve"> is a separate government-owned business responsible for the harvest, commercial sale and regrowing of wood from Victoria’s State forests. </w:t>
      </w:r>
    </w:p>
    <w:p w:rsidR="005B5171" w:rsidRPr="005B5171" w:rsidRDefault="005B5171" w:rsidP="005B5171">
      <w:pPr>
        <w:spacing w:line="250" w:lineRule="auto"/>
        <w:ind w:left="794" w:right="794"/>
        <w:jc w:val="both"/>
        <w:rPr>
          <w:rFonts w:ascii="Segoe UI" w:hAnsi="Segoe UI" w:cs="Segoe UI"/>
          <w:iCs/>
          <w:sz w:val="20"/>
          <w:szCs w:val="14"/>
        </w:rPr>
      </w:pPr>
      <w:r w:rsidRPr="005B5171">
        <w:rPr>
          <w:rFonts w:ascii="Segoe UI" w:hAnsi="Segoe UI" w:cs="Segoe UI"/>
          <w:iCs/>
          <w:sz w:val="20"/>
          <w:szCs w:val="14"/>
        </w:rPr>
        <w:t>(Commissioner for Environmental Sustainability Victoria 2019, p. 164)</w:t>
      </w:r>
    </w:p>
    <w:p w:rsidR="005B5171" w:rsidRPr="005B5171" w:rsidRDefault="005B5171" w:rsidP="005B5171">
      <w:pPr>
        <w:jc w:val="both"/>
        <w:rPr>
          <w:rFonts w:ascii="Segoe UI" w:hAnsi="Segoe UI" w:cs="Segoe UI"/>
        </w:rPr>
      </w:pPr>
      <w:r w:rsidRPr="005B5171">
        <w:rPr>
          <w:rFonts w:ascii="Segoe UI" w:hAnsi="Segoe UI" w:cs="Segoe UI"/>
        </w:rPr>
        <w:t xml:space="preserve">As can be seen in </w:t>
      </w:r>
      <w:r w:rsidRPr="005B5171">
        <w:rPr>
          <w:rFonts w:ascii="Segoe UI" w:hAnsi="Segoe UI" w:cs="Segoe UI"/>
        </w:rPr>
        <w:fldChar w:fldCharType="begin"/>
      </w:r>
      <w:r w:rsidRPr="005B5171">
        <w:rPr>
          <w:rFonts w:ascii="Segoe UI" w:hAnsi="Segoe UI" w:cs="Segoe UI"/>
        </w:rPr>
        <w:instrText xml:space="preserve"> REF _Ref19872740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102</w:t>
      </w:r>
      <w:r w:rsidRPr="005B5171">
        <w:rPr>
          <w:rFonts w:ascii="Segoe UI" w:hAnsi="Segoe UI" w:cs="Segoe UI"/>
        </w:rPr>
        <w:fldChar w:fldCharType="end"/>
      </w:r>
      <w:r w:rsidRPr="005B5171">
        <w:rPr>
          <w:rFonts w:ascii="Segoe UI" w:hAnsi="Segoe UI" w:cs="Segoe UI"/>
        </w:rPr>
        <w:t>, Victorian Government expenditure on managing Victoria’s public land has increased over the five reported years. Fire management costs decreased slightly in 2016–17, due largely to a quieter fire season. Conservation and recreation spending have seen significant increases, reflecting increased government priorities in these areas.</w:t>
      </w:r>
    </w:p>
    <w:p w:rsidR="005B5171" w:rsidRPr="005B5171" w:rsidRDefault="005B5171" w:rsidP="005B5171">
      <w:pPr>
        <w:spacing w:after="200" w:line="240" w:lineRule="auto"/>
        <w:rPr>
          <w:rFonts w:ascii="Segoe UI Semibold" w:eastAsia="Times New Roman" w:hAnsi="Segoe UI Semibold" w:cs="Times New Roman"/>
          <w:color w:val="016295"/>
        </w:rPr>
      </w:pPr>
      <w:bookmarkStart w:id="207" w:name="_Ref19872740"/>
      <w:bookmarkStart w:id="208" w:name="_Toc25660883"/>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102</w:t>
      </w:r>
      <w:r w:rsidRPr="005B5171">
        <w:rPr>
          <w:rFonts w:ascii="Segoe UI Semibold" w:eastAsia="Times New Roman" w:hAnsi="Segoe UI Semibold" w:cs="Times New Roman"/>
          <w:noProof/>
          <w:color w:val="016295"/>
        </w:rPr>
        <w:fldChar w:fldCharType="end"/>
      </w:r>
      <w:bookmarkEnd w:id="207"/>
      <w:r w:rsidRPr="005B5171">
        <w:rPr>
          <w:rFonts w:ascii="Segoe UI Semibold" w:eastAsia="Times New Roman" w:hAnsi="Segoe UI Semibold" w:cs="Times New Roman"/>
          <w:color w:val="016295"/>
        </w:rPr>
        <w:t>: Victorian Government expenditure on forest management, 2012–13 to 2016–17</w:t>
      </w:r>
      <w:bookmarkEnd w:id="208"/>
    </w:p>
    <w:tbl>
      <w:tblPr>
        <w:tblW w:w="0" w:type="auto"/>
        <w:jc w:val="center"/>
        <w:tblBorders>
          <w:top w:val="single" w:sz="4" w:space="0" w:color="auto"/>
          <w:bottom w:val="single" w:sz="4" w:space="0" w:color="auto"/>
          <w:insideH w:val="single" w:sz="4" w:space="0" w:color="auto"/>
        </w:tblBorders>
        <w:tblLayout w:type="fixed"/>
        <w:tblCellMar>
          <w:top w:w="85" w:type="dxa"/>
          <w:bottom w:w="85" w:type="dxa"/>
        </w:tblCellMar>
        <w:tblLook w:val="0000" w:firstRow="0" w:lastRow="0" w:firstColumn="0" w:lastColumn="0" w:noHBand="0" w:noVBand="0"/>
      </w:tblPr>
      <w:tblGrid>
        <w:gridCol w:w="2825"/>
        <w:gridCol w:w="1192"/>
        <w:gridCol w:w="1193"/>
        <w:gridCol w:w="1193"/>
        <w:gridCol w:w="1193"/>
        <w:gridCol w:w="1193"/>
      </w:tblGrid>
      <w:tr w:rsidR="005B5171" w:rsidRPr="005B5171" w:rsidTr="000B1EFD">
        <w:trPr>
          <w:trHeight w:val="340"/>
          <w:jc w:val="center"/>
        </w:trPr>
        <w:tc>
          <w:tcPr>
            <w:tcW w:w="282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bottom"/>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Expenditure category</w:t>
            </w:r>
          </w:p>
        </w:tc>
        <w:tc>
          <w:tcPr>
            <w:tcW w:w="5964" w:type="dxa"/>
            <w:gridSpan w:val="5"/>
            <w:tcBorders>
              <w:top w:val="single" w:sz="8" w:space="0" w:color="FFFFFF" w:themeColor="background1"/>
              <w:left w:val="single" w:sz="8" w:space="0" w:color="FFFFFF" w:themeColor="background1"/>
              <w:bottom w:val="single" w:sz="2" w:space="0" w:color="7F7F7F" w:themeColor="text1" w:themeTint="80"/>
              <w:right w:val="single" w:sz="8" w:space="0" w:color="FFFFFF" w:themeColor="background1"/>
            </w:tcBorders>
            <w:shd w:val="clear" w:color="auto" w:fill="E2EFD9" w:themeFill="accent6" w:themeFillTint="33"/>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Expenditure ($ millions)</w:t>
            </w:r>
          </w:p>
        </w:tc>
      </w:tr>
      <w:tr w:rsidR="005B5171" w:rsidRPr="005B5171" w:rsidTr="000B1EFD">
        <w:trPr>
          <w:trHeight w:val="340"/>
          <w:jc w:val="center"/>
        </w:trPr>
        <w:tc>
          <w:tcPr>
            <w:tcW w:w="2825" w:type="dxa"/>
            <w:vMerge/>
            <w:tcBorders>
              <w:top w:val="single" w:sz="8" w:space="0" w:color="FFFFFF" w:themeColor="background1"/>
              <w:left w:val="single" w:sz="8" w:space="0" w:color="FFFFFF" w:themeColor="background1"/>
              <w:bottom w:val="single" w:sz="2" w:space="0" w:color="7F7F7F" w:themeColor="text1" w:themeTint="80"/>
              <w:right w:val="single" w:sz="8" w:space="0" w:color="FFFFFF" w:themeColor="background1"/>
            </w:tcBorders>
            <w:shd w:val="clear" w:color="auto" w:fill="E2EFD9" w:themeFill="accent6" w:themeFillTint="33"/>
            <w:vAlign w:val="center"/>
          </w:tcPr>
          <w:p w:rsidR="005B5171" w:rsidRPr="005B5171" w:rsidRDefault="005B5171" w:rsidP="005B5171">
            <w:pPr>
              <w:spacing w:before="20" w:after="0" w:line="240" w:lineRule="auto"/>
              <w:rPr>
                <w:rFonts w:ascii="Segoe UI" w:eastAsia="Calibri" w:hAnsi="Segoe UI" w:cs="Calibri"/>
                <w:sz w:val="19"/>
                <w:szCs w:val="19"/>
                <w:lang w:eastAsia="en-AU"/>
              </w:rPr>
            </w:pPr>
          </w:p>
        </w:tc>
        <w:tc>
          <w:tcPr>
            <w:tcW w:w="1192" w:type="dxa"/>
            <w:tcBorders>
              <w:top w:val="single" w:sz="2" w:space="0" w:color="7F7F7F" w:themeColor="text1" w:themeTint="80"/>
              <w:left w:val="single" w:sz="8" w:space="0" w:color="FFFFFF" w:themeColor="background1"/>
              <w:bottom w:val="single" w:sz="2" w:space="0" w:color="7F7F7F" w:themeColor="text1" w:themeTint="80"/>
              <w:right w:val="single" w:sz="8" w:space="0" w:color="FFFFFF" w:themeColor="background1"/>
            </w:tcBorders>
            <w:shd w:val="clear" w:color="auto" w:fill="E2EFD9" w:themeFill="accent6" w:themeFillTint="33"/>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2012–13</w:t>
            </w:r>
          </w:p>
        </w:tc>
        <w:tc>
          <w:tcPr>
            <w:tcW w:w="1193" w:type="dxa"/>
            <w:tcBorders>
              <w:top w:val="single" w:sz="2" w:space="0" w:color="7F7F7F" w:themeColor="text1" w:themeTint="80"/>
              <w:left w:val="single" w:sz="8" w:space="0" w:color="FFFFFF" w:themeColor="background1"/>
              <w:bottom w:val="single" w:sz="2" w:space="0" w:color="7F7F7F" w:themeColor="text1" w:themeTint="80"/>
              <w:right w:val="single" w:sz="8" w:space="0" w:color="FFFFFF" w:themeColor="background1"/>
            </w:tcBorders>
            <w:shd w:val="clear" w:color="auto" w:fill="E2EFD9" w:themeFill="accent6" w:themeFillTint="33"/>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2013–14</w:t>
            </w:r>
          </w:p>
        </w:tc>
        <w:tc>
          <w:tcPr>
            <w:tcW w:w="1193" w:type="dxa"/>
            <w:tcBorders>
              <w:top w:val="single" w:sz="2" w:space="0" w:color="7F7F7F" w:themeColor="text1" w:themeTint="80"/>
              <w:left w:val="single" w:sz="8" w:space="0" w:color="FFFFFF" w:themeColor="background1"/>
              <w:bottom w:val="single" w:sz="2" w:space="0" w:color="7F7F7F" w:themeColor="text1" w:themeTint="80"/>
              <w:right w:val="single" w:sz="8" w:space="0" w:color="FFFFFF" w:themeColor="background1"/>
            </w:tcBorders>
            <w:shd w:val="clear" w:color="auto" w:fill="E2EFD9" w:themeFill="accent6" w:themeFillTint="33"/>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2014–15</w:t>
            </w:r>
          </w:p>
        </w:tc>
        <w:tc>
          <w:tcPr>
            <w:tcW w:w="1193" w:type="dxa"/>
            <w:tcBorders>
              <w:top w:val="single" w:sz="2" w:space="0" w:color="7F7F7F" w:themeColor="text1" w:themeTint="80"/>
              <w:left w:val="single" w:sz="8" w:space="0" w:color="FFFFFF" w:themeColor="background1"/>
              <w:bottom w:val="single" w:sz="2" w:space="0" w:color="7F7F7F" w:themeColor="text1" w:themeTint="80"/>
              <w:right w:val="single" w:sz="8" w:space="0" w:color="FFFFFF" w:themeColor="background1"/>
            </w:tcBorders>
            <w:shd w:val="clear" w:color="auto" w:fill="E2EFD9" w:themeFill="accent6" w:themeFillTint="33"/>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2015–16</w:t>
            </w:r>
          </w:p>
        </w:tc>
        <w:tc>
          <w:tcPr>
            <w:tcW w:w="1193" w:type="dxa"/>
            <w:tcBorders>
              <w:top w:val="single" w:sz="2" w:space="0" w:color="7F7F7F" w:themeColor="text1" w:themeTint="80"/>
              <w:left w:val="single" w:sz="8" w:space="0" w:color="FFFFFF" w:themeColor="background1"/>
              <w:bottom w:val="single" w:sz="2" w:space="0" w:color="7F7F7F" w:themeColor="text1" w:themeTint="80"/>
              <w:right w:val="single" w:sz="8" w:space="0" w:color="FFFFFF" w:themeColor="background1"/>
            </w:tcBorders>
            <w:shd w:val="clear" w:color="auto" w:fill="E2EFD9" w:themeFill="accent6" w:themeFillTint="33"/>
            <w:vAlign w:val="bottom"/>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2016–17</w:t>
            </w:r>
          </w:p>
        </w:tc>
      </w:tr>
      <w:tr w:rsidR="005B5171" w:rsidRPr="005B5171" w:rsidTr="000B1EFD">
        <w:trPr>
          <w:trHeight w:val="340"/>
          <w:jc w:val="center"/>
        </w:trPr>
        <w:tc>
          <w:tcPr>
            <w:tcW w:w="2825" w:type="dxa"/>
            <w:tcBorders>
              <w:top w:val="single" w:sz="2" w:space="0" w:color="7F7F7F" w:themeColor="text1" w:themeTint="80"/>
              <w:bottom w:val="nil"/>
            </w:tcBorders>
            <w:shd w:val="clear" w:color="auto" w:fill="FFFFFF" w:themeFill="background1"/>
            <w:vAlign w:val="center"/>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Forest and fire management</w:t>
            </w:r>
          </w:p>
        </w:tc>
        <w:tc>
          <w:tcPr>
            <w:tcW w:w="1192" w:type="dxa"/>
            <w:tcBorders>
              <w:top w:val="single" w:sz="2" w:space="0" w:color="7F7F7F" w:themeColor="text1" w:themeTint="80"/>
              <w:bottom w:val="nil"/>
            </w:tcBorders>
            <w:shd w:val="clear" w:color="auto" w:fill="FFFFFF" w:themeFill="background1"/>
            <w:vAlign w:val="center"/>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383.5</w:t>
            </w:r>
          </w:p>
        </w:tc>
        <w:tc>
          <w:tcPr>
            <w:tcW w:w="1193" w:type="dxa"/>
            <w:tcBorders>
              <w:top w:val="single" w:sz="2" w:space="0" w:color="7F7F7F" w:themeColor="text1" w:themeTint="80"/>
              <w:bottom w:val="nil"/>
            </w:tcBorders>
            <w:shd w:val="clear" w:color="auto" w:fill="FFFFFF" w:themeFill="background1"/>
            <w:vAlign w:val="center"/>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382.3</w:t>
            </w:r>
          </w:p>
        </w:tc>
        <w:tc>
          <w:tcPr>
            <w:tcW w:w="1193" w:type="dxa"/>
            <w:tcBorders>
              <w:top w:val="single" w:sz="2" w:space="0" w:color="7F7F7F" w:themeColor="text1" w:themeTint="80"/>
              <w:bottom w:val="nil"/>
            </w:tcBorders>
            <w:shd w:val="clear" w:color="auto" w:fill="FFFFFF" w:themeFill="background1"/>
            <w:vAlign w:val="center"/>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347.8</w:t>
            </w:r>
          </w:p>
        </w:tc>
        <w:tc>
          <w:tcPr>
            <w:tcW w:w="1193" w:type="dxa"/>
            <w:tcBorders>
              <w:top w:val="single" w:sz="2" w:space="0" w:color="7F7F7F" w:themeColor="text1" w:themeTint="80"/>
              <w:bottom w:val="nil"/>
            </w:tcBorders>
            <w:shd w:val="clear" w:color="auto" w:fill="FFFFFF" w:themeFill="background1"/>
            <w:vAlign w:val="center"/>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396.5</w:t>
            </w:r>
          </w:p>
        </w:tc>
        <w:tc>
          <w:tcPr>
            <w:tcW w:w="1193" w:type="dxa"/>
            <w:tcBorders>
              <w:top w:val="single" w:sz="2" w:space="0" w:color="7F7F7F" w:themeColor="text1" w:themeTint="80"/>
              <w:bottom w:val="nil"/>
            </w:tcBorders>
            <w:shd w:val="clear" w:color="auto" w:fill="FFFFFF" w:themeFill="background1"/>
            <w:vAlign w:val="center"/>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372.3</w:t>
            </w:r>
          </w:p>
        </w:tc>
      </w:tr>
      <w:tr w:rsidR="005B5171" w:rsidRPr="005B5171" w:rsidTr="000B1EFD">
        <w:trPr>
          <w:trHeight w:val="340"/>
          <w:jc w:val="center"/>
        </w:trPr>
        <w:tc>
          <w:tcPr>
            <w:tcW w:w="2825" w:type="dxa"/>
            <w:tcBorders>
              <w:top w:val="nil"/>
              <w:bottom w:val="single" w:sz="2" w:space="0" w:color="7F7F7F" w:themeColor="text1" w:themeTint="80"/>
            </w:tcBorders>
            <w:shd w:val="clear" w:color="auto" w:fill="FFFFFF" w:themeFill="background1"/>
            <w:vAlign w:val="center"/>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Conservation and recreation</w:t>
            </w:r>
          </w:p>
        </w:tc>
        <w:tc>
          <w:tcPr>
            <w:tcW w:w="1192" w:type="dxa"/>
            <w:tcBorders>
              <w:top w:val="nil"/>
              <w:bottom w:val="single" w:sz="2" w:space="0" w:color="7F7F7F" w:themeColor="text1" w:themeTint="80"/>
            </w:tcBorders>
            <w:shd w:val="clear" w:color="auto" w:fill="FFFFFF" w:themeFill="background1"/>
            <w:vAlign w:val="center"/>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199.0</w:t>
            </w:r>
          </w:p>
        </w:tc>
        <w:tc>
          <w:tcPr>
            <w:tcW w:w="1193" w:type="dxa"/>
            <w:tcBorders>
              <w:top w:val="nil"/>
              <w:bottom w:val="single" w:sz="2" w:space="0" w:color="7F7F7F" w:themeColor="text1" w:themeTint="80"/>
            </w:tcBorders>
            <w:shd w:val="clear" w:color="auto" w:fill="FFFFFF" w:themeFill="background1"/>
            <w:vAlign w:val="center"/>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199.3</w:t>
            </w:r>
          </w:p>
        </w:tc>
        <w:tc>
          <w:tcPr>
            <w:tcW w:w="1193" w:type="dxa"/>
            <w:tcBorders>
              <w:top w:val="nil"/>
              <w:bottom w:val="single" w:sz="2" w:space="0" w:color="7F7F7F" w:themeColor="text1" w:themeTint="80"/>
            </w:tcBorders>
            <w:shd w:val="clear" w:color="auto" w:fill="FFFFFF" w:themeFill="background1"/>
            <w:vAlign w:val="center"/>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298.9</w:t>
            </w:r>
          </w:p>
        </w:tc>
        <w:tc>
          <w:tcPr>
            <w:tcW w:w="1193" w:type="dxa"/>
            <w:tcBorders>
              <w:top w:val="nil"/>
              <w:bottom w:val="single" w:sz="2" w:space="0" w:color="7F7F7F" w:themeColor="text1" w:themeTint="80"/>
            </w:tcBorders>
            <w:shd w:val="clear" w:color="auto" w:fill="FFFFFF" w:themeFill="background1"/>
            <w:vAlign w:val="center"/>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328.2</w:t>
            </w:r>
          </w:p>
        </w:tc>
        <w:tc>
          <w:tcPr>
            <w:tcW w:w="1193" w:type="dxa"/>
            <w:tcBorders>
              <w:top w:val="nil"/>
              <w:bottom w:val="single" w:sz="2" w:space="0" w:color="7F7F7F" w:themeColor="text1" w:themeTint="80"/>
            </w:tcBorders>
            <w:shd w:val="clear" w:color="auto" w:fill="FFFFFF" w:themeFill="background1"/>
            <w:vAlign w:val="center"/>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369.8</w:t>
            </w:r>
          </w:p>
        </w:tc>
      </w:tr>
      <w:tr w:rsidR="005B5171" w:rsidRPr="005B5171" w:rsidTr="000B1EFD">
        <w:trPr>
          <w:trHeight w:val="340"/>
          <w:jc w:val="center"/>
        </w:trPr>
        <w:tc>
          <w:tcPr>
            <w:tcW w:w="2825" w:type="dxa"/>
            <w:tcBorders>
              <w:top w:val="single" w:sz="2" w:space="0" w:color="7F7F7F" w:themeColor="text1" w:themeTint="80"/>
            </w:tcBorders>
            <w:shd w:val="clear" w:color="auto" w:fill="FFFFFF" w:themeFill="background1"/>
            <w:vAlign w:val="center"/>
          </w:tcPr>
          <w:p w:rsidR="005B5171" w:rsidRPr="005B5171" w:rsidRDefault="005B5171" w:rsidP="005B5171">
            <w:pPr>
              <w:spacing w:before="20" w:after="0" w:line="240" w:lineRule="auto"/>
              <w:rPr>
                <w:rFonts w:ascii="Segoe UI" w:hAnsi="Segoe UI" w:cs="Calibri"/>
                <w:b/>
              </w:rPr>
            </w:pPr>
            <w:r w:rsidRPr="005B5171">
              <w:rPr>
                <w:rFonts w:ascii="Segoe UI" w:eastAsia="Calibri" w:hAnsi="Segoe UI" w:cs="Calibri"/>
                <w:b/>
                <w:sz w:val="19"/>
                <w:szCs w:val="19"/>
                <w:lang w:eastAsia="en-AU"/>
              </w:rPr>
              <w:t>Total</w:t>
            </w:r>
          </w:p>
        </w:tc>
        <w:tc>
          <w:tcPr>
            <w:tcW w:w="1192" w:type="dxa"/>
            <w:tcBorders>
              <w:top w:val="single" w:sz="2" w:space="0" w:color="7F7F7F" w:themeColor="text1" w:themeTint="80"/>
            </w:tcBorders>
            <w:shd w:val="clear" w:color="auto" w:fill="FFFFFF" w:themeFill="background1"/>
            <w:vAlign w:val="center"/>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582.5</w:t>
            </w:r>
          </w:p>
        </w:tc>
        <w:tc>
          <w:tcPr>
            <w:tcW w:w="1193" w:type="dxa"/>
            <w:tcBorders>
              <w:top w:val="single" w:sz="2" w:space="0" w:color="7F7F7F" w:themeColor="text1" w:themeTint="80"/>
            </w:tcBorders>
            <w:shd w:val="clear" w:color="auto" w:fill="FFFFFF" w:themeFill="background1"/>
            <w:vAlign w:val="center"/>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581.6</w:t>
            </w:r>
          </w:p>
        </w:tc>
        <w:tc>
          <w:tcPr>
            <w:tcW w:w="1193" w:type="dxa"/>
            <w:tcBorders>
              <w:top w:val="single" w:sz="2" w:space="0" w:color="7F7F7F" w:themeColor="text1" w:themeTint="80"/>
            </w:tcBorders>
            <w:shd w:val="clear" w:color="auto" w:fill="FFFFFF" w:themeFill="background1"/>
            <w:vAlign w:val="center"/>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646.7</w:t>
            </w:r>
          </w:p>
        </w:tc>
        <w:tc>
          <w:tcPr>
            <w:tcW w:w="1193" w:type="dxa"/>
            <w:tcBorders>
              <w:top w:val="single" w:sz="2" w:space="0" w:color="7F7F7F" w:themeColor="text1" w:themeTint="80"/>
            </w:tcBorders>
            <w:shd w:val="clear" w:color="auto" w:fill="FFFFFF" w:themeFill="background1"/>
            <w:vAlign w:val="center"/>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724.7</w:t>
            </w:r>
          </w:p>
        </w:tc>
        <w:tc>
          <w:tcPr>
            <w:tcW w:w="1193" w:type="dxa"/>
            <w:tcBorders>
              <w:top w:val="single" w:sz="2" w:space="0" w:color="7F7F7F" w:themeColor="text1" w:themeTint="80"/>
            </w:tcBorders>
            <w:shd w:val="clear" w:color="auto" w:fill="FFFFFF" w:themeFill="background1"/>
            <w:vAlign w:val="center"/>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742.1</w:t>
            </w:r>
          </w:p>
        </w:tc>
      </w:tr>
    </w:tbl>
    <w:p w:rsidR="005B5171" w:rsidRPr="005B5171" w:rsidRDefault="005B5171" w:rsidP="005B5171">
      <w:pPr>
        <w:spacing w:before="80"/>
        <w:rPr>
          <w:rFonts w:ascii="Segoe UI" w:eastAsia="STZhongsong" w:hAnsi="Segoe UI" w:cs="Segoe UI"/>
          <w:bCs/>
          <w:sz w:val="18"/>
          <w:szCs w:val="18"/>
          <w:lang w:eastAsia="ko-KR"/>
        </w:rPr>
      </w:pPr>
      <w:bookmarkStart w:id="209" w:name="_Ref531765597"/>
      <w:r w:rsidRPr="005B5171">
        <w:rPr>
          <w:rFonts w:ascii="Segoe UI" w:eastAsia="STZhongsong" w:hAnsi="Segoe UI" w:cs="Segoe UI"/>
          <w:bCs/>
          <w:sz w:val="18"/>
          <w:szCs w:val="18"/>
          <w:lang w:eastAsia="ko-KR"/>
        </w:rPr>
        <w:t>Data source: Commissioner for Environmental Sustainability Victoria (2019, p. 164)</w:t>
      </w:r>
    </w:p>
    <w:p w:rsidR="005B5171" w:rsidRPr="005B5171" w:rsidRDefault="005B5171" w:rsidP="005B5171">
      <w:pPr>
        <w:jc w:val="both"/>
        <w:rPr>
          <w:rFonts w:ascii="Segoe UI" w:hAnsi="Segoe UI" w:cs="Segoe UI"/>
        </w:rPr>
      </w:pPr>
      <w:r w:rsidRPr="005B5171">
        <w:rPr>
          <w:rFonts w:ascii="Segoe UI" w:hAnsi="Segoe UI" w:cs="Segoe UI"/>
          <w:b/>
        </w:rPr>
        <w:fldChar w:fldCharType="begin"/>
      </w:r>
      <w:r w:rsidRPr="005B5171">
        <w:rPr>
          <w:rFonts w:ascii="Segoe UI" w:hAnsi="Segoe UI" w:cs="Segoe UI"/>
          <w:b/>
        </w:rPr>
        <w:instrText xml:space="preserve"> REF _Ref14622281 \h </w:instrText>
      </w:r>
      <w:r w:rsidRPr="005B5171">
        <w:rPr>
          <w:rFonts w:ascii="Segoe UI" w:hAnsi="Segoe UI" w:cs="Segoe UI"/>
          <w:b/>
        </w:rPr>
      </w:r>
      <w:r w:rsidRPr="005B5171">
        <w:rPr>
          <w:rFonts w:ascii="Segoe UI" w:hAnsi="Segoe UI" w:cs="Segoe UI"/>
          <w:b/>
        </w:rPr>
        <w:fldChar w:fldCharType="separate"/>
      </w:r>
      <w:r w:rsidRPr="005B5171">
        <w:rPr>
          <w:rFonts w:ascii="Segoe UI" w:hAnsi="Segoe UI" w:cs="Segoe UI"/>
        </w:rPr>
        <w:t xml:space="preserve">Table </w:t>
      </w:r>
      <w:r w:rsidRPr="005B5171">
        <w:rPr>
          <w:rFonts w:ascii="Segoe UI" w:hAnsi="Segoe UI" w:cs="Segoe UI"/>
          <w:noProof/>
        </w:rPr>
        <w:t>103</w:t>
      </w:r>
      <w:r w:rsidRPr="005B5171">
        <w:rPr>
          <w:rFonts w:ascii="Segoe UI" w:hAnsi="Segoe UI" w:cs="Segoe UI"/>
          <w:b/>
        </w:rPr>
        <w:fldChar w:fldCharType="end"/>
      </w:r>
      <w:r w:rsidRPr="005B5171">
        <w:rPr>
          <w:rFonts w:ascii="Segoe UI" w:hAnsi="Segoe UI" w:cs="Segoe UI"/>
          <w:b/>
        </w:rPr>
        <w:t xml:space="preserve"> </w:t>
      </w:r>
      <w:r w:rsidRPr="005B5171">
        <w:rPr>
          <w:rFonts w:ascii="Segoe UI" w:hAnsi="Segoe UI" w:cs="Segoe UI"/>
        </w:rPr>
        <w:t xml:space="preserve">shows the forest management expenditure on general maintenance, capital roading and capital bridge works between 2012–13 and 2016–17, as delivered through the public land management authority (DELWP). Total expenditure decreased across the period, particularly on maintenance work. This was due in part to decreasing timber production and available production areas, which reduced the maintenance works required for State forests, and parks and reserves. </w:t>
      </w:r>
    </w:p>
    <w:p w:rsidR="005B5171" w:rsidRPr="005B5171" w:rsidRDefault="005B5171" w:rsidP="005B5171">
      <w:pPr>
        <w:rPr>
          <w:rFonts w:ascii="Segoe UI" w:hAnsi="Segoe UI" w:cs="Segoe UI"/>
        </w:rPr>
      </w:pPr>
      <w:r w:rsidRPr="005B5171">
        <w:rPr>
          <w:rFonts w:ascii="Segoe UI" w:hAnsi="Segoe UI" w:cs="Segoe UI"/>
        </w:rPr>
        <w:br w:type="page"/>
      </w:r>
    </w:p>
    <w:p w:rsidR="005B5171" w:rsidRPr="005B5171" w:rsidRDefault="005B5171" w:rsidP="005B5171">
      <w:pPr>
        <w:spacing w:after="200" w:line="240" w:lineRule="auto"/>
        <w:rPr>
          <w:rFonts w:ascii="Segoe UI Semibold" w:eastAsia="Times New Roman" w:hAnsi="Segoe UI Semibold" w:cs="Times New Roman"/>
          <w:color w:val="016295"/>
        </w:rPr>
      </w:pPr>
      <w:bookmarkStart w:id="210" w:name="_Ref14622281"/>
      <w:bookmarkStart w:id="211" w:name="_Toc25660884"/>
      <w:bookmarkEnd w:id="209"/>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103</w:t>
      </w:r>
      <w:r w:rsidRPr="005B5171">
        <w:rPr>
          <w:rFonts w:ascii="Segoe UI Semibold" w:eastAsia="Times New Roman" w:hAnsi="Segoe UI Semibold" w:cs="Times New Roman"/>
          <w:noProof/>
          <w:color w:val="016295"/>
        </w:rPr>
        <w:fldChar w:fldCharType="end"/>
      </w:r>
      <w:bookmarkEnd w:id="210"/>
      <w:r w:rsidRPr="005B5171">
        <w:rPr>
          <w:rFonts w:ascii="Segoe UI Semibold" w:eastAsia="Times New Roman" w:hAnsi="Segoe UI Semibold" w:cs="Times New Roman"/>
          <w:color w:val="016295"/>
        </w:rPr>
        <w:t>: Victorian Government forest management expenditure on maintenance, capital roading and capital bridges, 2012–13 to 2016–17</w:t>
      </w:r>
      <w:bookmarkEnd w:id="211"/>
    </w:p>
    <w:tbl>
      <w:tblPr>
        <w:tblW w:w="8830" w:type="dxa"/>
        <w:tblLayout w:type="fixed"/>
        <w:tblCellMar>
          <w:top w:w="85" w:type="dxa"/>
          <w:bottom w:w="85" w:type="dxa"/>
        </w:tblCellMar>
        <w:tblLook w:val="04A0" w:firstRow="1" w:lastRow="0" w:firstColumn="1" w:lastColumn="0" w:noHBand="0" w:noVBand="1"/>
      </w:tblPr>
      <w:tblGrid>
        <w:gridCol w:w="2615"/>
        <w:gridCol w:w="1243"/>
        <w:gridCol w:w="1243"/>
        <w:gridCol w:w="1243"/>
        <w:gridCol w:w="1243"/>
        <w:gridCol w:w="1243"/>
      </w:tblGrid>
      <w:tr w:rsidR="005B5171" w:rsidRPr="005B5171" w:rsidTr="000B1EFD">
        <w:trPr>
          <w:trHeight w:val="340"/>
        </w:trPr>
        <w:tc>
          <w:tcPr>
            <w:tcW w:w="2615" w:type="dxa"/>
            <w:vMerge w:val="restart"/>
            <w:shd w:val="clear" w:color="auto" w:fill="E2EFD9" w:themeFill="accent6" w:themeFillTint="33"/>
            <w:noWrap/>
            <w:vAlign w:val="bottom"/>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Expenditure category</w:t>
            </w:r>
          </w:p>
        </w:tc>
        <w:tc>
          <w:tcPr>
            <w:tcW w:w="6215" w:type="dxa"/>
            <w:gridSpan w:val="5"/>
            <w:tcBorders>
              <w:bottom w:val="single" w:sz="2" w:space="0" w:color="7F7F7F" w:themeColor="text1" w:themeTint="80"/>
            </w:tcBorders>
            <w:shd w:val="clear" w:color="auto" w:fill="E2EFD9" w:themeFill="accent6" w:themeFillTint="33"/>
            <w:noWrap/>
            <w:vAlign w:val="bottom"/>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Expenditure ($ millions)</w:t>
            </w:r>
          </w:p>
        </w:tc>
      </w:tr>
      <w:tr w:rsidR="005B5171" w:rsidRPr="005B5171" w:rsidTr="000B1EFD">
        <w:trPr>
          <w:trHeight w:val="340"/>
        </w:trPr>
        <w:tc>
          <w:tcPr>
            <w:tcW w:w="2615" w:type="dxa"/>
            <w:vMerge/>
            <w:tcBorders>
              <w:bottom w:val="single" w:sz="2" w:space="0" w:color="7F7F7F" w:themeColor="text1" w:themeTint="80"/>
            </w:tcBorders>
            <w:shd w:val="clear" w:color="auto" w:fill="E2EFD9" w:themeFill="accent6" w:themeFillTint="33"/>
            <w:noWrap/>
            <w:hideMark/>
          </w:tcPr>
          <w:p w:rsidR="005B5171" w:rsidRPr="005B5171" w:rsidRDefault="005B5171" w:rsidP="005B5171">
            <w:pPr>
              <w:spacing w:before="20" w:after="0" w:line="240" w:lineRule="auto"/>
              <w:rPr>
                <w:rFonts w:ascii="Segoe UI" w:eastAsia="Calibri" w:hAnsi="Segoe UI" w:cs="Calibri"/>
                <w:sz w:val="19"/>
                <w:szCs w:val="19"/>
                <w:lang w:eastAsia="en-AU"/>
              </w:rPr>
            </w:pPr>
          </w:p>
        </w:tc>
        <w:tc>
          <w:tcPr>
            <w:tcW w:w="1243" w:type="dxa"/>
            <w:tcBorders>
              <w:top w:val="single" w:sz="2" w:space="0" w:color="7F7F7F" w:themeColor="text1" w:themeTint="80"/>
              <w:bottom w:val="single" w:sz="2" w:space="0" w:color="7F7F7F" w:themeColor="text1" w:themeTint="80"/>
            </w:tcBorders>
            <w:shd w:val="clear" w:color="auto" w:fill="E2EFD9" w:themeFill="accent6" w:themeFillTint="33"/>
            <w:noWrap/>
            <w:vAlign w:val="bottom"/>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2012–13</w:t>
            </w:r>
          </w:p>
        </w:tc>
        <w:tc>
          <w:tcPr>
            <w:tcW w:w="1243" w:type="dxa"/>
            <w:tcBorders>
              <w:top w:val="single" w:sz="2" w:space="0" w:color="7F7F7F" w:themeColor="text1" w:themeTint="80"/>
              <w:bottom w:val="single" w:sz="2" w:space="0" w:color="7F7F7F" w:themeColor="text1" w:themeTint="80"/>
            </w:tcBorders>
            <w:shd w:val="clear" w:color="auto" w:fill="E2EFD9" w:themeFill="accent6" w:themeFillTint="33"/>
            <w:noWrap/>
            <w:vAlign w:val="bottom"/>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2013–14</w:t>
            </w:r>
          </w:p>
        </w:tc>
        <w:tc>
          <w:tcPr>
            <w:tcW w:w="1243" w:type="dxa"/>
            <w:tcBorders>
              <w:top w:val="single" w:sz="2" w:space="0" w:color="7F7F7F" w:themeColor="text1" w:themeTint="80"/>
              <w:bottom w:val="single" w:sz="2" w:space="0" w:color="7F7F7F" w:themeColor="text1" w:themeTint="80"/>
            </w:tcBorders>
            <w:shd w:val="clear" w:color="auto" w:fill="E2EFD9" w:themeFill="accent6" w:themeFillTint="33"/>
            <w:noWrap/>
            <w:vAlign w:val="bottom"/>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2014–15</w:t>
            </w:r>
          </w:p>
        </w:tc>
        <w:tc>
          <w:tcPr>
            <w:tcW w:w="1243" w:type="dxa"/>
            <w:tcBorders>
              <w:top w:val="single" w:sz="2" w:space="0" w:color="7F7F7F" w:themeColor="text1" w:themeTint="80"/>
              <w:bottom w:val="single" w:sz="2" w:space="0" w:color="7F7F7F" w:themeColor="text1" w:themeTint="80"/>
            </w:tcBorders>
            <w:shd w:val="clear" w:color="auto" w:fill="E2EFD9" w:themeFill="accent6" w:themeFillTint="33"/>
            <w:noWrap/>
            <w:vAlign w:val="bottom"/>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2015–16</w:t>
            </w:r>
          </w:p>
        </w:tc>
        <w:tc>
          <w:tcPr>
            <w:tcW w:w="1243" w:type="dxa"/>
            <w:tcBorders>
              <w:top w:val="single" w:sz="2" w:space="0" w:color="7F7F7F" w:themeColor="text1" w:themeTint="80"/>
              <w:bottom w:val="single" w:sz="2" w:space="0" w:color="7F7F7F" w:themeColor="text1" w:themeTint="80"/>
            </w:tcBorders>
            <w:shd w:val="clear" w:color="auto" w:fill="E2EFD9" w:themeFill="accent6" w:themeFillTint="33"/>
            <w:noWrap/>
            <w:vAlign w:val="bottom"/>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2016–17</w:t>
            </w:r>
          </w:p>
        </w:tc>
      </w:tr>
      <w:tr w:rsidR="005B5171" w:rsidRPr="005B5171" w:rsidTr="000B1EFD">
        <w:trPr>
          <w:trHeight w:val="340"/>
        </w:trPr>
        <w:tc>
          <w:tcPr>
            <w:tcW w:w="2615" w:type="dxa"/>
            <w:tcBorders>
              <w:top w:val="single" w:sz="2" w:space="0" w:color="7F7F7F" w:themeColor="text1" w:themeTint="80"/>
            </w:tcBorders>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Maintenance</w:t>
            </w:r>
          </w:p>
        </w:tc>
        <w:tc>
          <w:tcPr>
            <w:tcW w:w="1243" w:type="dxa"/>
            <w:tcBorders>
              <w:top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 xml:space="preserve">16.0 </w:t>
            </w:r>
          </w:p>
        </w:tc>
        <w:tc>
          <w:tcPr>
            <w:tcW w:w="1243" w:type="dxa"/>
            <w:tcBorders>
              <w:top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 xml:space="preserve">16.8 </w:t>
            </w:r>
          </w:p>
        </w:tc>
        <w:tc>
          <w:tcPr>
            <w:tcW w:w="1243" w:type="dxa"/>
            <w:tcBorders>
              <w:top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 xml:space="preserve">12.6 </w:t>
            </w:r>
          </w:p>
        </w:tc>
        <w:tc>
          <w:tcPr>
            <w:tcW w:w="1243" w:type="dxa"/>
            <w:tcBorders>
              <w:top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 xml:space="preserve">9.0 </w:t>
            </w:r>
          </w:p>
        </w:tc>
        <w:tc>
          <w:tcPr>
            <w:tcW w:w="1243" w:type="dxa"/>
            <w:tcBorders>
              <w:top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 xml:space="preserve">7.9 </w:t>
            </w:r>
          </w:p>
        </w:tc>
      </w:tr>
      <w:tr w:rsidR="005B5171" w:rsidRPr="005B5171" w:rsidTr="000B1EFD">
        <w:trPr>
          <w:trHeight w:val="340"/>
        </w:trPr>
        <w:tc>
          <w:tcPr>
            <w:tcW w:w="2615" w:type="dxa"/>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Capital roading</w:t>
            </w:r>
          </w:p>
        </w:tc>
        <w:tc>
          <w:tcPr>
            <w:tcW w:w="1243"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 xml:space="preserve">0.2 </w:t>
            </w:r>
          </w:p>
        </w:tc>
        <w:tc>
          <w:tcPr>
            <w:tcW w:w="1243"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 xml:space="preserve">0.7 </w:t>
            </w:r>
          </w:p>
        </w:tc>
        <w:tc>
          <w:tcPr>
            <w:tcW w:w="1243"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 xml:space="preserve">0.4 </w:t>
            </w:r>
          </w:p>
        </w:tc>
        <w:tc>
          <w:tcPr>
            <w:tcW w:w="1243"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 xml:space="preserve">0.3 </w:t>
            </w:r>
          </w:p>
        </w:tc>
        <w:tc>
          <w:tcPr>
            <w:tcW w:w="1243" w:type="dxa"/>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 xml:space="preserve">0.2 </w:t>
            </w:r>
          </w:p>
        </w:tc>
      </w:tr>
      <w:tr w:rsidR="005B5171" w:rsidRPr="005B5171" w:rsidTr="000B1EFD">
        <w:trPr>
          <w:trHeight w:val="340"/>
        </w:trPr>
        <w:tc>
          <w:tcPr>
            <w:tcW w:w="2615" w:type="dxa"/>
            <w:tcBorders>
              <w:bottom w:val="single" w:sz="2" w:space="0" w:color="7F7F7F" w:themeColor="text1" w:themeTint="80"/>
            </w:tcBorders>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Capital bridges</w:t>
            </w:r>
          </w:p>
        </w:tc>
        <w:tc>
          <w:tcPr>
            <w:tcW w:w="1243" w:type="dxa"/>
            <w:tcBorders>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 xml:space="preserve">2.2 </w:t>
            </w:r>
          </w:p>
        </w:tc>
        <w:tc>
          <w:tcPr>
            <w:tcW w:w="1243" w:type="dxa"/>
            <w:tcBorders>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 xml:space="preserve">2.4 </w:t>
            </w:r>
          </w:p>
        </w:tc>
        <w:tc>
          <w:tcPr>
            <w:tcW w:w="1243" w:type="dxa"/>
            <w:tcBorders>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 xml:space="preserve">2.6 </w:t>
            </w:r>
          </w:p>
        </w:tc>
        <w:tc>
          <w:tcPr>
            <w:tcW w:w="1243" w:type="dxa"/>
            <w:tcBorders>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 xml:space="preserve">3.2 </w:t>
            </w:r>
          </w:p>
        </w:tc>
        <w:tc>
          <w:tcPr>
            <w:tcW w:w="1243" w:type="dxa"/>
            <w:tcBorders>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 xml:space="preserve">1.4 </w:t>
            </w:r>
          </w:p>
        </w:tc>
      </w:tr>
      <w:tr w:rsidR="005B5171" w:rsidRPr="005B5171" w:rsidTr="000B1EFD">
        <w:trPr>
          <w:trHeight w:val="340"/>
        </w:trPr>
        <w:tc>
          <w:tcPr>
            <w:tcW w:w="2615"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rPr>
                <w:rFonts w:ascii="Segoe UI" w:eastAsia="Calibri" w:hAnsi="Segoe UI" w:cs="Calibri"/>
                <w:b/>
                <w:sz w:val="19"/>
                <w:szCs w:val="19"/>
                <w:lang w:eastAsia="en-AU"/>
              </w:rPr>
            </w:pPr>
            <w:r w:rsidRPr="005B5171">
              <w:rPr>
                <w:rFonts w:ascii="Segoe UI" w:eastAsia="Calibri" w:hAnsi="Segoe UI" w:cs="Calibri"/>
                <w:b/>
                <w:sz w:val="19"/>
                <w:szCs w:val="19"/>
                <w:lang w:eastAsia="en-AU"/>
              </w:rPr>
              <w:t>Total</w:t>
            </w:r>
          </w:p>
        </w:tc>
        <w:tc>
          <w:tcPr>
            <w:tcW w:w="1243"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 xml:space="preserve">18.3 </w:t>
            </w:r>
          </w:p>
        </w:tc>
        <w:tc>
          <w:tcPr>
            <w:tcW w:w="1243"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 xml:space="preserve">19.9 </w:t>
            </w:r>
          </w:p>
        </w:tc>
        <w:tc>
          <w:tcPr>
            <w:tcW w:w="1243"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 xml:space="preserve">15.5 </w:t>
            </w:r>
          </w:p>
        </w:tc>
        <w:tc>
          <w:tcPr>
            <w:tcW w:w="1243"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 xml:space="preserve">12.5 </w:t>
            </w:r>
          </w:p>
        </w:tc>
        <w:tc>
          <w:tcPr>
            <w:tcW w:w="1243"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 xml:space="preserve">9.5 </w:t>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Data source: Commissioner for Environmental Sustainability Victoria (2019, p. 164)</w:t>
      </w:r>
    </w:p>
    <w:p w:rsidR="005B5171" w:rsidRPr="005B5171" w:rsidRDefault="005B5171" w:rsidP="005B5171">
      <w:pPr>
        <w:jc w:val="both"/>
        <w:rPr>
          <w:rFonts w:ascii="Segoe UI" w:hAnsi="Segoe UI" w:cs="Segoe UI"/>
        </w:rPr>
      </w:pPr>
      <w:proofErr w:type="spellStart"/>
      <w:r w:rsidRPr="005B5171">
        <w:rPr>
          <w:rFonts w:ascii="Segoe UI" w:hAnsi="Segoe UI" w:cs="Segoe UI"/>
        </w:rPr>
        <w:t>VicForests</w:t>
      </w:r>
      <w:proofErr w:type="spellEnd"/>
      <w:r w:rsidRPr="005B5171">
        <w:rPr>
          <w:rFonts w:ascii="Segoe UI" w:hAnsi="Segoe UI" w:cs="Segoe UI"/>
        </w:rPr>
        <w:t>’ expenditure in production has decreased 28 per cent since 2011 (</w:t>
      </w:r>
      <w:r w:rsidRPr="005B5171">
        <w:rPr>
          <w:rFonts w:ascii="Segoe UI" w:hAnsi="Segoe UI" w:cs="Segoe UI"/>
        </w:rPr>
        <w:fldChar w:fldCharType="begin"/>
      </w:r>
      <w:r w:rsidRPr="005B5171">
        <w:rPr>
          <w:rFonts w:ascii="Segoe UI" w:hAnsi="Segoe UI" w:cs="Segoe UI"/>
        </w:rPr>
        <w:instrText xml:space="preserve"> REF _Ref19278408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104</w:t>
      </w:r>
      <w:r w:rsidRPr="005B5171">
        <w:rPr>
          <w:rFonts w:ascii="Segoe UI" w:hAnsi="Segoe UI" w:cs="Segoe UI"/>
        </w:rPr>
        <w:fldChar w:fldCharType="end"/>
      </w:r>
      <w:r w:rsidRPr="005B5171">
        <w:rPr>
          <w:rFonts w:ascii="Segoe UI" w:hAnsi="Segoe UI" w:cs="Segoe UI"/>
        </w:rPr>
        <w:t>). Production expenses comprise costs primarily incurred with external contractors, contracted to harvest standing timber and haul the resultant logs to the point-of-sale, normally the buyer’s facility.</w:t>
      </w:r>
    </w:p>
    <w:p w:rsidR="005B5171" w:rsidRPr="005B5171" w:rsidRDefault="005B5171" w:rsidP="005B5171">
      <w:pPr>
        <w:jc w:val="both"/>
        <w:rPr>
          <w:rFonts w:ascii="Segoe UI" w:hAnsi="Segoe UI" w:cs="Segoe UI"/>
        </w:rPr>
      </w:pPr>
      <w:r w:rsidRPr="005B5171">
        <w:rPr>
          <w:rFonts w:ascii="Segoe UI" w:hAnsi="Segoe UI" w:cs="Segoe UI"/>
        </w:rPr>
        <w:t xml:space="preserve">Conversely, however, employee benefits, primarily staff salaries and associated benefits and expenses, remained relatively stable at around $14–15 million per year. </w:t>
      </w:r>
    </w:p>
    <w:p w:rsidR="005B5171" w:rsidRPr="005B5171" w:rsidRDefault="005B5171" w:rsidP="005B5171">
      <w:pPr>
        <w:jc w:val="both"/>
        <w:rPr>
          <w:rFonts w:ascii="Segoe UI" w:hAnsi="Segoe UI" w:cs="Segoe UI"/>
        </w:rPr>
      </w:pPr>
      <w:proofErr w:type="spellStart"/>
      <w:r w:rsidRPr="005B5171">
        <w:rPr>
          <w:rFonts w:ascii="Segoe UI" w:hAnsi="Segoe UI" w:cs="Segoe UI"/>
        </w:rPr>
        <w:t>VicForests</w:t>
      </w:r>
      <w:proofErr w:type="spellEnd"/>
      <w:r w:rsidRPr="005B5171">
        <w:rPr>
          <w:rFonts w:ascii="Segoe UI" w:hAnsi="Segoe UI" w:cs="Segoe UI"/>
        </w:rPr>
        <w:t xml:space="preserve">’ roading expenses, which have remained relatively stable since 2012, relate to costs </w:t>
      </w:r>
      <w:proofErr w:type="spellStart"/>
      <w:r w:rsidRPr="005B5171">
        <w:rPr>
          <w:rFonts w:ascii="Segoe UI" w:hAnsi="Segoe UI" w:cs="Segoe UI"/>
        </w:rPr>
        <w:t>VicForests</w:t>
      </w:r>
      <w:proofErr w:type="spellEnd"/>
      <w:r w:rsidRPr="005B5171">
        <w:rPr>
          <w:rFonts w:ascii="Segoe UI" w:hAnsi="Segoe UI" w:cs="Segoe UI"/>
        </w:rPr>
        <w:t xml:space="preserve"> pays to use the network for the haulage of timber. ‘Other operating expenses’ generally represent day-to-day running costs incurred in normal operations and are recognised as an expense in the reporting period in which they are incurred.</w:t>
      </w:r>
    </w:p>
    <w:p w:rsidR="005B5171" w:rsidRPr="005B5171" w:rsidRDefault="005B5171" w:rsidP="005B5171">
      <w:pPr>
        <w:spacing w:after="200" w:line="240" w:lineRule="auto"/>
        <w:rPr>
          <w:rFonts w:ascii="Segoe UI Semibold" w:eastAsia="Times New Roman" w:hAnsi="Segoe UI Semibold" w:cs="Times New Roman"/>
          <w:color w:val="016295"/>
        </w:rPr>
      </w:pPr>
      <w:bookmarkStart w:id="212" w:name="_Ref19278408"/>
      <w:bookmarkStart w:id="213" w:name="_Ref19278402"/>
      <w:bookmarkStart w:id="214" w:name="_Toc25660885"/>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104</w:t>
      </w:r>
      <w:r w:rsidRPr="005B5171">
        <w:rPr>
          <w:rFonts w:ascii="Segoe UI Semibold" w:eastAsia="Times New Roman" w:hAnsi="Segoe UI Semibold" w:cs="Times New Roman"/>
          <w:noProof/>
          <w:color w:val="016295"/>
        </w:rPr>
        <w:fldChar w:fldCharType="end"/>
      </w:r>
      <w:bookmarkEnd w:id="212"/>
      <w:r w:rsidRPr="005B5171">
        <w:rPr>
          <w:rFonts w:ascii="Segoe UI Semibold" w:eastAsia="Times New Roman" w:hAnsi="Segoe UI Semibold" w:cs="Times New Roman"/>
          <w:color w:val="016295"/>
        </w:rPr>
        <w:t xml:space="preserve">: Summary of </w:t>
      </w:r>
      <w:proofErr w:type="spellStart"/>
      <w:r w:rsidRPr="005B5171">
        <w:rPr>
          <w:rFonts w:ascii="Segoe UI Semibold" w:eastAsia="Times New Roman" w:hAnsi="Segoe UI Semibold" w:cs="Times New Roman"/>
          <w:color w:val="016295"/>
        </w:rPr>
        <w:t>VicForests</w:t>
      </w:r>
      <w:proofErr w:type="spellEnd"/>
      <w:r w:rsidRPr="005B5171">
        <w:rPr>
          <w:rFonts w:ascii="Segoe UI Semibold" w:eastAsia="Times New Roman" w:hAnsi="Segoe UI Semibold" w:cs="Times New Roman"/>
          <w:color w:val="016295"/>
        </w:rPr>
        <w:t xml:space="preserve"> expenses incurred in the delivery of services</w:t>
      </w:r>
      <w:bookmarkEnd w:id="213"/>
      <w:bookmarkEnd w:id="214"/>
    </w:p>
    <w:tbl>
      <w:tblPr>
        <w:tblW w:w="9191" w:type="dxa"/>
        <w:tblLayout w:type="fixed"/>
        <w:tblCellMar>
          <w:top w:w="85" w:type="dxa"/>
          <w:bottom w:w="85" w:type="dxa"/>
        </w:tblCellMar>
        <w:tblLook w:val="04A0" w:firstRow="1" w:lastRow="0" w:firstColumn="1" w:lastColumn="0" w:noHBand="0" w:noVBand="1"/>
      </w:tblPr>
      <w:tblGrid>
        <w:gridCol w:w="2047"/>
        <w:gridCol w:w="1062"/>
        <w:gridCol w:w="866"/>
        <w:gridCol w:w="867"/>
        <w:gridCol w:w="869"/>
        <w:gridCol w:w="869"/>
        <w:gridCol w:w="869"/>
        <w:gridCol w:w="869"/>
        <w:gridCol w:w="873"/>
      </w:tblGrid>
      <w:tr w:rsidR="005B5171" w:rsidRPr="005B5171" w:rsidTr="000B1EFD">
        <w:tc>
          <w:tcPr>
            <w:tcW w:w="2047" w:type="dxa"/>
            <w:vMerge w:val="restart"/>
            <w:shd w:val="clear" w:color="auto" w:fill="E2EFD9" w:themeFill="accent6" w:themeFillTint="33"/>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Expense Type (‘000)</w:t>
            </w:r>
          </w:p>
        </w:tc>
        <w:tc>
          <w:tcPr>
            <w:tcW w:w="7144" w:type="dxa"/>
            <w:gridSpan w:val="8"/>
            <w:tcBorders>
              <w:bottom w:val="single" w:sz="2" w:space="0" w:color="7F7F7F" w:themeColor="text1" w:themeTint="80"/>
            </w:tcBorders>
            <w:shd w:val="clear" w:color="auto" w:fill="E2EFD9" w:themeFill="accent6" w:themeFillTint="33"/>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Year</w:t>
            </w:r>
          </w:p>
        </w:tc>
      </w:tr>
      <w:tr w:rsidR="005B5171" w:rsidRPr="005B5171" w:rsidTr="000B1EFD">
        <w:tc>
          <w:tcPr>
            <w:tcW w:w="2047" w:type="dxa"/>
            <w:vMerge/>
            <w:tcBorders>
              <w:bottom w:val="single" w:sz="2" w:space="0" w:color="7F7F7F" w:themeColor="text1" w:themeTint="80"/>
            </w:tcBorders>
            <w:shd w:val="clear" w:color="auto" w:fill="E2EFD9" w:themeFill="accent6" w:themeFillTint="33"/>
          </w:tcPr>
          <w:p w:rsidR="005B5171" w:rsidRPr="005B5171" w:rsidRDefault="005B5171" w:rsidP="005B5171">
            <w:pPr>
              <w:rPr>
                <w:rFonts w:ascii="Segoe UI" w:hAnsi="Segoe UI" w:cs="Segoe UI"/>
              </w:rPr>
            </w:pPr>
          </w:p>
        </w:tc>
        <w:tc>
          <w:tcPr>
            <w:tcW w:w="1062" w:type="dxa"/>
            <w:tcBorders>
              <w:top w:val="single" w:sz="2" w:space="0" w:color="7F7F7F" w:themeColor="text1" w:themeTint="80"/>
              <w:bottom w:val="single" w:sz="2" w:space="0" w:color="7F7F7F" w:themeColor="text1" w:themeTint="80"/>
            </w:tcBorders>
            <w:shd w:val="clear" w:color="auto" w:fill="E2EFD9" w:themeFill="accent6" w:themeFillTint="33"/>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2011</w:t>
            </w:r>
          </w:p>
        </w:tc>
        <w:tc>
          <w:tcPr>
            <w:tcW w:w="866" w:type="dxa"/>
            <w:tcBorders>
              <w:top w:val="single" w:sz="2" w:space="0" w:color="7F7F7F" w:themeColor="text1" w:themeTint="80"/>
              <w:bottom w:val="single" w:sz="2" w:space="0" w:color="7F7F7F" w:themeColor="text1" w:themeTint="80"/>
            </w:tcBorders>
            <w:shd w:val="clear" w:color="auto" w:fill="E2EFD9" w:themeFill="accent6" w:themeFillTint="33"/>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2012</w:t>
            </w:r>
          </w:p>
        </w:tc>
        <w:tc>
          <w:tcPr>
            <w:tcW w:w="867" w:type="dxa"/>
            <w:tcBorders>
              <w:top w:val="single" w:sz="2" w:space="0" w:color="7F7F7F" w:themeColor="text1" w:themeTint="80"/>
              <w:bottom w:val="single" w:sz="2" w:space="0" w:color="7F7F7F" w:themeColor="text1" w:themeTint="80"/>
            </w:tcBorders>
            <w:shd w:val="clear" w:color="auto" w:fill="E2EFD9" w:themeFill="accent6" w:themeFillTint="33"/>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2013</w:t>
            </w:r>
          </w:p>
        </w:tc>
        <w:tc>
          <w:tcPr>
            <w:tcW w:w="869" w:type="dxa"/>
            <w:tcBorders>
              <w:top w:val="single" w:sz="2" w:space="0" w:color="7F7F7F" w:themeColor="text1" w:themeTint="80"/>
              <w:bottom w:val="single" w:sz="2" w:space="0" w:color="7F7F7F" w:themeColor="text1" w:themeTint="80"/>
            </w:tcBorders>
            <w:shd w:val="clear" w:color="auto" w:fill="E2EFD9" w:themeFill="accent6" w:themeFillTint="33"/>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2014</w:t>
            </w:r>
          </w:p>
        </w:tc>
        <w:tc>
          <w:tcPr>
            <w:tcW w:w="869" w:type="dxa"/>
            <w:tcBorders>
              <w:top w:val="single" w:sz="2" w:space="0" w:color="7F7F7F" w:themeColor="text1" w:themeTint="80"/>
              <w:bottom w:val="single" w:sz="2" w:space="0" w:color="7F7F7F" w:themeColor="text1" w:themeTint="80"/>
            </w:tcBorders>
            <w:shd w:val="clear" w:color="auto" w:fill="E2EFD9" w:themeFill="accent6" w:themeFillTint="33"/>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2015</w:t>
            </w:r>
          </w:p>
        </w:tc>
        <w:tc>
          <w:tcPr>
            <w:tcW w:w="869" w:type="dxa"/>
            <w:tcBorders>
              <w:top w:val="single" w:sz="2" w:space="0" w:color="7F7F7F" w:themeColor="text1" w:themeTint="80"/>
              <w:bottom w:val="single" w:sz="2" w:space="0" w:color="7F7F7F" w:themeColor="text1" w:themeTint="80"/>
            </w:tcBorders>
            <w:shd w:val="clear" w:color="auto" w:fill="E2EFD9" w:themeFill="accent6" w:themeFillTint="33"/>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2016</w:t>
            </w:r>
          </w:p>
        </w:tc>
        <w:tc>
          <w:tcPr>
            <w:tcW w:w="869" w:type="dxa"/>
            <w:tcBorders>
              <w:top w:val="single" w:sz="2" w:space="0" w:color="7F7F7F" w:themeColor="text1" w:themeTint="80"/>
              <w:bottom w:val="single" w:sz="2" w:space="0" w:color="7F7F7F" w:themeColor="text1" w:themeTint="80"/>
            </w:tcBorders>
            <w:shd w:val="clear" w:color="auto" w:fill="E2EFD9" w:themeFill="accent6" w:themeFillTint="33"/>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2017</w:t>
            </w:r>
          </w:p>
        </w:tc>
        <w:tc>
          <w:tcPr>
            <w:tcW w:w="873" w:type="dxa"/>
            <w:tcBorders>
              <w:top w:val="single" w:sz="2" w:space="0" w:color="7F7F7F" w:themeColor="text1" w:themeTint="80"/>
              <w:bottom w:val="single" w:sz="2" w:space="0" w:color="7F7F7F" w:themeColor="text1" w:themeTint="80"/>
            </w:tcBorders>
            <w:shd w:val="clear" w:color="auto" w:fill="E2EFD9" w:themeFill="accent6" w:themeFillTint="33"/>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2018</w:t>
            </w:r>
          </w:p>
        </w:tc>
      </w:tr>
      <w:tr w:rsidR="005B5171" w:rsidRPr="005B5171" w:rsidTr="000B1EFD">
        <w:tc>
          <w:tcPr>
            <w:tcW w:w="2047"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 xml:space="preserve">Production </w:t>
            </w:r>
          </w:p>
        </w:tc>
        <w:tc>
          <w:tcPr>
            <w:tcW w:w="1062"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101,985</w:t>
            </w:r>
          </w:p>
        </w:tc>
        <w:tc>
          <w:tcPr>
            <w:tcW w:w="866"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90,917</w:t>
            </w:r>
          </w:p>
        </w:tc>
        <w:tc>
          <w:tcPr>
            <w:tcW w:w="867"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73,682</w:t>
            </w:r>
          </w:p>
        </w:tc>
        <w:tc>
          <w:tcPr>
            <w:tcW w:w="869"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73,171</w:t>
            </w:r>
          </w:p>
        </w:tc>
        <w:tc>
          <w:tcPr>
            <w:tcW w:w="869"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73,683</w:t>
            </w:r>
          </w:p>
        </w:tc>
        <w:tc>
          <w:tcPr>
            <w:tcW w:w="869"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 xml:space="preserve">75,500 </w:t>
            </w:r>
          </w:p>
        </w:tc>
        <w:tc>
          <w:tcPr>
            <w:tcW w:w="869"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74,413</w:t>
            </w:r>
          </w:p>
        </w:tc>
        <w:tc>
          <w:tcPr>
            <w:tcW w:w="873"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73,041</w:t>
            </w:r>
          </w:p>
        </w:tc>
      </w:tr>
      <w:tr w:rsidR="005B5171" w:rsidRPr="005B5171" w:rsidTr="000B1EFD">
        <w:tc>
          <w:tcPr>
            <w:tcW w:w="2047"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 xml:space="preserve">Employee benefits </w:t>
            </w:r>
          </w:p>
        </w:tc>
        <w:tc>
          <w:tcPr>
            <w:tcW w:w="1062"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14,102</w:t>
            </w:r>
          </w:p>
        </w:tc>
        <w:tc>
          <w:tcPr>
            <w:tcW w:w="866"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13,752</w:t>
            </w:r>
          </w:p>
        </w:tc>
        <w:tc>
          <w:tcPr>
            <w:tcW w:w="867"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13,924</w:t>
            </w:r>
          </w:p>
        </w:tc>
        <w:tc>
          <w:tcPr>
            <w:tcW w:w="869"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13,719</w:t>
            </w:r>
          </w:p>
        </w:tc>
        <w:tc>
          <w:tcPr>
            <w:tcW w:w="869"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12,841</w:t>
            </w:r>
          </w:p>
        </w:tc>
        <w:tc>
          <w:tcPr>
            <w:tcW w:w="869"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 xml:space="preserve">13,793 </w:t>
            </w:r>
          </w:p>
        </w:tc>
        <w:tc>
          <w:tcPr>
            <w:tcW w:w="869"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13,938</w:t>
            </w:r>
          </w:p>
        </w:tc>
        <w:tc>
          <w:tcPr>
            <w:tcW w:w="873"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15,569</w:t>
            </w:r>
          </w:p>
        </w:tc>
      </w:tr>
      <w:tr w:rsidR="005B5171" w:rsidRPr="005B5171" w:rsidTr="000B1EFD">
        <w:tc>
          <w:tcPr>
            <w:tcW w:w="2047"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Roading</w:t>
            </w:r>
          </w:p>
        </w:tc>
        <w:tc>
          <w:tcPr>
            <w:tcW w:w="1062"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7,052</w:t>
            </w:r>
          </w:p>
        </w:tc>
        <w:tc>
          <w:tcPr>
            <w:tcW w:w="866"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6,666</w:t>
            </w:r>
          </w:p>
        </w:tc>
        <w:tc>
          <w:tcPr>
            <w:tcW w:w="867"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5,932</w:t>
            </w:r>
          </w:p>
        </w:tc>
        <w:tc>
          <w:tcPr>
            <w:tcW w:w="869"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4,796</w:t>
            </w:r>
          </w:p>
        </w:tc>
        <w:tc>
          <w:tcPr>
            <w:tcW w:w="869"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6,806</w:t>
            </w:r>
          </w:p>
        </w:tc>
        <w:tc>
          <w:tcPr>
            <w:tcW w:w="869"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 xml:space="preserve">6,534 </w:t>
            </w:r>
          </w:p>
        </w:tc>
        <w:tc>
          <w:tcPr>
            <w:tcW w:w="869"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6,457</w:t>
            </w:r>
          </w:p>
        </w:tc>
        <w:tc>
          <w:tcPr>
            <w:tcW w:w="873"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6,622</w:t>
            </w:r>
          </w:p>
        </w:tc>
      </w:tr>
      <w:tr w:rsidR="005B5171" w:rsidRPr="005B5171" w:rsidTr="000B1EFD">
        <w:tc>
          <w:tcPr>
            <w:tcW w:w="2047" w:type="dxa"/>
            <w:tcBorders>
              <w:top w:val="single" w:sz="2" w:space="0" w:color="7F7F7F" w:themeColor="text1" w:themeTint="80"/>
            </w:tcBorders>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Other operating expenses</w:t>
            </w:r>
          </w:p>
        </w:tc>
        <w:tc>
          <w:tcPr>
            <w:tcW w:w="1062" w:type="dxa"/>
            <w:tcBorders>
              <w:top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8,800</w:t>
            </w:r>
          </w:p>
        </w:tc>
        <w:tc>
          <w:tcPr>
            <w:tcW w:w="866" w:type="dxa"/>
            <w:tcBorders>
              <w:top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No data</w:t>
            </w:r>
          </w:p>
        </w:tc>
        <w:tc>
          <w:tcPr>
            <w:tcW w:w="867" w:type="dxa"/>
            <w:tcBorders>
              <w:top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6,373</w:t>
            </w:r>
          </w:p>
        </w:tc>
        <w:tc>
          <w:tcPr>
            <w:tcW w:w="869" w:type="dxa"/>
            <w:tcBorders>
              <w:top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6,506</w:t>
            </w:r>
          </w:p>
        </w:tc>
        <w:tc>
          <w:tcPr>
            <w:tcW w:w="869" w:type="dxa"/>
            <w:tcBorders>
              <w:top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8,333</w:t>
            </w:r>
          </w:p>
        </w:tc>
        <w:tc>
          <w:tcPr>
            <w:tcW w:w="869" w:type="dxa"/>
            <w:tcBorders>
              <w:top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NA</w:t>
            </w:r>
          </w:p>
        </w:tc>
        <w:tc>
          <w:tcPr>
            <w:tcW w:w="869" w:type="dxa"/>
            <w:tcBorders>
              <w:top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8,378</w:t>
            </w:r>
          </w:p>
        </w:tc>
        <w:tc>
          <w:tcPr>
            <w:tcW w:w="873" w:type="dxa"/>
            <w:tcBorders>
              <w:top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7,108</w:t>
            </w:r>
          </w:p>
        </w:tc>
      </w:tr>
    </w:tbl>
    <w:p w:rsidR="005B5171" w:rsidRPr="005B5171" w:rsidRDefault="005B5171" w:rsidP="005B5171">
      <w:pPr>
        <w:spacing w:before="80"/>
        <w:rPr>
          <w:rFonts w:ascii="Segoe UI" w:eastAsia="STZhongsong" w:hAnsi="Segoe UI" w:cs="Segoe UI"/>
          <w:bCs/>
          <w:sz w:val="18"/>
          <w:szCs w:val="18"/>
          <w:lang w:eastAsia="ko-KR"/>
        </w:rPr>
      </w:pPr>
      <w:r w:rsidRPr="005B5171">
        <w:rPr>
          <w:rFonts w:ascii="Segoe UI" w:eastAsia="STZhongsong" w:hAnsi="Segoe UI" w:cs="Segoe UI"/>
          <w:bCs/>
          <w:sz w:val="18"/>
          <w:szCs w:val="18"/>
          <w:lang w:eastAsia="ko-KR"/>
        </w:rPr>
        <w:t xml:space="preserve">Source: </w:t>
      </w:r>
      <w:proofErr w:type="spellStart"/>
      <w:r w:rsidRPr="005B5171">
        <w:rPr>
          <w:rFonts w:ascii="Segoe UI" w:eastAsia="STZhongsong" w:hAnsi="Segoe UI" w:cs="Segoe UI"/>
          <w:bCs/>
          <w:sz w:val="18"/>
          <w:szCs w:val="18"/>
          <w:lang w:eastAsia="ko-KR"/>
        </w:rPr>
        <w:t>VicForests</w:t>
      </w:r>
      <w:proofErr w:type="spellEnd"/>
      <w:r w:rsidRPr="005B5171">
        <w:rPr>
          <w:rFonts w:ascii="Segoe UI" w:eastAsia="STZhongsong" w:hAnsi="Segoe UI" w:cs="Segoe UI"/>
          <w:bCs/>
          <w:sz w:val="18"/>
          <w:szCs w:val="18"/>
          <w:lang w:eastAsia="ko-KR"/>
        </w:rPr>
        <w:t xml:space="preserve"> annual reports available at </w:t>
      </w:r>
      <w:hyperlink r:id="rId46" w:history="1">
        <w:r w:rsidRPr="005B5171">
          <w:rPr>
            <w:rFonts w:ascii="Segoe UI" w:eastAsia="STZhongsong" w:hAnsi="Segoe UI" w:cs="Segoe UI"/>
            <w:bCs/>
            <w:color w:val="0257BE"/>
            <w:sz w:val="18"/>
            <w:szCs w:val="18"/>
            <w:lang w:eastAsia="ko-KR"/>
          </w:rPr>
          <w:t>http://www.vicforests.com.au/about-vicforests/corporate-reporting-1/corporate-reports</w:t>
        </w:r>
      </w:hyperlink>
    </w:p>
    <w:p w:rsidR="005B5171" w:rsidRPr="005B5171" w:rsidRDefault="005B5171" w:rsidP="005B5171">
      <w:pPr>
        <w:rPr>
          <w:rFonts w:ascii="Segoe UI" w:eastAsia="STZhongsong" w:hAnsi="Segoe UI" w:cs="Segoe UI"/>
          <w:bCs/>
          <w:sz w:val="18"/>
          <w:szCs w:val="18"/>
          <w:lang w:eastAsia="ko-KR"/>
        </w:rPr>
      </w:pPr>
      <w:r w:rsidRPr="005B5171">
        <w:rPr>
          <w:rFonts w:ascii="Segoe UI" w:hAnsi="Segoe UI" w:cs="Segoe UI"/>
        </w:rPr>
        <w:br w:type="page"/>
      </w:r>
    </w:p>
    <w:p w:rsidR="005B5171" w:rsidRPr="005B5171" w:rsidRDefault="005B5171" w:rsidP="005B5171">
      <w:pPr>
        <w:keepNext/>
        <w:spacing w:before="240" w:after="240" w:line="240" w:lineRule="auto"/>
        <w:outlineLvl w:val="2"/>
        <w:rPr>
          <w:rFonts w:ascii="Segoe UI" w:hAnsi="Segoe UI" w:cs="Segoe UI"/>
          <w:b/>
          <w:color w:val="000000"/>
          <w:sz w:val="24"/>
          <w:szCs w:val="24"/>
        </w:rPr>
      </w:pPr>
      <w:bookmarkStart w:id="215" w:name="_Toc11768354"/>
      <w:bookmarkStart w:id="216" w:name="_Toc30492037"/>
      <w:bookmarkStart w:id="217" w:name="_Toc33002135"/>
      <w:r w:rsidRPr="005B5171">
        <w:rPr>
          <w:rFonts w:ascii="Segoe UI" w:hAnsi="Segoe UI" w:cs="Segoe UI"/>
          <w:b/>
          <w:color w:val="000000"/>
          <w:sz w:val="24"/>
          <w:szCs w:val="24"/>
        </w:rPr>
        <w:t>Indicator 6.2b: Investment in research, development, extension and use of new and improved technologies</w:t>
      </w:r>
      <w:bookmarkEnd w:id="215"/>
      <w:bookmarkEnd w:id="216"/>
      <w:bookmarkEnd w:id="217"/>
    </w:p>
    <w:p w:rsidR="005B5171" w:rsidRPr="005B5171" w:rsidRDefault="005B5171" w:rsidP="005B5171">
      <w:pPr>
        <w:jc w:val="both"/>
        <w:rPr>
          <w:rFonts w:ascii="Segoe UI" w:hAnsi="Segoe UI" w:cs="Segoe UI"/>
        </w:rPr>
      </w:pPr>
      <w:r w:rsidRPr="005B5171">
        <w:rPr>
          <w:rFonts w:ascii="Segoe UI" w:hAnsi="Segoe UI" w:cs="Segoe UI"/>
        </w:rPr>
        <w:t xml:space="preserve">Forests provide a wide range of opportunities for research, and the knowledge gained from forests contributes to the broader knowledge of the community about nature, culture and heritage. Land managers, such as DELWP and Parks Victoria, recognise the importance of research in forests to ensure that management is informed by good science and evidence. </w:t>
      </w:r>
    </w:p>
    <w:p w:rsidR="005B5171" w:rsidRPr="005B5171" w:rsidRDefault="005B5171" w:rsidP="005B5171">
      <w:pPr>
        <w:jc w:val="both"/>
        <w:rPr>
          <w:rFonts w:ascii="Segoe UI" w:hAnsi="Segoe UI" w:cs="Segoe UI"/>
        </w:rPr>
      </w:pPr>
      <w:r w:rsidRPr="005B5171">
        <w:rPr>
          <w:rFonts w:ascii="Segoe UI" w:hAnsi="Segoe UI" w:cs="Segoe UI"/>
        </w:rPr>
        <w:t>Forests provide opportunities for schools, tertiary institutions and the community to gain a greater appreciation and understanding of nature, culture and heritage through formal and informal programs. For example, Parks Victoria’s Research Partners Program encourages research to be undertaken in parks through collaboration with universities and other research institutions.</w:t>
      </w:r>
      <w:r w:rsidRPr="005B5171">
        <w:rPr>
          <w:rFonts w:ascii="Segoe UI" w:hAnsi="Segoe UI" w:cs="Segoe UI"/>
          <w:vertAlign w:val="superscript"/>
        </w:rPr>
        <w:footnoteReference w:id="17"/>
      </w:r>
      <w:r w:rsidRPr="005B5171">
        <w:rPr>
          <w:rFonts w:ascii="Segoe UI" w:hAnsi="Segoe UI" w:cs="Segoe UI"/>
        </w:rPr>
        <w:t xml:space="preserve"> </w:t>
      </w:r>
    </w:p>
    <w:p w:rsidR="005B5171" w:rsidRPr="005B5171" w:rsidRDefault="005B5171" w:rsidP="005B5171">
      <w:pPr>
        <w:jc w:val="both"/>
        <w:rPr>
          <w:rFonts w:ascii="Segoe UI" w:hAnsi="Segoe UI" w:cs="Segoe UI"/>
        </w:rPr>
      </w:pPr>
      <w:r w:rsidRPr="005B5171">
        <w:rPr>
          <w:rFonts w:ascii="Segoe UI" w:hAnsi="Segoe UI" w:cs="Segoe UI"/>
        </w:rPr>
        <w:t>Data on education and research is more prevalent for parks than for State forests. On average, 215 research permits are issued in parks each year and 183,000 people participate in parks-related education programs (DELWP &amp; Parks Victoria 2015, p. 117).</w:t>
      </w:r>
      <w:bookmarkStart w:id="218" w:name="_Toc394064624"/>
      <w:r w:rsidRPr="005B5171">
        <w:rPr>
          <w:rFonts w:ascii="Segoe UI" w:hAnsi="Segoe UI" w:cs="Segoe UI"/>
        </w:rPr>
        <w:t xml:space="preserve"> </w:t>
      </w:r>
    </w:p>
    <w:p w:rsidR="005B5171" w:rsidRPr="005B5171" w:rsidRDefault="005B5171" w:rsidP="005B5171">
      <w:pPr>
        <w:jc w:val="both"/>
        <w:rPr>
          <w:rFonts w:ascii="Segoe UI" w:hAnsi="Segoe UI" w:cs="Segoe UI"/>
        </w:rPr>
      </w:pPr>
      <w:r w:rsidRPr="005B5171">
        <w:rPr>
          <w:rFonts w:ascii="Segoe UI" w:hAnsi="Segoe UI" w:cs="Segoe UI"/>
        </w:rPr>
        <w:t>In an assessment of Parks Victoria’s Research Partners Program, it was determined that each dollar of Parks Victoria research funding resulted in approximately six dollars of leveraged research funding from partners.</w:t>
      </w:r>
      <w:r w:rsidRPr="005B5171" w:rsidDel="004526DD">
        <w:rPr>
          <w:rFonts w:ascii="Segoe UI" w:hAnsi="Segoe UI" w:cs="Segoe UI"/>
        </w:rPr>
        <w:t xml:space="preserve"> </w:t>
      </w:r>
      <w:r w:rsidRPr="005B5171">
        <w:rPr>
          <w:rFonts w:ascii="Segoe UI" w:hAnsi="Segoe UI" w:cs="Segoe UI"/>
        </w:rPr>
        <w:t xml:space="preserve">Some of these benefits could include productivity or efficiency gains in the management of native species or development of genetic material for medical research. </w:t>
      </w:r>
    </w:p>
    <w:p w:rsidR="005B5171" w:rsidRPr="005B5171" w:rsidRDefault="005B5171" w:rsidP="005B5171">
      <w:pPr>
        <w:keepNext/>
        <w:spacing w:before="120" w:after="120" w:line="240" w:lineRule="auto"/>
        <w:jc w:val="both"/>
        <w:outlineLvl w:val="3"/>
        <w:rPr>
          <w:rFonts w:ascii="Segoe UI" w:hAnsi="Segoe UI" w:cs="Segoe UI"/>
          <w:i/>
          <w:sz w:val="24"/>
          <w:szCs w:val="24"/>
        </w:rPr>
      </w:pPr>
      <w:r w:rsidRPr="005B5171">
        <w:rPr>
          <w:rFonts w:ascii="Segoe UI" w:hAnsi="Segoe UI" w:cs="Segoe UI"/>
          <w:i/>
          <w:sz w:val="24"/>
          <w:szCs w:val="24"/>
        </w:rPr>
        <w:t xml:space="preserve">Government investment in </w:t>
      </w:r>
      <w:bookmarkEnd w:id="218"/>
      <w:r w:rsidRPr="005B5171">
        <w:rPr>
          <w:rFonts w:ascii="Segoe UI" w:hAnsi="Segoe UI" w:cs="Segoe UI"/>
          <w:i/>
          <w:sz w:val="24"/>
          <w:szCs w:val="24"/>
        </w:rPr>
        <w:t xml:space="preserve">research, development, and education </w:t>
      </w:r>
    </w:p>
    <w:p w:rsidR="005B5171" w:rsidRPr="005B5171" w:rsidRDefault="005B5171" w:rsidP="005B5171">
      <w:pPr>
        <w:jc w:val="both"/>
        <w:rPr>
          <w:rFonts w:ascii="Segoe UI" w:hAnsi="Segoe UI" w:cs="Segoe UI"/>
        </w:rPr>
      </w:pPr>
      <w:r w:rsidRPr="005B5171">
        <w:rPr>
          <w:rFonts w:ascii="Segoe UI" w:hAnsi="Segoe UI" w:cs="Segoe UI"/>
        </w:rPr>
        <w:t xml:space="preserve">Investment outlined in </w:t>
      </w:r>
      <w:r w:rsidRPr="005B5171">
        <w:rPr>
          <w:rFonts w:ascii="Segoe UI" w:hAnsi="Segoe UI" w:cs="Segoe UI"/>
        </w:rPr>
        <w:fldChar w:fldCharType="begin"/>
      </w:r>
      <w:r w:rsidRPr="005B5171">
        <w:rPr>
          <w:rFonts w:ascii="Segoe UI" w:hAnsi="Segoe UI" w:cs="Segoe UI"/>
        </w:rPr>
        <w:instrText xml:space="preserve"> REF _Ref532215078 \h </w:instrText>
      </w:r>
      <w:r w:rsidRPr="005B5171">
        <w:rPr>
          <w:rFonts w:ascii="Segoe UI" w:hAnsi="Segoe UI" w:cs="Segoe UI"/>
        </w:rPr>
      </w:r>
      <w:r w:rsidRPr="005B5171">
        <w:rPr>
          <w:rFonts w:ascii="Segoe UI" w:hAnsi="Segoe UI" w:cs="Segoe UI"/>
        </w:rPr>
        <w:fldChar w:fldCharType="separate"/>
      </w:r>
      <w:r w:rsidRPr="005B5171">
        <w:rPr>
          <w:rFonts w:ascii="Segoe UI" w:hAnsi="Segoe UI" w:cs="Segoe UI"/>
        </w:rPr>
        <w:t xml:space="preserve">Table </w:t>
      </w:r>
      <w:r w:rsidRPr="005B5171">
        <w:rPr>
          <w:rFonts w:ascii="Segoe UI" w:hAnsi="Segoe UI" w:cs="Segoe UI"/>
          <w:noProof/>
        </w:rPr>
        <w:t>105</w:t>
      </w:r>
      <w:r w:rsidRPr="005B5171">
        <w:rPr>
          <w:rFonts w:ascii="Segoe UI" w:hAnsi="Segoe UI" w:cs="Segoe UI"/>
        </w:rPr>
        <w:fldChar w:fldCharType="end"/>
      </w:r>
      <w:r w:rsidRPr="005B5171">
        <w:rPr>
          <w:rFonts w:ascii="Segoe UI" w:hAnsi="Segoe UI" w:cs="Segoe UI"/>
        </w:rPr>
        <w:t xml:space="preserve"> is limited to annual investments in forest management research and development (R&amp;D) and education. This equates to $39 million invested since 2010–11 (an average of about $5.6 million per year). The annual data includes research payments but does not split payments for multi-year research projects. This is reflected in 2013–14, when the University of Melbourne received a total payment against multiple multi-year projects.</w:t>
      </w:r>
    </w:p>
    <w:p w:rsidR="005B5171" w:rsidRPr="005B5171" w:rsidRDefault="005B5171" w:rsidP="005B5171">
      <w:pPr>
        <w:jc w:val="both"/>
        <w:rPr>
          <w:rFonts w:ascii="Segoe UI" w:hAnsi="Segoe UI" w:cs="Segoe UI"/>
        </w:rPr>
      </w:pPr>
      <w:r w:rsidRPr="005B5171">
        <w:rPr>
          <w:rFonts w:ascii="Segoe UI" w:hAnsi="Segoe UI" w:cs="Segoe UI"/>
        </w:rPr>
        <w:t xml:space="preserve">Between 2010–11 and 2016–17, six agencies and research organisations received funding. Consistently, the largest investment – $25 million over seven years (64 per cent of the overall investment) – was provided to the University of Melbourne. The second-largest was to the VFMP, which received about $5.9 million over seven years (15 per cent of the overall investment). </w:t>
      </w:r>
    </w:p>
    <w:p w:rsidR="005B5171" w:rsidRPr="005B5171" w:rsidRDefault="005B5171" w:rsidP="005B5171">
      <w:pPr>
        <w:jc w:val="both"/>
        <w:rPr>
          <w:rFonts w:ascii="Segoe UI" w:hAnsi="Segoe UI" w:cs="Segoe UI"/>
        </w:rPr>
        <w:sectPr w:rsidR="005B5171" w:rsidRPr="005B5171" w:rsidSect="00E53AAA">
          <w:footerReference w:type="default" r:id="rId47"/>
          <w:pgSz w:w="11906" w:h="16838"/>
          <w:pgMar w:top="1440" w:right="1440" w:bottom="1440" w:left="1440" w:header="709" w:footer="709" w:gutter="0"/>
          <w:cols w:space="708"/>
          <w:docGrid w:linePitch="360"/>
        </w:sectPr>
      </w:pPr>
      <w:r w:rsidRPr="005B5171">
        <w:rPr>
          <w:rFonts w:ascii="Segoe UI" w:hAnsi="Segoe UI" w:cs="Segoe UI"/>
        </w:rPr>
        <w:t xml:space="preserve">The Victorian Government also contributed 20 per cent of overall investments ($7.8 million) to the ARI and the Bushfire and Natural Hazards Cooperative Research Centre (CRC). Investment in R&amp;D by </w:t>
      </w:r>
      <w:proofErr w:type="spellStart"/>
      <w:r w:rsidRPr="005B5171">
        <w:rPr>
          <w:rFonts w:ascii="Segoe UI" w:hAnsi="Segoe UI" w:cs="Segoe UI"/>
        </w:rPr>
        <w:t>VicForests</w:t>
      </w:r>
      <w:proofErr w:type="spellEnd"/>
      <w:r w:rsidRPr="005B5171">
        <w:rPr>
          <w:rFonts w:ascii="Segoe UI" w:hAnsi="Segoe UI" w:cs="Segoe UI"/>
        </w:rPr>
        <w:t xml:space="preserve"> in 2015–16 was approximately $161,000. All states and territories that manage public production forests also contribute to R&amp;D through a forest growers levy, which supports the delivery of programs by Forest and Wood Products Australia. </w:t>
      </w:r>
    </w:p>
    <w:p w:rsidR="005B5171" w:rsidRPr="005B5171" w:rsidRDefault="005B5171" w:rsidP="005B5171">
      <w:pPr>
        <w:spacing w:after="200" w:line="240" w:lineRule="auto"/>
        <w:rPr>
          <w:rFonts w:ascii="Segoe UI Semibold" w:eastAsia="Times New Roman" w:hAnsi="Segoe UI Semibold" w:cs="Times New Roman"/>
          <w:color w:val="016295"/>
        </w:rPr>
      </w:pPr>
      <w:bookmarkStart w:id="219" w:name="_Ref532215078"/>
      <w:bookmarkStart w:id="220" w:name="_Toc3364716"/>
      <w:bookmarkStart w:id="221" w:name="_Toc25660886"/>
      <w:r w:rsidRPr="005B5171">
        <w:rPr>
          <w:rFonts w:ascii="Segoe UI Semibold" w:eastAsia="Times New Roman" w:hAnsi="Segoe UI Semibold" w:cs="Times New Roman"/>
          <w:color w:val="016295"/>
        </w:rPr>
        <w:t xml:space="preserve">Table </w:t>
      </w:r>
      <w:r w:rsidRPr="005B5171">
        <w:rPr>
          <w:rFonts w:ascii="Segoe UI Semibold" w:eastAsia="Times New Roman" w:hAnsi="Segoe UI Semibold" w:cs="Times New Roman"/>
          <w:color w:val="016295"/>
        </w:rPr>
        <w:fldChar w:fldCharType="begin"/>
      </w:r>
      <w:r w:rsidRPr="005B5171">
        <w:rPr>
          <w:rFonts w:ascii="Segoe UI Semibold" w:eastAsia="Times New Roman" w:hAnsi="Segoe UI Semibold" w:cs="Times New Roman"/>
          <w:color w:val="016295"/>
        </w:rPr>
        <w:instrText xml:space="preserve"> SEQ Table \* ARABIC </w:instrText>
      </w:r>
      <w:r w:rsidRPr="005B5171">
        <w:rPr>
          <w:rFonts w:ascii="Segoe UI Semibold" w:eastAsia="Times New Roman" w:hAnsi="Segoe UI Semibold" w:cs="Times New Roman"/>
          <w:color w:val="016295"/>
        </w:rPr>
        <w:fldChar w:fldCharType="separate"/>
      </w:r>
      <w:r w:rsidRPr="005B5171">
        <w:rPr>
          <w:rFonts w:ascii="Segoe UI Semibold" w:eastAsia="Times New Roman" w:hAnsi="Segoe UI Semibold" w:cs="Times New Roman"/>
          <w:noProof/>
          <w:color w:val="016295"/>
        </w:rPr>
        <w:t>105</w:t>
      </w:r>
      <w:r w:rsidRPr="005B5171">
        <w:rPr>
          <w:rFonts w:ascii="Segoe UI Semibold" w:eastAsia="Times New Roman" w:hAnsi="Segoe UI Semibold" w:cs="Times New Roman"/>
          <w:noProof/>
          <w:color w:val="016295"/>
        </w:rPr>
        <w:fldChar w:fldCharType="end"/>
      </w:r>
      <w:bookmarkEnd w:id="219"/>
      <w:r w:rsidRPr="005B5171">
        <w:rPr>
          <w:rFonts w:ascii="Segoe UI Semibold" w:eastAsia="Times New Roman" w:hAnsi="Segoe UI Semibold" w:cs="Times New Roman"/>
          <w:noProof/>
          <w:color w:val="016295"/>
        </w:rPr>
        <w:t>:</w:t>
      </w:r>
      <w:r w:rsidRPr="005B5171">
        <w:rPr>
          <w:rFonts w:ascii="Segoe UI Semibold" w:eastAsia="Times New Roman" w:hAnsi="Segoe UI Semibold" w:cs="Times New Roman"/>
          <w:color w:val="016295"/>
        </w:rPr>
        <w:t xml:space="preserve"> Victorian Government investment in forest management R&amp;D and education, 2010–11 to 2016–17</w:t>
      </w:r>
      <w:bookmarkEnd w:id="220"/>
      <w:bookmarkEnd w:id="221"/>
      <w:r w:rsidRPr="005B5171">
        <w:rPr>
          <w:rFonts w:ascii="Segoe UI Semibold" w:eastAsia="Times New Roman" w:hAnsi="Segoe UI Semibold" w:cs="Times New Roman"/>
          <w:color w:val="016295"/>
        </w:rPr>
        <w:t xml:space="preserve"> </w:t>
      </w:r>
    </w:p>
    <w:tbl>
      <w:tblPr>
        <w:tblW w:w="0" w:type="auto"/>
        <w:tblLayout w:type="fixed"/>
        <w:tblCellMar>
          <w:top w:w="85" w:type="dxa"/>
          <w:bottom w:w="85" w:type="dxa"/>
        </w:tblCellMar>
        <w:tblLook w:val="04A0" w:firstRow="1" w:lastRow="0" w:firstColumn="1" w:lastColumn="0" w:noHBand="0" w:noVBand="1"/>
      </w:tblPr>
      <w:tblGrid>
        <w:gridCol w:w="3119"/>
        <w:gridCol w:w="1247"/>
        <w:gridCol w:w="1247"/>
        <w:gridCol w:w="1247"/>
        <w:gridCol w:w="1247"/>
        <w:gridCol w:w="1247"/>
        <w:gridCol w:w="1247"/>
        <w:gridCol w:w="1247"/>
        <w:gridCol w:w="1247"/>
      </w:tblGrid>
      <w:tr w:rsidR="005B5171" w:rsidRPr="005B5171" w:rsidTr="000B1EFD">
        <w:trPr>
          <w:trHeight w:val="60"/>
        </w:trPr>
        <w:tc>
          <w:tcPr>
            <w:tcW w:w="3119" w:type="dxa"/>
            <w:vMerge w:val="restart"/>
            <w:shd w:val="clear" w:color="auto" w:fill="E2EFD9" w:themeFill="accent6" w:themeFillTint="33"/>
            <w:noWrap/>
            <w:vAlign w:val="bottom"/>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Research provider</w:t>
            </w:r>
          </w:p>
        </w:tc>
        <w:tc>
          <w:tcPr>
            <w:tcW w:w="1247" w:type="dxa"/>
            <w:gridSpan w:val="8"/>
            <w:tcBorders>
              <w:bottom w:val="single" w:sz="2" w:space="0" w:color="7F7F7F" w:themeColor="text1" w:themeTint="80"/>
            </w:tcBorders>
            <w:shd w:val="clear" w:color="auto" w:fill="E2EFD9" w:themeFill="accent6" w:themeFillTint="33"/>
            <w:noWrap/>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Expenditure ($)</w:t>
            </w:r>
          </w:p>
        </w:tc>
      </w:tr>
      <w:tr w:rsidR="005B5171" w:rsidRPr="005B5171" w:rsidTr="000B1EFD">
        <w:trPr>
          <w:trHeight w:val="60"/>
        </w:trPr>
        <w:tc>
          <w:tcPr>
            <w:tcW w:w="3119" w:type="dxa"/>
            <w:vMerge/>
            <w:tcBorders>
              <w:bottom w:val="single" w:sz="2" w:space="0" w:color="7F7F7F" w:themeColor="text1" w:themeTint="80"/>
            </w:tcBorders>
            <w:shd w:val="clear" w:color="auto" w:fill="E2EFD9" w:themeFill="accent6" w:themeFillTint="33"/>
            <w:noWrap/>
            <w:hideMark/>
          </w:tcPr>
          <w:p w:rsidR="005B5171" w:rsidRPr="005B5171" w:rsidRDefault="005B5171" w:rsidP="005B5171">
            <w:pPr>
              <w:spacing w:before="20" w:after="0" w:line="240" w:lineRule="auto"/>
              <w:rPr>
                <w:rFonts w:ascii="Segoe UI" w:eastAsia="Calibri" w:hAnsi="Segoe UI" w:cs="Calibri"/>
                <w:sz w:val="19"/>
                <w:szCs w:val="19"/>
                <w:lang w:eastAsia="en-AU"/>
              </w:rPr>
            </w:pPr>
          </w:p>
        </w:tc>
        <w:tc>
          <w:tcPr>
            <w:tcW w:w="1247" w:type="dxa"/>
            <w:tcBorders>
              <w:top w:val="single" w:sz="2" w:space="0" w:color="7F7F7F" w:themeColor="text1" w:themeTint="80"/>
              <w:bottom w:val="single" w:sz="2" w:space="0" w:color="7F7F7F" w:themeColor="text1" w:themeTint="80"/>
            </w:tcBorders>
            <w:shd w:val="clear" w:color="auto" w:fill="E2EFD9" w:themeFill="accent6" w:themeFillTint="33"/>
            <w:noWrap/>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2010–11</w:t>
            </w:r>
          </w:p>
        </w:tc>
        <w:tc>
          <w:tcPr>
            <w:tcW w:w="1247" w:type="dxa"/>
            <w:tcBorders>
              <w:top w:val="single" w:sz="2" w:space="0" w:color="7F7F7F" w:themeColor="text1" w:themeTint="80"/>
              <w:bottom w:val="single" w:sz="2" w:space="0" w:color="7F7F7F" w:themeColor="text1" w:themeTint="80"/>
            </w:tcBorders>
            <w:shd w:val="clear" w:color="auto" w:fill="E2EFD9" w:themeFill="accent6" w:themeFillTint="33"/>
            <w:noWrap/>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2011–12</w:t>
            </w:r>
          </w:p>
        </w:tc>
        <w:tc>
          <w:tcPr>
            <w:tcW w:w="1247" w:type="dxa"/>
            <w:tcBorders>
              <w:top w:val="single" w:sz="2" w:space="0" w:color="7F7F7F" w:themeColor="text1" w:themeTint="80"/>
              <w:bottom w:val="single" w:sz="2" w:space="0" w:color="7F7F7F" w:themeColor="text1" w:themeTint="80"/>
            </w:tcBorders>
            <w:shd w:val="clear" w:color="auto" w:fill="E2EFD9" w:themeFill="accent6" w:themeFillTint="33"/>
            <w:noWrap/>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2012–13</w:t>
            </w:r>
          </w:p>
        </w:tc>
        <w:tc>
          <w:tcPr>
            <w:tcW w:w="1247" w:type="dxa"/>
            <w:tcBorders>
              <w:top w:val="single" w:sz="2" w:space="0" w:color="7F7F7F" w:themeColor="text1" w:themeTint="80"/>
              <w:bottom w:val="single" w:sz="2" w:space="0" w:color="7F7F7F" w:themeColor="text1" w:themeTint="80"/>
            </w:tcBorders>
            <w:shd w:val="clear" w:color="auto" w:fill="E2EFD9" w:themeFill="accent6" w:themeFillTint="33"/>
            <w:noWrap/>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2013–14</w:t>
            </w:r>
          </w:p>
        </w:tc>
        <w:tc>
          <w:tcPr>
            <w:tcW w:w="1247" w:type="dxa"/>
            <w:tcBorders>
              <w:top w:val="single" w:sz="2" w:space="0" w:color="7F7F7F" w:themeColor="text1" w:themeTint="80"/>
              <w:bottom w:val="single" w:sz="2" w:space="0" w:color="7F7F7F" w:themeColor="text1" w:themeTint="80"/>
            </w:tcBorders>
            <w:shd w:val="clear" w:color="auto" w:fill="E2EFD9" w:themeFill="accent6" w:themeFillTint="33"/>
            <w:noWrap/>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2014–15</w:t>
            </w:r>
          </w:p>
        </w:tc>
        <w:tc>
          <w:tcPr>
            <w:tcW w:w="1247" w:type="dxa"/>
            <w:tcBorders>
              <w:top w:val="single" w:sz="2" w:space="0" w:color="7F7F7F" w:themeColor="text1" w:themeTint="80"/>
              <w:bottom w:val="single" w:sz="2" w:space="0" w:color="7F7F7F" w:themeColor="text1" w:themeTint="80"/>
            </w:tcBorders>
            <w:shd w:val="clear" w:color="auto" w:fill="E2EFD9" w:themeFill="accent6" w:themeFillTint="33"/>
            <w:noWrap/>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2015–16</w:t>
            </w:r>
          </w:p>
        </w:tc>
        <w:tc>
          <w:tcPr>
            <w:tcW w:w="1247" w:type="dxa"/>
            <w:tcBorders>
              <w:top w:val="single" w:sz="2" w:space="0" w:color="7F7F7F" w:themeColor="text1" w:themeTint="80"/>
              <w:bottom w:val="single" w:sz="2" w:space="0" w:color="7F7F7F" w:themeColor="text1" w:themeTint="80"/>
            </w:tcBorders>
            <w:shd w:val="clear" w:color="auto" w:fill="E2EFD9" w:themeFill="accent6" w:themeFillTint="33"/>
            <w:noWrap/>
            <w:hideMark/>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2016–17</w:t>
            </w:r>
          </w:p>
        </w:tc>
        <w:tc>
          <w:tcPr>
            <w:tcW w:w="1247" w:type="dxa"/>
            <w:tcBorders>
              <w:top w:val="single" w:sz="2" w:space="0" w:color="7F7F7F" w:themeColor="text1" w:themeTint="80"/>
              <w:bottom w:val="single" w:sz="2" w:space="0" w:color="7F7F7F" w:themeColor="text1" w:themeTint="80"/>
            </w:tcBorders>
            <w:shd w:val="clear" w:color="auto" w:fill="E2EFD9" w:themeFill="accent6" w:themeFillTint="33"/>
          </w:tcPr>
          <w:p w:rsidR="005B5171" w:rsidRPr="005B5171" w:rsidRDefault="005B5171" w:rsidP="005B5171">
            <w:pPr>
              <w:spacing w:after="0" w:line="240" w:lineRule="auto"/>
              <w:jc w:val="center"/>
              <w:rPr>
                <w:rFonts w:ascii="Segoe UI" w:eastAsia="Calibri" w:hAnsi="Segoe UI" w:cs="Calibri"/>
                <w:sz w:val="19"/>
                <w:szCs w:val="19"/>
                <w:lang w:eastAsia="en-AU"/>
              </w:rPr>
            </w:pPr>
            <w:r w:rsidRPr="005B5171">
              <w:rPr>
                <w:rFonts w:ascii="Segoe UI" w:eastAsia="Calibri" w:hAnsi="Segoe UI" w:cs="Calibri"/>
                <w:sz w:val="19"/>
                <w:szCs w:val="19"/>
                <w:lang w:eastAsia="en-AU"/>
              </w:rPr>
              <w:t>Total</w:t>
            </w:r>
          </w:p>
        </w:tc>
      </w:tr>
      <w:tr w:rsidR="005B5171" w:rsidRPr="005B5171" w:rsidTr="000B1EFD">
        <w:trPr>
          <w:trHeight w:val="192"/>
        </w:trPr>
        <w:tc>
          <w:tcPr>
            <w:tcW w:w="3119"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 xml:space="preserve">The Arthur </w:t>
            </w:r>
            <w:proofErr w:type="spellStart"/>
            <w:r w:rsidRPr="005B5171">
              <w:rPr>
                <w:rFonts w:ascii="Segoe UI" w:eastAsia="Calibri" w:hAnsi="Segoe UI" w:cs="Calibri"/>
                <w:sz w:val="19"/>
                <w:szCs w:val="19"/>
                <w:lang w:eastAsia="en-AU"/>
              </w:rPr>
              <w:t>Rylah</w:t>
            </w:r>
            <w:proofErr w:type="spellEnd"/>
            <w:r w:rsidRPr="005B5171">
              <w:rPr>
                <w:rFonts w:ascii="Segoe UI" w:eastAsia="Calibri" w:hAnsi="Segoe UI" w:cs="Calibri"/>
                <w:sz w:val="19"/>
                <w:szCs w:val="19"/>
                <w:lang w:eastAsia="en-AU"/>
              </w:rPr>
              <w:t xml:space="preserve"> Institute</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975,000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710,000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430,000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836,273</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232,244</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655,397</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281,493</w:t>
            </w:r>
          </w:p>
        </w:tc>
        <w:tc>
          <w:tcPr>
            <w:tcW w:w="1247"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4,120,407</w:t>
            </w:r>
          </w:p>
        </w:tc>
      </w:tr>
      <w:tr w:rsidR="005B5171" w:rsidRPr="005B5171" w:rsidTr="000B1EFD">
        <w:trPr>
          <w:trHeight w:val="183"/>
        </w:trPr>
        <w:tc>
          <w:tcPr>
            <w:tcW w:w="3119"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 xml:space="preserve">The University of Melbourne </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3,200,000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3,100,000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2,920,000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5,890,000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3,235,000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3,665,000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3,025,000</w:t>
            </w:r>
          </w:p>
        </w:tc>
        <w:tc>
          <w:tcPr>
            <w:tcW w:w="1247"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25,035,000</w:t>
            </w:r>
          </w:p>
        </w:tc>
      </w:tr>
      <w:tr w:rsidR="005B5171" w:rsidRPr="005B5171" w:rsidTr="000B1EFD">
        <w:trPr>
          <w:trHeight w:val="60"/>
        </w:trPr>
        <w:tc>
          <w:tcPr>
            <w:tcW w:w="3119"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VFMP</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727,000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1,253,000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750,000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800,000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830,000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830,000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740,000</w:t>
            </w:r>
          </w:p>
        </w:tc>
        <w:tc>
          <w:tcPr>
            <w:tcW w:w="1247"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5,930,000</w:t>
            </w:r>
          </w:p>
        </w:tc>
      </w:tr>
      <w:tr w:rsidR="005B5171" w:rsidRPr="005B5171" w:rsidTr="000B1EFD">
        <w:trPr>
          <w:trHeight w:val="60"/>
        </w:trPr>
        <w:tc>
          <w:tcPr>
            <w:tcW w:w="3119"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CRC for Forestry</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50,000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50,000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p>
        </w:tc>
        <w:tc>
          <w:tcPr>
            <w:tcW w:w="1247"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100,000</w:t>
            </w:r>
          </w:p>
        </w:tc>
      </w:tr>
      <w:tr w:rsidR="005B5171" w:rsidRPr="005B5171" w:rsidTr="000B1EFD">
        <w:trPr>
          <w:trHeight w:val="60"/>
        </w:trPr>
        <w:tc>
          <w:tcPr>
            <w:tcW w:w="3119"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 xml:space="preserve">Bushfire and Natural Hazards CRC </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213,000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746,000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200,000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875,000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550,000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200,000</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880,000</w:t>
            </w:r>
          </w:p>
        </w:tc>
        <w:tc>
          <w:tcPr>
            <w:tcW w:w="1247"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3,664,000</w:t>
            </w:r>
          </w:p>
        </w:tc>
      </w:tr>
      <w:tr w:rsidR="005B5171" w:rsidRPr="005B5171" w:rsidTr="000B1EFD">
        <w:trPr>
          <w:trHeight w:val="81"/>
        </w:trPr>
        <w:tc>
          <w:tcPr>
            <w:tcW w:w="3119"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rPr>
                <w:rFonts w:ascii="Segoe UI" w:eastAsia="Calibri" w:hAnsi="Segoe UI" w:cs="Calibri"/>
                <w:sz w:val="19"/>
                <w:szCs w:val="19"/>
                <w:lang w:eastAsia="en-AU"/>
              </w:rPr>
            </w:pPr>
            <w:r w:rsidRPr="005B5171">
              <w:rPr>
                <w:rFonts w:ascii="Segoe UI" w:eastAsia="Calibri" w:hAnsi="Segoe UI" w:cs="Calibri"/>
                <w:sz w:val="19"/>
                <w:szCs w:val="19"/>
                <w:lang w:eastAsia="en-AU"/>
              </w:rPr>
              <w:t>Toolangi Forest Discovery Centre</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48,393</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52,115</w:t>
            </w: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p>
        </w:tc>
        <w:tc>
          <w:tcPr>
            <w:tcW w:w="1247" w:type="dxa"/>
            <w:tcBorders>
              <w:top w:val="single" w:sz="2" w:space="0" w:color="7F7F7F" w:themeColor="text1" w:themeTint="80"/>
              <w:bottom w:val="single" w:sz="2" w:space="0" w:color="7F7F7F" w:themeColor="text1" w:themeTint="80"/>
            </w:tcBorders>
            <w:noWrap/>
            <w:hideMark/>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p>
        </w:tc>
        <w:tc>
          <w:tcPr>
            <w:tcW w:w="1247"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100,508</w:t>
            </w:r>
          </w:p>
        </w:tc>
      </w:tr>
      <w:tr w:rsidR="005B5171" w:rsidRPr="005B5171" w:rsidTr="000B1EFD">
        <w:trPr>
          <w:trHeight w:val="60"/>
        </w:trPr>
        <w:tc>
          <w:tcPr>
            <w:tcW w:w="3119" w:type="dxa"/>
            <w:tcBorders>
              <w:top w:val="single" w:sz="2" w:space="0" w:color="7F7F7F" w:themeColor="text1" w:themeTint="80"/>
              <w:bottom w:val="single" w:sz="2" w:space="0" w:color="7F7F7F" w:themeColor="text1" w:themeTint="80"/>
            </w:tcBorders>
            <w:noWrap/>
          </w:tcPr>
          <w:p w:rsidR="005B5171" w:rsidRPr="005B5171" w:rsidRDefault="005B5171" w:rsidP="005B5171">
            <w:pPr>
              <w:spacing w:before="20" w:after="0" w:line="240" w:lineRule="auto"/>
              <w:rPr>
                <w:rFonts w:ascii="Segoe UI" w:eastAsia="Calibri" w:hAnsi="Segoe UI" w:cs="Calibri"/>
                <w:sz w:val="19"/>
                <w:szCs w:val="19"/>
                <w:lang w:eastAsia="en-AU"/>
              </w:rPr>
            </w:pPr>
            <w:proofErr w:type="spellStart"/>
            <w:r w:rsidRPr="005B5171">
              <w:rPr>
                <w:rFonts w:ascii="Segoe UI" w:eastAsia="Calibri" w:hAnsi="Segoe UI" w:cs="Calibri"/>
                <w:sz w:val="19"/>
                <w:szCs w:val="19"/>
                <w:lang w:eastAsia="en-AU"/>
              </w:rPr>
              <w:t>VicForests</w:t>
            </w:r>
            <w:proofErr w:type="spellEnd"/>
          </w:p>
        </w:tc>
        <w:tc>
          <w:tcPr>
            <w:tcW w:w="1247" w:type="dxa"/>
            <w:tcBorders>
              <w:top w:val="single" w:sz="2" w:space="0" w:color="7F7F7F" w:themeColor="text1" w:themeTint="80"/>
              <w:bottom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p>
        </w:tc>
        <w:tc>
          <w:tcPr>
            <w:tcW w:w="1247" w:type="dxa"/>
            <w:tcBorders>
              <w:top w:val="single" w:sz="2" w:space="0" w:color="7F7F7F" w:themeColor="text1" w:themeTint="80"/>
              <w:bottom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p>
        </w:tc>
        <w:tc>
          <w:tcPr>
            <w:tcW w:w="1247" w:type="dxa"/>
            <w:tcBorders>
              <w:top w:val="single" w:sz="2" w:space="0" w:color="7F7F7F" w:themeColor="text1" w:themeTint="80"/>
              <w:bottom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p>
        </w:tc>
        <w:tc>
          <w:tcPr>
            <w:tcW w:w="1247" w:type="dxa"/>
            <w:tcBorders>
              <w:top w:val="single" w:sz="2" w:space="0" w:color="7F7F7F" w:themeColor="text1" w:themeTint="80"/>
              <w:bottom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p>
        </w:tc>
        <w:tc>
          <w:tcPr>
            <w:tcW w:w="1247" w:type="dxa"/>
            <w:tcBorders>
              <w:top w:val="single" w:sz="2" w:space="0" w:color="7F7F7F" w:themeColor="text1" w:themeTint="80"/>
              <w:bottom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p>
        </w:tc>
        <w:tc>
          <w:tcPr>
            <w:tcW w:w="1247" w:type="dxa"/>
            <w:tcBorders>
              <w:top w:val="single" w:sz="2" w:space="0" w:color="7F7F7F" w:themeColor="text1" w:themeTint="80"/>
              <w:bottom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161,000</w:t>
            </w:r>
          </w:p>
        </w:tc>
        <w:tc>
          <w:tcPr>
            <w:tcW w:w="1247" w:type="dxa"/>
            <w:tcBorders>
              <w:top w:val="single" w:sz="2" w:space="0" w:color="7F7F7F" w:themeColor="text1" w:themeTint="80"/>
              <w:bottom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p>
        </w:tc>
        <w:tc>
          <w:tcPr>
            <w:tcW w:w="1247" w:type="dxa"/>
            <w:tcBorders>
              <w:top w:val="single" w:sz="2" w:space="0" w:color="7F7F7F" w:themeColor="text1" w:themeTint="80"/>
              <w:bottom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color w:val="000000"/>
                <w:sz w:val="19"/>
                <w:szCs w:val="19"/>
                <w:lang w:eastAsia="en-AU"/>
              </w:rPr>
            </w:pPr>
            <w:r w:rsidRPr="005B5171">
              <w:rPr>
                <w:rFonts w:ascii="Segoe UI" w:eastAsia="Calibri" w:hAnsi="Segoe UI" w:cs="Calibri"/>
                <w:color w:val="000000"/>
                <w:sz w:val="19"/>
                <w:szCs w:val="19"/>
                <w:lang w:eastAsia="en-AU"/>
              </w:rPr>
              <w:t>161,000</w:t>
            </w:r>
          </w:p>
        </w:tc>
      </w:tr>
      <w:tr w:rsidR="005B5171" w:rsidRPr="005B5171" w:rsidTr="000B1EFD">
        <w:trPr>
          <w:trHeight w:val="97"/>
        </w:trPr>
        <w:tc>
          <w:tcPr>
            <w:tcW w:w="3119" w:type="dxa"/>
            <w:tcBorders>
              <w:top w:val="single" w:sz="2" w:space="0" w:color="7F7F7F" w:themeColor="text1" w:themeTint="80"/>
            </w:tcBorders>
            <w:noWrap/>
          </w:tcPr>
          <w:p w:rsidR="005B5171" w:rsidRPr="005B5171" w:rsidRDefault="005B5171" w:rsidP="005B5171">
            <w:pPr>
              <w:spacing w:before="20" w:after="0" w:line="240" w:lineRule="auto"/>
              <w:rPr>
                <w:rFonts w:ascii="Segoe UI" w:eastAsia="Calibri" w:hAnsi="Segoe UI" w:cs="Calibri"/>
                <w:b/>
                <w:sz w:val="19"/>
                <w:szCs w:val="19"/>
                <w:lang w:eastAsia="en-AU"/>
              </w:rPr>
            </w:pPr>
            <w:r w:rsidRPr="005B5171">
              <w:rPr>
                <w:rFonts w:ascii="Segoe UI" w:eastAsia="Calibri" w:hAnsi="Segoe UI" w:cs="Calibri"/>
                <w:b/>
                <w:sz w:val="19"/>
                <w:szCs w:val="19"/>
                <w:lang w:eastAsia="en-AU"/>
              </w:rPr>
              <w:t>Total</w:t>
            </w:r>
          </w:p>
        </w:tc>
        <w:tc>
          <w:tcPr>
            <w:tcW w:w="1247" w:type="dxa"/>
            <w:tcBorders>
              <w:top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5,213,393</w:t>
            </w:r>
          </w:p>
        </w:tc>
        <w:tc>
          <w:tcPr>
            <w:tcW w:w="1247" w:type="dxa"/>
            <w:tcBorders>
              <w:top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5,911,115</w:t>
            </w:r>
          </w:p>
        </w:tc>
        <w:tc>
          <w:tcPr>
            <w:tcW w:w="1247" w:type="dxa"/>
            <w:tcBorders>
              <w:top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4,300,000</w:t>
            </w:r>
          </w:p>
        </w:tc>
        <w:tc>
          <w:tcPr>
            <w:tcW w:w="1247" w:type="dxa"/>
            <w:tcBorders>
              <w:top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8,401,273</w:t>
            </w:r>
          </w:p>
        </w:tc>
        <w:tc>
          <w:tcPr>
            <w:tcW w:w="1247" w:type="dxa"/>
            <w:tcBorders>
              <w:top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4,847,244</w:t>
            </w:r>
          </w:p>
        </w:tc>
        <w:tc>
          <w:tcPr>
            <w:tcW w:w="1247" w:type="dxa"/>
            <w:tcBorders>
              <w:top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5,511,397</w:t>
            </w:r>
          </w:p>
        </w:tc>
        <w:tc>
          <w:tcPr>
            <w:tcW w:w="1247" w:type="dxa"/>
            <w:tcBorders>
              <w:top w:val="single" w:sz="2" w:space="0" w:color="7F7F7F" w:themeColor="text1" w:themeTint="80"/>
            </w:tcBorders>
            <w:noWrap/>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4,926,493</w:t>
            </w:r>
          </w:p>
        </w:tc>
        <w:tc>
          <w:tcPr>
            <w:tcW w:w="1247" w:type="dxa"/>
            <w:tcBorders>
              <w:top w:val="single" w:sz="2" w:space="0" w:color="7F7F7F" w:themeColor="text1" w:themeTint="80"/>
            </w:tcBorders>
          </w:tcPr>
          <w:p w:rsidR="005B5171" w:rsidRPr="005B5171" w:rsidRDefault="005B5171" w:rsidP="005B5171">
            <w:pPr>
              <w:spacing w:before="20" w:after="0" w:line="240" w:lineRule="auto"/>
              <w:jc w:val="right"/>
              <w:rPr>
                <w:rFonts w:ascii="Segoe UI" w:eastAsia="Calibri" w:hAnsi="Segoe UI" w:cs="Calibri"/>
                <w:b/>
                <w:color w:val="000000"/>
                <w:sz w:val="19"/>
                <w:szCs w:val="19"/>
                <w:lang w:eastAsia="en-AU"/>
              </w:rPr>
            </w:pPr>
            <w:r w:rsidRPr="005B5171">
              <w:rPr>
                <w:rFonts w:ascii="Segoe UI" w:eastAsia="Calibri" w:hAnsi="Segoe UI" w:cs="Calibri"/>
                <w:b/>
                <w:color w:val="000000"/>
                <w:sz w:val="19"/>
                <w:szCs w:val="19"/>
                <w:lang w:eastAsia="en-AU"/>
              </w:rPr>
              <w:t>39,110,915</w:t>
            </w:r>
          </w:p>
        </w:tc>
      </w:tr>
    </w:tbl>
    <w:p w:rsidR="005B5171" w:rsidRPr="005B5171" w:rsidRDefault="005B5171" w:rsidP="005B5171">
      <w:pPr>
        <w:spacing w:before="80"/>
        <w:rPr>
          <w:rFonts w:ascii="Segoe UI" w:eastAsia="STZhongsong" w:hAnsi="Segoe UI" w:cs="Segoe UI"/>
          <w:bCs/>
          <w:sz w:val="18"/>
          <w:szCs w:val="18"/>
          <w:lang w:eastAsia="ko-KR"/>
        </w:rPr>
        <w:sectPr w:rsidR="005B5171" w:rsidRPr="005B5171" w:rsidSect="00E63B74">
          <w:pgSz w:w="16838" w:h="11906" w:orient="landscape"/>
          <w:pgMar w:top="1440" w:right="1440" w:bottom="1440" w:left="1440" w:header="709" w:footer="709" w:gutter="0"/>
          <w:cols w:space="708"/>
          <w:docGrid w:linePitch="360"/>
        </w:sectPr>
      </w:pPr>
      <w:r w:rsidRPr="005B5171">
        <w:rPr>
          <w:rFonts w:ascii="Segoe UI" w:eastAsia="STZhongsong" w:hAnsi="Segoe UI" w:cs="Segoe UI"/>
          <w:bCs/>
          <w:sz w:val="18"/>
          <w:szCs w:val="18"/>
          <w:lang w:eastAsia="ko-KR"/>
        </w:rPr>
        <w:t>Data source: DELWP  corporate data</w:t>
      </w:r>
    </w:p>
    <w:p w:rsidR="005B5171" w:rsidRPr="005B5171" w:rsidRDefault="005B5171" w:rsidP="005B5171">
      <w:pPr>
        <w:keepNext/>
        <w:spacing w:before="240" w:after="240" w:line="240" w:lineRule="auto"/>
        <w:outlineLvl w:val="2"/>
        <w:rPr>
          <w:rFonts w:ascii="Segoe UI" w:hAnsi="Segoe UI" w:cs="Segoe UI"/>
          <w:b/>
          <w:color w:val="000000"/>
          <w:sz w:val="24"/>
          <w:szCs w:val="24"/>
          <w:lang w:eastAsia="ja-JP"/>
        </w:rPr>
      </w:pPr>
      <w:bookmarkStart w:id="222" w:name="_Toc30492038"/>
      <w:bookmarkStart w:id="223" w:name="_Toc33002136"/>
      <w:r w:rsidRPr="005B5171">
        <w:rPr>
          <w:rFonts w:ascii="Segoe UI" w:hAnsi="Segoe UI" w:cs="Segoe UI"/>
          <w:b/>
          <w:color w:val="000000"/>
          <w:sz w:val="24"/>
          <w:szCs w:val="24"/>
          <w:lang w:eastAsia="ja-JP"/>
        </w:rPr>
        <w:t>Summary and future management of economic values</w:t>
      </w:r>
      <w:bookmarkEnd w:id="222"/>
      <w:bookmarkEnd w:id="223"/>
    </w:p>
    <w:p w:rsidR="005B5171" w:rsidRPr="005B5171" w:rsidRDefault="005B5171" w:rsidP="005B5171">
      <w:pPr>
        <w:jc w:val="both"/>
        <w:rPr>
          <w:rFonts w:ascii="Segoe UI" w:hAnsi="Segoe UI" w:cs="Segoe UI"/>
        </w:rPr>
      </w:pPr>
      <w:r w:rsidRPr="005B5171">
        <w:rPr>
          <w:rFonts w:ascii="Segoe UI" w:hAnsi="Segoe UI" w:cs="Segoe UI"/>
        </w:rPr>
        <w:t xml:space="preserve">There has been significant change in the structure and management of timber harvesting in the Victorian productive forest estate over the life of the Victorian RFAs. Bushfires, protection of additional areas in response to new threatened species detections, and various policy changes have decreased the area of public forest available for production forestry. </w:t>
      </w:r>
    </w:p>
    <w:p w:rsidR="005B5171" w:rsidRPr="005B5171" w:rsidRDefault="005B5171" w:rsidP="005B5171">
      <w:pPr>
        <w:jc w:val="both"/>
        <w:rPr>
          <w:rFonts w:ascii="Segoe UI" w:hAnsi="Segoe UI" w:cs="Segoe UI"/>
        </w:rPr>
      </w:pPr>
      <w:r w:rsidRPr="005B5171">
        <w:rPr>
          <w:rFonts w:ascii="Segoe UI" w:hAnsi="Segoe UI" w:cs="Segoe UI"/>
        </w:rPr>
        <w:t xml:space="preserve">The area available for timber harvest (net harvestable area) in eastern Victoria reduced from 820,000 hectares at the time of the CRAs to 460,000 hectares in 2017. The decrease in forest area available for harvest has been attributed to the effect of a number of large bushfires and the resulting competition for forest required for species conservation or to protect sensitive vegetation such as rainforests and old-growth forests. The </w:t>
      </w:r>
      <w:proofErr w:type="spellStart"/>
      <w:r w:rsidRPr="005B5171">
        <w:rPr>
          <w:rFonts w:ascii="Segoe UI" w:hAnsi="Segoe UI" w:cs="Segoe UI"/>
        </w:rPr>
        <w:t>VicForests</w:t>
      </w:r>
      <w:proofErr w:type="spellEnd"/>
      <w:r w:rsidRPr="005B5171">
        <w:rPr>
          <w:rFonts w:ascii="Segoe UI" w:hAnsi="Segoe UI" w:cs="Segoe UI"/>
        </w:rPr>
        <w:t xml:space="preserve"> Resource Outlook illustrates the reduction in resource availability over time.</w:t>
      </w:r>
    </w:p>
    <w:p w:rsidR="005B5171" w:rsidRPr="005B5171" w:rsidRDefault="005B5171" w:rsidP="005B5171">
      <w:pPr>
        <w:jc w:val="both"/>
        <w:rPr>
          <w:rFonts w:ascii="Segoe UI" w:hAnsi="Segoe UI" w:cs="Segoe UI"/>
        </w:rPr>
      </w:pPr>
      <w:r w:rsidRPr="005B5171">
        <w:rPr>
          <w:rFonts w:ascii="Segoe UI" w:hAnsi="Segoe UI" w:cs="Segoe UI"/>
        </w:rPr>
        <w:t xml:space="preserve">With harvesting significantly reduced in the West Victorian RFA region following the cessation of commercial harvesting operations in the Otway Ranges in 2008, the total area available and suitable for timber harvesting has more than halved since the commencement of the RFAs. </w:t>
      </w:r>
    </w:p>
    <w:p w:rsidR="005B5171" w:rsidRPr="005B5171" w:rsidRDefault="005B5171" w:rsidP="005B5171">
      <w:pPr>
        <w:jc w:val="both"/>
        <w:rPr>
          <w:rFonts w:ascii="Segoe UI" w:hAnsi="Segoe UI" w:cs="Segoe UI"/>
        </w:rPr>
      </w:pPr>
      <w:r w:rsidRPr="005B5171">
        <w:rPr>
          <w:rFonts w:ascii="Segoe UI" w:hAnsi="Segoe UI" w:cs="Segoe UI"/>
        </w:rPr>
        <w:t>The volume of timber from native forests has also decreased over the period of the Victorian RFAs. The volume of D+ sawlogs harvested from eastern Victoria RFA regions decreased from 532,300 cubic metres in 2004–05 to 230,800 cubic metres in 2018–19. Pulpwood production has decreased at a similar rate to sawlog production since 2004–05. However, the production of other products, such as low-grade logs, has increased. Since 2005 the Central Highlands RFA region has accounted for approximately 75 per cent of all harvested volume from State forests.</w:t>
      </w:r>
    </w:p>
    <w:p w:rsidR="005B5171" w:rsidRPr="005B5171" w:rsidRDefault="005B5171" w:rsidP="005B5171">
      <w:pPr>
        <w:jc w:val="both"/>
        <w:rPr>
          <w:rFonts w:ascii="Segoe UI" w:hAnsi="Segoe UI" w:cs="Segoe UI"/>
        </w:rPr>
      </w:pPr>
      <w:r w:rsidRPr="005B5171">
        <w:rPr>
          <w:rFonts w:ascii="Segoe UI" w:hAnsi="Segoe UI" w:cs="Segoe UI"/>
        </w:rPr>
        <w:t xml:space="preserve">As of 2015 there were 421,000 hectares of plantation forest in the five Victorian RFA regions. This comprises 222,000 hectares of softwood, 199,000 hectares of hardwood and 1,000 hectares of unknown or mixed species plantations. The area of softwood plantation has remained fairly stable, rising from 212,000 hectares in 1999–2000 to 226,000 in 2016–17; however, the area of hardwood plantation has increased significantly over the period of the RFAs, largely due to MISs in the early 2000s when the hardwood plantation area grew from 101,500 hectares in 1999–2000 to its peak of 203,000 hectares in 2010–11. Hardwood plantation area has not increased since the demise of the MIS in 2010–11, and it has declined where plantations established as part of the MIS in marginal areas were not replanted. No new hardwood plantation areas have been established since 2012–13. </w:t>
      </w:r>
    </w:p>
    <w:p w:rsidR="005B5171" w:rsidRPr="005B5171" w:rsidRDefault="005B5171" w:rsidP="005B5171">
      <w:pPr>
        <w:jc w:val="both"/>
        <w:rPr>
          <w:rFonts w:ascii="Segoe UI" w:hAnsi="Segoe UI" w:cs="Segoe UI"/>
        </w:rPr>
      </w:pPr>
      <w:r w:rsidRPr="005B5171">
        <w:rPr>
          <w:rFonts w:ascii="Segoe UI" w:hAnsi="Segoe UI" w:cs="Segoe UI"/>
        </w:rPr>
        <w:t>The volume of wood harvested from Victorian plantation forests has increased significantly over the last 10 years, largely driven by the maturation of hardwood plantations managed for pulp logs. The gross output value of Victoria’s plantation timber harvest was $604 million in 2017–18, derived from harvest of 7.8 million cubic metres of plantation timber, of which 46 per cent was hardwood and 54 per cent softwood. In support of the plantation industry, in 2017–18 the Victorian Government committed $110 million to develop 550 hectares of plantation forest in the Latrobe Valley.</w:t>
      </w:r>
    </w:p>
    <w:p w:rsidR="005B5171" w:rsidRPr="005B5171" w:rsidRDefault="005B5171" w:rsidP="005B5171">
      <w:pPr>
        <w:jc w:val="both"/>
        <w:rPr>
          <w:rFonts w:ascii="Segoe UI" w:hAnsi="Segoe UI" w:cs="Segoe UI"/>
        </w:rPr>
      </w:pPr>
      <w:r w:rsidRPr="005B5171">
        <w:rPr>
          <w:rFonts w:ascii="Segoe UI" w:hAnsi="Segoe UI" w:cs="Segoe UI"/>
        </w:rPr>
        <w:t xml:space="preserve">The Victorian Government makes available approximately 45,000 cubic metres of firewood from State forests in the RFA regions each year. </w:t>
      </w:r>
      <w:proofErr w:type="spellStart"/>
      <w:r w:rsidRPr="005B5171">
        <w:rPr>
          <w:rFonts w:ascii="Segoe UI" w:hAnsi="Segoe UI" w:cs="Segoe UI"/>
        </w:rPr>
        <w:t>VicForests</w:t>
      </w:r>
      <w:proofErr w:type="spellEnd"/>
      <w:r w:rsidRPr="005B5171">
        <w:rPr>
          <w:rFonts w:ascii="Segoe UI" w:hAnsi="Segoe UI" w:cs="Segoe UI"/>
        </w:rPr>
        <w:t xml:space="preserve"> also produces firewood for sale, and together this provides the primary source of heating for 10 per cent of all Victorian households and 25 per cent of regional Victorian households. </w:t>
      </w:r>
    </w:p>
    <w:p w:rsidR="005B5171" w:rsidRPr="005B5171" w:rsidRDefault="005B5171" w:rsidP="005B5171">
      <w:pPr>
        <w:jc w:val="both"/>
        <w:rPr>
          <w:rFonts w:ascii="Segoe UI" w:hAnsi="Segoe UI" w:cs="Segoe UI"/>
        </w:rPr>
      </w:pPr>
      <w:r w:rsidRPr="005B5171">
        <w:rPr>
          <w:rFonts w:ascii="Segoe UI" w:hAnsi="Segoe UI" w:cs="Segoe UI"/>
        </w:rPr>
        <w:t xml:space="preserve">Victoria’s publicly owned native forests are available for a range of uses, including recreation, non-wood forest products, provision of ecosystem services, sequestration of carbon and research. The tourism and recreation sector is estimated to contribute $450 million to the economy each year within national parks alone. </w:t>
      </w:r>
    </w:p>
    <w:p w:rsidR="005B5171" w:rsidRPr="005B5171" w:rsidRDefault="005B5171" w:rsidP="005B5171">
      <w:pPr>
        <w:jc w:val="both"/>
        <w:rPr>
          <w:rFonts w:ascii="Segoe UI" w:hAnsi="Segoe UI" w:cs="Segoe UI"/>
        </w:rPr>
      </w:pPr>
      <w:r w:rsidRPr="005B5171">
        <w:rPr>
          <w:rFonts w:ascii="Segoe UI" w:hAnsi="Segoe UI" w:cs="Segoe UI"/>
        </w:rPr>
        <w:t xml:space="preserve">Forest contributions to other ecosystem services provide considerable value, particularly for Melbourne’s reservoirs and the broader effect on water quality regulation. Similarly, climate mitigation and carbon sequestration, along with pollination services, air quality regulation and pest and disease control, are all reliant on healthy forests. These will continue to be important components of the broader services provided by forests in Victoria. Forests, both those in reserves and those currently managed for timber production, are becoming increasingly important elements of the visitor economy. </w:t>
      </w:r>
    </w:p>
    <w:p w:rsidR="005B5171" w:rsidRPr="005B5171" w:rsidRDefault="005B5171" w:rsidP="005B5171">
      <w:pPr>
        <w:jc w:val="both"/>
        <w:rPr>
          <w:rFonts w:ascii="Segoe UI" w:hAnsi="Segoe UI" w:cs="Segoe UI"/>
        </w:rPr>
      </w:pPr>
      <w:r w:rsidRPr="005B5171">
        <w:rPr>
          <w:rFonts w:ascii="Segoe UI" w:hAnsi="Segoe UI" w:cs="Segoe UI"/>
        </w:rPr>
        <w:t xml:space="preserve">Investment and expenditure on forest management in Victoria’s RFA regions is ongoing and is strongly influenced by market conditions. Investment in R&amp;D is returned in improved understanding of forests and better forest management. </w:t>
      </w:r>
    </w:p>
    <w:p w:rsidR="005B5171" w:rsidRPr="005B5171" w:rsidRDefault="005B5171" w:rsidP="005B5171">
      <w:pPr>
        <w:shd w:val="clear" w:color="auto" w:fill="FFFFFF"/>
        <w:spacing w:after="100" w:afterAutospacing="1" w:line="240" w:lineRule="auto"/>
        <w:jc w:val="both"/>
        <w:rPr>
          <w:rFonts w:ascii="Segoe UI" w:eastAsia="Times New Roman" w:hAnsi="Segoe UI" w:cs="Segoe UI"/>
          <w:lang w:eastAsia="en-AU"/>
        </w:rPr>
      </w:pPr>
      <w:r w:rsidRPr="005B5171">
        <w:rPr>
          <w:rFonts w:ascii="Segoe UI" w:hAnsi="Segoe UI" w:cs="Segoe UI"/>
        </w:rPr>
        <w:t>On 7 November 2019, the Victorian Government announced a $120 million Native Forest Transition Package to support Victoria’s forest industry to move away from native timber</w:t>
      </w:r>
      <w:r w:rsidRPr="005B5171">
        <w:rPr>
          <w:rFonts w:ascii="Segoe UI" w:hAnsi="Segoe UI" w:cs="Segoe UI"/>
          <w:spacing w:val="-5"/>
          <w:shd w:val="clear" w:color="auto" w:fill="FFFFFF"/>
        </w:rPr>
        <w:t xml:space="preserve"> by 2030.</w:t>
      </w:r>
      <w:r w:rsidRPr="005B5171">
        <w:rPr>
          <w:rFonts w:ascii="Segoe UI" w:eastAsia="Times New Roman" w:hAnsi="Segoe UI" w:cs="Segoe UI"/>
          <w:lang w:eastAsia="en-AU"/>
        </w:rPr>
        <w:t xml:space="preserve"> The announcement represented the largest area of native forest protected from timber harvesting in more than 20 years with the immediate protection of all remaining old growth forest and more than 96,000 hectares of State forest inhabited by Greater Gliders, Leadbeater’s Possum and other threatened species. </w:t>
      </w:r>
    </w:p>
    <w:p w:rsidR="005B5171" w:rsidRPr="005B5171" w:rsidRDefault="005B5171" w:rsidP="005B5171">
      <w:pPr>
        <w:shd w:val="clear" w:color="auto" w:fill="FFFFFF"/>
        <w:spacing w:after="100" w:afterAutospacing="1" w:line="240" w:lineRule="auto"/>
        <w:jc w:val="both"/>
        <w:rPr>
          <w:rFonts w:ascii="Segoe UI" w:hAnsi="Segoe UI" w:cs="Segoe UI"/>
        </w:rPr>
      </w:pPr>
      <w:r w:rsidRPr="005B5171">
        <w:rPr>
          <w:rFonts w:ascii="Segoe UI" w:hAnsi="Segoe UI" w:cs="Segoe UI"/>
        </w:rPr>
        <w:t xml:space="preserve">Modernised and extended Victorian RFAs will provide regulatory certainty to the timber industry to 2030 while it makes this transition. </w:t>
      </w:r>
    </w:p>
    <w:p w:rsidR="005B5171" w:rsidRPr="005B5171" w:rsidRDefault="005B5171" w:rsidP="005B5171">
      <w:pPr>
        <w:jc w:val="both"/>
        <w:rPr>
          <w:rFonts w:ascii="Segoe UI" w:hAnsi="Segoe UI" w:cs="Segoe UI"/>
        </w:rPr>
      </w:pPr>
      <w:r w:rsidRPr="005B5171">
        <w:rPr>
          <w:rFonts w:ascii="Segoe UI" w:hAnsi="Segoe UI" w:cs="Segoe UI"/>
        </w:rPr>
        <w:t xml:space="preserve">Over the coming years, it is expected that a number of new forest industries will emerge, including growth in markets for nature-based and cultural tourism, carbon sequestration, biomass, wood pellets and engineered products. </w:t>
      </w:r>
    </w:p>
    <w:p w:rsidR="0002695E" w:rsidRPr="005B5171" w:rsidRDefault="0002695E" w:rsidP="005B5171">
      <w:pPr>
        <w:jc w:val="both"/>
        <w:rPr>
          <w:rFonts w:ascii="Segoe UI" w:hAnsi="Segoe UI" w:cs="Segoe UI"/>
        </w:rPr>
      </w:pPr>
    </w:p>
    <w:sectPr w:rsidR="0002695E" w:rsidRPr="005B5171" w:rsidSect="005B51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5171" w:rsidRDefault="005B5171" w:rsidP="005B5171">
      <w:pPr>
        <w:spacing w:after="0" w:line="240" w:lineRule="auto"/>
      </w:pPr>
      <w:r>
        <w:separator/>
      </w:r>
    </w:p>
  </w:endnote>
  <w:endnote w:type="continuationSeparator" w:id="0">
    <w:p w:rsidR="005B5171" w:rsidRDefault="005B5171" w:rsidP="005B5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TZhongsong">
    <w:charset w:val="86"/>
    <w:family w:val="auto"/>
    <w:pitch w:val="variable"/>
    <w:sig w:usb0="00000287" w:usb1="080F0000" w:usb2="00000010" w:usb3="00000000" w:csb0="0004009F" w:csb1="00000000"/>
  </w:font>
  <w:font w:name="Majalla UI">
    <w:altName w:val="Times New Roman"/>
    <w:panose1 w:val="00000000000000000000"/>
    <w:charset w:val="00"/>
    <w:family w:val="roman"/>
    <w:notTrueType/>
    <w:pitch w:val="default"/>
  </w:font>
  <w:font w:name="Gill Sans MT">
    <w:altName w:val="Segoe UI"/>
    <w:panose1 w:val="020B0502020104020203"/>
    <w:charset w:val="00"/>
    <w:family w:val="swiss"/>
    <w:pitch w:val="variable"/>
    <w:sig w:usb0="00000007" w:usb1="00000000" w:usb2="00000000" w:usb3="00000000" w:csb0="00000003" w:csb1="00000000"/>
  </w:font>
  <w:font w:name="Microsoft JhengHei UI Light">
    <w:panose1 w:val="020B0304030504040204"/>
    <w:charset w:val="88"/>
    <w:family w:val="swiss"/>
    <w:pitch w:val="variable"/>
    <w:sig w:usb0="800002A7" w:usb1="28CF4400" w:usb2="00000016" w:usb3="00000000" w:csb0="00100009" w:csb1="00000000"/>
  </w:font>
  <w:font w:name="Segoe UI Light">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Univers 55">
    <w:altName w:val="Calibri"/>
    <w:panose1 w:val="00000000000000000000"/>
    <w:charset w:val="00"/>
    <w:family w:val="swiss"/>
    <w:notTrueType/>
    <w:pitch w:val="default"/>
    <w:sig w:usb0="00000003" w:usb1="00000000" w:usb2="00000000" w:usb3="00000000" w:csb0="00000001" w:csb1="00000000"/>
  </w:font>
  <w:font w:name="AGaramond">
    <w:altName w:val="Cambria"/>
    <w:panose1 w:val="00000000000000000000"/>
    <w:charset w:val="00"/>
    <w:family w:val="roman"/>
    <w:notTrueType/>
    <w:pitch w:val="default"/>
    <w:sig w:usb0="00000003" w:usb1="00000000" w:usb2="00000000" w:usb3="00000000" w:csb0="00000001" w:csb1="00000000"/>
  </w:font>
  <w:font w:name="FS Me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Chiller">
    <w:panose1 w:val="040204040310070206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4768674"/>
      <w:docPartObj>
        <w:docPartGallery w:val="Page Numbers (Bottom of Page)"/>
        <w:docPartUnique/>
      </w:docPartObj>
    </w:sdtPr>
    <w:sdtEndPr>
      <w:rPr>
        <w:noProof/>
      </w:rPr>
    </w:sdtEndPr>
    <w:sdtContent>
      <w:p w:rsidR="005B5171" w:rsidRDefault="005B51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B5171" w:rsidRDefault="005B51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2357042"/>
      <w:docPartObj>
        <w:docPartGallery w:val="Page Numbers (Bottom of Page)"/>
        <w:docPartUnique/>
      </w:docPartObj>
    </w:sdtPr>
    <w:sdtEndPr>
      <w:rPr>
        <w:noProof/>
      </w:rPr>
    </w:sdtEndPr>
    <w:sdtContent>
      <w:p w:rsidR="005B5171" w:rsidRDefault="005B51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B5171" w:rsidRPr="007637C5" w:rsidRDefault="005B5171" w:rsidP="007637C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5171" w:rsidRDefault="005B5171" w:rsidP="005B5171">
      <w:pPr>
        <w:spacing w:after="0" w:line="240" w:lineRule="auto"/>
      </w:pPr>
      <w:r>
        <w:separator/>
      </w:r>
    </w:p>
  </w:footnote>
  <w:footnote w:type="continuationSeparator" w:id="0">
    <w:p w:rsidR="005B5171" w:rsidRDefault="005B5171" w:rsidP="005B5171">
      <w:pPr>
        <w:spacing w:after="0" w:line="240" w:lineRule="auto"/>
      </w:pPr>
      <w:r>
        <w:continuationSeparator/>
      </w:r>
    </w:p>
  </w:footnote>
  <w:footnote w:id="1">
    <w:p w:rsidR="005B5171" w:rsidRPr="00BC219D" w:rsidRDefault="005B5171" w:rsidP="005B5171">
      <w:pPr>
        <w:pStyle w:val="xFootnotes"/>
      </w:pPr>
      <w:r w:rsidRPr="00BC219D">
        <w:rPr>
          <w:rStyle w:val="FootnoteReference"/>
        </w:rPr>
        <w:footnoteRef/>
      </w:r>
      <w:r>
        <w:t xml:space="preserve"> </w:t>
      </w:r>
      <w:r>
        <w:tab/>
      </w:r>
      <w:hyperlink r:id="rId1" w:history="1">
        <w:r w:rsidRPr="00BC219D">
          <w:rPr>
            <w:rStyle w:val="Hyperlink"/>
          </w:rPr>
          <w:t>data.daff.gov.au/data/warehouse/aplnsd9ablf002/aplnsd9ablf201608/AustPlantationStats_2016_v.1.0.0.pdf</w:t>
        </w:r>
      </w:hyperlink>
    </w:p>
  </w:footnote>
  <w:footnote w:id="2">
    <w:p w:rsidR="005B5171" w:rsidRDefault="005B5171" w:rsidP="005B5171">
      <w:pPr>
        <w:pStyle w:val="xFootnotes"/>
      </w:pPr>
      <w:r w:rsidRPr="00BC219D">
        <w:rPr>
          <w:rStyle w:val="FootnoteReference"/>
        </w:rPr>
        <w:footnoteRef/>
      </w:r>
      <w:r>
        <w:t xml:space="preserve"> </w:t>
      </w:r>
      <w:r>
        <w:tab/>
      </w:r>
      <w:hyperlink r:id="rId2" w:history="1">
        <w:r w:rsidRPr="00BC219D">
          <w:rPr>
            <w:rStyle w:val="Hyperlink"/>
          </w:rPr>
          <w:t>agriculture.gov.au/SiteCollectionDocuments/abares/publications/AustPlantationStats_2019_v.1.0.0.pdf</w:t>
        </w:r>
      </w:hyperlink>
    </w:p>
  </w:footnote>
  <w:footnote w:id="3">
    <w:p w:rsidR="005B5171" w:rsidRPr="008B0BD8" w:rsidRDefault="005B5171" w:rsidP="005B5171">
      <w:pPr>
        <w:pStyle w:val="xFootnotes"/>
      </w:pPr>
      <w:r w:rsidRPr="00E63B74">
        <w:footnoteRef/>
      </w:r>
      <w:r w:rsidRPr="008B0BD8">
        <w:t xml:space="preserve"> </w:t>
      </w:r>
      <w:r>
        <w:tab/>
      </w:r>
      <w:r w:rsidRPr="008B0BD8">
        <w:t>VicForests http://www.vicforests.com.au/planning-1/resource-outlook-2017, viewed 2 August 2019</w:t>
      </w:r>
    </w:p>
    <w:p w:rsidR="005B5171" w:rsidRDefault="005B5171" w:rsidP="005B5171">
      <w:pPr>
        <w:pStyle w:val="FootnoteText"/>
      </w:pPr>
    </w:p>
  </w:footnote>
  <w:footnote w:id="4">
    <w:p w:rsidR="005B5171" w:rsidRPr="00291EA4" w:rsidRDefault="005B5171" w:rsidP="005B5171">
      <w:pPr>
        <w:pStyle w:val="xFootnotes"/>
      </w:pPr>
      <w:r w:rsidRPr="00E63B74">
        <w:footnoteRef/>
      </w:r>
      <w:r w:rsidRPr="00291EA4">
        <w:t xml:space="preserve"> </w:t>
      </w:r>
      <w:r>
        <w:tab/>
      </w:r>
      <w:r w:rsidRPr="00291EA4">
        <w:t xml:space="preserve">Protected Flora list </w:t>
      </w:r>
      <w:hyperlink r:id="rId3" w:history="1">
        <w:r w:rsidRPr="00291EA4">
          <w:rPr>
            <w:rStyle w:val="Hyperlink"/>
          </w:rPr>
          <w:t>https://www.environment.vic.gov.au/__data/assets/pdf_file/0011/50420/201706-FFG-protected-flora-list.pdf</w:t>
        </w:r>
      </w:hyperlink>
    </w:p>
    <w:p w:rsidR="005B5171" w:rsidRPr="004E14CA" w:rsidRDefault="005B5171" w:rsidP="005B5171">
      <w:pPr>
        <w:pStyle w:val="FootnoteText"/>
      </w:pPr>
    </w:p>
  </w:footnote>
  <w:footnote w:id="5">
    <w:p w:rsidR="005B5171" w:rsidRPr="0057613E" w:rsidRDefault="005B5171" w:rsidP="005B5171">
      <w:pPr>
        <w:pStyle w:val="xFootnotes"/>
      </w:pPr>
      <w:r w:rsidRPr="0057613E">
        <w:footnoteRef/>
      </w:r>
      <w:r>
        <w:tab/>
      </w:r>
      <w:r w:rsidRPr="0057613E">
        <w:t>Note that harvest volumes in a year do not align with sales volumes and therefore stumpage revenue in any year due to the influence of placing timber in storage for later sale.</w:t>
      </w:r>
    </w:p>
  </w:footnote>
  <w:footnote w:id="6">
    <w:p w:rsidR="005B5171" w:rsidRPr="002F0712" w:rsidRDefault="005B5171" w:rsidP="005B5171">
      <w:pPr>
        <w:pStyle w:val="xFootnotes"/>
      </w:pPr>
      <w:r w:rsidRPr="002F0712">
        <w:footnoteRef/>
      </w:r>
      <w:r>
        <w:tab/>
      </w:r>
      <w:r>
        <w:t xml:space="preserve">VicForests ‘Fact sheet: Commercial firewood sales’, available at: </w:t>
      </w:r>
      <w:hyperlink r:id="rId4" w:history="1">
        <w:r w:rsidRPr="00837F10">
          <w:rPr>
            <w:rStyle w:val="Hyperlink"/>
          </w:rPr>
          <w:t>http://www.vicforests.com.au/static/uploads/files/vicforests-firewood-fact-sheet-wfjpybkftntp.pdf</w:t>
        </w:r>
      </w:hyperlink>
      <w:r>
        <w:t xml:space="preserve"> </w:t>
      </w:r>
    </w:p>
  </w:footnote>
  <w:footnote w:id="7">
    <w:p w:rsidR="005B5171" w:rsidRPr="00642745" w:rsidRDefault="005B5171" w:rsidP="005B5171">
      <w:pPr>
        <w:pStyle w:val="FootnoteText"/>
      </w:pPr>
    </w:p>
  </w:footnote>
  <w:footnote w:id="8">
    <w:p w:rsidR="005B5171" w:rsidRDefault="005B5171" w:rsidP="005B5171">
      <w:pPr>
        <w:pStyle w:val="xFootnotes"/>
      </w:pPr>
      <w:r w:rsidRPr="00E63B74">
        <w:footnoteRef/>
      </w:r>
      <w:r>
        <w:tab/>
        <w:t>Regulated systems are</w:t>
      </w:r>
      <w:r w:rsidRPr="008554FA">
        <w:t xml:space="preserve"> water system</w:t>
      </w:r>
      <w:r>
        <w:t>s</w:t>
      </w:r>
      <w:r w:rsidRPr="008554FA">
        <w:t xml:space="preserve"> where the flow of the river is regulated through the operation of major storages or weirs to secure water supplies. </w:t>
      </w:r>
      <w:r>
        <w:t>Unregulated systems are</w:t>
      </w:r>
      <w:r w:rsidRPr="000F2ECD">
        <w:t xml:space="preserve"> river system</w:t>
      </w:r>
      <w:r>
        <w:t>s</w:t>
      </w:r>
      <w:r w:rsidRPr="000F2ECD">
        <w:t xml:space="preserve"> where no major dams or weir structures have been built to regulate the supply, or extraction, of water for consumptive use.</w:t>
      </w:r>
    </w:p>
  </w:footnote>
  <w:footnote w:id="9">
    <w:p w:rsidR="005B5171" w:rsidRPr="00FB2652" w:rsidRDefault="005B5171" w:rsidP="005B5171">
      <w:pPr>
        <w:pStyle w:val="xFootnotes"/>
        <w:ind w:left="0" w:firstLine="0"/>
      </w:pPr>
      <w:r w:rsidRPr="00FB2652">
        <w:footnoteRef/>
      </w:r>
      <w:r>
        <w:t xml:space="preserve"> </w:t>
      </w:r>
      <w:r>
        <w:tab/>
        <w:t xml:space="preserve">Department of Environment, Land, Water and Planning dataset: </w:t>
      </w:r>
      <w:r w:rsidRPr="00A132B1">
        <w:t xml:space="preserve">Crown </w:t>
      </w:r>
      <w:r>
        <w:t>l</w:t>
      </w:r>
      <w:r w:rsidRPr="00A132B1">
        <w:t xml:space="preserve">and </w:t>
      </w:r>
      <w:r>
        <w:t>t</w:t>
      </w:r>
      <w:r w:rsidRPr="00A132B1">
        <w:t xml:space="preserve">enure - </w:t>
      </w:r>
      <w:r>
        <w:t>g</w:t>
      </w:r>
      <w:r w:rsidRPr="00A132B1">
        <w:t xml:space="preserve">eneral </w:t>
      </w:r>
      <w:r>
        <w:t>l</w:t>
      </w:r>
      <w:r w:rsidRPr="00A132B1">
        <w:t>icences</w:t>
      </w:r>
    </w:p>
  </w:footnote>
  <w:footnote w:id="10">
    <w:p w:rsidR="005B5171" w:rsidRPr="007752CD" w:rsidRDefault="005B5171" w:rsidP="005B5171">
      <w:pPr>
        <w:pStyle w:val="xFootnotes"/>
      </w:pPr>
      <w:r w:rsidRPr="00264975">
        <w:footnoteRef/>
      </w:r>
      <w:r w:rsidRPr="00264975">
        <w:tab/>
      </w:r>
      <w:r w:rsidRPr="00D95678">
        <w:t>Department of Environment, Land, Water and Planning</w:t>
      </w:r>
      <w:r>
        <w:t xml:space="preserve"> d</w:t>
      </w:r>
      <w:r w:rsidRPr="00D95678">
        <w:t xml:space="preserve">ataset: Apiary rights and bee farm and range </w:t>
      </w:r>
      <w:r w:rsidRPr="00AE3B81">
        <w:t>licen</w:t>
      </w:r>
      <w:r>
        <w:t>ces</w:t>
      </w:r>
      <w:r w:rsidRPr="00D95678">
        <w:t xml:space="preserve">  </w:t>
      </w:r>
    </w:p>
  </w:footnote>
  <w:footnote w:id="11">
    <w:p w:rsidR="005B5171" w:rsidRDefault="005B5171" w:rsidP="005B5171">
      <w:pPr>
        <w:pStyle w:val="xFootnotes"/>
      </w:pPr>
      <w:r w:rsidRPr="00E63B74">
        <w:footnoteRef/>
      </w:r>
      <w:r w:rsidRPr="0061773F">
        <w:t xml:space="preserve"> </w:t>
      </w:r>
      <w:r>
        <w:tab/>
      </w:r>
      <w:r w:rsidRPr="001114F0">
        <w:t xml:space="preserve">The purpose of a mining licence is to undertake mining and activities leading to or ancillary to mining. While exploration can be undertaken on a mining licence, </w:t>
      </w:r>
      <w:r>
        <w:t>‘‘</w:t>
      </w:r>
      <w:r w:rsidRPr="001114F0">
        <w:t>exploration only</w:t>
      </w:r>
      <w:r>
        <w:t>’</w:t>
      </w:r>
      <w:r w:rsidRPr="001114F0">
        <w:t xml:space="preserve"> will only be permitted in very limited circumstances. These circumstances include a temporary mine closure, during which further exploration is undertaken to identify mineral resources required to recommence mining.</w:t>
      </w:r>
    </w:p>
  </w:footnote>
  <w:footnote w:id="12">
    <w:p w:rsidR="005B5171" w:rsidRDefault="005B5171" w:rsidP="005B5171">
      <w:pPr>
        <w:pStyle w:val="xFootnotes"/>
      </w:pPr>
      <w:r w:rsidRPr="00E63B74">
        <w:footnoteRef/>
      </w:r>
      <w:r>
        <w:tab/>
        <w:t xml:space="preserve">Victoria has 12 tourism regions which form the bases of the National Visitor Survey and International Visitor Survey published by Tourism Research Australia.  </w:t>
      </w:r>
    </w:p>
  </w:footnote>
  <w:footnote w:id="13">
    <w:p w:rsidR="005B5171" w:rsidRPr="009E2FC4" w:rsidRDefault="005B5171" w:rsidP="005B5171">
      <w:pPr>
        <w:pStyle w:val="xFootnotes"/>
      </w:pPr>
      <w:r w:rsidRPr="00E63B74">
        <w:footnoteRef/>
      </w:r>
      <w:r>
        <w:tab/>
      </w:r>
      <w:r w:rsidRPr="00FC4E9E">
        <w:t>1 tonne of carbon = 3.664 tonnes of carbon dioxide equivalent. See Department of the Environment and Energy 2017</w:t>
      </w:r>
      <w:r>
        <w:t xml:space="preserve">. </w:t>
      </w:r>
    </w:p>
  </w:footnote>
  <w:footnote w:id="14">
    <w:p w:rsidR="005B5171" w:rsidRDefault="005B5171" w:rsidP="005B5171">
      <w:pPr>
        <w:pStyle w:val="xFootnotes"/>
        <w:rPr>
          <w:lang w:eastAsia="en-AU"/>
        </w:rPr>
      </w:pPr>
      <w:r w:rsidRPr="00E63B74">
        <w:footnoteRef/>
      </w:r>
      <w:r>
        <w:t xml:space="preserve">  Note that there is a gap in the dataset, with data unavailable for 1999, 2000, 2001 and 2002.  </w:t>
      </w:r>
    </w:p>
  </w:footnote>
  <w:footnote w:id="15">
    <w:p w:rsidR="005B5171" w:rsidRPr="000D28E3" w:rsidRDefault="005B5171" w:rsidP="005B5171">
      <w:pPr>
        <w:pStyle w:val="xFootnotes"/>
      </w:pPr>
      <w:r w:rsidRPr="00E63B74">
        <w:footnoteRef/>
      </w:r>
      <w:r>
        <w:tab/>
      </w:r>
      <w:r w:rsidRPr="000D28E3">
        <w:t xml:space="preserve">World </w:t>
      </w:r>
      <w:r w:rsidRPr="000D28E3">
        <w:t>BankBank Carbon Pricing Dashboard</w:t>
      </w:r>
      <w:r>
        <w:t xml:space="preserve">: </w:t>
      </w:r>
      <w:hyperlink r:id="rId5" w:history="1">
        <w:r w:rsidRPr="00E53E56">
          <w:rPr>
            <w:rStyle w:val="Hyperlink"/>
          </w:rPr>
          <w:t>http://carbonpricingdashboard.worldbank.org/map_data</w:t>
        </w:r>
      </w:hyperlink>
      <w:r>
        <w:t xml:space="preserve"> </w:t>
      </w:r>
    </w:p>
  </w:footnote>
  <w:footnote w:id="16">
    <w:p w:rsidR="005B5171" w:rsidRPr="00BE7272" w:rsidRDefault="005B5171" w:rsidP="005B5171">
      <w:pPr>
        <w:pStyle w:val="xFootnotes"/>
      </w:pPr>
      <w:r w:rsidRPr="00A247BF">
        <w:footnoteRef/>
      </w:r>
      <w:r w:rsidRPr="00BE7272">
        <w:tab/>
        <w:t xml:space="preserve">The </w:t>
      </w:r>
      <w:r>
        <w:t xml:space="preserve">DoEEDoEE </w:t>
      </w:r>
      <w:r w:rsidRPr="00BE7272">
        <w:t xml:space="preserve">publishes National Pollution Inventory data which includes emissions to the atmosphere.   </w:t>
      </w:r>
    </w:p>
  </w:footnote>
  <w:footnote w:id="17">
    <w:p w:rsidR="005B5171" w:rsidRPr="00B64ACB" w:rsidRDefault="005B5171" w:rsidP="005B5171">
      <w:pPr>
        <w:pStyle w:val="xFootnotes"/>
      </w:pPr>
      <w:r w:rsidRPr="00E63B74">
        <w:footnoteRef/>
      </w:r>
      <w:r w:rsidRPr="00B64ACB">
        <w:tab/>
        <w:t xml:space="preserve">See </w:t>
      </w:r>
      <w:hyperlink r:id="rId6" w:history="1">
        <w:r w:rsidRPr="00BE7272">
          <w:rPr>
            <w:rStyle w:val="Hyperlink"/>
          </w:rPr>
          <w:t>https://parkweb.vic.gov.au/park-management/environment/research-and-scientific-management/research/research-partners-program</w:t>
        </w:r>
      </w:hyperlink>
      <w:r w:rsidRPr="00B64AC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171" w:rsidRDefault="005B51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171" w:rsidRDefault="005B51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FFB68480"/>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D37482A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D1007D6E"/>
    <w:lvl w:ilvl="0">
      <w:start w:val="1"/>
      <w:numFmt w:val="decimal"/>
      <w:pStyle w:val="ListNumber"/>
      <w:lvlText w:val="%1."/>
      <w:lvlJc w:val="left"/>
      <w:pPr>
        <w:tabs>
          <w:tab w:val="num" w:pos="360"/>
        </w:tabs>
        <w:ind w:left="360" w:hanging="360"/>
      </w:pPr>
    </w:lvl>
  </w:abstractNum>
  <w:abstractNum w:abstractNumId="4" w15:restartNumberingAfterBreak="0">
    <w:nsid w:val="FFFFFFFE"/>
    <w:multiLevelType w:val="singleLevel"/>
    <w:tmpl w:val="FFFFFFFF"/>
    <w:lvl w:ilvl="0">
      <w:numFmt w:val="decimal"/>
      <w:pStyle w:val="lastdot"/>
      <w:lvlText w:val="*"/>
      <w:lvlJc w:val="left"/>
    </w:lvl>
  </w:abstractNum>
  <w:abstractNum w:abstractNumId="5" w15:restartNumberingAfterBreak="0">
    <w:nsid w:val="06E51DBD"/>
    <w:multiLevelType w:val="multilevel"/>
    <w:tmpl w:val="46C45934"/>
    <w:styleLink w:val="NRCListBullets"/>
    <w:lvl w:ilvl="0">
      <w:start w:val="1"/>
      <w:numFmt w:val="bullet"/>
      <w:pStyle w:val="Bullets"/>
      <w:lvlText w:val=""/>
      <w:lvlJc w:val="left"/>
      <w:pPr>
        <w:tabs>
          <w:tab w:val="num" w:pos="567"/>
        </w:tabs>
        <w:ind w:left="567" w:hanging="567"/>
      </w:pPr>
      <w:rPr>
        <w:rFonts w:ascii="Wingdings" w:hAnsi="Wingdings" w:hint="default"/>
        <w:sz w:val="20"/>
      </w:rPr>
    </w:lvl>
    <w:lvl w:ilvl="1">
      <w:start w:val="1"/>
      <w:numFmt w:val="bullet"/>
      <w:lvlText w:val="-"/>
      <w:lvlJc w:val="left"/>
      <w:pPr>
        <w:tabs>
          <w:tab w:val="num" w:pos="1134"/>
        </w:tabs>
        <w:ind w:left="1134" w:hanging="567"/>
      </w:pPr>
      <w:rPr>
        <w:rFonts w:ascii="Arial" w:hAnsi="Arial" w:hint="default"/>
      </w:rPr>
    </w:lvl>
    <w:lvl w:ilvl="2">
      <w:start w:val="1"/>
      <w:numFmt w:val="bullet"/>
      <w:lvlText w:val=""/>
      <w:lvlJc w:val="left"/>
      <w:pPr>
        <w:tabs>
          <w:tab w:val="num" w:pos="1701"/>
        </w:tabs>
        <w:ind w:left="1701" w:hanging="567"/>
      </w:pPr>
      <w:rPr>
        <w:rFonts w:ascii="Symbol" w:hAnsi="Symbol" w:hint="default"/>
        <w:color w:val="auto"/>
        <w:sz w:val="18"/>
      </w:rPr>
    </w:lvl>
    <w:lvl w:ilvl="3">
      <w:start w:val="1"/>
      <w:numFmt w:val="none"/>
      <w:lvlText w:val=""/>
      <w:lvlJc w:val="left"/>
      <w:pPr>
        <w:tabs>
          <w:tab w:val="num" w:pos="2268"/>
        </w:tabs>
        <w:ind w:left="1701" w:hanging="567"/>
      </w:pPr>
      <w:rPr>
        <w:rFonts w:hint="default"/>
      </w:rPr>
    </w:lvl>
    <w:lvl w:ilvl="4">
      <w:start w:val="1"/>
      <w:numFmt w:val="none"/>
      <w:lvlText w:val=""/>
      <w:lvlJc w:val="left"/>
      <w:pPr>
        <w:tabs>
          <w:tab w:val="num" w:pos="2835"/>
        </w:tabs>
        <w:ind w:left="1701" w:hanging="567"/>
      </w:pPr>
      <w:rPr>
        <w:rFonts w:hint="default"/>
      </w:rPr>
    </w:lvl>
    <w:lvl w:ilvl="5">
      <w:start w:val="1"/>
      <w:numFmt w:val="none"/>
      <w:lvlText w:val=""/>
      <w:lvlJc w:val="left"/>
      <w:pPr>
        <w:tabs>
          <w:tab w:val="num" w:pos="3402"/>
        </w:tabs>
        <w:ind w:left="1701" w:hanging="567"/>
      </w:pPr>
      <w:rPr>
        <w:rFonts w:hint="default"/>
      </w:rPr>
    </w:lvl>
    <w:lvl w:ilvl="6">
      <w:start w:val="1"/>
      <w:numFmt w:val="none"/>
      <w:lvlText w:val=""/>
      <w:lvlJc w:val="left"/>
      <w:pPr>
        <w:tabs>
          <w:tab w:val="num" w:pos="3969"/>
        </w:tabs>
        <w:ind w:left="1701" w:hanging="567"/>
      </w:pPr>
      <w:rPr>
        <w:rFonts w:hint="default"/>
      </w:rPr>
    </w:lvl>
    <w:lvl w:ilvl="7">
      <w:start w:val="1"/>
      <w:numFmt w:val="none"/>
      <w:lvlText w:val=""/>
      <w:lvlJc w:val="left"/>
      <w:pPr>
        <w:tabs>
          <w:tab w:val="num" w:pos="4536"/>
        </w:tabs>
        <w:ind w:left="1701" w:hanging="567"/>
      </w:pPr>
      <w:rPr>
        <w:rFonts w:hint="default"/>
      </w:rPr>
    </w:lvl>
    <w:lvl w:ilvl="8">
      <w:start w:val="1"/>
      <w:numFmt w:val="none"/>
      <w:lvlText w:val=""/>
      <w:lvlJc w:val="left"/>
      <w:pPr>
        <w:tabs>
          <w:tab w:val="num" w:pos="5103"/>
        </w:tabs>
        <w:ind w:left="1701" w:hanging="567"/>
      </w:pPr>
      <w:rPr>
        <w:rFonts w:hint="default"/>
      </w:rPr>
    </w:lvl>
  </w:abstractNum>
  <w:abstractNum w:abstractNumId="6" w15:restartNumberingAfterBreak="0">
    <w:nsid w:val="0CA078E7"/>
    <w:multiLevelType w:val="hybridMultilevel"/>
    <w:tmpl w:val="D0D2B796"/>
    <w:lvl w:ilvl="0" w:tplc="AC90C0DE">
      <w:start w:val="1"/>
      <w:numFmt w:val="lowerLetter"/>
      <w:pStyle w:val="xNumberedlista"/>
      <w:lvlText w:val="%1."/>
      <w:lvlJc w:val="left"/>
      <w:pPr>
        <w:ind w:left="885" w:hanging="52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D35FA6"/>
    <w:multiLevelType w:val="hybridMultilevel"/>
    <w:tmpl w:val="E4DA12F0"/>
    <w:lvl w:ilvl="0" w:tplc="C32E4D24">
      <w:start w:val="1"/>
      <w:numFmt w:val="bullet"/>
      <w:pStyle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0F94550"/>
    <w:multiLevelType w:val="hybridMultilevel"/>
    <w:tmpl w:val="833C10EE"/>
    <w:lvl w:ilvl="0" w:tplc="CB367B4A">
      <w:start w:val="1"/>
      <w:numFmt w:val="bullet"/>
      <w:pStyle w:val="bullet2"/>
      <w:lvlText w:val="⭕"/>
      <w:lvlJc w:val="left"/>
      <w:pPr>
        <w:ind w:left="644" w:hanging="360"/>
      </w:pPr>
      <w:rPr>
        <w:rFonts w:ascii="Segoe UI Symbol" w:hAnsi="Segoe UI Symbol" w:hint="default"/>
        <w:b/>
        <w:i w:val="0"/>
        <w:sz w:val="14"/>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13EC090A"/>
    <w:multiLevelType w:val="hybridMultilevel"/>
    <w:tmpl w:val="088ADDE4"/>
    <w:lvl w:ilvl="0" w:tplc="D570D40A">
      <w:start w:val="1"/>
      <w:numFmt w:val="decimal"/>
      <w:pStyle w:val="Appendix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482CCA"/>
    <w:multiLevelType w:val="hybridMultilevel"/>
    <w:tmpl w:val="0CDA5240"/>
    <w:styleLink w:val="ListNumbers"/>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192584"/>
    <w:multiLevelType w:val="multilevel"/>
    <w:tmpl w:val="02AA8FA0"/>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pStyle w:val="FooterBanner"/>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2D1C56DE"/>
    <w:multiLevelType w:val="singleLevel"/>
    <w:tmpl w:val="94805B1A"/>
    <w:lvl w:ilvl="0">
      <w:start w:val="1"/>
      <w:numFmt w:val="decimal"/>
      <w:pStyle w:val="number"/>
      <w:lvlText w:val="%1."/>
      <w:lvlJc w:val="left"/>
      <w:pPr>
        <w:tabs>
          <w:tab w:val="num" w:pos="360"/>
        </w:tabs>
        <w:ind w:left="360" w:hanging="360"/>
      </w:pPr>
      <w:rPr>
        <w:b w:val="0"/>
        <w:i w:val="0"/>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CA308A8"/>
    <w:multiLevelType w:val="singleLevel"/>
    <w:tmpl w:val="E4BC7D12"/>
    <w:lvl w:ilvl="0">
      <w:start w:val="1"/>
      <w:numFmt w:val="bullet"/>
      <w:pStyle w:val="Doubledot"/>
      <w:lvlText w:val="·"/>
      <w:lvlJc w:val="left"/>
      <w:pPr>
        <w:tabs>
          <w:tab w:val="num" w:pos="1276"/>
        </w:tabs>
        <w:ind w:left="1276" w:hanging="425"/>
      </w:pPr>
      <w:rPr>
        <w:rFonts w:ascii="Times New Roman" w:hAnsi="Times New Roman" w:hint="default"/>
      </w:rPr>
    </w:lvl>
  </w:abstractNum>
  <w:abstractNum w:abstractNumId="20" w15:restartNumberingAfterBreak="0">
    <w:nsid w:val="3CFD75B0"/>
    <w:multiLevelType w:val="hybridMultilevel"/>
    <w:tmpl w:val="CD18CCE8"/>
    <w:styleLink w:val="1ai"/>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12289C"/>
    <w:multiLevelType w:val="hybridMultilevel"/>
    <w:tmpl w:val="38381D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A31C8C"/>
    <w:multiLevelType w:val="singleLevel"/>
    <w:tmpl w:val="BC5E0738"/>
    <w:lvl w:ilvl="0">
      <w:start w:val="1"/>
      <w:numFmt w:val="decimal"/>
      <w:pStyle w:val="attachpara"/>
      <w:lvlText w:val="%1."/>
      <w:lvlJc w:val="left"/>
      <w:pPr>
        <w:tabs>
          <w:tab w:val="num" w:pos="360"/>
        </w:tabs>
        <w:ind w:left="0" w:firstLine="0"/>
      </w:pPr>
      <w:rPr>
        <w:rFonts w:ascii="Times New Roman" w:hAnsi="Times New Roman" w:hint="default"/>
        <w:b w:val="0"/>
        <w:i w:val="0"/>
        <w:sz w:val="24"/>
      </w:rPr>
    </w:lvl>
  </w:abstractNum>
  <w:abstractNum w:abstractNumId="25" w15:restartNumberingAfterBreak="0">
    <w:nsid w:val="4D545EC4"/>
    <w:multiLevelType w:val="multilevel"/>
    <w:tmpl w:val="5F329C6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6" w15:restartNumberingAfterBreak="0">
    <w:nsid w:val="4E7D5687"/>
    <w:multiLevelType w:val="hybridMultilevel"/>
    <w:tmpl w:val="E4D41564"/>
    <w:lvl w:ilvl="0" w:tplc="12BE7190">
      <w:start w:val="1"/>
      <w:numFmt w:val="bullet"/>
      <w:pStyle w:val="xBulleted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786256"/>
    <w:multiLevelType w:val="hybridMultilevel"/>
    <w:tmpl w:val="B2FAA5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3B51355"/>
    <w:multiLevelType w:val="singleLevel"/>
    <w:tmpl w:val="02E8FD72"/>
    <w:lvl w:ilvl="0">
      <w:start w:val="1"/>
      <w:numFmt w:val="bullet"/>
      <w:pStyle w:val="dotpoint"/>
      <w:lvlText w:val=""/>
      <w:lvlJc w:val="left"/>
      <w:pPr>
        <w:tabs>
          <w:tab w:val="num" w:pos="360"/>
        </w:tabs>
        <w:ind w:left="360" w:hanging="360"/>
      </w:pPr>
      <w:rPr>
        <w:rFonts w:ascii="Symbol" w:hAnsi="Symbol" w:hint="default"/>
      </w:rPr>
    </w:lvl>
  </w:abstractNum>
  <w:abstractNum w:abstractNumId="29" w15:restartNumberingAfterBreak="0">
    <w:nsid w:val="53CD3257"/>
    <w:multiLevelType w:val="hybridMultilevel"/>
    <w:tmpl w:val="CA34AE3C"/>
    <w:styleLink w:val="Appendix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D049B6"/>
    <w:multiLevelType w:val="singleLevel"/>
    <w:tmpl w:val="F9B42AA8"/>
    <w:lvl w:ilvl="0">
      <w:start w:val="1"/>
      <w:numFmt w:val="bullet"/>
      <w:pStyle w:val="Dash"/>
      <w:lvlText w:val=""/>
      <w:lvlJc w:val="left"/>
      <w:pPr>
        <w:tabs>
          <w:tab w:val="num" w:pos="360"/>
        </w:tabs>
        <w:ind w:left="360" w:hanging="360"/>
      </w:pPr>
      <w:rPr>
        <w:rFonts w:ascii="Symbol" w:hAnsi="Symbol" w:hint="default"/>
      </w:rPr>
    </w:lvl>
  </w:abstractNum>
  <w:abstractNum w:abstractNumId="31" w15:restartNumberingAfterBreak="0">
    <w:nsid w:val="56E842B7"/>
    <w:multiLevelType w:val="hybridMultilevel"/>
    <w:tmpl w:val="6FF0A7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8A44209"/>
    <w:multiLevelType w:val="hybridMultilevel"/>
    <w:tmpl w:val="125248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5A3B4AB9"/>
    <w:multiLevelType w:val="hybridMultilevel"/>
    <w:tmpl w:val="29B6850C"/>
    <w:lvl w:ilvl="0" w:tplc="FFFFFFFF">
      <w:start w:val="1"/>
      <w:numFmt w:val="decimal"/>
      <w:pStyle w:val="SO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BF51EC7"/>
    <w:multiLevelType w:val="hybridMultilevel"/>
    <w:tmpl w:val="1266582C"/>
    <w:styleLink w:val="Headings"/>
    <w:lvl w:ilvl="0" w:tplc="277E828C">
      <w:start w:val="1"/>
      <w:numFmt w:val="bullet"/>
      <w:pStyle w:val="xQuote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5" w15:restartNumberingAfterBreak="0">
    <w:nsid w:val="5D0540A9"/>
    <w:multiLevelType w:val="multilevel"/>
    <w:tmpl w:val="8AEA9E2A"/>
    <w:name w:val="DEPIAppendices"/>
    <w:lvl w:ilvl="0">
      <w:start w:val="1"/>
      <w:numFmt w:val="upperLetter"/>
      <w:pStyle w:val="AppendixTitle1"/>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6" w15:restartNumberingAfterBreak="0">
    <w:nsid w:val="5E8A234A"/>
    <w:multiLevelType w:val="hybridMultilevel"/>
    <w:tmpl w:val="14BCB45E"/>
    <w:styleLink w:val="ListBullet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5A66AF"/>
    <w:multiLevelType w:val="multilevel"/>
    <w:tmpl w:val="6EAA0306"/>
    <w:lvl w:ilvl="0">
      <w:start w:val="1"/>
      <w:numFmt w:val="upperLetter"/>
      <w:pStyle w:val="rfa1"/>
      <w:lvlText w:val="%1"/>
      <w:lvlJc w:val="left"/>
      <w:pPr>
        <w:tabs>
          <w:tab w:val="num" w:pos="360"/>
        </w:tabs>
        <w:ind w:left="0" w:firstLine="0"/>
      </w:pPr>
    </w:lvl>
    <w:lvl w:ilvl="1">
      <w:start w:val="1"/>
      <w:numFmt w:val="bullet"/>
      <w:pStyle w:val="rfa2"/>
      <w:lvlText w:val=""/>
      <w:lvlJc w:val="left"/>
      <w:pPr>
        <w:tabs>
          <w:tab w:val="num" w:pos="567"/>
        </w:tabs>
        <w:ind w:left="567" w:hanging="567"/>
      </w:pPr>
      <w:rPr>
        <w:rFonts w:ascii="Symbol" w:hAnsi="Symbol" w:hint="default"/>
      </w:rPr>
    </w:lvl>
    <w:lvl w:ilvl="2">
      <w:start w:val="1"/>
      <w:numFmt w:val="lowerLetter"/>
      <w:lvlRestart w:val="0"/>
      <w:pStyle w:val="rfa3"/>
      <w:lvlText w:val="(%3)"/>
      <w:lvlJc w:val="left"/>
      <w:pPr>
        <w:tabs>
          <w:tab w:val="num" w:pos="1134"/>
        </w:tabs>
        <w:ind w:left="1134" w:hanging="567"/>
      </w:pPr>
    </w:lvl>
    <w:lvl w:ilvl="3">
      <w:start w:val="1"/>
      <w:numFmt w:val="decimal"/>
      <w:lvlRestart w:val="0"/>
      <w:pStyle w:val="rfa4"/>
      <w:lvlText w:val="%4."/>
      <w:lvlJc w:val="left"/>
      <w:pPr>
        <w:tabs>
          <w:tab w:val="num" w:pos="360"/>
        </w:tabs>
        <w:ind w:left="0" w:firstLine="0"/>
      </w:pPr>
    </w:lvl>
    <w:lvl w:ilvl="4">
      <w:start w:val="1"/>
      <w:numFmt w:val="none"/>
      <w:pStyle w:val="rfa5"/>
      <w:lvlText w:val=""/>
      <w:lvlJc w:val="left"/>
      <w:pPr>
        <w:tabs>
          <w:tab w:val="num" w:pos="567"/>
        </w:tabs>
        <w:ind w:left="567" w:hanging="567"/>
      </w:pPr>
    </w:lvl>
    <w:lvl w:ilvl="5">
      <w:start w:val="1"/>
      <w:numFmt w:val="lowerLetter"/>
      <w:pStyle w:val="rfa6"/>
      <w:lvlText w:val="(%6)"/>
      <w:lvlJc w:val="left"/>
      <w:pPr>
        <w:tabs>
          <w:tab w:val="num" w:pos="567"/>
        </w:tabs>
        <w:ind w:left="567" w:hanging="567"/>
      </w:pPr>
    </w:lvl>
    <w:lvl w:ilvl="6">
      <w:start w:val="1"/>
      <w:numFmt w:val="decimal"/>
      <w:lvlRestart w:val="0"/>
      <w:pStyle w:val="rfa7"/>
      <w:lvlText w:val="%4.%7."/>
      <w:lvlJc w:val="left"/>
      <w:pPr>
        <w:tabs>
          <w:tab w:val="num" w:pos="360"/>
        </w:tabs>
        <w:ind w:left="0" w:firstLine="0"/>
      </w:pPr>
    </w:lvl>
    <w:lvl w:ilvl="7">
      <w:start w:val="1"/>
      <w:numFmt w:val="lowerRoman"/>
      <w:pStyle w:val="rfa8"/>
      <w:lvlText w:val="(%8)"/>
      <w:lvlJc w:val="left"/>
      <w:pPr>
        <w:tabs>
          <w:tab w:val="num" w:pos="1287"/>
        </w:tabs>
        <w:ind w:left="1134" w:hanging="567"/>
      </w:pPr>
    </w:lvl>
    <w:lvl w:ilvl="8">
      <w:start w:val="1"/>
      <w:numFmt w:val="decimal"/>
      <w:pStyle w:val="rfa9"/>
      <w:lvlText w:val="(%9)"/>
      <w:lvlJc w:val="left"/>
      <w:pPr>
        <w:tabs>
          <w:tab w:val="num" w:pos="1701"/>
        </w:tabs>
        <w:ind w:left="1701" w:hanging="567"/>
      </w:pPr>
    </w:lvl>
  </w:abstractNum>
  <w:abstractNum w:abstractNumId="38" w15:restartNumberingAfterBreak="0">
    <w:nsid w:val="62A05455"/>
    <w:multiLevelType w:val="hybridMultilevel"/>
    <w:tmpl w:val="05E0BA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68596864"/>
    <w:multiLevelType w:val="hybridMultilevel"/>
    <w:tmpl w:val="3D9E20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69D14123"/>
    <w:multiLevelType w:val="hybridMultilevel"/>
    <w:tmpl w:val="45B0BF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6C0C490C"/>
    <w:multiLevelType w:val="hybridMultilevel"/>
    <w:tmpl w:val="E2FA56EA"/>
    <w:lvl w:ilvl="0" w:tplc="B8CAAA3C">
      <w:start w:val="1"/>
      <w:numFmt w:val="bullet"/>
      <w:pStyle w:val="SOEListLeve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3" w15:restartNumberingAfterBreak="0">
    <w:nsid w:val="6E9C3611"/>
    <w:multiLevelType w:val="hybridMultilevel"/>
    <w:tmpl w:val="B8FE74B2"/>
    <w:styleLink w:val="List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5" w15:restartNumberingAfterBreak="0">
    <w:nsid w:val="71FC258F"/>
    <w:multiLevelType w:val="hybridMultilevel"/>
    <w:tmpl w:val="4A287024"/>
    <w:styleLink w:val="Appendix"/>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9"/>
  </w:num>
  <w:num w:numId="3">
    <w:abstractNumId w:val="2"/>
  </w:num>
  <w:num w:numId="4">
    <w:abstractNumId w:val="3"/>
  </w:num>
  <w:num w:numId="5">
    <w:abstractNumId w:val="5"/>
  </w:num>
  <w:num w:numId="6">
    <w:abstractNumId w:val="41"/>
  </w:num>
  <w:num w:numId="7">
    <w:abstractNumId w:val="33"/>
  </w:num>
  <w:num w:numId="8">
    <w:abstractNumId w:val="1"/>
  </w:num>
  <w:num w:numId="9">
    <w:abstractNumId w:val="23"/>
  </w:num>
  <w:num w:numId="10">
    <w:abstractNumId w:val="13"/>
  </w:num>
  <w:num w:numId="11">
    <w:abstractNumId w:val="14"/>
  </w:num>
  <w:num w:numId="12">
    <w:abstractNumId w:val="0"/>
  </w:num>
  <w:num w:numId="13">
    <w:abstractNumId w:val="34"/>
  </w:num>
  <w:num w:numId="14">
    <w:abstractNumId w:val="20"/>
  </w:num>
  <w:num w:numId="15">
    <w:abstractNumId w:val="42"/>
  </w:num>
  <w:num w:numId="16">
    <w:abstractNumId w:val="35"/>
  </w:num>
  <w:num w:numId="17">
    <w:abstractNumId w:val="16"/>
  </w:num>
  <w:num w:numId="18">
    <w:abstractNumId w:val="8"/>
  </w:num>
  <w:num w:numId="19">
    <w:abstractNumId w:val="44"/>
  </w:num>
  <w:num w:numId="20">
    <w:abstractNumId w:val="12"/>
  </w:num>
  <w:num w:numId="21">
    <w:abstractNumId w:val="18"/>
  </w:num>
  <w:num w:numId="22">
    <w:abstractNumId w:val="15"/>
  </w:num>
  <w:num w:numId="23">
    <w:abstractNumId w:val="22"/>
  </w:num>
  <w:num w:numId="24">
    <w:abstractNumId w:val="25"/>
  </w:num>
  <w:num w:numId="25">
    <w:abstractNumId w:val="6"/>
  </w:num>
  <w:num w:numId="26">
    <w:abstractNumId w:val="26"/>
  </w:num>
  <w:num w:numId="27">
    <w:abstractNumId w:val="43"/>
  </w:num>
  <w:num w:numId="28">
    <w:abstractNumId w:val="45"/>
    <w:lvlOverride w:ilvl="0">
      <w:startOverride w:val="1"/>
    </w:lvlOverride>
  </w:num>
  <w:num w:numId="29">
    <w:abstractNumId w:val="45"/>
  </w:num>
  <w:num w:numId="30">
    <w:abstractNumId w:val="11"/>
  </w:num>
  <w:num w:numId="31">
    <w:abstractNumId w:val="29"/>
  </w:num>
  <w:num w:numId="32">
    <w:abstractNumId w:val="36"/>
  </w:num>
  <w:num w:numId="33">
    <w:abstractNumId w:val="10"/>
  </w:num>
  <w:num w:numId="34">
    <w:abstractNumId w:val="4"/>
    <w:lvlOverride w:ilvl="0">
      <w:lvl w:ilvl="0">
        <w:start w:val="1"/>
        <w:numFmt w:val="bullet"/>
        <w:pStyle w:val="lastdot"/>
        <w:lvlText w:val=""/>
        <w:legacy w:legacy="1" w:legacySpace="0" w:legacyIndent="283"/>
        <w:lvlJc w:val="left"/>
        <w:pPr>
          <w:ind w:left="992" w:hanging="283"/>
        </w:pPr>
        <w:rPr>
          <w:rFonts w:ascii="Symbol" w:hAnsi="Symbol" w:hint="default"/>
        </w:rPr>
      </w:lvl>
    </w:lvlOverride>
  </w:num>
  <w:num w:numId="35">
    <w:abstractNumId w:val="28"/>
  </w:num>
  <w:num w:numId="36">
    <w:abstractNumId w:val="17"/>
  </w:num>
  <w:num w:numId="37">
    <w:abstractNumId w:val="37"/>
  </w:num>
  <w:num w:numId="38">
    <w:abstractNumId w:val="24"/>
  </w:num>
  <w:num w:numId="39">
    <w:abstractNumId w:val="30"/>
  </w:num>
  <w:num w:numId="40">
    <w:abstractNumId w:val="19"/>
  </w:num>
  <w:num w:numId="41">
    <w:abstractNumId w:val="21"/>
  </w:num>
  <w:num w:numId="42">
    <w:abstractNumId w:val="40"/>
  </w:num>
  <w:num w:numId="43">
    <w:abstractNumId w:val="27"/>
  </w:num>
  <w:num w:numId="44">
    <w:abstractNumId w:val="32"/>
  </w:num>
  <w:num w:numId="45">
    <w:abstractNumId w:val="31"/>
  </w:num>
  <w:num w:numId="46">
    <w:abstractNumId w:val="39"/>
  </w:num>
  <w:num w:numId="47">
    <w:abstractNumId w:val="3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171"/>
    <w:rsid w:val="0002695E"/>
    <w:rsid w:val="00106A55"/>
    <w:rsid w:val="00410808"/>
    <w:rsid w:val="005B5171"/>
    <w:rsid w:val="0070586C"/>
    <w:rsid w:val="00DB29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EAEFB8-62A2-4E35-9A1E-D529CC73D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unhideWhenUsed/>
    <w:qFormat/>
    <w:rsid w:val="005B5171"/>
    <w:pPr>
      <w:spacing w:before="360" w:after="120" w:line="560" w:lineRule="exact"/>
      <w:outlineLvl w:val="0"/>
    </w:pPr>
    <w:rPr>
      <w:rFonts w:ascii="Segoe UI Semibold" w:hAnsi="Segoe UI Semibold" w:cs="Segoe UI"/>
      <w:color w:val="0074A1"/>
      <w:sz w:val="44"/>
      <w:szCs w:val="44"/>
    </w:rPr>
  </w:style>
  <w:style w:type="paragraph" w:styleId="Heading2">
    <w:name w:val="heading 2"/>
    <w:basedOn w:val="silentheading"/>
    <w:next w:val="Normal"/>
    <w:link w:val="Heading2Char"/>
    <w:unhideWhenUsed/>
    <w:qFormat/>
    <w:rsid w:val="005B5171"/>
    <w:pPr>
      <w:spacing w:after="240" w:line="440" w:lineRule="atLeast"/>
      <w:outlineLvl w:val="1"/>
    </w:pPr>
    <w:rPr>
      <w:sz w:val="32"/>
      <w:szCs w:val="32"/>
    </w:rPr>
  </w:style>
  <w:style w:type="paragraph" w:styleId="Heading3">
    <w:name w:val="heading 3"/>
    <w:aliases w:val="h3"/>
    <w:basedOn w:val="h31"/>
    <w:next w:val="Normal"/>
    <w:link w:val="Heading3Char"/>
    <w:unhideWhenUsed/>
    <w:qFormat/>
    <w:rsid w:val="005B5171"/>
    <w:pPr>
      <w:keepNext/>
    </w:pPr>
  </w:style>
  <w:style w:type="paragraph" w:styleId="Heading4">
    <w:name w:val="heading 4"/>
    <w:basedOn w:val="Normal"/>
    <w:next w:val="Normal"/>
    <w:link w:val="Heading4Char"/>
    <w:unhideWhenUsed/>
    <w:qFormat/>
    <w:rsid w:val="005B5171"/>
    <w:pPr>
      <w:keepNext/>
      <w:spacing w:before="120" w:after="120" w:line="240" w:lineRule="auto"/>
      <w:jc w:val="both"/>
      <w:outlineLvl w:val="3"/>
    </w:pPr>
    <w:rPr>
      <w:rFonts w:ascii="Segoe UI" w:hAnsi="Segoe UI" w:cs="Segoe UI"/>
      <w:i/>
      <w:sz w:val="24"/>
      <w:szCs w:val="24"/>
    </w:rPr>
  </w:style>
  <w:style w:type="paragraph" w:styleId="Heading5">
    <w:name w:val="heading 5"/>
    <w:basedOn w:val="Normal"/>
    <w:next w:val="Normal"/>
    <w:link w:val="Heading5Char"/>
    <w:unhideWhenUsed/>
    <w:qFormat/>
    <w:rsid w:val="005B5171"/>
    <w:pPr>
      <w:keepNext/>
      <w:keepLines/>
      <w:spacing w:before="40" w:after="40"/>
      <w:outlineLvl w:val="4"/>
    </w:pPr>
    <w:rPr>
      <w:rFonts w:ascii="Segoe UI" w:eastAsia="STZhongsong" w:hAnsi="Segoe UI" w:cs="Majalla UI"/>
      <w:i/>
      <w:color w:val="13345C"/>
    </w:rPr>
  </w:style>
  <w:style w:type="paragraph" w:styleId="Heading6">
    <w:name w:val="heading 6"/>
    <w:basedOn w:val="Normal"/>
    <w:next w:val="Normal"/>
    <w:link w:val="Heading6Char"/>
    <w:unhideWhenUsed/>
    <w:qFormat/>
    <w:rsid w:val="005B5171"/>
    <w:pPr>
      <w:keepNext/>
      <w:keepLines/>
      <w:spacing w:before="40" w:after="0"/>
      <w:outlineLvl w:val="5"/>
    </w:pPr>
    <w:rPr>
      <w:rFonts w:ascii="Gill Sans MT" w:eastAsia="STZhongsong" w:hAnsi="Gill Sans MT" w:cs="Majalla UI"/>
      <w:i/>
      <w:iCs/>
      <w:color w:val="13345C"/>
    </w:rPr>
  </w:style>
  <w:style w:type="paragraph" w:styleId="Heading7">
    <w:name w:val="heading 7"/>
    <w:basedOn w:val="Heading6"/>
    <w:next w:val="Normal"/>
    <w:link w:val="Heading7Char"/>
    <w:qFormat/>
    <w:rsid w:val="005B5171"/>
    <w:pPr>
      <w:outlineLvl w:val="6"/>
    </w:pPr>
    <w:rPr>
      <w:i w:val="0"/>
    </w:rPr>
  </w:style>
  <w:style w:type="paragraph" w:styleId="Heading8">
    <w:name w:val="heading 8"/>
    <w:basedOn w:val="Normal"/>
    <w:next w:val="Normal"/>
    <w:link w:val="Heading8Char"/>
    <w:qFormat/>
    <w:rsid w:val="005B5171"/>
    <w:pPr>
      <w:overflowPunct w:val="0"/>
      <w:autoSpaceDE w:val="0"/>
      <w:autoSpaceDN w:val="0"/>
      <w:adjustRightInd w:val="0"/>
      <w:spacing w:before="240" w:after="60" w:line="240" w:lineRule="auto"/>
      <w:ind w:left="6655" w:hanging="708"/>
      <w:textAlignment w:val="baseline"/>
      <w:outlineLvl w:val="7"/>
    </w:pPr>
    <w:rPr>
      <w:rFonts w:ascii="Arial" w:eastAsia="Times New Roman" w:hAnsi="Arial" w:cs="Times New Roman"/>
      <w:i/>
      <w:szCs w:val="20"/>
      <w:lang w:eastAsia="en-AU"/>
    </w:rPr>
  </w:style>
  <w:style w:type="paragraph" w:styleId="Heading9">
    <w:name w:val="heading 9"/>
    <w:basedOn w:val="Normal"/>
    <w:next w:val="Normal"/>
    <w:link w:val="Heading9Char"/>
    <w:qFormat/>
    <w:rsid w:val="005B5171"/>
    <w:pPr>
      <w:overflowPunct w:val="0"/>
      <w:autoSpaceDE w:val="0"/>
      <w:autoSpaceDN w:val="0"/>
      <w:adjustRightInd w:val="0"/>
      <w:spacing w:before="240" w:after="60" w:line="240" w:lineRule="auto"/>
      <w:ind w:left="7363" w:hanging="708"/>
      <w:textAlignment w:val="baseline"/>
      <w:outlineLvl w:val="8"/>
    </w:pPr>
    <w:rPr>
      <w:rFonts w:ascii="Arial" w:eastAsia="Times New Roman" w:hAnsi="Arial" w:cs="Times New Roman"/>
      <w:i/>
      <w:sz w:val="18"/>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5171"/>
    <w:rPr>
      <w:rFonts w:ascii="Segoe UI Semibold" w:hAnsi="Segoe UI Semibold" w:cs="Segoe UI"/>
      <w:color w:val="0074A1"/>
      <w:sz w:val="44"/>
      <w:szCs w:val="44"/>
    </w:rPr>
  </w:style>
  <w:style w:type="character" w:customStyle="1" w:styleId="Heading2Char">
    <w:name w:val="Heading 2 Char"/>
    <w:basedOn w:val="DefaultParagraphFont"/>
    <w:link w:val="Heading2"/>
    <w:rsid w:val="005B5171"/>
    <w:rPr>
      <w:rFonts w:ascii="Segoe UI" w:hAnsi="Segoe UI" w:cs="Segoe UI"/>
      <w:b/>
      <w:color w:val="0074A1"/>
      <w:sz w:val="32"/>
      <w:szCs w:val="32"/>
    </w:rPr>
  </w:style>
  <w:style w:type="character" w:customStyle="1" w:styleId="Heading3Char">
    <w:name w:val="Heading 3 Char"/>
    <w:aliases w:val="h3 Char"/>
    <w:basedOn w:val="DefaultParagraphFont"/>
    <w:link w:val="Heading3"/>
    <w:rsid w:val="005B5171"/>
    <w:rPr>
      <w:rFonts w:ascii="Segoe UI" w:hAnsi="Segoe UI" w:cs="Segoe UI"/>
      <w:b/>
      <w:color w:val="000000"/>
      <w:sz w:val="24"/>
      <w:szCs w:val="24"/>
    </w:rPr>
  </w:style>
  <w:style w:type="character" w:customStyle="1" w:styleId="Heading4Char">
    <w:name w:val="Heading 4 Char"/>
    <w:basedOn w:val="DefaultParagraphFont"/>
    <w:link w:val="Heading4"/>
    <w:rsid w:val="005B5171"/>
    <w:rPr>
      <w:rFonts w:ascii="Segoe UI" w:hAnsi="Segoe UI" w:cs="Segoe UI"/>
      <w:i/>
      <w:sz w:val="24"/>
      <w:szCs w:val="24"/>
    </w:rPr>
  </w:style>
  <w:style w:type="character" w:customStyle="1" w:styleId="Heading5Char">
    <w:name w:val="Heading 5 Char"/>
    <w:basedOn w:val="DefaultParagraphFont"/>
    <w:link w:val="Heading5"/>
    <w:rsid w:val="005B5171"/>
    <w:rPr>
      <w:rFonts w:ascii="Segoe UI" w:eastAsia="STZhongsong" w:hAnsi="Segoe UI" w:cs="Majalla UI"/>
      <w:i/>
      <w:color w:val="13345C"/>
    </w:rPr>
  </w:style>
  <w:style w:type="character" w:customStyle="1" w:styleId="Heading6Char">
    <w:name w:val="Heading 6 Char"/>
    <w:basedOn w:val="DefaultParagraphFont"/>
    <w:link w:val="Heading6"/>
    <w:rsid w:val="005B5171"/>
    <w:rPr>
      <w:rFonts w:ascii="Gill Sans MT" w:eastAsia="STZhongsong" w:hAnsi="Gill Sans MT" w:cs="Majalla UI"/>
      <w:i/>
      <w:iCs/>
      <w:color w:val="13345C"/>
    </w:rPr>
  </w:style>
  <w:style w:type="character" w:customStyle="1" w:styleId="Heading7Char">
    <w:name w:val="Heading 7 Char"/>
    <w:basedOn w:val="DefaultParagraphFont"/>
    <w:link w:val="Heading7"/>
    <w:rsid w:val="005B5171"/>
    <w:rPr>
      <w:rFonts w:ascii="Gill Sans MT" w:eastAsia="STZhongsong" w:hAnsi="Gill Sans MT" w:cs="Majalla UI"/>
      <w:iCs/>
      <w:color w:val="13345C"/>
    </w:rPr>
  </w:style>
  <w:style w:type="character" w:customStyle="1" w:styleId="Heading8Char">
    <w:name w:val="Heading 8 Char"/>
    <w:basedOn w:val="DefaultParagraphFont"/>
    <w:link w:val="Heading8"/>
    <w:rsid w:val="005B5171"/>
    <w:rPr>
      <w:rFonts w:ascii="Arial" w:eastAsia="Times New Roman" w:hAnsi="Arial" w:cs="Times New Roman"/>
      <w:i/>
      <w:szCs w:val="20"/>
      <w:lang w:eastAsia="en-AU"/>
    </w:rPr>
  </w:style>
  <w:style w:type="character" w:customStyle="1" w:styleId="Heading9Char">
    <w:name w:val="Heading 9 Char"/>
    <w:basedOn w:val="DefaultParagraphFont"/>
    <w:link w:val="Heading9"/>
    <w:rsid w:val="005B5171"/>
    <w:rPr>
      <w:rFonts w:ascii="Arial" w:eastAsia="Times New Roman" w:hAnsi="Arial" w:cs="Times New Roman"/>
      <w:i/>
      <w:sz w:val="18"/>
      <w:szCs w:val="20"/>
      <w:lang w:eastAsia="en-AU"/>
    </w:rPr>
  </w:style>
  <w:style w:type="numbering" w:customStyle="1" w:styleId="NoList1">
    <w:name w:val="No List1"/>
    <w:next w:val="NoList"/>
    <w:uiPriority w:val="99"/>
    <w:semiHidden/>
    <w:unhideWhenUsed/>
    <w:rsid w:val="005B5171"/>
  </w:style>
  <w:style w:type="paragraph" w:styleId="BalloonText">
    <w:name w:val="Balloon Text"/>
    <w:basedOn w:val="Normal"/>
    <w:link w:val="BalloonTextChar"/>
    <w:uiPriority w:val="99"/>
    <w:semiHidden/>
    <w:unhideWhenUsed/>
    <w:rsid w:val="005B51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171"/>
    <w:rPr>
      <w:rFonts w:ascii="Segoe UI" w:hAnsi="Segoe UI" w:cs="Segoe UI"/>
      <w:sz w:val="18"/>
      <w:szCs w:val="18"/>
    </w:rPr>
  </w:style>
  <w:style w:type="paragraph" w:customStyle="1" w:styleId="h31">
    <w:name w:val="h31"/>
    <w:basedOn w:val="Normal"/>
    <w:next w:val="Normal"/>
    <w:uiPriority w:val="4"/>
    <w:unhideWhenUsed/>
    <w:qFormat/>
    <w:rsid w:val="005B5171"/>
    <w:pPr>
      <w:spacing w:before="240" w:after="240" w:line="240" w:lineRule="auto"/>
      <w:outlineLvl w:val="2"/>
    </w:pPr>
    <w:rPr>
      <w:rFonts w:ascii="Segoe UI" w:hAnsi="Segoe UI" w:cs="Segoe UI"/>
      <w:b/>
      <w:color w:val="000000"/>
      <w:sz w:val="24"/>
      <w:szCs w:val="24"/>
    </w:rPr>
  </w:style>
  <w:style w:type="paragraph" w:customStyle="1" w:styleId="Heading51">
    <w:name w:val="Heading 51"/>
    <w:basedOn w:val="Heading4"/>
    <w:next w:val="Normal"/>
    <w:uiPriority w:val="9"/>
    <w:unhideWhenUsed/>
    <w:qFormat/>
    <w:rsid w:val="005B5171"/>
    <w:pPr>
      <w:keepLines/>
      <w:spacing w:before="200" w:after="0"/>
      <w:outlineLvl w:val="4"/>
    </w:pPr>
    <w:rPr>
      <w:rFonts w:eastAsia="STZhongsong" w:cs="Majalla UI"/>
      <w:b/>
      <w:i w:val="0"/>
      <w:color w:val="13345C"/>
    </w:rPr>
  </w:style>
  <w:style w:type="paragraph" w:customStyle="1" w:styleId="Heading61">
    <w:name w:val="Heading 61"/>
    <w:basedOn w:val="Normal"/>
    <w:next w:val="Normal"/>
    <w:uiPriority w:val="9"/>
    <w:unhideWhenUsed/>
    <w:qFormat/>
    <w:rsid w:val="005B5171"/>
    <w:pPr>
      <w:keepNext/>
      <w:keepLines/>
      <w:spacing w:before="200" w:after="0" w:line="240" w:lineRule="auto"/>
      <w:outlineLvl w:val="5"/>
    </w:pPr>
    <w:rPr>
      <w:rFonts w:ascii="Gill Sans MT" w:eastAsia="STZhongsong" w:hAnsi="Gill Sans MT" w:cs="Majalla UI"/>
      <w:i/>
      <w:iCs/>
      <w:color w:val="13345C"/>
    </w:rPr>
  </w:style>
  <w:style w:type="numbering" w:customStyle="1" w:styleId="NoList11">
    <w:name w:val="No List11"/>
    <w:next w:val="NoList"/>
    <w:uiPriority w:val="99"/>
    <w:semiHidden/>
    <w:unhideWhenUsed/>
    <w:rsid w:val="005B5171"/>
  </w:style>
  <w:style w:type="character" w:customStyle="1" w:styleId="SubtleEmphasis1">
    <w:name w:val="Subtle Emphasis1"/>
    <w:basedOn w:val="DefaultParagraphFont"/>
    <w:uiPriority w:val="19"/>
    <w:semiHidden/>
    <w:unhideWhenUsed/>
    <w:rsid w:val="005B5171"/>
    <w:rPr>
      <w:i/>
      <w:iCs/>
      <w:color w:val="808080"/>
    </w:rPr>
  </w:style>
  <w:style w:type="character" w:styleId="Hyperlink">
    <w:name w:val="Hyperlink"/>
    <w:basedOn w:val="DefaultParagraphFont"/>
    <w:uiPriority w:val="99"/>
    <w:unhideWhenUsed/>
    <w:qFormat/>
    <w:rsid w:val="005B5171"/>
    <w:rPr>
      <w:color w:val="0257BE"/>
    </w:rPr>
  </w:style>
  <w:style w:type="paragraph" w:styleId="Header">
    <w:name w:val="header"/>
    <w:aliases w:val="Odd page,EAHeader"/>
    <w:basedOn w:val="Normal"/>
    <w:link w:val="HeaderChar"/>
    <w:uiPriority w:val="99"/>
    <w:unhideWhenUsed/>
    <w:rsid w:val="005B5171"/>
    <w:pPr>
      <w:tabs>
        <w:tab w:val="center" w:pos="4513"/>
        <w:tab w:val="right" w:pos="9026"/>
      </w:tabs>
      <w:spacing w:before="120" w:after="0" w:line="240" w:lineRule="auto"/>
      <w:jc w:val="right"/>
    </w:pPr>
    <w:rPr>
      <w:rFonts w:ascii="Segoe UI" w:hAnsi="Segoe UI" w:cs="Segoe UI"/>
      <w:color w:val="0070C0"/>
      <w:sz w:val="18"/>
    </w:rPr>
  </w:style>
  <w:style w:type="character" w:customStyle="1" w:styleId="HeaderChar">
    <w:name w:val="Header Char"/>
    <w:aliases w:val="Odd page Char,EAHeader Char"/>
    <w:basedOn w:val="DefaultParagraphFont"/>
    <w:link w:val="Header"/>
    <w:uiPriority w:val="99"/>
    <w:rsid w:val="005B5171"/>
    <w:rPr>
      <w:rFonts w:ascii="Segoe UI" w:hAnsi="Segoe UI" w:cs="Segoe UI"/>
      <w:color w:val="0070C0"/>
      <w:sz w:val="18"/>
    </w:rPr>
  </w:style>
  <w:style w:type="paragraph" w:customStyle="1" w:styleId="Footer1">
    <w:name w:val="Footer1"/>
    <w:basedOn w:val="Normal"/>
    <w:next w:val="Footer"/>
    <w:link w:val="FooterChar"/>
    <w:uiPriority w:val="99"/>
    <w:unhideWhenUsed/>
    <w:rsid w:val="005B5171"/>
    <w:pPr>
      <w:tabs>
        <w:tab w:val="center" w:pos="4513"/>
        <w:tab w:val="right" w:pos="9026"/>
      </w:tabs>
      <w:spacing w:before="120" w:after="0" w:line="240" w:lineRule="auto"/>
    </w:pPr>
    <w:rPr>
      <w:rFonts w:ascii="Segoe UI" w:hAnsi="Segoe UI" w:cs="Segoe UI"/>
      <w:color w:val="02747E"/>
      <w:sz w:val="18"/>
    </w:rPr>
  </w:style>
  <w:style w:type="character" w:customStyle="1" w:styleId="FooterChar">
    <w:name w:val="Footer Char"/>
    <w:basedOn w:val="DefaultParagraphFont"/>
    <w:link w:val="Footer1"/>
    <w:uiPriority w:val="99"/>
    <w:rsid w:val="005B5171"/>
    <w:rPr>
      <w:rFonts w:ascii="Segoe UI" w:hAnsi="Segoe UI" w:cs="Segoe UI"/>
      <w:color w:val="02747E"/>
      <w:sz w:val="18"/>
    </w:rPr>
  </w:style>
  <w:style w:type="paragraph" w:styleId="ListParagraph">
    <w:name w:val="List Paragraph"/>
    <w:aliases w:val="List Paragraph1,List Paragraph11,Recommendation,NFP GP Bulleted List,List Paragraph2,FooterText,numbered,Paragraphe de liste1,Bulletr List Paragraph,列出段落,列出段落1,List Paragraph21,Listeafsnit1,Parágrafo da Lista1,Párrafo de lista1,リスト段落1,L"/>
    <w:basedOn w:val="Normal"/>
    <w:link w:val="ListParagraphChar"/>
    <w:uiPriority w:val="34"/>
    <w:qFormat/>
    <w:rsid w:val="005B5171"/>
    <w:pPr>
      <w:spacing w:before="120" w:after="120" w:line="240" w:lineRule="auto"/>
      <w:ind w:left="720"/>
      <w:contextualSpacing/>
    </w:pPr>
    <w:rPr>
      <w:rFonts w:ascii="Segoe UI" w:hAnsi="Segoe UI" w:cs="Segoe UI"/>
    </w:rPr>
  </w:style>
  <w:style w:type="paragraph" w:customStyle="1" w:styleId="bullet">
    <w:name w:val="bullet"/>
    <w:basedOn w:val="Normal"/>
    <w:qFormat/>
    <w:rsid w:val="005B5171"/>
    <w:pPr>
      <w:numPr>
        <w:numId w:val="1"/>
      </w:numPr>
      <w:spacing w:before="80" w:after="80" w:line="240" w:lineRule="auto"/>
      <w:ind w:left="284" w:hanging="284"/>
    </w:pPr>
    <w:rPr>
      <w:rFonts w:ascii="Segoe UI" w:hAnsi="Segoe UI" w:cs="Segoe UI"/>
    </w:rPr>
  </w:style>
  <w:style w:type="paragraph" w:customStyle="1" w:styleId="bullet2">
    <w:name w:val="bullet 2"/>
    <w:basedOn w:val="bullet"/>
    <w:qFormat/>
    <w:rsid w:val="005B5171"/>
    <w:pPr>
      <w:numPr>
        <w:numId w:val="2"/>
      </w:numPr>
    </w:pPr>
  </w:style>
  <w:style w:type="paragraph" w:customStyle="1" w:styleId="introductiontext">
    <w:name w:val="introduction text"/>
    <w:basedOn w:val="Normal"/>
    <w:rsid w:val="005B5171"/>
    <w:pPr>
      <w:spacing w:before="160" w:line="320" w:lineRule="exact"/>
    </w:pPr>
    <w:rPr>
      <w:rFonts w:ascii="Segoe UI Semibold" w:hAnsi="Segoe UI Semibold" w:cs="Segoe UI"/>
      <w:color w:val="0074A1"/>
      <w:sz w:val="24"/>
      <w:szCs w:val="24"/>
    </w:rPr>
  </w:style>
  <w:style w:type="paragraph" w:styleId="TOC3">
    <w:name w:val="toc 3"/>
    <w:basedOn w:val="Normal"/>
    <w:next w:val="Normal"/>
    <w:autoRedefine/>
    <w:uiPriority w:val="39"/>
    <w:unhideWhenUsed/>
    <w:qFormat/>
    <w:rsid w:val="005B5171"/>
    <w:pPr>
      <w:tabs>
        <w:tab w:val="right" w:leader="dot" w:pos="9016"/>
      </w:tabs>
      <w:spacing w:before="120" w:after="100" w:line="240" w:lineRule="auto"/>
      <w:ind w:left="440"/>
    </w:pPr>
    <w:rPr>
      <w:rFonts w:ascii="Segoe UI" w:hAnsi="Segoe UI" w:cs="Segoe UI"/>
    </w:rPr>
  </w:style>
  <w:style w:type="paragraph" w:styleId="TableofFigures">
    <w:name w:val="table of figures"/>
    <w:basedOn w:val="Normal"/>
    <w:next w:val="Normal"/>
    <w:uiPriority w:val="99"/>
    <w:unhideWhenUsed/>
    <w:rsid w:val="005B5171"/>
    <w:pPr>
      <w:spacing w:before="120" w:after="0" w:line="240" w:lineRule="auto"/>
    </w:pPr>
    <w:rPr>
      <w:rFonts w:ascii="Segoe UI" w:hAnsi="Segoe UI" w:cs="Segoe UI"/>
    </w:rPr>
  </w:style>
  <w:style w:type="table" w:styleId="TableGrid">
    <w:name w:val="Table Grid"/>
    <w:basedOn w:val="TableNormal"/>
    <w:uiPriority w:val="39"/>
    <w:rsid w:val="005B5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xTable1">
    <w:name w:val="xTable 1"/>
    <w:basedOn w:val="TableGrid"/>
    <w:uiPriority w:val="99"/>
    <w:rsid w:val="005B5171"/>
    <w:pPr>
      <w:spacing w:before="20" w:after="20" w:line="240" w:lineRule="atLeast"/>
    </w:pPr>
    <w:rPr>
      <w:rFonts w:ascii="Segoe UI Semibold" w:hAnsi="Segoe UI Semibold"/>
      <w:color w:val="000000"/>
      <w:sz w:val="20"/>
    </w:rPr>
    <w:tblPr>
      <w:tblStyleRowBandSize w:val="1"/>
      <w:tblStyleColBandSize w:val="1"/>
      <w:tblBorders>
        <w:top w:val="none" w:sz="0" w:space="0" w:color="auto"/>
        <w:left w:val="none" w:sz="0" w:space="0" w:color="auto"/>
        <w:bottom w:val="single" w:sz="4" w:space="0" w:color="000000"/>
        <w:right w:val="none" w:sz="0" w:space="0" w:color="auto"/>
        <w:insideH w:val="single" w:sz="4" w:space="0" w:color="000000"/>
        <w:insideV w:val="none" w:sz="0" w:space="0" w:color="auto"/>
      </w:tblBorders>
      <w:tblCellMar>
        <w:top w:w="85" w:type="dxa"/>
        <w:bottom w:w="85" w:type="dxa"/>
      </w:tblCellMar>
    </w:tblPr>
    <w:tcPr>
      <w:shd w:val="clear" w:color="auto" w:fill="auto"/>
      <w:noWrap/>
      <w:tcMar>
        <w:top w:w="57" w:type="dxa"/>
        <w:bottom w:w="57" w:type="dxa"/>
      </w:tcMar>
    </w:tcPr>
    <w:tblStylePr w:type="firstRow">
      <w:pPr>
        <w:wordWrap/>
        <w:spacing w:beforeLines="0" w:before="20" w:beforeAutospacing="0" w:afterLines="0" w:after="20" w:afterAutospacing="0" w:line="240" w:lineRule="atLeast"/>
        <w:jc w:val="center"/>
      </w:pPr>
      <w:rPr>
        <w:rFonts w:ascii="Microsoft JhengHei UI Light" w:hAnsi="Microsoft JhengHei UI Light"/>
        <w:b w:val="0"/>
        <w:i w:val="0"/>
        <w:color w:val="000000"/>
        <w:sz w:val="19"/>
      </w:rPr>
      <w:tblPr/>
      <w:tcPr>
        <w:shd w:val="clear" w:color="auto" w:fill="E2EFD9" w:themeFill="accent6" w:themeFillTint="33"/>
        <w:vAlign w:val="bottom"/>
      </w:tcPr>
    </w:tblStylePr>
    <w:tblStylePr w:type="lastRow">
      <w:rPr>
        <w:rFonts w:ascii="Microsoft JhengHei UI Light" w:hAnsi="Microsoft JhengHei UI Light"/>
        <w:b/>
        <w:sz w:val="19"/>
      </w:rPr>
      <w:tblPr/>
      <w:tcPr>
        <w:tcBorders>
          <w:bottom w:val="single" w:sz="4" w:space="0" w:color="auto"/>
        </w:tcBorders>
      </w:tcPr>
    </w:tblStylePr>
    <w:tblStylePr w:type="firstCol">
      <w:rPr>
        <w:rFonts w:ascii="Microsoft JhengHei UI Light" w:hAnsi="Microsoft JhengHei UI Light"/>
        <w:sz w:val="19"/>
      </w:rPr>
    </w:tblStylePr>
    <w:tblStylePr w:type="band1Vert">
      <w:rPr>
        <w:rFonts w:ascii="Microsoft JhengHei UI Light" w:hAnsi="Microsoft JhengHei UI Light"/>
        <w:sz w:val="19"/>
      </w:rPr>
    </w:tblStylePr>
    <w:tblStylePr w:type="band2Vert">
      <w:rPr>
        <w:rFonts w:ascii="Microsoft JhengHei UI Light" w:hAnsi="Microsoft JhengHei UI Light"/>
        <w:sz w:val="19"/>
      </w:rPr>
      <w:tblPr/>
      <w:tcPr>
        <w:tcBorders>
          <w:left w:val="nil"/>
        </w:tcBorders>
      </w:tcPr>
    </w:tblStylePr>
    <w:tblStylePr w:type="band1Horz">
      <w:rPr>
        <w:rFonts w:ascii="Microsoft JhengHei UI Light" w:hAnsi="Microsoft JhengHei UI Light"/>
        <w:sz w:val="19"/>
      </w:rPr>
      <w:tblPr/>
      <w:tcPr>
        <w:tcBorders>
          <w:bottom w:val="nil"/>
        </w:tcBorders>
      </w:tcPr>
    </w:tblStylePr>
    <w:tblStylePr w:type="band2Horz">
      <w:rPr>
        <w:rFonts w:ascii="Microsoft JhengHei UI Light" w:hAnsi="Microsoft JhengHei UI Light"/>
        <w:sz w:val="19"/>
      </w:rPr>
      <w:tblPr/>
      <w:tcPr>
        <w:tcBorders>
          <w:left w:val="nil"/>
          <w:bottom w:val="single" w:sz="4" w:space="0" w:color="000000"/>
        </w:tcBorders>
      </w:tcPr>
    </w:tblStylePr>
    <w:tblStylePr w:type="nwCell">
      <w:pPr>
        <w:jc w:val="left"/>
      </w:pPr>
      <w:tblPr/>
      <w:tcPr>
        <w:vAlign w:val="bottom"/>
      </w:tcPr>
    </w:tblStylePr>
  </w:style>
  <w:style w:type="table" w:customStyle="1" w:styleId="LightList-Accent31">
    <w:name w:val="Light List - Accent 31"/>
    <w:basedOn w:val="TableNormal"/>
    <w:next w:val="LightList-Accent3"/>
    <w:uiPriority w:val="61"/>
    <w:rsid w:val="005B5171"/>
    <w:pPr>
      <w:spacing w:after="0" w:line="240" w:lineRule="auto"/>
    </w:pPr>
    <w:rPr>
      <w:rFonts w:eastAsia="STZhongsong"/>
      <w:lang w:val="en-US" w:eastAsia="ja-JP"/>
    </w:rPr>
    <w:tblPr>
      <w:tblStyleRowBandSize w:val="1"/>
      <w:tblStyleColBandSize w:val="1"/>
      <w:tblBorders>
        <w:top w:val="single" w:sz="8" w:space="0" w:color="B0D8B5"/>
        <w:left w:val="single" w:sz="8" w:space="0" w:color="B0D8B5"/>
        <w:bottom w:val="single" w:sz="8" w:space="0" w:color="B0D8B5"/>
        <w:right w:val="single" w:sz="8" w:space="0" w:color="B0D8B5"/>
      </w:tblBorders>
    </w:tblPr>
    <w:tblStylePr w:type="firstRow">
      <w:pPr>
        <w:spacing w:before="0" w:after="0" w:line="240" w:lineRule="auto"/>
      </w:pPr>
      <w:rPr>
        <w:b/>
        <w:bCs/>
        <w:color w:val="FFFFFF"/>
      </w:rPr>
      <w:tblPr/>
      <w:tcPr>
        <w:shd w:val="clear" w:color="auto" w:fill="B0D8B5"/>
      </w:tcPr>
    </w:tblStylePr>
    <w:tblStylePr w:type="lastRow">
      <w:pPr>
        <w:spacing w:before="0" w:after="0" w:line="240" w:lineRule="auto"/>
      </w:pPr>
      <w:rPr>
        <w:b/>
        <w:bCs/>
      </w:rPr>
      <w:tblPr/>
      <w:tcPr>
        <w:tcBorders>
          <w:top w:val="double" w:sz="6" w:space="0" w:color="B0D8B5"/>
          <w:left w:val="single" w:sz="8" w:space="0" w:color="B0D8B5"/>
          <w:bottom w:val="single" w:sz="8" w:space="0" w:color="B0D8B5"/>
          <w:right w:val="single" w:sz="8" w:space="0" w:color="B0D8B5"/>
        </w:tcBorders>
      </w:tcPr>
    </w:tblStylePr>
    <w:tblStylePr w:type="firstCol">
      <w:rPr>
        <w:b/>
        <w:bCs/>
      </w:rPr>
    </w:tblStylePr>
    <w:tblStylePr w:type="lastCol">
      <w:rPr>
        <w:b/>
        <w:bCs/>
      </w:rPr>
    </w:tblStylePr>
    <w:tblStylePr w:type="band1Vert">
      <w:tblPr/>
      <w:tcPr>
        <w:tcBorders>
          <w:top w:val="single" w:sz="8" w:space="0" w:color="B0D8B5"/>
          <w:left w:val="single" w:sz="8" w:space="0" w:color="B0D8B5"/>
          <w:bottom w:val="single" w:sz="8" w:space="0" w:color="B0D8B5"/>
          <w:right w:val="single" w:sz="8" w:space="0" w:color="B0D8B5"/>
        </w:tcBorders>
      </w:tcPr>
    </w:tblStylePr>
    <w:tblStylePr w:type="band1Horz">
      <w:tblPr/>
      <w:tcPr>
        <w:tcBorders>
          <w:top w:val="single" w:sz="8" w:space="0" w:color="B0D8B5"/>
          <w:left w:val="single" w:sz="8" w:space="0" w:color="B0D8B5"/>
          <w:bottom w:val="single" w:sz="8" w:space="0" w:color="B0D8B5"/>
          <w:right w:val="single" w:sz="8" w:space="0" w:color="B0D8B5"/>
        </w:tcBorders>
      </w:tcPr>
    </w:tblStylePr>
  </w:style>
  <w:style w:type="paragraph" w:customStyle="1" w:styleId="Copyright">
    <w:name w:val="Copyright"/>
    <w:basedOn w:val="Normal"/>
    <w:semiHidden/>
    <w:rsid w:val="005B5171"/>
    <w:pPr>
      <w:pBdr>
        <w:top w:val="single" w:sz="4" w:space="4" w:color="008FCC"/>
      </w:pBdr>
      <w:tabs>
        <w:tab w:val="left" w:pos="340"/>
      </w:tabs>
      <w:spacing w:before="60" w:after="80" w:line="180" w:lineRule="exact"/>
    </w:pPr>
    <w:rPr>
      <w:rFonts w:ascii="Segoe UI" w:eastAsia="Times New Roman" w:hAnsi="Segoe UI" w:cs="Segoe UI"/>
      <w:sz w:val="16"/>
      <w:szCs w:val="14"/>
    </w:rPr>
  </w:style>
  <w:style w:type="paragraph" w:customStyle="1" w:styleId="references">
    <w:name w:val="references"/>
    <w:basedOn w:val="Normal"/>
    <w:rsid w:val="005B5171"/>
    <w:pPr>
      <w:spacing w:before="120" w:after="120" w:line="240" w:lineRule="auto"/>
      <w:ind w:left="567" w:hanging="567"/>
    </w:pPr>
    <w:rPr>
      <w:rFonts w:ascii="Segoe UI" w:hAnsi="Segoe UI" w:cs="Segoe UI"/>
    </w:rPr>
  </w:style>
  <w:style w:type="paragraph" w:customStyle="1" w:styleId="Figuretextorcaption1">
    <w:name w:val="Figure text or caption1"/>
    <w:basedOn w:val="Normal"/>
    <w:next w:val="Normal"/>
    <w:uiPriority w:val="35"/>
    <w:unhideWhenUsed/>
    <w:qFormat/>
    <w:rsid w:val="005B5171"/>
    <w:pPr>
      <w:spacing w:before="180" w:after="180" w:line="240" w:lineRule="exact"/>
    </w:pPr>
    <w:rPr>
      <w:rFonts w:ascii="Segoe UI Semibold" w:eastAsia="Times New Roman" w:hAnsi="Segoe UI Semibold" w:cs="Times New Roman"/>
      <w:color w:val="016295"/>
    </w:rPr>
  </w:style>
  <w:style w:type="paragraph" w:styleId="TOC2">
    <w:name w:val="toc 2"/>
    <w:basedOn w:val="Normal"/>
    <w:next w:val="Normal"/>
    <w:autoRedefine/>
    <w:uiPriority w:val="39"/>
    <w:unhideWhenUsed/>
    <w:qFormat/>
    <w:rsid w:val="005B5171"/>
    <w:pPr>
      <w:tabs>
        <w:tab w:val="left" w:pos="880"/>
        <w:tab w:val="right" w:leader="dot" w:pos="9060"/>
      </w:tabs>
      <w:spacing w:before="120" w:after="100" w:line="240" w:lineRule="auto"/>
      <w:ind w:left="220"/>
    </w:pPr>
    <w:rPr>
      <w:rFonts w:ascii="Segoe UI" w:hAnsi="Segoe UI" w:cs="Segoe UI"/>
    </w:rPr>
  </w:style>
  <w:style w:type="paragraph" w:styleId="TOC1">
    <w:name w:val="toc 1"/>
    <w:basedOn w:val="Normal"/>
    <w:next w:val="Normal"/>
    <w:autoRedefine/>
    <w:uiPriority w:val="39"/>
    <w:unhideWhenUsed/>
    <w:qFormat/>
    <w:rsid w:val="005B5171"/>
    <w:pPr>
      <w:tabs>
        <w:tab w:val="right" w:leader="dot" w:pos="9060"/>
      </w:tabs>
      <w:spacing w:before="120" w:after="100" w:line="240" w:lineRule="auto"/>
    </w:pPr>
    <w:rPr>
      <w:rFonts w:ascii="Segoe UI" w:hAnsi="Segoe UI" w:cs="Segoe UI"/>
      <w:noProof/>
    </w:rPr>
  </w:style>
  <w:style w:type="paragraph" w:customStyle="1" w:styleId="seriestitle">
    <w:name w:val="series title"/>
    <w:basedOn w:val="Normal"/>
    <w:rsid w:val="005B5171"/>
    <w:pPr>
      <w:spacing w:before="120" w:after="120" w:line="560" w:lineRule="exact"/>
    </w:pPr>
    <w:rPr>
      <w:rFonts w:ascii="Segoe UI Light" w:hAnsi="Segoe UI Light" w:cs="Segoe UI"/>
      <w:color w:val="FFFFFF"/>
      <w:sz w:val="44"/>
      <w:szCs w:val="44"/>
    </w:rPr>
  </w:style>
  <w:style w:type="paragraph" w:customStyle="1" w:styleId="silentheading">
    <w:name w:val="silent heading"/>
    <w:rsid w:val="005B5171"/>
    <w:pPr>
      <w:spacing w:before="360" w:after="480" w:line="276" w:lineRule="auto"/>
    </w:pPr>
    <w:rPr>
      <w:rFonts w:ascii="Segoe UI" w:hAnsi="Segoe UI" w:cs="Segoe UI"/>
      <w:b/>
      <w:color w:val="0074A1"/>
      <w:sz w:val="28"/>
      <w:szCs w:val="28"/>
    </w:rPr>
  </w:style>
  <w:style w:type="paragraph" w:customStyle="1" w:styleId="imprintheading">
    <w:name w:val="imprint heading"/>
    <w:basedOn w:val="Normal"/>
    <w:rsid w:val="005B5171"/>
    <w:pPr>
      <w:spacing w:before="120" w:after="120" w:line="240" w:lineRule="auto"/>
    </w:pPr>
    <w:rPr>
      <w:rFonts w:ascii="Segoe UI" w:hAnsi="Segoe UI" w:cs="Segoe UI"/>
      <w:b/>
      <w:sz w:val="20"/>
      <w:szCs w:val="20"/>
    </w:rPr>
  </w:style>
  <w:style w:type="paragraph" w:customStyle="1" w:styleId="imprinttext">
    <w:name w:val="imprint text"/>
    <w:basedOn w:val="Normal"/>
    <w:rsid w:val="005B5171"/>
    <w:pPr>
      <w:spacing w:before="120" w:after="120" w:line="240" w:lineRule="auto"/>
    </w:pPr>
    <w:rPr>
      <w:rFonts w:ascii="Segoe UI" w:hAnsi="Segoe UI" w:cs="Segoe UI"/>
      <w:sz w:val="20"/>
      <w:szCs w:val="20"/>
    </w:rPr>
  </w:style>
  <w:style w:type="paragraph" w:customStyle="1" w:styleId="copyrightdisclaimer">
    <w:name w:val="copyright / disclaimer"/>
    <w:basedOn w:val="Copyright"/>
    <w:rsid w:val="005B5171"/>
    <w:pPr>
      <w:pBdr>
        <w:top w:val="single" w:sz="4" w:space="6" w:color="008FCC"/>
      </w:pBdr>
    </w:pPr>
    <w:rPr>
      <w:szCs w:val="16"/>
    </w:rPr>
  </w:style>
  <w:style w:type="character" w:styleId="PlaceholderText">
    <w:name w:val="Placeholder Text"/>
    <w:basedOn w:val="DefaultParagraphFont"/>
    <w:uiPriority w:val="99"/>
    <w:rsid w:val="005B5171"/>
    <w:rPr>
      <w:color w:val="808080"/>
    </w:rPr>
  </w:style>
  <w:style w:type="paragraph" w:customStyle="1" w:styleId="featuretexthead">
    <w:name w:val="feature text head"/>
    <w:basedOn w:val="Normal"/>
    <w:rsid w:val="005B5171"/>
    <w:pPr>
      <w:spacing w:before="120" w:after="120" w:line="300" w:lineRule="atLeast"/>
    </w:pPr>
    <w:rPr>
      <w:rFonts w:ascii="Segoe UI" w:hAnsi="Segoe UI" w:cs="Segoe UI"/>
      <w:b/>
      <w:color w:val="02747E"/>
      <w:sz w:val="24"/>
    </w:rPr>
  </w:style>
  <w:style w:type="paragraph" w:customStyle="1" w:styleId="tabletext">
    <w:name w:val="table text"/>
    <w:basedOn w:val="bullet2"/>
    <w:rsid w:val="005B5171"/>
    <w:pPr>
      <w:numPr>
        <w:numId w:val="0"/>
      </w:numPr>
      <w:spacing w:before="5" w:after="5" w:line="240" w:lineRule="exact"/>
    </w:pPr>
    <w:rPr>
      <w:sz w:val="20"/>
      <w:szCs w:val="20"/>
    </w:rPr>
  </w:style>
  <w:style w:type="paragraph" w:customStyle="1" w:styleId="tableheadertext">
    <w:name w:val="table header text"/>
    <w:basedOn w:val="bullet2"/>
    <w:rsid w:val="005B5171"/>
    <w:pPr>
      <w:numPr>
        <w:numId w:val="0"/>
      </w:numPr>
      <w:spacing w:beforeLines="25" w:before="25" w:afterLines="25" w:after="25" w:line="240" w:lineRule="exact"/>
    </w:pPr>
    <w:rPr>
      <w:rFonts w:ascii="Segoe UI Semibold" w:hAnsi="Segoe UI Semibold"/>
      <w:b/>
      <w:color w:val="000000"/>
      <w:sz w:val="20"/>
      <w:szCs w:val="20"/>
    </w:rPr>
  </w:style>
  <w:style w:type="table" w:customStyle="1" w:styleId="LightShading1">
    <w:name w:val="Light Shading1"/>
    <w:basedOn w:val="TableNormal"/>
    <w:next w:val="LightShading"/>
    <w:uiPriority w:val="60"/>
    <w:rsid w:val="005B5171"/>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5B5171"/>
    <w:pPr>
      <w:spacing w:after="0" w:line="240" w:lineRule="auto"/>
    </w:pPr>
    <w:rPr>
      <w:color w:val="1D4F8B"/>
    </w:rPr>
    <w:tblPr>
      <w:tblStyleRowBandSize w:val="1"/>
      <w:tblStyleColBandSize w:val="1"/>
      <w:tblBorders>
        <w:top w:val="single" w:sz="8" w:space="0" w:color="276ABB"/>
        <w:bottom w:val="single" w:sz="8" w:space="0" w:color="276ABB"/>
      </w:tblBorders>
    </w:tblPr>
    <w:tblStylePr w:type="firstRow">
      <w:pPr>
        <w:spacing w:before="0" w:after="0" w:line="240" w:lineRule="auto"/>
      </w:pPr>
      <w:rPr>
        <w:b/>
        <w:bCs/>
      </w:rPr>
      <w:tblPr/>
      <w:tcPr>
        <w:tcBorders>
          <w:top w:val="single" w:sz="8" w:space="0" w:color="276ABB"/>
          <w:left w:val="nil"/>
          <w:bottom w:val="single" w:sz="8" w:space="0" w:color="276ABB"/>
          <w:right w:val="nil"/>
          <w:insideH w:val="nil"/>
          <w:insideV w:val="nil"/>
        </w:tcBorders>
      </w:tcPr>
    </w:tblStylePr>
    <w:tblStylePr w:type="lastRow">
      <w:pPr>
        <w:spacing w:before="0" w:after="0" w:line="240" w:lineRule="auto"/>
      </w:pPr>
      <w:rPr>
        <w:b/>
        <w:bCs/>
      </w:rPr>
      <w:tblPr/>
      <w:tcPr>
        <w:tcBorders>
          <w:top w:val="single" w:sz="8" w:space="0" w:color="276ABB"/>
          <w:left w:val="nil"/>
          <w:bottom w:val="single" w:sz="8" w:space="0" w:color="276AB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D9F3"/>
      </w:tcPr>
    </w:tblStylePr>
    <w:tblStylePr w:type="band1Horz">
      <w:tblPr/>
      <w:tcPr>
        <w:tcBorders>
          <w:left w:val="nil"/>
          <w:right w:val="nil"/>
          <w:insideH w:val="nil"/>
          <w:insideV w:val="nil"/>
        </w:tcBorders>
        <w:shd w:val="clear" w:color="auto" w:fill="C4D9F3"/>
      </w:tcPr>
    </w:tblStylePr>
  </w:style>
  <w:style w:type="table" w:customStyle="1" w:styleId="LightShading-Accent61">
    <w:name w:val="Light Shading - Accent 61"/>
    <w:basedOn w:val="TableNormal"/>
    <w:next w:val="LightShading-Accent6"/>
    <w:uiPriority w:val="60"/>
    <w:rsid w:val="005B5171"/>
    <w:pPr>
      <w:spacing w:after="0" w:line="240" w:lineRule="auto"/>
    </w:pPr>
    <w:rPr>
      <w:color w:val="03AEBC"/>
    </w:rPr>
    <w:tblPr>
      <w:tblStyleRowBandSize w:val="1"/>
      <w:tblStyleColBandSize w:val="1"/>
      <w:tblBorders>
        <w:top w:val="single" w:sz="8" w:space="0" w:color="05E9FB"/>
        <w:bottom w:val="single" w:sz="8" w:space="0" w:color="05E9FB"/>
      </w:tblBorders>
    </w:tblPr>
    <w:tblStylePr w:type="firstRow">
      <w:pPr>
        <w:spacing w:before="0" w:after="0" w:line="240" w:lineRule="auto"/>
      </w:pPr>
      <w:rPr>
        <w:b/>
        <w:bCs/>
      </w:rPr>
      <w:tblPr/>
      <w:tcPr>
        <w:tcBorders>
          <w:top w:val="single" w:sz="8" w:space="0" w:color="05E9FB"/>
          <w:left w:val="nil"/>
          <w:bottom w:val="single" w:sz="8" w:space="0" w:color="05E9FB"/>
          <w:right w:val="nil"/>
          <w:insideH w:val="nil"/>
          <w:insideV w:val="nil"/>
        </w:tcBorders>
      </w:tcPr>
    </w:tblStylePr>
    <w:tblStylePr w:type="lastRow">
      <w:pPr>
        <w:spacing w:before="0" w:after="0" w:line="240" w:lineRule="auto"/>
      </w:pPr>
      <w:rPr>
        <w:b/>
        <w:bCs/>
      </w:rPr>
      <w:tblPr/>
      <w:tcPr>
        <w:tcBorders>
          <w:top w:val="single" w:sz="8" w:space="0" w:color="05E9FB"/>
          <w:left w:val="nil"/>
          <w:bottom w:val="single" w:sz="8" w:space="0" w:color="05E9F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9FE"/>
      </w:tcPr>
    </w:tblStylePr>
    <w:tblStylePr w:type="band1Horz">
      <w:tblPr/>
      <w:tcPr>
        <w:tcBorders>
          <w:left w:val="nil"/>
          <w:right w:val="nil"/>
          <w:insideH w:val="nil"/>
          <w:insideV w:val="nil"/>
        </w:tcBorders>
        <w:shd w:val="clear" w:color="auto" w:fill="C1F9FE"/>
      </w:tcPr>
    </w:tblStylePr>
  </w:style>
  <w:style w:type="table" w:customStyle="1" w:styleId="LightShading-Accent21">
    <w:name w:val="Light Shading - Accent 21"/>
    <w:basedOn w:val="TableGrid"/>
    <w:next w:val="LightShading-Accent2"/>
    <w:uiPriority w:val="60"/>
    <w:rsid w:val="005B5171"/>
    <w:rPr>
      <w:color w:val="0292DF"/>
    </w:rPr>
    <w:tblPr>
      <w:tblStyleRowBandSize w:val="1"/>
      <w:tblStyleColBandSize w:val="1"/>
      <w:tblBorders>
        <w:top w:val="single" w:sz="8" w:space="0" w:color="31B6FD"/>
        <w:left w:val="none" w:sz="0" w:space="0" w:color="auto"/>
        <w:bottom w:val="single" w:sz="8" w:space="0" w:color="31B6FD"/>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31B6FD"/>
          <w:left w:val="nil"/>
          <w:bottom w:val="single" w:sz="8" w:space="0" w:color="31B6FD"/>
          <w:right w:val="nil"/>
          <w:insideH w:val="nil"/>
          <w:insideV w:val="nil"/>
        </w:tcBorders>
      </w:tcPr>
    </w:tblStylePr>
    <w:tblStylePr w:type="lastRow">
      <w:pPr>
        <w:spacing w:before="0" w:after="0" w:line="240" w:lineRule="auto"/>
      </w:pPr>
      <w:rPr>
        <w:b/>
        <w:bCs/>
      </w:rPr>
      <w:tblPr/>
      <w:tcPr>
        <w:tcBorders>
          <w:top w:val="single" w:sz="8" w:space="0" w:color="31B6FD"/>
          <w:left w:val="nil"/>
          <w:bottom w:val="single" w:sz="8" w:space="0" w:color="31B6F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CFE"/>
      </w:tcPr>
    </w:tblStylePr>
    <w:tblStylePr w:type="band1Horz">
      <w:tblPr/>
      <w:tcPr>
        <w:tcBorders>
          <w:left w:val="nil"/>
          <w:right w:val="nil"/>
          <w:insideH w:val="nil"/>
          <w:insideV w:val="nil"/>
        </w:tcBorders>
        <w:shd w:val="clear" w:color="auto" w:fill="CBECFE"/>
      </w:tcPr>
    </w:tblStylePr>
  </w:style>
  <w:style w:type="paragraph" w:customStyle="1" w:styleId="FootnoteText1">
    <w:name w:val="Footnote Text1"/>
    <w:basedOn w:val="Normal"/>
    <w:next w:val="FootnoteText"/>
    <w:link w:val="FootnoteTextChar"/>
    <w:uiPriority w:val="99"/>
    <w:unhideWhenUsed/>
    <w:rsid w:val="005B5171"/>
    <w:pPr>
      <w:spacing w:after="0" w:line="240" w:lineRule="auto"/>
    </w:pPr>
    <w:rPr>
      <w:rFonts w:ascii="Segoe UI" w:eastAsia="STZhongsong" w:hAnsi="Segoe UI" w:cs="Segoe UI"/>
      <w:sz w:val="20"/>
      <w:szCs w:val="20"/>
      <w:lang w:val="en-US" w:eastAsia="ja-JP"/>
    </w:rPr>
  </w:style>
  <w:style w:type="character" w:customStyle="1" w:styleId="FootnoteTextChar">
    <w:name w:val="Footnote Text Char"/>
    <w:aliases w:val="ALTS FOOTNOTE Char,Footnote Text Char Char Char,Footnote Text Char1 Char,ALTS FOOTNOTE Char Char Char,ALTS FOOTNOTE Char1 Char,URS Footnote Text Char, Char Char,Char1 Char,Char Char,Geneva 9 Char,Font: Geneva 9 Char,Boston 10 Char"/>
    <w:basedOn w:val="DefaultParagraphFont"/>
    <w:link w:val="FootnoteText1"/>
    <w:uiPriority w:val="99"/>
    <w:rsid w:val="005B5171"/>
    <w:rPr>
      <w:rFonts w:ascii="Segoe UI" w:eastAsia="STZhongsong" w:hAnsi="Segoe UI" w:cs="Segoe UI"/>
      <w:sz w:val="20"/>
      <w:szCs w:val="20"/>
      <w:lang w:val="en-US" w:eastAsia="ja-JP"/>
    </w:rPr>
  </w:style>
  <w:style w:type="table" w:customStyle="1" w:styleId="MediumList2-Accent11">
    <w:name w:val="Medium List 2 - Accent 11"/>
    <w:basedOn w:val="TableNormal"/>
    <w:next w:val="MediumList2-Accent1"/>
    <w:uiPriority w:val="66"/>
    <w:rsid w:val="005B5171"/>
    <w:pPr>
      <w:spacing w:after="0" w:line="240" w:lineRule="auto"/>
    </w:pPr>
    <w:rPr>
      <w:rFonts w:ascii="Gill Sans MT" w:eastAsia="STZhongsong" w:hAnsi="Gill Sans MT" w:cs="Majalla UI"/>
      <w:color w:val="000000"/>
      <w:lang w:val="en-US" w:eastAsia="ja-JP"/>
    </w:rPr>
    <w:tblPr>
      <w:tblStyleRowBandSize w:val="1"/>
      <w:tblStyleColBandSize w:val="1"/>
      <w:tblBorders>
        <w:top w:val="single" w:sz="8" w:space="0" w:color="276ABB"/>
        <w:left w:val="single" w:sz="8" w:space="0" w:color="276ABB"/>
        <w:bottom w:val="single" w:sz="8" w:space="0" w:color="276ABB"/>
        <w:right w:val="single" w:sz="8" w:space="0" w:color="276ABB"/>
      </w:tblBorders>
    </w:tblPr>
    <w:tblStylePr w:type="firstRow">
      <w:rPr>
        <w:sz w:val="24"/>
        <w:szCs w:val="24"/>
      </w:rPr>
      <w:tblPr/>
      <w:tcPr>
        <w:tcBorders>
          <w:top w:val="nil"/>
          <w:left w:val="nil"/>
          <w:bottom w:val="single" w:sz="24" w:space="0" w:color="276ABB"/>
          <w:right w:val="nil"/>
          <w:insideH w:val="nil"/>
          <w:insideV w:val="nil"/>
        </w:tcBorders>
        <w:shd w:val="clear" w:color="auto" w:fill="FFFFFF"/>
      </w:tcPr>
    </w:tblStylePr>
    <w:tblStylePr w:type="lastRow">
      <w:tblPr/>
      <w:tcPr>
        <w:tcBorders>
          <w:top w:val="single" w:sz="8" w:space="0" w:color="276ABB"/>
          <w:left w:val="nil"/>
          <w:bottom w:val="nil"/>
          <w:right w:val="nil"/>
          <w:insideH w:val="nil"/>
          <w:insideV w:val="nil"/>
        </w:tcBorders>
        <w:shd w:val="clear" w:color="auto" w:fill="FFFFFF"/>
      </w:tcPr>
    </w:tblStylePr>
    <w:tblStylePr w:type="firstCol">
      <w:tblPr/>
      <w:tcPr>
        <w:tcBorders>
          <w:top w:val="nil"/>
          <w:left w:val="nil"/>
          <w:bottom w:val="nil"/>
          <w:right w:val="single" w:sz="8" w:space="0" w:color="276ABB"/>
          <w:insideH w:val="nil"/>
          <w:insideV w:val="nil"/>
        </w:tcBorders>
        <w:shd w:val="clear" w:color="auto" w:fill="FFFFFF"/>
      </w:tcPr>
    </w:tblStylePr>
    <w:tblStylePr w:type="lastCol">
      <w:tblPr/>
      <w:tcPr>
        <w:tcBorders>
          <w:top w:val="nil"/>
          <w:left w:val="single" w:sz="8" w:space="0" w:color="276AB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4D9F3"/>
      </w:tcPr>
    </w:tblStylePr>
    <w:tblStylePr w:type="band1Horz">
      <w:tblPr/>
      <w:tcPr>
        <w:tcBorders>
          <w:top w:val="nil"/>
          <w:bottom w:val="nil"/>
          <w:insideH w:val="nil"/>
          <w:insideV w:val="nil"/>
        </w:tcBorders>
        <w:shd w:val="clear" w:color="auto" w:fill="C4D9F3"/>
      </w:tcPr>
    </w:tblStylePr>
    <w:tblStylePr w:type="nwCell">
      <w:tblPr/>
      <w:tcPr>
        <w:shd w:val="clear" w:color="auto" w:fill="FFFFFF"/>
      </w:tcPr>
    </w:tblStylePr>
    <w:tblStylePr w:type="swCell">
      <w:tblPr/>
      <w:tcPr>
        <w:tcBorders>
          <w:top w:val="nil"/>
        </w:tcBorders>
      </w:tcPr>
    </w:tblStylePr>
  </w:style>
  <w:style w:type="paragraph" w:customStyle="1" w:styleId="Title1">
    <w:name w:val="Title1"/>
    <w:next w:val="Normal"/>
    <w:uiPriority w:val="10"/>
    <w:rsid w:val="005B5171"/>
    <w:pPr>
      <w:spacing w:before="360" w:after="120" w:line="264" w:lineRule="auto"/>
    </w:pPr>
    <w:rPr>
      <w:rFonts w:ascii="Segoe UI Semibold" w:hAnsi="Segoe UI Semibold"/>
      <w:color w:val="9AF6FD"/>
      <w:sz w:val="44"/>
      <w:szCs w:val="44"/>
    </w:rPr>
  </w:style>
  <w:style w:type="character" w:customStyle="1" w:styleId="TitleChar">
    <w:name w:val="Title Char"/>
    <w:basedOn w:val="DefaultParagraphFont"/>
    <w:link w:val="Title"/>
    <w:rsid w:val="005B5171"/>
    <w:rPr>
      <w:rFonts w:ascii="Segoe UI Semibold" w:hAnsi="Segoe UI Semibold"/>
      <w:color w:val="9AF6FD"/>
      <w:sz w:val="44"/>
      <w:szCs w:val="44"/>
    </w:rPr>
  </w:style>
  <w:style w:type="paragraph" w:customStyle="1" w:styleId="Logo">
    <w:name w:val="Logo"/>
    <w:basedOn w:val="Header"/>
    <w:link w:val="LogoChar"/>
    <w:rsid w:val="005B5171"/>
    <w:pPr>
      <w:framePr w:wrap="around" w:vAnchor="page" w:hAnchor="page" w:x="1458" w:y="1521" w:anchorLock="1"/>
    </w:pPr>
    <w:rPr>
      <w:noProof/>
      <w:lang w:eastAsia="en-AU"/>
    </w:rPr>
  </w:style>
  <w:style w:type="paragraph" w:customStyle="1" w:styleId="FooterBanner">
    <w:name w:val="Footer Banner"/>
    <w:basedOn w:val="Footer"/>
    <w:link w:val="FooterBannerChar"/>
    <w:rsid w:val="005B5171"/>
    <w:pPr>
      <w:framePr w:wrap="around" w:vAnchor="page" w:hAnchor="page" w:y="10978" w:anchorLock="1"/>
      <w:numPr>
        <w:ilvl w:val="2"/>
        <w:numId w:val="11"/>
      </w:numPr>
      <w:spacing w:before="120"/>
    </w:pPr>
    <w:rPr>
      <w:noProof/>
      <w:color w:val="02747E"/>
      <w:sz w:val="18"/>
      <w:lang w:eastAsia="en-AU"/>
    </w:rPr>
  </w:style>
  <w:style w:type="character" w:customStyle="1" w:styleId="LogoChar">
    <w:name w:val="Logo Char"/>
    <w:basedOn w:val="HeaderChar"/>
    <w:link w:val="Logo"/>
    <w:rsid w:val="005B5171"/>
    <w:rPr>
      <w:rFonts w:ascii="Segoe UI" w:hAnsi="Segoe UI" w:cs="Segoe UI"/>
      <w:noProof/>
      <w:color w:val="0070C0"/>
      <w:sz w:val="18"/>
      <w:lang w:eastAsia="en-AU"/>
    </w:rPr>
  </w:style>
  <w:style w:type="table" w:customStyle="1" w:styleId="Frame">
    <w:name w:val="Frame"/>
    <w:basedOn w:val="TableNormal"/>
    <w:uiPriority w:val="99"/>
    <w:rsid w:val="005B5171"/>
    <w:pPr>
      <w:spacing w:after="0" w:line="240" w:lineRule="auto"/>
    </w:pPr>
    <w:tblPr>
      <w:tblCellMar>
        <w:left w:w="0" w:type="dxa"/>
        <w:right w:w="0" w:type="dxa"/>
      </w:tblCellMar>
    </w:tblPr>
  </w:style>
  <w:style w:type="character" w:customStyle="1" w:styleId="FooterBannerChar">
    <w:name w:val="Footer Banner Char"/>
    <w:basedOn w:val="FooterChar"/>
    <w:link w:val="FooterBanner"/>
    <w:rsid w:val="005B5171"/>
    <w:rPr>
      <w:rFonts w:ascii="Segoe UI" w:hAnsi="Segoe UI" w:cs="Segoe UI"/>
      <w:noProof/>
      <w:color w:val="02747E"/>
      <w:sz w:val="18"/>
      <w:lang w:eastAsia="en-AU"/>
    </w:rPr>
  </w:style>
  <w:style w:type="paragraph" w:styleId="NoSpacing">
    <w:name w:val="No Spacing"/>
    <w:link w:val="NoSpacingChar"/>
    <w:uiPriority w:val="1"/>
    <w:unhideWhenUsed/>
    <w:qFormat/>
    <w:rsid w:val="005B5171"/>
    <w:pPr>
      <w:spacing w:after="0" w:line="240" w:lineRule="auto"/>
    </w:pPr>
    <w:rPr>
      <w:rFonts w:ascii="Segoe UI" w:hAnsi="Segoe UI"/>
    </w:rPr>
  </w:style>
  <w:style w:type="paragraph" w:customStyle="1" w:styleId="TitleBox">
    <w:name w:val="Title Box"/>
    <w:basedOn w:val="Normal"/>
    <w:link w:val="TitleBoxChar"/>
    <w:rsid w:val="005B5171"/>
    <w:pPr>
      <w:framePr w:w="11907" w:wrap="notBeside" w:vAnchor="text" w:hAnchor="page" w:y="1" w:anchorLock="1"/>
      <w:spacing w:before="120" w:after="120" w:line="240" w:lineRule="auto"/>
    </w:pPr>
    <w:rPr>
      <w:rFonts w:ascii="Segoe UI" w:hAnsi="Segoe UI" w:cs="Segoe UI"/>
    </w:rPr>
  </w:style>
  <w:style w:type="character" w:customStyle="1" w:styleId="TitleBoxChar">
    <w:name w:val="Title Box Char"/>
    <w:basedOn w:val="DefaultParagraphFont"/>
    <w:link w:val="TitleBox"/>
    <w:rsid w:val="005B5171"/>
    <w:rPr>
      <w:rFonts w:ascii="Segoe UI" w:hAnsi="Segoe UI" w:cs="Segoe UI"/>
    </w:rPr>
  </w:style>
  <w:style w:type="character" w:styleId="FootnoteReference">
    <w:name w:val="footnote reference"/>
    <w:aliases w:val="Footnotes refss,FNRefe Char,BVI fnr Char,BVI fnr Char Char,BVI fnr Car Car Char Char,BVI fnr Car Char Char,BVI fnr Car Car Car Car Char Char Char Char,FNRefe Char Char,BVI fnr Char Char Char,BVI fnr Car Car Char Char Char"/>
    <w:basedOn w:val="DefaultParagraphFont"/>
    <w:unhideWhenUsed/>
    <w:rsid w:val="005B5171"/>
    <w:rPr>
      <w:vertAlign w:val="superscript"/>
    </w:rPr>
  </w:style>
  <w:style w:type="character" w:customStyle="1" w:styleId="FollowedHyperlink1">
    <w:name w:val="FollowedHyperlink1"/>
    <w:basedOn w:val="DefaultParagraphFont"/>
    <w:uiPriority w:val="99"/>
    <w:unhideWhenUsed/>
    <w:rsid w:val="005B5171"/>
    <w:rPr>
      <w:color w:val="5EAEFF"/>
      <w:u w:val="single"/>
    </w:rPr>
  </w:style>
  <w:style w:type="paragraph" w:customStyle="1" w:styleId="TableText0">
    <w:name w:val="Table Text"/>
    <w:basedOn w:val="Normal"/>
    <w:qFormat/>
    <w:rsid w:val="005B5171"/>
    <w:pPr>
      <w:spacing w:before="80" w:after="80" w:line="240" w:lineRule="auto"/>
    </w:pPr>
    <w:rPr>
      <w:rFonts w:ascii="Verdana" w:eastAsia="Times New Roman" w:hAnsi="Verdana" w:cs="Times New Roman"/>
      <w:sz w:val="20"/>
      <w:szCs w:val="24"/>
      <w:lang w:eastAsia="en-AU"/>
    </w:rPr>
  </w:style>
  <w:style w:type="paragraph" w:customStyle="1" w:styleId="TableHeading">
    <w:name w:val="Table Heading"/>
    <w:basedOn w:val="TableText0"/>
    <w:qFormat/>
    <w:rsid w:val="005B5171"/>
    <w:pPr>
      <w:keepNext/>
    </w:pPr>
    <w:rPr>
      <w:b/>
    </w:rPr>
  </w:style>
  <w:style w:type="paragraph" w:customStyle="1" w:styleId="TableCaption">
    <w:name w:val="Table Caption"/>
    <w:basedOn w:val="Normal"/>
    <w:next w:val="Normal"/>
    <w:rsid w:val="005B5171"/>
    <w:pPr>
      <w:keepNext/>
      <w:spacing w:before="240" w:after="240" w:line="240" w:lineRule="auto"/>
    </w:pPr>
    <w:rPr>
      <w:rFonts w:ascii="Verdana" w:eastAsia="Times New Roman" w:hAnsi="Verdana" w:cs="Times New Roman"/>
      <w:b/>
      <w:sz w:val="20"/>
      <w:szCs w:val="24"/>
      <w:lang w:eastAsia="en-AU"/>
    </w:rPr>
  </w:style>
  <w:style w:type="paragraph" w:styleId="ListBullet">
    <w:name w:val="List Bullet"/>
    <w:basedOn w:val="Normal"/>
    <w:qFormat/>
    <w:rsid w:val="005B5171"/>
    <w:pPr>
      <w:tabs>
        <w:tab w:val="num" w:pos="567"/>
      </w:tabs>
      <w:spacing w:before="240" w:after="0" w:line="240" w:lineRule="auto"/>
      <w:ind w:left="567" w:hanging="567"/>
    </w:pPr>
    <w:rPr>
      <w:rFonts w:ascii="Verdana" w:eastAsia="Times New Roman" w:hAnsi="Verdana" w:cs="Times New Roman"/>
      <w:sz w:val="20"/>
      <w:szCs w:val="24"/>
      <w:lang w:eastAsia="en-AU"/>
    </w:rPr>
  </w:style>
  <w:style w:type="paragraph" w:customStyle="1" w:styleId="Footnote">
    <w:name w:val="Footnote"/>
    <w:next w:val="Normal"/>
    <w:rsid w:val="005B5171"/>
    <w:pPr>
      <w:spacing w:before="60" w:after="60" w:line="240" w:lineRule="auto"/>
    </w:pPr>
    <w:rPr>
      <w:rFonts w:ascii="Verdana" w:eastAsia="Times New Roman" w:hAnsi="Verdana" w:cs="Arial"/>
      <w:bCs/>
      <w:kern w:val="28"/>
      <w:sz w:val="16"/>
      <w:szCs w:val="16"/>
      <w:lang w:eastAsia="en-AU"/>
    </w:rPr>
  </w:style>
  <w:style w:type="paragraph" w:customStyle="1" w:styleId="Text">
    <w:name w:val="Text"/>
    <w:basedOn w:val="Normal"/>
    <w:link w:val="TextChar"/>
    <w:locked/>
    <w:rsid w:val="005B5171"/>
    <w:pPr>
      <w:spacing w:before="120" w:after="60" w:line="240" w:lineRule="auto"/>
      <w:ind w:left="851"/>
    </w:pPr>
    <w:rPr>
      <w:rFonts w:ascii="Arial" w:eastAsia="Times New Roman" w:hAnsi="Arial" w:cs="Times New Roman"/>
      <w:szCs w:val="20"/>
    </w:rPr>
  </w:style>
  <w:style w:type="character" w:customStyle="1" w:styleId="TextChar">
    <w:name w:val="Text Char"/>
    <w:link w:val="Text"/>
    <w:rsid w:val="005B5171"/>
    <w:rPr>
      <w:rFonts w:ascii="Arial" w:eastAsia="Times New Roman" w:hAnsi="Arial" w:cs="Times New Roman"/>
      <w:szCs w:val="20"/>
    </w:rPr>
  </w:style>
  <w:style w:type="character" w:styleId="CommentReference">
    <w:name w:val="annotation reference"/>
    <w:basedOn w:val="DefaultParagraphFont"/>
    <w:uiPriority w:val="99"/>
    <w:unhideWhenUsed/>
    <w:qFormat/>
    <w:rsid w:val="005B5171"/>
    <w:rPr>
      <w:sz w:val="16"/>
      <w:szCs w:val="16"/>
    </w:rPr>
  </w:style>
  <w:style w:type="paragraph" w:styleId="CommentText">
    <w:name w:val="annotation text"/>
    <w:basedOn w:val="Normal"/>
    <w:link w:val="CommentTextChar"/>
    <w:uiPriority w:val="99"/>
    <w:unhideWhenUsed/>
    <w:qFormat/>
    <w:rsid w:val="005B5171"/>
    <w:pPr>
      <w:spacing w:before="120" w:after="0" w:line="22" w:lineRule="atLeast"/>
    </w:pPr>
    <w:rPr>
      <w:rFonts w:ascii="Cambria" w:eastAsia="Calibri" w:hAnsi="Cambria" w:cs="Times New Roman"/>
      <w:sz w:val="20"/>
      <w:szCs w:val="20"/>
    </w:rPr>
  </w:style>
  <w:style w:type="character" w:customStyle="1" w:styleId="CommentTextChar">
    <w:name w:val="Comment Text Char"/>
    <w:basedOn w:val="DefaultParagraphFont"/>
    <w:link w:val="CommentText"/>
    <w:uiPriority w:val="99"/>
    <w:rsid w:val="005B5171"/>
    <w:rPr>
      <w:rFonts w:ascii="Cambria" w:eastAsia="Calibri" w:hAnsi="Cambria" w:cs="Times New Roman"/>
      <w:sz w:val="20"/>
      <w:szCs w:val="20"/>
    </w:rPr>
  </w:style>
  <w:style w:type="paragraph" w:customStyle="1" w:styleId="Bullets">
    <w:name w:val="Bullets"/>
    <w:basedOn w:val="Normal"/>
    <w:qFormat/>
    <w:rsid w:val="005B5171"/>
    <w:pPr>
      <w:numPr>
        <w:numId w:val="5"/>
      </w:numPr>
      <w:spacing w:before="120" w:after="120" w:line="240" w:lineRule="auto"/>
    </w:pPr>
    <w:rPr>
      <w:rFonts w:ascii="Segoe UI Light" w:eastAsia="Times New Roman" w:hAnsi="Segoe UI Light" w:cs="Segoe UI Light"/>
      <w:szCs w:val="20"/>
    </w:rPr>
  </w:style>
  <w:style w:type="numbering" w:customStyle="1" w:styleId="NRCListBullets">
    <w:name w:val="NRC List Bullets"/>
    <w:rsid w:val="005B5171"/>
    <w:pPr>
      <w:numPr>
        <w:numId w:val="5"/>
      </w:numPr>
    </w:pPr>
  </w:style>
  <w:style w:type="paragraph" w:customStyle="1" w:styleId="Default">
    <w:name w:val="Default"/>
    <w:rsid w:val="005B5171"/>
    <w:pPr>
      <w:autoSpaceDE w:val="0"/>
      <w:autoSpaceDN w:val="0"/>
      <w:adjustRightInd w:val="0"/>
      <w:spacing w:after="0" w:line="240" w:lineRule="auto"/>
    </w:pPr>
    <w:rPr>
      <w:rFonts w:ascii="Cambria" w:hAnsi="Cambria" w:cs="Cambria"/>
      <w:color w:val="000000"/>
      <w:sz w:val="24"/>
      <w:szCs w:val="24"/>
    </w:rPr>
  </w:style>
  <w:style w:type="paragraph" w:styleId="ListNumber">
    <w:name w:val="List Number"/>
    <w:basedOn w:val="Normal"/>
    <w:uiPriority w:val="99"/>
    <w:unhideWhenUsed/>
    <w:qFormat/>
    <w:rsid w:val="005B5171"/>
    <w:pPr>
      <w:numPr>
        <w:numId w:val="4"/>
      </w:numPr>
      <w:spacing w:before="120" w:after="120" w:line="240" w:lineRule="auto"/>
      <w:contextualSpacing/>
    </w:pPr>
    <w:rPr>
      <w:rFonts w:ascii="Segoe UI" w:hAnsi="Segoe UI" w:cs="Segoe UI"/>
    </w:rPr>
  </w:style>
  <w:style w:type="paragraph" w:styleId="ListBullet2">
    <w:name w:val="List Bullet 2"/>
    <w:basedOn w:val="Normal"/>
    <w:uiPriority w:val="99"/>
    <w:unhideWhenUsed/>
    <w:qFormat/>
    <w:rsid w:val="005B5171"/>
    <w:pPr>
      <w:numPr>
        <w:numId w:val="3"/>
      </w:numPr>
      <w:spacing w:before="120" w:after="120" w:line="240" w:lineRule="auto"/>
      <w:contextualSpacing/>
    </w:pPr>
    <w:rPr>
      <w:rFonts w:ascii="Segoe UI" w:hAnsi="Segoe UI" w:cs="Segoe UI"/>
    </w:rPr>
  </w:style>
  <w:style w:type="character" w:customStyle="1" w:styleId="A4">
    <w:name w:val="A4"/>
    <w:uiPriority w:val="99"/>
    <w:rsid w:val="005B5171"/>
    <w:rPr>
      <w:rFonts w:cs="Univers 55"/>
      <w:color w:val="000000"/>
      <w:sz w:val="36"/>
      <w:szCs w:val="36"/>
    </w:rPr>
  </w:style>
  <w:style w:type="paragraph" w:customStyle="1" w:styleId="Pa9">
    <w:name w:val="Pa9"/>
    <w:basedOn w:val="Default"/>
    <w:next w:val="Default"/>
    <w:uiPriority w:val="99"/>
    <w:rsid w:val="005B5171"/>
    <w:pPr>
      <w:spacing w:line="181" w:lineRule="atLeast"/>
    </w:pPr>
    <w:rPr>
      <w:rFonts w:ascii="Univers 55" w:hAnsi="Univers 55" w:cs="Majalla UI"/>
      <w:color w:val="auto"/>
    </w:rPr>
  </w:style>
  <w:style w:type="character" w:styleId="Emphasis">
    <w:name w:val="Emphasis"/>
    <w:basedOn w:val="DefaultParagraphFont"/>
    <w:uiPriority w:val="20"/>
    <w:qFormat/>
    <w:rsid w:val="005B5171"/>
    <w:rPr>
      <w:i/>
      <w:iCs/>
    </w:rPr>
  </w:style>
  <w:style w:type="character" w:customStyle="1" w:styleId="A15">
    <w:name w:val="A15"/>
    <w:uiPriority w:val="99"/>
    <w:rsid w:val="005B5171"/>
    <w:rPr>
      <w:rFonts w:cs="AGaramond"/>
      <w:color w:val="000000"/>
      <w:sz w:val="13"/>
      <w:szCs w:val="13"/>
    </w:rPr>
  </w:style>
  <w:style w:type="paragraph" w:styleId="NormalWeb">
    <w:name w:val="Normal (Web)"/>
    <w:basedOn w:val="Normal"/>
    <w:uiPriority w:val="99"/>
    <w:semiHidden/>
    <w:unhideWhenUsed/>
    <w:rsid w:val="005B5171"/>
    <w:pPr>
      <w:spacing w:after="158" w:line="240" w:lineRule="auto"/>
    </w:pPr>
    <w:rPr>
      <w:rFonts w:ascii="Times New Roman" w:eastAsia="Times New Roman" w:hAnsi="Times New Roman" w:cs="Times New Roman"/>
      <w:sz w:val="24"/>
      <w:szCs w:val="24"/>
      <w:lang w:eastAsia="en-AU"/>
    </w:rPr>
  </w:style>
  <w:style w:type="paragraph" w:customStyle="1" w:styleId="CommentSubject1">
    <w:name w:val="Comment Subject1"/>
    <w:basedOn w:val="CommentText"/>
    <w:next w:val="CommentText"/>
    <w:uiPriority w:val="99"/>
    <w:semiHidden/>
    <w:unhideWhenUsed/>
    <w:rsid w:val="005B5171"/>
    <w:pPr>
      <w:spacing w:after="120"/>
    </w:pPr>
    <w:rPr>
      <w:rFonts w:ascii="Segoe UI" w:eastAsia="Gill Sans MT" w:hAnsi="Segoe UI" w:cs="Majalla UI"/>
      <w:b/>
      <w:bCs/>
    </w:rPr>
  </w:style>
  <w:style w:type="character" w:customStyle="1" w:styleId="CommentSubjectChar">
    <w:name w:val="Comment Subject Char"/>
    <w:basedOn w:val="CommentTextChar"/>
    <w:link w:val="CommentSubject"/>
    <w:uiPriority w:val="99"/>
    <w:semiHidden/>
    <w:rsid w:val="005B5171"/>
    <w:rPr>
      <w:rFonts w:ascii="Cambria" w:eastAsia="Calibri" w:hAnsi="Cambria" w:cs="Times New Roman"/>
      <w:b/>
      <w:bCs/>
      <w:sz w:val="20"/>
      <w:szCs w:val="20"/>
    </w:rPr>
  </w:style>
  <w:style w:type="paragraph" w:customStyle="1" w:styleId="Pa20">
    <w:name w:val="Pa20"/>
    <w:basedOn w:val="Default"/>
    <w:next w:val="Default"/>
    <w:uiPriority w:val="99"/>
    <w:rsid w:val="005B5171"/>
    <w:pPr>
      <w:spacing w:line="141" w:lineRule="atLeast"/>
    </w:pPr>
    <w:rPr>
      <w:rFonts w:ascii="FS Me Light" w:hAnsi="FS Me Light" w:cs="Majalla UI"/>
      <w:color w:val="auto"/>
    </w:rPr>
  </w:style>
  <w:style w:type="character" w:customStyle="1" w:styleId="A29">
    <w:name w:val="A29"/>
    <w:uiPriority w:val="99"/>
    <w:rsid w:val="005B5171"/>
    <w:rPr>
      <w:rFonts w:cs="FS Me Light"/>
      <w:color w:val="000000"/>
      <w:sz w:val="9"/>
      <w:szCs w:val="9"/>
    </w:rPr>
  </w:style>
  <w:style w:type="paragraph" w:customStyle="1" w:styleId="Pa22">
    <w:name w:val="Pa22"/>
    <w:basedOn w:val="Default"/>
    <w:next w:val="Default"/>
    <w:uiPriority w:val="99"/>
    <w:rsid w:val="005B5171"/>
    <w:pPr>
      <w:spacing w:line="141" w:lineRule="atLeast"/>
    </w:pPr>
    <w:rPr>
      <w:rFonts w:ascii="FS Me Light" w:hAnsi="FS Me Light" w:cs="Majalla UI"/>
      <w:color w:val="auto"/>
    </w:rPr>
  </w:style>
  <w:style w:type="paragraph" w:customStyle="1" w:styleId="Pa4">
    <w:name w:val="Pa4"/>
    <w:basedOn w:val="Default"/>
    <w:next w:val="Default"/>
    <w:uiPriority w:val="99"/>
    <w:rsid w:val="005B5171"/>
    <w:pPr>
      <w:spacing w:line="201" w:lineRule="atLeast"/>
    </w:pPr>
    <w:rPr>
      <w:rFonts w:ascii="Arial" w:hAnsi="Arial" w:cs="Arial"/>
      <w:color w:val="auto"/>
    </w:rPr>
  </w:style>
  <w:style w:type="paragraph" w:customStyle="1" w:styleId="Pa5">
    <w:name w:val="Pa5"/>
    <w:basedOn w:val="Default"/>
    <w:next w:val="Default"/>
    <w:uiPriority w:val="99"/>
    <w:rsid w:val="005B5171"/>
    <w:pPr>
      <w:spacing w:line="201" w:lineRule="atLeast"/>
    </w:pPr>
    <w:rPr>
      <w:rFonts w:ascii="Arial" w:hAnsi="Arial" w:cs="Arial"/>
      <w:color w:val="auto"/>
    </w:rPr>
  </w:style>
  <w:style w:type="character" w:customStyle="1" w:styleId="A6">
    <w:name w:val="A6"/>
    <w:uiPriority w:val="99"/>
    <w:rsid w:val="005B5171"/>
    <w:rPr>
      <w:color w:val="000000"/>
      <w:sz w:val="20"/>
      <w:szCs w:val="20"/>
    </w:rPr>
  </w:style>
  <w:style w:type="paragraph" w:customStyle="1" w:styleId="Pa49">
    <w:name w:val="Pa49"/>
    <w:basedOn w:val="Default"/>
    <w:next w:val="Default"/>
    <w:uiPriority w:val="99"/>
    <w:rsid w:val="005B5171"/>
    <w:pPr>
      <w:spacing w:line="131" w:lineRule="atLeast"/>
    </w:pPr>
    <w:rPr>
      <w:rFonts w:ascii="FS Me Light" w:hAnsi="FS Me Light" w:cs="Majalla UI"/>
      <w:color w:val="auto"/>
    </w:rPr>
  </w:style>
  <w:style w:type="character" w:customStyle="1" w:styleId="A40">
    <w:name w:val="A40"/>
    <w:uiPriority w:val="99"/>
    <w:rsid w:val="005B5171"/>
    <w:rPr>
      <w:rFonts w:cs="FS Me Light"/>
      <w:color w:val="000000"/>
      <w:sz w:val="13"/>
      <w:szCs w:val="13"/>
      <w:u w:val="single"/>
    </w:rPr>
  </w:style>
  <w:style w:type="paragraph" w:customStyle="1" w:styleId="Pa15">
    <w:name w:val="Pa15"/>
    <w:basedOn w:val="Default"/>
    <w:next w:val="Default"/>
    <w:uiPriority w:val="99"/>
    <w:rsid w:val="005B5171"/>
    <w:pPr>
      <w:spacing w:line="201" w:lineRule="atLeast"/>
    </w:pPr>
    <w:rPr>
      <w:rFonts w:ascii="AGaramond" w:hAnsi="AGaramond" w:cs="Majalla UI"/>
      <w:color w:val="auto"/>
    </w:rPr>
  </w:style>
  <w:style w:type="paragraph" w:customStyle="1" w:styleId="Pa31">
    <w:name w:val="Pa31"/>
    <w:basedOn w:val="Default"/>
    <w:next w:val="Default"/>
    <w:uiPriority w:val="99"/>
    <w:rsid w:val="005B5171"/>
    <w:pPr>
      <w:spacing w:line="201" w:lineRule="atLeast"/>
    </w:pPr>
    <w:rPr>
      <w:rFonts w:ascii="AGaramond" w:hAnsi="AGaramond" w:cs="Majalla UI"/>
      <w:color w:val="auto"/>
    </w:rPr>
  </w:style>
  <w:style w:type="paragraph" w:customStyle="1" w:styleId="font5">
    <w:name w:val="font5"/>
    <w:basedOn w:val="Normal"/>
    <w:rsid w:val="005B5171"/>
    <w:pPr>
      <w:spacing w:before="100" w:beforeAutospacing="1" w:after="100" w:afterAutospacing="1" w:line="240" w:lineRule="auto"/>
    </w:pPr>
    <w:rPr>
      <w:rFonts w:ascii="Calibri" w:eastAsia="Times New Roman" w:hAnsi="Calibri" w:cs="Times New Roman"/>
      <w:color w:val="000000"/>
      <w:sz w:val="18"/>
      <w:szCs w:val="18"/>
      <w:lang w:eastAsia="en-AU"/>
    </w:rPr>
  </w:style>
  <w:style w:type="paragraph" w:customStyle="1" w:styleId="xl65">
    <w:name w:val="xl65"/>
    <w:basedOn w:val="Normal"/>
    <w:rsid w:val="005B5171"/>
    <w:pP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66">
    <w:name w:val="xl66"/>
    <w:basedOn w:val="Normal"/>
    <w:rsid w:val="005B517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AU"/>
    </w:rPr>
  </w:style>
  <w:style w:type="paragraph" w:customStyle="1" w:styleId="xl67">
    <w:name w:val="xl67"/>
    <w:basedOn w:val="Normal"/>
    <w:rsid w:val="005B517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AU"/>
    </w:rPr>
  </w:style>
  <w:style w:type="paragraph" w:customStyle="1" w:styleId="xl68">
    <w:name w:val="xl68"/>
    <w:basedOn w:val="Normal"/>
    <w:rsid w:val="005B5171"/>
    <w:pP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69">
    <w:name w:val="xl69"/>
    <w:basedOn w:val="Normal"/>
    <w:rsid w:val="005B5171"/>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Pa51">
    <w:name w:val="Pa51"/>
    <w:basedOn w:val="Default"/>
    <w:next w:val="Default"/>
    <w:uiPriority w:val="99"/>
    <w:rsid w:val="005B5171"/>
    <w:pPr>
      <w:spacing w:line="131" w:lineRule="atLeast"/>
    </w:pPr>
    <w:rPr>
      <w:rFonts w:ascii="FS Me Light" w:hAnsi="FS Me Light" w:cs="Majalla UI"/>
      <w:color w:val="auto"/>
    </w:rPr>
  </w:style>
  <w:style w:type="paragraph" w:customStyle="1" w:styleId="Pa36">
    <w:name w:val="Pa36"/>
    <w:basedOn w:val="Default"/>
    <w:next w:val="Default"/>
    <w:uiPriority w:val="99"/>
    <w:rsid w:val="005B5171"/>
    <w:pPr>
      <w:spacing w:line="131" w:lineRule="atLeast"/>
    </w:pPr>
    <w:rPr>
      <w:rFonts w:ascii="FS Me Light" w:hAnsi="FS Me Light" w:cs="Majalla UI"/>
      <w:color w:val="auto"/>
    </w:rPr>
  </w:style>
  <w:style w:type="character" w:customStyle="1" w:styleId="A9">
    <w:name w:val="A9"/>
    <w:uiPriority w:val="99"/>
    <w:rsid w:val="005B5171"/>
    <w:rPr>
      <w:rFonts w:cs="FS Me Light"/>
      <w:color w:val="000000"/>
      <w:sz w:val="13"/>
      <w:szCs w:val="13"/>
    </w:rPr>
  </w:style>
  <w:style w:type="paragraph" w:styleId="Revision">
    <w:name w:val="Revision"/>
    <w:hidden/>
    <w:uiPriority w:val="99"/>
    <w:semiHidden/>
    <w:rsid w:val="005B5171"/>
    <w:pPr>
      <w:spacing w:after="0" w:line="240" w:lineRule="auto"/>
    </w:pPr>
    <w:rPr>
      <w:rFonts w:ascii="Segoe UI" w:hAnsi="Segoe UI"/>
    </w:rPr>
  </w:style>
  <w:style w:type="paragraph" w:customStyle="1" w:styleId="Note">
    <w:name w:val="Note"/>
    <w:basedOn w:val="Normal"/>
    <w:qFormat/>
    <w:rsid w:val="005B5171"/>
    <w:pPr>
      <w:spacing w:before="60" w:after="60" w:line="240" w:lineRule="auto"/>
      <w:ind w:left="284" w:right="284"/>
    </w:pPr>
    <w:rPr>
      <w:rFonts w:ascii="Arial" w:eastAsia="STZhongsong" w:hAnsi="Arial" w:cs="Segoe UI"/>
      <w:sz w:val="18"/>
      <w:szCs w:val="24"/>
    </w:rPr>
  </w:style>
  <w:style w:type="paragraph" w:customStyle="1" w:styleId="Tabletext1">
    <w:name w:val="Table text"/>
    <w:basedOn w:val="BodyText"/>
    <w:link w:val="TabletextChar"/>
    <w:rsid w:val="005B5171"/>
    <w:pPr>
      <w:spacing w:before="60" w:after="60"/>
    </w:pPr>
    <w:rPr>
      <w:rFonts w:ascii="Arial" w:eastAsia="Times New Roman" w:hAnsi="Arial" w:cs="Times New Roman"/>
      <w:sz w:val="18"/>
      <w:szCs w:val="20"/>
    </w:rPr>
  </w:style>
  <w:style w:type="paragraph" w:customStyle="1" w:styleId="Tablefigure">
    <w:name w:val="Table figure"/>
    <w:basedOn w:val="Tabletext1"/>
    <w:rsid w:val="005B5171"/>
    <w:pPr>
      <w:jc w:val="right"/>
    </w:pPr>
  </w:style>
  <w:style w:type="paragraph" w:customStyle="1" w:styleId="Tableheading0">
    <w:name w:val="Table heading"/>
    <w:basedOn w:val="Tabletext1"/>
    <w:rsid w:val="005B5171"/>
    <w:pPr>
      <w:keepNext/>
    </w:pPr>
    <w:rPr>
      <w:b/>
    </w:rPr>
  </w:style>
  <w:style w:type="table" w:customStyle="1" w:styleId="TableGrid3">
    <w:name w:val="Table Grid3"/>
    <w:basedOn w:val="TableNormal"/>
    <w:next w:val="TableGrid"/>
    <w:uiPriority w:val="59"/>
    <w:rsid w:val="005B5171"/>
    <w:pPr>
      <w:spacing w:after="0" w:line="240" w:lineRule="auto"/>
    </w:pPr>
    <w:rPr>
      <w:rFonts w:eastAsia="STZhongsong"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1"/>
    <w:rsid w:val="005B5171"/>
    <w:rPr>
      <w:rFonts w:ascii="Arial" w:eastAsia="Times New Roman" w:hAnsi="Arial" w:cs="Times New Roman"/>
      <w:sz w:val="18"/>
      <w:szCs w:val="20"/>
    </w:rPr>
  </w:style>
  <w:style w:type="paragraph" w:styleId="BodyText">
    <w:name w:val="Body Text"/>
    <w:basedOn w:val="Normal"/>
    <w:link w:val="BodyTextChar"/>
    <w:unhideWhenUsed/>
    <w:qFormat/>
    <w:rsid w:val="005B5171"/>
    <w:pPr>
      <w:spacing w:before="120" w:after="120" w:line="240" w:lineRule="auto"/>
    </w:pPr>
    <w:rPr>
      <w:rFonts w:ascii="Segoe UI" w:hAnsi="Segoe UI" w:cs="Segoe UI"/>
    </w:rPr>
  </w:style>
  <w:style w:type="character" w:customStyle="1" w:styleId="BodyTextChar">
    <w:name w:val="Body Text Char"/>
    <w:basedOn w:val="DefaultParagraphFont"/>
    <w:link w:val="BodyText"/>
    <w:rsid w:val="005B5171"/>
    <w:rPr>
      <w:rFonts w:ascii="Segoe UI" w:hAnsi="Segoe UI" w:cs="Segoe UI"/>
    </w:rPr>
  </w:style>
  <w:style w:type="character" w:customStyle="1" w:styleId="ListParagraphChar">
    <w:name w:val="List Paragraph Char"/>
    <w:aliases w:val="List Paragraph1 Char,List Paragraph11 Char,Recommendation Char,NFP GP Bulleted List Char,List Paragraph2 Char,FooterText Char,numbered Char,Paragraphe de liste1 Char,Bulletr List Paragraph Char,列出段落 Char,列出段落1 Char,Listeafsnit1 Char"/>
    <w:basedOn w:val="DefaultParagraphFont"/>
    <w:link w:val="ListParagraph"/>
    <w:uiPriority w:val="34"/>
    <w:rsid w:val="005B5171"/>
    <w:rPr>
      <w:rFonts w:ascii="Segoe UI" w:hAnsi="Segoe UI" w:cs="Segoe UI"/>
    </w:rPr>
  </w:style>
  <w:style w:type="character" w:customStyle="1" w:styleId="CaptionChar">
    <w:name w:val="Caption Char"/>
    <w:aliases w:val="Figure text or caption Char"/>
    <w:basedOn w:val="DefaultParagraphFont"/>
    <w:link w:val="Caption"/>
    <w:rsid w:val="005B5171"/>
    <w:rPr>
      <w:rFonts w:ascii="Segoe UI Semibold" w:eastAsia="Times New Roman" w:hAnsi="Segoe UI Semibold" w:cs="Times New Roman"/>
      <w:color w:val="016295"/>
    </w:rPr>
  </w:style>
  <w:style w:type="paragraph" w:customStyle="1" w:styleId="Quote1">
    <w:name w:val="Quote1"/>
    <w:basedOn w:val="Normal"/>
    <w:next w:val="Quote"/>
    <w:link w:val="QuoteChar"/>
    <w:qFormat/>
    <w:rsid w:val="005B5171"/>
    <w:pPr>
      <w:tabs>
        <w:tab w:val="left" w:pos="1134"/>
      </w:tabs>
      <w:spacing w:before="120" w:after="120" w:line="240" w:lineRule="atLeast"/>
      <w:ind w:left="284"/>
    </w:pPr>
    <w:rPr>
      <w:rFonts w:ascii="Segoe UI" w:eastAsia="Times New Roman" w:hAnsi="Segoe UI" w:cs="Arial"/>
      <w:i/>
      <w:iCs/>
      <w:color w:val="000000"/>
      <w:sz w:val="20"/>
      <w:szCs w:val="20"/>
      <w:lang w:eastAsia="en-AU"/>
    </w:rPr>
  </w:style>
  <w:style w:type="character" w:customStyle="1" w:styleId="QuoteChar">
    <w:name w:val="Quote Char"/>
    <w:basedOn w:val="DefaultParagraphFont"/>
    <w:link w:val="Quote1"/>
    <w:rsid w:val="005B5171"/>
    <w:rPr>
      <w:rFonts w:ascii="Segoe UI" w:eastAsia="Times New Roman" w:hAnsi="Segoe UI" w:cs="Arial"/>
      <w:i/>
      <w:iCs/>
      <w:color w:val="000000"/>
      <w:sz w:val="20"/>
      <w:szCs w:val="20"/>
      <w:lang w:eastAsia="en-AU"/>
    </w:rPr>
  </w:style>
  <w:style w:type="character" w:customStyle="1" w:styleId="NoSpacingChar">
    <w:name w:val="No Spacing Char"/>
    <w:basedOn w:val="DefaultParagraphFont"/>
    <w:link w:val="NoSpacing"/>
    <w:uiPriority w:val="1"/>
    <w:rsid w:val="005B5171"/>
    <w:rPr>
      <w:rFonts w:ascii="Segoe UI" w:hAnsi="Segoe UI"/>
    </w:rPr>
  </w:style>
  <w:style w:type="paragraph" w:customStyle="1" w:styleId="SOETableHeading1">
    <w:name w:val="SOE Table Heading 1"/>
    <w:basedOn w:val="Normal"/>
    <w:qFormat/>
    <w:rsid w:val="005B5171"/>
    <w:pPr>
      <w:spacing w:after="0" w:line="240" w:lineRule="auto"/>
    </w:pPr>
    <w:rPr>
      <w:rFonts w:ascii="Calibri" w:eastAsia="STZhongsong" w:hAnsi="Calibri" w:cs="Segoe UI"/>
      <w:b/>
      <w:sz w:val="20"/>
      <w:szCs w:val="20"/>
      <w:lang w:eastAsia="ko-KR"/>
    </w:rPr>
  </w:style>
  <w:style w:type="paragraph" w:customStyle="1" w:styleId="SOETableNumeral">
    <w:name w:val="SOE Table Numeral"/>
    <w:basedOn w:val="Normal"/>
    <w:qFormat/>
    <w:rsid w:val="005B5171"/>
    <w:pPr>
      <w:spacing w:after="0" w:line="240" w:lineRule="auto"/>
      <w:jc w:val="right"/>
    </w:pPr>
    <w:rPr>
      <w:rFonts w:ascii="Calibri" w:eastAsia="STZhongsong" w:hAnsi="Calibri" w:cs="Segoe UI"/>
      <w:sz w:val="20"/>
      <w:szCs w:val="20"/>
      <w:lang w:eastAsia="ko-KR"/>
    </w:rPr>
  </w:style>
  <w:style w:type="paragraph" w:customStyle="1" w:styleId="SOETableText">
    <w:name w:val="SOE Table Text"/>
    <w:basedOn w:val="Normal"/>
    <w:qFormat/>
    <w:rsid w:val="005B5171"/>
    <w:pPr>
      <w:spacing w:after="0" w:line="240" w:lineRule="auto"/>
    </w:pPr>
    <w:rPr>
      <w:rFonts w:ascii="Calibri" w:eastAsia="STZhongsong" w:hAnsi="Calibri" w:cs="Segoe UI"/>
      <w:sz w:val="20"/>
      <w:szCs w:val="20"/>
      <w:lang w:eastAsia="ko-KR"/>
    </w:rPr>
  </w:style>
  <w:style w:type="paragraph" w:customStyle="1" w:styleId="SOEFigureNote">
    <w:name w:val="SOE Figure Note"/>
    <w:basedOn w:val="SOEFigureDataSource"/>
    <w:qFormat/>
    <w:rsid w:val="005B5171"/>
    <w:pPr>
      <w:spacing w:after="0"/>
    </w:pPr>
  </w:style>
  <w:style w:type="paragraph" w:customStyle="1" w:styleId="SOEFigureDataSource">
    <w:name w:val="SOE Figure Data Source"/>
    <w:basedOn w:val="Normal"/>
    <w:qFormat/>
    <w:rsid w:val="005B5171"/>
    <w:pPr>
      <w:spacing w:line="240" w:lineRule="auto"/>
    </w:pPr>
    <w:rPr>
      <w:rFonts w:ascii="Calibri" w:eastAsia="STZhongsong" w:hAnsi="Calibri" w:cs="Segoe UI"/>
      <w:bCs/>
      <w:sz w:val="20"/>
      <w:szCs w:val="20"/>
      <w:lang w:eastAsia="ko-KR"/>
    </w:rPr>
  </w:style>
  <w:style w:type="paragraph" w:customStyle="1" w:styleId="SOEListLevel1">
    <w:name w:val="SOE List Level 1"/>
    <w:basedOn w:val="ListParagraph"/>
    <w:qFormat/>
    <w:rsid w:val="005B5171"/>
    <w:pPr>
      <w:numPr>
        <w:numId w:val="6"/>
      </w:numPr>
      <w:spacing w:before="0" w:after="160" w:line="259" w:lineRule="auto"/>
    </w:pPr>
    <w:rPr>
      <w:rFonts w:ascii="Calibri" w:eastAsia="Calibri" w:hAnsi="Calibri" w:cs="Calibri"/>
      <w:lang w:eastAsia="ko-KR"/>
    </w:rPr>
  </w:style>
  <w:style w:type="paragraph" w:customStyle="1" w:styleId="Subtitle1">
    <w:name w:val="Subtitle1"/>
    <w:basedOn w:val="Normal"/>
    <w:next w:val="Normal"/>
    <w:uiPriority w:val="11"/>
    <w:qFormat/>
    <w:rsid w:val="005B5171"/>
    <w:pPr>
      <w:numPr>
        <w:ilvl w:val="1"/>
      </w:numPr>
    </w:pPr>
    <w:rPr>
      <w:rFonts w:ascii="Gill Sans MT" w:eastAsia="STZhongsong" w:hAnsi="Gill Sans MT" w:cs="Segoe UI"/>
      <w:i/>
      <w:color w:val="404040"/>
      <w:spacing w:val="15"/>
      <w:sz w:val="24"/>
    </w:rPr>
  </w:style>
  <w:style w:type="character" w:customStyle="1" w:styleId="SubtitleChar">
    <w:name w:val="Subtitle Char"/>
    <w:basedOn w:val="DefaultParagraphFont"/>
    <w:link w:val="Subtitle"/>
    <w:uiPriority w:val="23"/>
    <w:rsid w:val="005B5171"/>
    <w:rPr>
      <w:rFonts w:ascii="Gill Sans MT" w:eastAsia="STZhongsong" w:hAnsi="Gill Sans MT"/>
      <w:i/>
      <w:color w:val="404040"/>
      <w:spacing w:val="15"/>
      <w:sz w:val="24"/>
    </w:rPr>
  </w:style>
  <w:style w:type="paragraph" w:customStyle="1" w:styleId="SOEBodyTextLead-in">
    <w:name w:val="SOE Body Text Lead-in"/>
    <w:qFormat/>
    <w:rsid w:val="005B5171"/>
    <w:pPr>
      <w:spacing w:after="0"/>
      <w:jc w:val="both"/>
    </w:pPr>
    <w:rPr>
      <w:rFonts w:ascii="Calibri" w:eastAsia="STZhongsong" w:hAnsi="Calibri"/>
      <w:lang w:eastAsia="ko-KR"/>
    </w:rPr>
  </w:style>
  <w:style w:type="paragraph" w:customStyle="1" w:styleId="SOENumberedList">
    <w:name w:val="SOE Numbered List"/>
    <w:basedOn w:val="ListParagraph"/>
    <w:qFormat/>
    <w:rsid w:val="005B5171"/>
    <w:pPr>
      <w:numPr>
        <w:numId w:val="7"/>
      </w:numPr>
      <w:tabs>
        <w:tab w:val="num" w:pos="360"/>
      </w:tabs>
      <w:spacing w:before="0" w:after="160" w:line="259" w:lineRule="auto"/>
      <w:ind w:firstLine="0"/>
    </w:pPr>
    <w:rPr>
      <w:rFonts w:ascii="Gill Sans MT" w:eastAsia="STZhongsong" w:hAnsi="Gill Sans MT"/>
      <w:lang w:eastAsia="ko-KR"/>
    </w:rPr>
  </w:style>
  <w:style w:type="paragraph" w:customStyle="1" w:styleId="SOEBodyText">
    <w:name w:val="SOE Body Text"/>
    <w:basedOn w:val="Normal"/>
    <w:qFormat/>
    <w:rsid w:val="005B5171"/>
    <w:pPr>
      <w:jc w:val="both"/>
    </w:pPr>
    <w:rPr>
      <w:rFonts w:ascii="Calibri" w:eastAsia="STZhongsong" w:hAnsi="Calibri" w:cs="Segoe UI"/>
      <w:lang w:eastAsia="ko-KR"/>
    </w:rPr>
  </w:style>
  <w:style w:type="character" w:customStyle="1" w:styleId="UnresolvedMention1">
    <w:name w:val="Unresolved Mention1"/>
    <w:basedOn w:val="DefaultParagraphFont"/>
    <w:uiPriority w:val="99"/>
    <w:semiHidden/>
    <w:unhideWhenUsed/>
    <w:rsid w:val="005B5171"/>
    <w:rPr>
      <w:color w:val="605E5C"/>
      <w:shd w:val="clear" w:color="auto" w:fill="E1DFDD"/>
    </w:rPr>
  </w:style>
  <w:style w:type="paragraph" w:styleId="ListBullet3">
    <w:name w:val="List Bullet 3"/>
    <w:basedOn w:val="Normal"/>
    <w:uiPriority w:val="99"/>
    <w:unhideWhenUsed/>
    <w:rsid w:val="005B5171"/>
    <w:pPr>
      <w:numPr>
        <w:numId w:val="8"/>
      </w:numPr>
      <w:tabs>
        <w:tab w:val="num" w:pos="360"/>
      </w:tabs>
      <w:spacing w:before="120" w:after="120" w:line="240" w:lineRule="auto"/>
      <w:ind w:left="0" w:firstLine="0"/>
      <w:contextualSpacing/>
    </w:pPr>
    <w:rPr>
      <w:rFonts w:ascii="Segoe UI" w:hAnsi="Segoe UI" w:cs="Segoe UI"/>
    </w:rPr>
  </w:style>
  <w:style w:type="paragraph" w:styleId="BodyTextIndent2">
    <w:name w:val="Body Text Indent 2"/>
    <w:basedOn w:val="Normal"/>
    <w:link w:val="BodyTextIndent2Char"/>
    <w:semiHidden/>
    <w:unhideWhenUsed/>
    <w:rsid w:val="005B5171"/>
    <w:pPr>
      <w:spacing w:before="120" w:after="120" w:line="480" w:lineRule="auto"/>
      <w:ind w:left="283"/>
    </w:pPr>
    <w:rPr>
      <w:rFonts w:ascii="Segoe UI" w:hAnsi="Segoe UI" w:cs="Segoe UI"/>
    </w:rPr>
  </w:style>
  <w:style w:type="character" w:customStyle="1" w:styleId="BodyTextIndent2Char">
    <w:name w:val="Body Text Indent 2 Char"/>
    <w:basedOn w:val="DefaultParagraphFont"/>
    <w:link w:val="BodyTextIndent2"/>
    <w:semiHidden/>
    <w:rsid w:val="005B5171"/>
    <w:rPr>
      <w:rFonts w:ascii="Segoe UI" w:hAnsi="Segoe UI" w:cs="Segoe UI"/>
    </w:rPr>
  </w:style>
  <w:style w:type="paragraph" w:customStyle="1" w:styleId="Tablehead">
    <w:name w:val="Table head"/>
    <w:basedOn w:val="Normal"/>
    <w:rsid w:val="005B5171"/>
    <w:pPr>
      <w:pBdr>
        <w:top w:val="single" w:sz="6" w:space="1" w:color="auto"/>
        <w:bottom w:val="single" w:sz="6" w:space="1" w:color="auto"/>
      </w:pBdr>
      <w:spacing w:after="120" w:line="240" w:lineRule="auto"/>
      <w:ind w:left="1134" w:hanging="1134"/>
    </w:pPr>
    <w:rPr>
      <w:rFonts w:ascii="Times New Roman" w:eastAsia="Times New Roman" w:hAnsi="Times New Roman" w:cs="Times New Roman"/>
      <w:b/>
      <w:szCs w:val="20"/>
      <w:lang w:val="en-US" w:eastAsia="en-AU"/>
    </w:rPr>
  </w:style>
  <w:style w:type="paragraph" w:styleId="EndnoteText">
    <w:name w:val="endnote text"/>
    <w:basedOn w:val="Normal"/>
    <w:link w:val="EndnoteTextChar"/>
    <w:uiPriority w:val="99"/>
    <w:semiHidden/>
    <w:unhideWhenUsed/>
    <w:rsid w:val="005B5171"/>
    <w:pPr>
      <w:spacing w:after="0" w:line="240" w:lineRule="auto"/>
    </w:pPr>
    <w:rPr>
      <w:rFonts w:ascii="Segoe UI" w:hAnsi="Segoe UI" w:cs="Segoe UI"/>
      <w:sz w:val="20"/>
      <w:szCs w:val="20"/>
    </w:rPr>
  </w:style>
  <w:style w:type="character" w:customStyle="1" w:styleId="EndnoteTextChar">
    <w:name w:val="Endnote Text Char"/>
    <w:basedOn w:val="DefaultParagraphFont"/>
    <w:link w:val="EndnoteText"/>
    <w:uiPriority w:val="99"/>
    <w:semiHidden/>
    <w:rsid w:val="005B5171"/>
    <w:rPr>
      <w:rFonts w:ascii="Segoe UI" w:hAnsi="Segoe UI" w:cs="Segoe UI"/>
      <w:sz w:val="20"/>
      <w:szCs w:val="20"/>
    </w:rPr>
  </w:style>
  <w:style w:type="character" w:styleId="EndnoteReference">
    <w:name w:val="endnote reference"/>
    <w:basedOn w:val="DefaultParagraphFont"/>
    <w:uiPriority w:val="99"/>
    <w:semiHidden/>
    <w:unhideWhenUsed/>
    <w:rsid w:val="005B5171"/>
    <w:rPr>
      <w:vertAlign w:val="superscript"/>
    </w:rPr>
  </w:style>
  <w:style w:type="paragraph" w:customStyle="1" w:styleId="paragraph">
    <w:name w:val="paragraph"/>
    <w:basedOn w:val="Normal"/>
    <w:rsid w:val="005B517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B5171"/>
  </w:style>
  <w:style w:type="character" w:customStyle="1" w:styleId="eop">
    <w:name w:val="eop"/>
    <w:basedOn w:val="DefaultParagraphFont"/>
    <w:rsid w:val="005B5171"/>
  </w:style>
  <w:style w:type="character" w:customStyle="1" w:styleId="spellingerror">
    <w:name w:val="spellingerror"/>
    <w:basedOn w:val="DefaultParagraphFont"/>
    <w:rsid w:val="005B5171"/>
  </w:style>
  <w:style w:type="character" w:customStyle="1" w:styleId="contextualspellingandgrammarerror">
    <w:name w:val="contextualspellingandgrammarerror"/>
    <w:basedOn w:val="DefaultParagraphFont"/>
    <w:rsid w:val="005B5171"/>
  </w:style>
  <w:style w:type="paragraph" w:customStyle="1" w:styleId="msonormal0">
    <w:name w:val="msonormal"/>
    <w:basedOn w:val="Normal"/>
    <w:rsid w:val="005B51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HeadingLeft">
    <w:name w:val="Table Heading Left"/>
    <w:basedOn w:val="TableTextLeft"/>
    <w:qFormat/>
    <w:rsid w:val="005B5171"/>
    <w:pPr>
      <w:keepNext/>
      <w:keepLines/>
    </w:pPr>
    <w:rPr>
      <w:b/>
    </w:rPr>
  </w:style>
  <w:style w:type="paragraph" w:customStyle="1" w:styleId="TableTextLeft">
    <w:name w:val="Table Text Left"/>
    <w:basedOn w:val="Normal"/>
    <w:link w:val="TableTextLeftChar"/>
    <w:qFormat/>
    <w:rsid w:val="005B5171"/>
    <w:pPr>
      <w:spacing w:before="60" w:after="60" w:line="220" w:lineRule="atLeast"/>
      <w:ind w:left="113" w:right="113"/>
    </w:pPr>
    <w:rPr>
      <w:rFonts w:ascii="Segoe UI" w:eastAsia="Times New Roman" w:hAnsi="Segoe UI" w:cs="Arial"/>
      <w:color w:val="000000"/>
      <w:sz w:val="18"/>
      <w:szCs w:val="20"/>
      <w:lang w:eastAsia="en-AU"/>
    </w:rPr>
  </w:style>
  <w:style w:type="character" w:styleId="SubtleEmphasis">
    <w:name w:val="Subtle Emphasis"/>
    <w:basedOn w:val="DefaultParagraphFont"/>
    <w:uiPriority w:val="19"/>
    <w:qFormat/>
    <w:rsid w:val="005B5171"/>
    <w:rPr>
      <w:i/>
      <w:iCs/>
      <w:color w:val="404040" w:themeColor="text1" w:themeTint="BF"/>
    </w:rPr>
  </w:style>
  <w:style w:type="paragraph" w:styleId="Footer">
    <w:name w:val="footer"/>
    <w:basedOn w:val="Normal"/>
    <w:link w:val="FooterChar1"/>
    <w:uiPriority w:val="99"/>
    <w:unhideWhenUsed/>
    <w:rsid w:val="005B5171"/>
    <w:pPr>
      <w:tabs>
        <w:tab w:val="center" w:pos="4513"/>
        <w:tab w:val="right" w:pos="9026"/>
      </w:tabs>
      <w:spacing w:after="0" w:line="240" w:lineRule="auto"/>
    </w:pPr>
    <w:rPr>
      <w:rFonts w:ascii="Segoe UI" w:hAnsi="Segoe UI" w:cs="Segoe UI"/>
    </w:rPr>
  </w:style>
  <w:style w:type="character" w:customStyle="1" w:styleId="FooterChar1">
    <w:name w:val="Footer Char1"/>
    <w:basedOn w:val="DefaultParagraphFont"/>
    <w:link w:val="Footer"/>
    <w:uiPriority w:val="99"/>
    <w:rsid w:val="005B5171"/>
    <w:rPr>
      <w:rFonts w:ascii="Segoe UI" w:hAnsi="Segoe UI" w:cs="Segoe UI"/>
    </w:rPr>
  </w:style>
  <w:style w:type="character" w:customStyle="1" w:styleId="Heading3Char1">
    <w:name w:val="Heading 3 Char1"/>
    <w:basedOn w:val="DefaultParagraphFont"/>
    <w:uiPriority w:val="9"/>
    <w:semiHidden/>
    <w:rsid w:val="005B5171"/>
    <w:rPr>
      <w:rFonts w:asciiTheme="majorHAnsi" w:eastAsiaTheme="majorEastAsia" w:hAnsiTheme="majorHAnsi" w:cstheme="majorBidi"/>
      <w:color w:val="1F3763" w:themeColor="accent1" w:themeShade="7F"/>
      <w:sz w:val="24"/>
      <w:szCs w:val="24"/>
    </w:rPr>
  </w:style>
  <w:style w:type="character" w:customStyle="1" w:styleId="Heading5Char1">
    <w:name w:val="Heading 5 Char1"/>
    <w:basedOn w:val="DefaultParagraphFont"/>
    <w:uiPriority w:val="9"/>
    <w:semiHidden/>
    <w:rsid w:val="005B5171"/>
    <w:rPr>
      <w:rFonts w:asciiTheme="majorHAnsi" w:eastAsiaTheme="majorEastAsia" w:hAnsiTheme="majorHAnsi" w:cstheme="majorBidi"/>
      <w:color w:val="2F5496" w:themeColor="accent1" w:themeShade="BF"/>
    </w:rPr>
  </w:style>
  <w:style w:type="table" w:styleId="LightList-Accent3">
    <w:name w:val="Light List Accent 3"/>
    <w:basedOn w:val="TableNormal"/>
    <w:uiPriority w:val="61"/>
    <w:unhideWhenUsed/>
    <w:rsid w:val="005B517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Shading">
    <w:name w:val="Light Shading"/>
    <w:basedOn w:val="TableNormal"/>
    <w:uiPriority w:val="60"/>
    <w:unhideWhenUsed/>
    <w:rsid w:val="005B517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rsid w:val="005B5171"/>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6">
    <w:name w:val="Light Shading Accent 6"/>
    <w:basedOn w:val="TableNormal"/>
    <w:uiPriority w:val="60"/>
    <w:unhideWhenUsed/>
    <w:rsid w:val="005B517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Shading-Accent2">
    <w:name w:val="Light Shading Accent 2"/>
    <w:basedOn w:val="TableNormal"/>
    <w:uiPriority w:val="60"/>
    <w:unhideWhenUsed/>
    <w:rsid w:val="005B5171"/>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FootnoteText">
    <w:name w:val="footnote text"/>
    <w:aliases w:val="ALTS FOOTNOTE,Footnote Text Char Char,ALTS FOOTNOTE Char Char,ALTS FOOTNOTE Char1,URS Footnote Text,Char,Char1,Geneva 9,Font: Geneva 9,Boston 10,f,single space,footnote text,otnote Text,ft,Char Char Char Char,Fußnote,ADB Char Char"/>
    <w:basedOn w:val="Normal"/>
    <w:link w:val="FootnoteTextChar1"/>
    <w:unhideWhenUsed/>
    <w:qFormat/>
    <w:rsid w:val="005B5171"/>
    <w:pPr>
      <w:spacing w:after="0" w:line="240" w:lineRule="auto"/>
    </w:pPr>
    <w:rPr>
      <w:rFonts w:ascii="Segoe UI" w:hAnsi="Segoe UI" w:cs="Segoe UI"/>
      <w:sz w:val="18"/>
      <w:szCs w:val="20"/>
    </w:rPr>
  </w:style>
  <w:style w:type="character" w:customStyle="1" w:styleId="FootnoteTextChar1">
    <w:name w:val="Footnote Text Char1"/>
    <w:aliases w:val="ALTS FOOTNOTE Char2,Footnote Text Char Char Char1,ALTS FOOTNOTE Char Char Char1,ALTS FOOTNOTE Char1 Char1,URS Footnote Text Char1,Char Char1,Char1 Char1,Geneva 9 Char1,Font: Geneva 9 Char1,Boston 10 Char1,f Char,single space Char"/>
    <w:basedOn w:val="DefaultParagraphFont"/>
    <w:link w:val="FootnoteText"/>
    <w:rsid w:val="005B5171"/>
    <w:rPr>
      <w:rFonts w:ascii="Segoe UI" w:hAnsi="Segoe UI" w:cs="Segoe UI"/>
      <w:sz w:val="18"/>
      <w:szCs w:val="20"/>
    </w:rPr>
  </w:style>
  <w:style w:type="table" w:styleId="MediumList2-Accent1">
    <w:name w:val="Medium List 2 Accent 1"/>
    <w:basedOn w:val="TableNormal"/>
    <w:uiPriority w:val="66"/>
    <w:unhideWhenUsed/>
    <w:rsid w:val="005B51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itle">
    <w:name w:val="Title"/>
    <w:basedOn w:val="Normal"/>
    <w:next w:val="Normal"/>
    <w:link w:val="TitleChar"/>
    <w:qFormat/>
    <w:rsid w:val="005B5171"/>
    <w:pPr>
      <w:spacing w:after="0" w:line="240" w:lineRule="auto"/>
      <w:contextualSpacing/>
    </w:pPr>
    <w:rPr>
      <w:rFonts w:ascii="Segoe UI Semibold" w:hAnsi="Segoe UI Semibold"/>
      <w:color w:val="9AF6FD"/>
      <w:sz w:val="44"/>
      <w:szCs w:val="44"/>
    </w:rPr>
  </w:style>
  <w:style w:type="character" w:customStyle="1" w:styleId="TitleChar1">
    <w:name w:val="Title Char1"/>
    <w:basedOn w:val="DefaultParagraphFont"/>
    <w:uiPriority w:val="10"/>
    <w:rsid w:val="005B5171"/>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5B5171"/>
    <w:rPr>
      <w:color w:val="954F72" w:themeColor="followedHyperlink"/>
      <w:u w:val="single"/>
    </w:rPr>
  </w:style>
  <w:style w:type="character" w:customStyle="1" w:styleId="Heading6Char1">
    <w:name w:val="Heading 6 Char1"/>
    <w:basedOn w:val="DefaultParagraphFont"/>
    <w:uiPriority w:val="9"/>
    <w:semiHidden/>
    <w:rsid w:val="005B5171"/>
    <w:rPr>
      <w:rFonts w:asciiTheme="majorHAnsi" w:eastAsiaTheme="majorEastAsia" w:hAnsiTheme="majorHAnsi" w:cstheme="majorBidi"/>
      <w:color w:val="1F3763" w:themeColor="accent1" w:themeShade="7F"/>
    </w:rPr>
  </w:style>
  <w:style w:type="paragraph" w:styleId="CommentSubject">
    <w:name w:val="annotation subject"/>
    <w:basedOn w:val="CommentText"/>
    <w:next w:val="CommentText"/>
    <w:link w:val="CommentSubjectChar"/>
    <w:uiPriority w:val="99"/>
    <w:semiHidden/>
    <w:unhideWhenUsed/>
    <w:rsid w:val="005B5171"/>
    <w:pPr>
      <w:spacing w:before="0" w:after="160"/>
    </w:pPr>
    <w:rPr>
      <w:b/>
      <w:bCs/>
    </w:rPr>
  </w:style>
  <w:style w:type="character" w:customStyle="1" w:styleId="CommentSubjectChar1">
    <w:name w:val="Comment Subject Char1"/>
    <w:basedOn w:val="CommentTextChar"/>
    <w:uiPriority w:val="99"/>
    <w:semiHidden/>
    <w:rsid w:val="005B5171"/>
    <w:rPr>
      <w:rFonts w:ascii="Cambria" w:eastAsia="Calibri" w:hAnsi="Cambria" w:cs="Times New Roman"/>
      <w:b/>
      <w:bCs/>
      <w:sz w:val="20"/>
      <w:szCs w:val="20"/>
    </w:rPr>
  </w:style>
  <w:style w:type="paragraph" w:styleId="Caption">
    <w:name w:val="caption"/>
    <w:aliases w:val="Figure text or caption"/>
    <w:basedOn w:val="Normal"/>
    <w:next w:val="Normal"/>
    <w:link w:val="CaptionChar"/>
    <w:unhideWhenUsed/>
    <w:qFormat/>
    <w:rsid w:val="005B5171"/>
    <w:pPr>
      <w:spacing w:after="200" w:line="240" w:lineRule="auto"/>
    </w:pPr>
    <w:rPr>
      <w:rFonts w:ascii="Segoe UI Semibold" w:eastAsia="Times New Roman" w:hAnsi="Segoe UI Semibold" w:cs="Times New Roman"/>
      <w:color w:val="016295"/>
    </w:rPr>
  </w:style>
  <w:style w:type="paragraph" w:styleId="Quote">
    <w:name w:val="Quote"/>
    <w:basedOn w:val="Normal"/>
    <w:next w:val="Normal"/>
    <w:link w:val="QuoteChar1"/>
    <w:qFormat/>
    <w:rsid w:val="005B5171"/>
    <w:pPr>
      <w:spacing w:before="200"/>
      <w:ind w:left="864" w:right="864"/>
      <w:jc w:val="center"/>
    </w:pPr>
    <w:rPr>
      <w:rFonts w:ascii="Segoe UI" w:hAnsi="Segoe UI" w:cs="Segoe UI"/>
      <w:i/>
      <w:iCs/>
      <w:color w:val="404040" w:themeColor="text1" w:themeTint="BF"/>
    </w:rPr>
  </w:style>
  <w:style w:type="character" w:customStyle="1" w:styleId="QuoteChar1">
    <w:name w:val="Quote Char1"/>
    <w:basedOn w:val="DefaultParagraphFont"/>
    <w:link w:val="Quote"/>
    <w:rsid w:val="005B5171"/>
    <w:rPr>
      <w:rFonts w:ascii="Segoe UI" w:hAnsi="Segoe UI" w:cs="Segoe UI"/>
      <w:i/>
      <w:iCs/>
      <w:color w:val="404040" w:themeColor="text1" w:themeTint="BF"/>
    </w:rPr>
  </w:style>
  <w:style w:type="paragraph" w:styleId="Subtitle">
    <w:name w:val="Subtitle"/>
    <w:basedOn w:val="Normal"/>
    <w:next w:val="Normal"/>
    <w:link w:val="SubtitleChar"/>
    <w:uiPriority w:val="23"/>
    <w:qFormat/>
    <w:rsid w:val="005B5171"/>
    <w:pPr>
      <w:numPr>
        <w:ilvl w:val="1"/>
      </w:numPr>
    </w:pPr>
    <w:rPr>
      <w:rFonts w:ascii="Gill Sans MT" w:eastAsia="STZhongsong" w:hAnsi="Gill Sans MT"/>
      <w:i/>
      <w:color w:val="404040"/>
      <w:spacing w:val="15"/>
      <w:sz w:val="24"/>
    </w:rPr>
  </w:style>
  <w:style w:type="character" w:customStyle="1" w:styleId="SubtitleChar1">
    <w:name w:val="Subtitle Char1"/>
    <w:basedOn w:val="DefaultParagraphFont"/>
    <w:uiPriority w:val="11"/>
    <w:rsid w:val="005B5171"/>
    <w:rPr>
      <w:rFonts w:eastAsiaTheme="minorEastAsia"/>
      <w:color w:val="5A5A5A" w:themeColor="text1" w:themeTint="A5"/>
      <w:spacing w:val="15"/>
    </w:rPr>
  </w:style>
  <w:style w:type="table" w:customStyle="1" w:styleId="Style1">
    <w:name w:val="Style1"/>
    <w:basedOn w:val="TableNormal"/>
    <w:uiPriority w:val="99"/>
    <w:rsid w:val="005B5171"/>
    <w:pPr>
      <w:spacing w:after="0" w:line="240" w:lineRule="auto"/>
    </w:pPr>
    <w:tblPr/>
  </w:style>
  <w:style w:type="paragraph" w:customStyle="1" w:styleId="CaptionImageorFigure">
    <w:name w:val="Caption Image or Figure"/>
    <w:basedOn w:val="Caption"/>
    <w:qFormat/>
    <w:rsid w:val="005B5171"/>
    <w:pPr>
      <w:keepNext/>
      <w:spacing w:before="60" w:after="120" w:line="200" w:lineRule="atLeast"/>
      <w:jc w:val="both"/>
    </w:pPr>
    <w:rPr>
      <w:rFonts w:asciiTheme="minorHAnsi" w:hAnsiTheme="minorHAnsi" w:cs="Arial"/>
      <w:b/>
      <w:bCs/>
      <w:color w:val="000000" w:themeColor="text1"/>
      <w:sz w:val="16"/>
      <w:szCs w:val="20"/>
      <w:lang w:eastAsia="en-AU"/>
    </w:rPr>
  </w:style>
  <w:style w:type="paragraph" w:customStyle="1" w:styleId="PhotoCredit">
    <w:name w:val="Photo Credit"/>
    <w:basedOn w:val="Normal"/>
    <w:next w:val="BodyText"/>
    <w:qFormat/>
    <w:rsid w:val="005B5171"/>
    <w:pPr>
      <w:spacing w:before="60" w:after="60" w:line="240" w:lineRule="auto"/>
      <w:ind w:right="227"/>
      <w:jc w:val="both"/>
    </w:pPr>
    <w:rPr>
      <w:rFonts w:eastAsia="Times New Roman" w:cs="Times New Roman"/>
      <w:color w:val="000000" w:themeColor="text1"/>
      <w:sz w:val="16"/>
      <w:szCs w:val="14"/>
    </w:rPr>
  </w:style>
  <w:style w:type="paragraph" w:customStyle="1" w:styleId="xl70">
    <w:name w:val="xl70"/>
    <w:basedOn w:val="Normal"/>
    <w:rsid w:val="005B5171"/>
    <w:pPr>
      <w:pBdr>
        <w:left w:val="single" w:sz="4" w:space="0" w:color="D9D9D9"/>
        <w:bottom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1">
    <w:name w:val="xl71"/>
    <w:basedOn w:val="Normal"/>
    <w:rsid w:val="005B5171"/>
    <w:pPr>
      <w:pBdr>
        <w:left w:val="single" w:sz="4" w:space="0" w:color="D9D9D9"/>
        <w:bottom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2">
    <w:name w:val="xl72"/>
    <w:basedOn w:val="Normal"/>
    <w:rsid w:val="005B5171"/>
    <w:pPr>
      <w:pBdr>
        <w:left w:val="single" w:sz="4" w:space="0" w:color="D9D9D9"/>
        <w:bottom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3">
    <w:name w:val="xl73"/>
    <w:basedOn w:val="Normal"/>
    <w:rsid w:val="005B5171"/>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4">
    <w:name w:val="xl74"/>
    <w:basedOn w:val="Normal"/>
    <w:rsid w:val="005B5171"/>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75">
    <w:name w:val="xl75"/>
    <w:basedOn w:val="Normal"/>
    <w:rsid w:val="005B5171"/>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6">
    <w:name w:val="xl76"/>
    <w:basedOn w:val="Normal"/>
    <w:rsid w:val="005B5171"/>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7">
    <w:name w:val="xl77"/>
    <w:basedOn w:val="Normal"/>
    <w:rsid w:val="005B5171"/>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8">
    <w:name w:val="xl78"/>
    <w:basedOn w:val="Normal"/>
    <w:rsid w:val="005B51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9">
    <w:name w:val="xl79"/>
    <w:basedOn w:val="Normal"/>
    <w:rsid w:val="005B5171"/>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80">
    <w:name w:val="xl80"/>
    <w:basedOn w:val="Normal"/>
    <w:rsid w:val="005B51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1">
    <w:name w:val="xl81"/>
    <w:basedOn w:val="Normal"/>
    <w:rsid w:val="005B5171"/>
    <w:pPr>
      <w:pBdr>
        <w:left w:val="single" w:sz="4" w:space="0" w:color="000000"/>
        <w:bottom w:val="single" w:sz="4" w:space="0" w:color="000000"/>
      </w:pBdr>
      <w:shd w:val="clear" w:color="000000" w:fill="D8D8D8"/>
      <w:spacing w:before="100" w:beforeAutospacing="1" w:after="100" w:afterAutospacing="1" w:line="240" w:lineRule="auto"/>
      <w:textAlignment w:val="top"/>
    </w:pPr>
    <w:rPr>
      <w:rFonts w:ascii="Arial" w:eastAsia="Times New Roman" w:hAnsi="Arial" w:cs="Arial"/>
      <w:b/>
      <w:bCs/>
      <w:color w:val="000000"/>
      <w:sz w:val="18"/>
      <w:szCs w:val="18"/>
      <w:lang w:eastAsia="en-AU"/>
    </w:rPr>
  </w:style>
  <w:style w:type="paragraph" w:customStyle="1" w:styleId="xl82">
    <w:name w:val="xl82"/>
    <w:basedOn w:val="Normal"/>
    <w:rsid w:val="005B5171"/>
    <w:pPr>
      <w:pBdr>
        <w:left w:val="single" w:sz="4" w:space="0" w:color="000000"/>
        <w:bottom w:val="single" w:sz="4" w:space="0" w:color="000000"/>
      </w:pBdr>
      <w:shd w:val="clear" w:color="000000" w:fill="D8D8D8"/>
      <w:spacing w:before="100" w:beforeAutospacing="1" w:after="100" w:afterAutospacing="1" w:line="240" w:lineRule="auto"/>
      <w:textAlignment w:val="top"/>
    </w:pPr>
    <w:rPr>
      <w:rFonts w:ascii="Arial" w:eastAsia="Times New Roman" w:hAnsi="Arial" w:cs="Arial"/>
      <w:b/>
      <w:bCs/>
      <w:color w:val="000000"/>
      <w:sz w:val="18"/>
      <w:szCs w:val="18"/>
      <w:lang w:eastAsia="en-AU"/>
    </w:rPr>
  </w:style>
  <w:style w:type="paragraph" w:customStyle="1" w:styleId="xl83">
    <w:name w:val="xl83"/>
    <w:basedOn w:val="Normal"/>
    <w:rsid w:val="005B5171"/>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84">
    <w:name w:val="xl84"/>
    <w:basedOn w:val="Normal"/>
    <w:rsid w:val="005B5171"/>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85">
    <w:name w:val="xl85"/>
    <w:basedOn w:val="Normal"/>
    <w:rsid w:val="005B5171"/>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86">
    <w:name w:val="xl86"/>
    <w:basedOn w:val="Normal"/>
    <w:rsid w:val="005B5171"/>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87">
    <w:name w:val="xl87"/>
    <w:basedOn w:val="Normal"/>
    <w:rsid w:val="005B5171"/>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character" w:customStyle="1" w:styleId="SOEitalicscharacterstyle">
    <w:name w:val="SOE italics character style"/>
    <w:basedOn w:val="DefaultParagraphFont"/>
    <w:uiPriority w:val="1"/>
    <w:qFormat/>
    <w:rsid w:val="005B5171"/>
    <w:rPr>
      <w:i/>
    </w:rPr>
  </w:style>
  <w:style w:type="table" w:customStyle="1" w:styleId="TableGrid1">
    <w:name w:val="Table Grid1"/>
    <w:basedOn w:val="TableNormal"/>
    <w:next w:val="TableGrid"/>
    <w:uiPriority w:val="59"/>
    <w:rsid w:val="005B5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5B5171"/>
  </w:style>
  <w:style w:type="paragraph" w:styleId="TOCHeading">
    <w:name w:val="TOC Heading"/>
    <w:basedOn w:val="Heading1"/>
    <w:next w:val="Normal"/>
    <w:uiPriority w:val="39"/>
    <w:unhideWhenUsed/>
    <w:qFormat/>
    <w:rsid w:val="005B5171"/>
    <w:pPr>
      <w:keepNext/>
      <w:keepLines/>
      <w:spacing w:before="240" w:after="0" w:line="259" w:lineRule="auto"/>
      <w:outlineLvl w:val="9"/>
    </w:pPr>
    <w:rPr>
      <w:rFonts w:asciiTheme="majorHAnsi" w:eastAsiaTheme="majorEastAsia" w:hAnsiTheme="majorHAnsi" w:cstheme="majorBidi"/>
      <w:color w:val="2F5496" w:themeColor="accent1" w:themeShade="BF"/>
      <w:sz w:val="32"/>
      <w:szCs w:val="32"/>
      <w:lang w:val="en-US"/>
    </w:rPr>
  </w:style>
  <w:style w:type="numbering" w:customStyle="1" w:styleId="List1">
    <w:name w:val="List1"/>
    <w:basedOn w:val="NoList"/>
    <w:uiPriority w:val="99"/>
    <w:rsid w:val="005B5171"/>
    <w:pPr>
      <w:numPr>
        <w:numId w:val="27"/>
      </w:numPr>
    </w:pPr>
  </w:style>
  <w:style w:type="paragraph" w:styleId="ListNumber2">
    <w:name w:val="List Number 2"/>
    <w:uiPriority w:val="10"/>
    <w:qFormat/>
    <w:rsid w:val="005B5171"/>
    <w:pPr>
      <w:spacing w:before="120" w:after="120" w:line="264" w:lineRule="auto"/>
      <w:ind w:left="794" w:hanging="369"/>
    </w:pPr>
    <w:rPr>
      <w:rFonts w:ascii="Cambria" w:eastAsia="Times New Roman" w:hAnsi="Cambria" w:cs="Times New Roman"/>
      <w:szCs w:val="24"/>
    </w:rPr>
  </w:style>
  <w:style w:type="paragraph" w:styleId="ListNumber3">
    <w:name w:val="List Number 3"/>
    <w:uiPriority w:val="11"/>
    <w:qFormat/>
    <w:rsid w:val="005B5171"/>
    <w:pPr>
      <w:spacing w:before="120" w:after="120" w:line="264" w:lineRule="auto"/>
      <w:ind w:left="1077" w:hanging="170"/>
    </w:pPr>
    <w:rPr>
      <w:rFonts w:ascii="Cambria" w:eastAsia="Times New Roman" w:hAnsi="Cambria" w:cs="Times New Roman"/>
      <w:szCs w:val="24"/>
    </w:rPr>
  </w:style>
  <w:style w:type="paragraph" w:customStyle="1" w:styleId="DisseminationLimitingMarker">
    <w:name w:val="Dissemination Limiting Marker"/>
    <w:next w:val="Normal"/>
    <w:uiPriority w:val="27"/>
    <w:rsid w:val="005B5171"/>
    <w:pPr>
      <w:tabs>
        <w:tab w:val="center" w:pos="4820"/>
      </w:tabs>
      <w:spacing w:after="0" w:line="240" w:lineRule="auto"/>
      <w:jc w:val="center"/>
    </w:pPr>
    <w:rPr>
      <w:rFonts w:ascii="Calibri" w:eastAsia="Calibri" w:hAnsi="Calibri" w:cs="Times New Roman"/>
      <w:b/>
      <w:color w:val="FF0000"/>
      <w:sz w:val="36"/>
      <w:szCs w:val="36"/>
    </w:rPr>
  </w:style>
  <w:style w:type="character" w:styleId="Strong">
    <w:name w:val="Strong"/>
    <w:basedOn w:val="DefaultParagraphFont"/>
    <w:uiPriority w:val="99"/>
    <w:qFormat/>
    <w:rsid w:val="005B5171"/>
    <w:rPr>
      <w:b/>
      <w:bCs/>
    </w:rPr>
  </w:style>
  <w:style w:type="paragraph" w:customStyle="1" w:styleId="Footeraddress">
    <w:name w:val="Footer address"/>
    <w:basedOn w:val="Normal"/>
    <w:next w:val="ListBullet2"/>
    <w:semiHidden/>
    <w:qFormat/>
    <w:rsid w:val="005B5171"/>
    <w:pPr>
      <w:tabs>
        <w:tab w:val="center" w:pos="4536"/>
      </w:tabs>
      <w:spacing w:before="120" w:after="120" w:line="240" w:lineRule="auto"/>
      <w:jc w:val="center"/>
    </w:pPr>
    <w:rPr>
      <w:rFonts w:ascii="Cambria" w:eastAsia="Calibri" w:hAnsi="Cambria" w:cs="Times New Roman"/>
      <w:sz w:val="16"/>
    </w:rPr>
  </w:style>
  <w:style w:type="paragraph" w:customStyle="1" w:styleId="BoxText">
    <w:name w:val="Box Text"/>
    <w:basedOn w:val="Normal"/>
    <w:uiPriority w:val="19"/>
    <w:qFormat/>
    <w:rsid w:val="005B5171"/>
    <w:pPr>
      <w:pBdr>
        <w:top w:val="single" w:sz="4" w:space="10" w:color="auto"/>
        <w:left w:val="single" w:sz="4" w:space="10" w:color="auto"/>
        <w:bottom w:val="single" w:sz="4" w:space="10" w:color="auto"/>
        <w:right w:val="single" w:sz="4" w:space="10" w:color="auto"/>
      </w:pBdr>
      <w:spacing w:before="120" w:after="120" w:line="240" w:lineRule="auto"/>
    </w:pPr>
    <w:rPr>
      <w:rFonts w:ascii="Cambria" w:eastAsia="Calibri" w:hAnsi="Cambria" w:cs="Times New Roman"/>
      <w:sz w:val="20"/>
    </w:rPr>
  </w:style>
  <w:style w:type="paragraph" w:customStyle="1" w:styleId="FigureTableNoteSource">
    <w:name w:val="Figure/Table Note/Source"/>
    <w:basedOn w:val="Normal"/>
    <w:next w:val="Normal"/>
    <w:uiPriority w:val="16"/>
    <w:qFormat/>
    <w:rsid w:val="005B5171"/>
    <w:pPr>
      <w:spacing w:before="120" w:after="0" w:line="264" w:lineRule="auto"/>
      <w:contextualSpacing/>
    </w:pPr>
    <w:rPr>
      <w:rFonts w:ascii="Cambria" w:eastAsia="Calibri" w:hAnsi="Cambria" w:cs="Times New Roman"/>
      <w:sz w:val="18"/>
    </w:rPr>
  </w:style>
  <w:style w:type="paragraph" w:customStyle="1" w:styleId="BasicParagraph">
    <w:name w:val="[Basic Paragraph]"/>
    <w:basedOn w:val="Normal"/>
    <w:uiPriority w:val="99"/>
    <w:rsid w:val="005B5171"/>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 w:type="numbering" w:customStyle="1" w:styleId="Headings">
    <w:name w:val="Headings"/>
    <w:uiPriority w:val="99"/>
    <w:rsid w:val="005B5171"/>
    <w:pPr>
      <w:numPr>
        <w:numId w:val="13"/>
      </w:numPr>
    </w:pPr>
  </w:style>
  <w:style w:type="paragraph" w:customStyle="1" w:styleId="Preliminarycontentheading">
    <w:name w:val="Preliminary content heading"/>
    <w:link w:val="PreliminarycontentheadingChar"/>
    <w:uiPriority w:val="28"/>
    <w:qFormat/>
    <w:rsid w:val="005B5171"/>
    <w:pPr>
      <w:pageBreakBefore/>
      <w:spacing w:after="0" w:line="240" w:lineRule="auto"/>
    </w:pPr>
    <w:rPr>
      <w:rFonts w:ascii="Calibri" w:eastAsia="Times New Roman" w:hAnsi="Calibri" w:cs="Times New Roman"/>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5B5171"/>
    <w:rPr>
      <w:rFonts w:ascii="Calibri" w:eastAsia="Times New Roman" w:hAnsi="Calibri" w:cs="Times New Roman"/>
      <w:bCs/>
      <w:color w:val="000000"/>
      <w:sz w:val="56"/>
      <w:szCs w:val="28"/>
      <w:lang w:eastAsia="ja-JP"/>
    </w:rPr>
  </w:style>
  <w:style w:type="paragraph" w:customStyle="1" w:styleId="BoxTextBullet">
    <w:name w:val="Box Text Bullet"/>
    <w:basedOn w:val="BoxText"/>
    <w:uiPriority w:val="21"/>
    <w:qFormat/>
    <w:rsid w:val="005B5171"/>
    <w:pPr>
      <w:numPr>
        <w:numId w:val="9"/>
      </w:numPr>
      <w:tabs>
        <w:tab w:val="left" w:pos="227"/>
      </w:tabs>
      <w:ind w:left="0" w:firstLine="0"/>
    </w:pPr>
  </w:style>
  <w:style w:type="paragraph" w:customStyle="1" w:styleId="TableBullet">
    <w:name w:val="Table Bullet"/>
    <w:basedOn w:val="TableText0"/>
    <w:uiPriority w:val="15"/>
    <w:qFormat/>
    <w:rsid w:val="005B5171"/>
    <w:pPr>
      <w:numPr>
        <w:numId w:val="10"/>
      </w:numPr>
      <w:spacing w:before="60" w:after="60"/>
    </w:pPr>
    <w:rPr>
      <w:rFonts w:ascii="Cambria" w:eastAsia="Calibri" w:hAnsi="Cambria"/>
      <w:sz w:val="18"/>
      <w:szCs w:val="22"/>
      <w:lang w:eastAsia="en-US"/>
    </w:rPr>
  </w:style>
  <w:style w:type="paragraph" w:customStyle="1" w:styleId="BoxHeading">
    <w:name w:val="Box Heading"/>
    <w:basedOn w:val="BoxText"/>
    <w:uiPriority w:val="20"/>
    <w:qFormat/>
    <w:rsid w:val="005B5171"/>
    <w:rPr>
      <w:b/>
    </w:rPr>
  </w:style>
  <w:style w:type="paragraph" w:customStyle="1" w:styleId="Securityclassification">
    <w:name w:val="Security classification"/>
    <w:basedOn w:val="Normal"/>
    <w:uiPriority w:val="26"/>
    <w:qFormat/>
    <w:rsid w:val="005B5171"/>
    <w:pPr>
      <w:tabs>
        <w:tab w:val="center" w:pos="4820"/>
      </w:tabs>
      <w:spacing w:before="120" w:after="0" w:line="240" w:lineRule="auto"/>
      <w:jc w:val="center"/>
    </w:pPr>
    <w:rPr>
      <w:rFonts w:ascii="Cambria" w:eastAsia="Calibri" w:hAnsi="Cambria" w:cs="Times New Roman"/>
      <w:b/>
      <w:caps/>
      <w:color w:val="FF0000"/>
      <w:sz w:val="36"/>
      <w:szCs w:val="36"/>
    </w:rPr>
  </w:style>
  <w:style w:type="paragraph" w:customStyle="1" w:styleId="BoxSource">
    <w:name w:val="Box Source"/>
    <w:basedOn w:val="FigureTableNoteSource"/>
    <w:uiPriority w:val="22"/>
    <w:qFormat/>
    <w:rsid w:val="005B5171"/>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rsid w:val="005B5171"/>
    <w:pPr>
      <w:pageBreakBefore/>
      <w:spacing w:after="240" w:line="240" w:lineRule="auto"/>
      <w:ind w:left="770" w:hanging="360"/>
    </w:pPr>
    <w:rPr>
      <w:rFonts w:eastAsia="Times New Roman" w:cs="Times New Roman"/>
      <w:b/>
      <w:bCs/>
      <w:sz w:val="56"/>
      <w:szCs w:val="24"/>
    </w:rPr>
  </w:style>
  <w:style w:type="numbering" w:customStyle="1" w:styleId="Appendix">
    <w:name w:val="Appendix"/>
    <w:uiPriority w:val="99"/>
    <w:rsid w:val="005B5171"/>
    <w:pPr>
      <w:numPr>
        <w:numId w:val="29"/>
      </w:numPr>
    </w:pPr>
  </w:style>
  <w:style w:type="numbering" w:customStyle="1" w:styleId="ListBullets">
    <w:name w:val="ListBullets"/>
    <w:uiPriority w:val="99"/>
    <w:rsid w:val="005B5171"/>
    <w:pPr>
      <w:numPr>
        <w:numId w:val="32"/>
      </w:numPr>
    </w:pPr>
  </w:style>
  <w:style w:type="paragraph" w:styleId="ListBullet4">
    <w:name w:val="List Bullet 4"/>
    <w:basedOn w:val="Normal"/>
    <w:uiPriority w:val="99"/>
    <w:unhideWhenUsed/>
    <w:rsid w:val="005B5171"/>
    <w:pPr>
      <w:numPr>
        <w:numId w:val="12"/>
      </w:numPr>
      <w:spacing w:before="120" w:after="0" w:line="240" w:lineRule="auto"/>
      <w:contextualSpacing/>
    </w:pPr>
    <w:rPr>
      <w:rFonts w:ascii="Cambria" w:eastAsia="Calibri" w:hAnsi="Cambria" w:cs="Times New Roman"/>
    </w:rPr>
  </w:style>
  <w:style w:type="numbering" w:customStyle="1" w:styleId="ListNumbers">
    <w:name w:val="ListNumbers"/>
    <w:uiPriority w:val="99"/>
    <w:rsid w:val="005B5171"/>
    <w:pPr>
      <w:numPr>
        <w:numId w:val="30"/>
      </w:numPr>
    </w:pPr>
  </w:style>
  <w:style w:type="paragraph" w:customStyle="1" w:styleId="Picture">
    <w:name w:val="Picture"/>
    <w:qFormat/>
    <w:rsid w:val="005B5171"/>
    <w:pPr>
      <w:spacing w:after="0" w:line="240" w:lineRule="auto"/>
    </w:pPr>
    <w:rPr>
      <w:rFonts w:ascii="Calibri" w:eastAsiaTheme="minorEastAsia" w:hAnsi="Calibri"/>
      <w:bCs/>
      <w:color w:val="000000"/>
      <w:szCs w:val="28"/>
      <w:lang w:eastAsia="ja-JP"/>
    </w:rPr>
  </w:style>
  <w:style w:type="paragraph" w:styleId="Date">
    <w:name w:val="Date"/>
    <w:basedOn w:val="Normal"/>
    <w:next w:val="Normal"/>
    <w:link w:val="DateChar"/>
    <w:uiPriority w:val="99"/>
    <w:unhideWhenUsed/>
    <w:rsid w:val="005B5171"/>
    <w:pPr>
      <w:pBdr>
        <w:top w:val="single" w:sz="4" w:space="1" w:color="auto"/>
      </w:pBdr>
      <w:spacing w:before="120" w:after="0" w:line="240" w:lineRule="auto"/>
      <w:ind w:left="1701"/>
      <w:jc w:val="right"/>
    </w:pPr>
    <w:rPr>
      <w:rFonts w:ascii="Cambria" w:eastAsia="Calibri" w:hAnsi="Cambria" w:cs="Times New Roman"/>
      <w:sz w:val="28"/>
      <w:szCs w:val="28"/>
    </w:rPr>
  </w:style>
  <w:style w:type="character" w:customStyle="1" w:styleId="DateChar">
    <w:name w:val="Date Char"/>
    <w:basedOn w:val="DefaultParagraphFont"/>
    <w:link w:val="Date"/>
    <w:uiPriority w:val="99"/>
    <w:rsid w:val="005B5171"/>
    <w:rPr>
      <w:rFonts w:ascii="Cambria" w:eastAsia="Calibri" w:hAnsi="Cambria" w:cs="Times New Roman"/>
      <w:sz w:val="28"/>
      <w:szCs w:val="28"/>
    </w:rPr>
  </w:style>
  <w:style w:type="paragraph" w:customStyle="1" w:styleId="AppendixHeading2">
    <w:name w:val="Appendix Heading 2"/>
    <w:basedOn w:val="Heading2"/>
    <w:qFormat/>
    <w:rsid w:val="005B5171"/>
    <w:pPr>
      <w:numPr>
        <w:numId w:val="33"/>
      </w:numPr>
      <w:spacing w:after="0" w:line="240" w:lineRule="auto"/>
    </w:pPr>
    <w:rPr>
      <w:rFonts w:eastAsia="Times New Roman" w:cs="Times New Roman"/>
      <w:b w:val="0"/>
      <w:bCs/>
      <w:szCs w:val="24"/>
    </w:rPr>
  </w:style>
  <w:style w:type="paragraph" w:customStyle="1" w:styleId="AppendixHeading3">
    <w:name w:val="Appendix Heading 3"/>
    <w:qFormat/>
    <w:rsid w:val="005B5171"/>
    <w:pPr>
      <w:keepNext/>
      <w:tabs>
        <w:tab w:val="num" w:pos="1077"/>
      </w:tabs>
      <w:spacing w:before="240" w:after="0" w:line="240" w:lineRule="auto"/>
      <w:ind w:left="1077" w:hanging="1077"/>
    </w:pPr>
    <w:rPr>
      <w:rFonts w:ascii="Cambria" w:eastAsia="Times New Roman" w:hAnsi="Cambria" w:cs="Times New Roman"/>
      <w:b/>
      <w:sz w:val="24"/>
      <w:szCs w:val="24"/>
      <w:lang w:val="en-US" w:bidi="en-US"/>
    </w:rPr>
  </w:style>
  <w:style w:type="paragraph" w:customStyle="1" w:styleId="AppendixHeading4">
    <w:name w:val="Appendix Heading 4"/>
    <w:qFormat/>
    <w:rsid w:val="005B5171"/>
    <w:pPr>
      <w:keepNext/>
      <w:tabs>
        <w:tab w:val="num" w:pos="1077"/>
      </w:tabs>
      <w:spacing w:after="120" w:line="240" w:lineRule="auto"/>
      <w:ind w:left="1077" w:hanging="1077"/>
    </w:pPr>
    <w:rPr>
      <w:rFonts w:ascii="Calibri" w:eastAsia="Times New Roman" w:hAnsi="Calibri" w:cs="Times New Roman"/>
      <w:b/>
      <w:szCs w:val="24"/>
      <w:lang w:val="en-US" w:bidi="en-US"/>
    </w:rPr>
  </w:style>
  <w:style w:type="paragraph" w:customStyle="1" w:styleId="Endmattercontentheading">
    <w:name w:val="Endmatter content heading"/>
    <w:basedOn w:val="Preliminarycontentheading"/>
    <w:qFormat/>
    <w:rsid w:val="005B5171"/>
  </w:style>
  <w:style w:type="character" w:customStyle="1" w:styleId="SOEboldcharacterstyle">
    <w:name w:val="SOE bold character style"/>
    <w:basedOn w:val="DefaultParagraphFont"/>
    <w:uiPriority w:val="1"/>
    <w:qFormat/>
    <w:rsid w:val="005B5171"/>
    <w:rPr>
      <w:b/>
    </w:rPr>
  </w:style>
  <w:style w:type="paragraph" w:customStyle="1" w:styleId="xl63">
    <w:name w:val="xl63"/>
    <w:basedOn w:val="Normal"/>
    <w:rsid w:val="005B517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leTextLeftChar">
    <w:name w:val="Table Text Left Char"/>
    <w:basedOn w:val="DefaultParagraphFont"/>
    <w:link w:val="TableTextLeft"/>
    <w:rsid w:val="005B5171"/>
    <w:rPr>
      <w:rFonts w:ascii="Segoe UI" w:eastAsia="Times New Roman" w:hAnsi="Segoe UI" w:cs="Arial"/>
      <w:color w:val="000000"/>
      <w:sz w:val="18"/>
      <w:szCs w:val="20"/>
      <w:lang w:eastAsia="en-AU"/>
    </w:rPr>
  </w:style>
  <w:style w:type="paragraph" w:customStyle="1" w:styleId="TableTextRight">
    <w:name w:val="Table Text Right"/>
    <w:basedOn w:val="TableTextLeft"/>
    <w:qFormat/>
    <w:rsid w:val="005B5171"/>
    <w:pPr>
      <w:jc w:val="right"/>
    </w:pPr>
    <w:rPr>
      <w:rFonts w:asciiTheme="minorHAnsi" w:hAnsiTheme="minorHAnsi"/>
      <w:color w:val="000000" w:themeColor="text1"/>
    </w:rPr>
  </w:style>
  <w:style w:type="character" w:customStyle="1" w:styleId="advancedproofingissue">
    <w:name w:val="advancedproofingissue"/>
    <w:basedOn w:val="DefaultParagraphFont"/>
    <w:rsid w:val="005B5171"/>
  </w:style>
  <w:style w:type="character" w:customStyle="1" w:styleId="scxw162616326">
    <w:name w:val="scxw162616326"/>
    <w:basedOn w:val="DefaultParagraphFont"/>
    <w:rsid w:val="005B5171"/>
  </w:style>
  <w:style w:type="character" w:customStyle="1" w:styleId="FootnoteReference1">
    <w:name w:val="Footnote Reference1"/>
    <w:basedOn w:val="DefaultParagraphFont"/>
    <w:rsid w:val="005B5171"/>
    <w:rPr>
      <w:color w:val="363534"/>
      <w:vertAlign w:val="superscript"/>
    </w:rPr>
  </w:style>
  <w:style w:type="paragraph" w:customStyle="1" w:styleId="xl64">
    <w:name w:val="xl64"/>
    <w:basedOn w:val="Normal"/>
    <w:rsid w:val="005B5171"/>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Heading11">
    <w:name w:val="Heading 11"/>
    <w:basedOn w:val="Normal"/>
    <w:next w:val="BodyText"/>
    <w:qFormat/>
    <w:rsid w:val="005B5171"/>
    <w:pPr>
      <w:keepNext/>
      <w:keepLines/>
      <w:spacing w:before="300" w:after="360" w:line="440" w:lineRule="exact"/>
      <w:outlineLvl w:val="0"/>
    </w:pPr>
    <w:rPr>
      <w:rFonts w:asciiTheme="majorHAnsi" w:eastAsiaTheme="majorEastAsia" w:hAnsiTheme="majorHAnsi" w:cstheme="majorBidi"/>
      <w:color w:val="2F5496" w:themeColor="accent1" w:themeShade="BF"/>
      <w:sz w:val="32"/>
      <w:szCs w:val="32"/>
    </w:rPr>
  </w:style>
  <w:style w:type="paragraph" w:customStyle="1" w:styleId="Heading21">
    <w:name w:val="Heading 21"/>
    <w:basedOn w:val="Normal"/>
    <w:next w:val="BodyText"/>
    <w:rsid w:val="005B5171"/>
    <w:pPr>
      <w:keepNext/>
      <w:keepLines/>
      <w:tabs>
        <w:tab w:val="left" w:pos="1418"/>
        <w:tab w:val="left" w:pos="1701"/>
        <w:tab w:val="left" w:pos="1985"/>
      </w:tabs>
      <w:spacing w:before="240" w:after="100" w:line="280" w:lineRule="exact"/>
      <w:outlineLvl w:val="1"/>
    </w:pPr>
    <w:rPr>
      <w:rFonts w:eastAsia="Times New Roman" w:cs="Arial"/>
      <w:b/>
      <w:bCs/>
      <w:iCs/>
      <w:color w:val="00B2A9"/>
      <w:kern w:val="20"/>
      <w:sz w:val="24"/>
      <w:szCs w:val="28"/>
      <w:lang w:eastAsia="en-AU"/>
    </w:rPr>
  </w:style>
  <w:style w:type="paragraph" w:customStyle="1" w:styleId="Heading41">
    <w:name w:val="Heading 41"/>
    <w:basedOn w:val="Normal"/>
    <w:next w:val="BodyText"/>
    <w:qFormat/>
    <w:rsid w:val="005B5171"/>
    <w:pPr>
      <w:keepNext/>
      <w:keepLines/>
      <w:tabs>
        <w:tab w:val="left" w:pos="1418"/>
        <w:tab w:val="left" w:pos="1701"/>
        <w:tab w:val="left" w:pos="1985"/>
      </w:tabs>
      <w:spacing w:before="200" w:after="100" w:line="240" w:lineRule="atLeast"/>
      <w:outlineLvl w:val="3"/>
    </w:pPr>
    <w:rPr>
      <w:rFonts w:ascii="Arial" w:eastAsia="MingLiU" w:hAnsi="Arial" w:cs="Times New Roman"/>
      <w:b/>
      <w:bCs/>
      <w:i/>
      <w:iCs/>
      <w:color w:val="494847"/>
      <w:sz w:val="20"/>
      <w:szCs w:val="20"/>
      <w:lang w:eastAsia="en-AU"/>
    </w:rPr>
  </w:style>
  <w:style w:type="paragraph" w:customStyle="1" w:styleId="Heading71">
    <w:name w:val="Heading 71"/>
    <w:basedOn w:val="Normal"/>
    <w:next w:val="Normal"/>
    <w:semiHidden/>
    <w:rsid w:val="005B5171"/>
    <w:pPr>
      <w:keepNext/>
      <w:keepLines/>
      <w:spacing w:before="2820" w:after="180" w:line="240" w:lineRule="atLeast"/>
      <w:outlineLvl w:val="6"/>
    </w:pPr>
    <w:rPr>
      <w:rFonts w:ascii="Arial" w:eastAsia="MingLiU" w:hAnsi="Arial" w:cs="Times New Roman"/>
      <w:b/>
      <w:iCs/>
      <w:color w:val="FFFFFF"/>
      <w:sz w:val="20"/>
      <w:szCs w:val="20"/>
      <w:lang w:eastAsia="en-AU"/>
    </w:rPr>
  </w:style>
  <w:style w:type="paragraph" w:customStyle="1" w:styleId="AppendixTitle1">
    <w:name w:val="Appendix Title1"/>
    <w:basedOn w:val="Normal"/>
    <w:next w:val="BodyText"/>
    <w:uiPriority w:val="1"/>
    <w:rsid w:val="005B5171"/>
    <w:pPr>
      <w:keepNext/>
      <w:keepLines/>
      <w:pageBreakBefore/>
      <w:framePr w:w="11906" w:h="1701" w:hSpace="11339" w:wrap="around" w:vAnchor="page" w:hAnchor="page" w:x="1" w:y="1"/>
      <w:numPr>
        <w:numId w:val="16"/>
      </w:numPr>
      <w:spacing w:before="1300" w:after="440" w:line="440" w:lineRule="exact"/>
      <w:ind w:right="1134"/>
      <w:outlineLvl w:val="7"/>
    </w:pPr>
    <w:rPr>
      <w:rFonts w:ascii="Arial" w:eastAsia="MingLiU" w:hAnsi="Arial" w:cs="Times New Roman"/>
      <w:b/>
      <w:color w:val="00B2A9"/>
      <w:sz w:val="40"/>
      <w:szCs w:val="20"/>
      <w:lang w:eastAsia="en-AU"/>
    </w:rPr>
  </w:style>
  <w:style w:type="paragraph" w:customStyle="1" w:styleId="AppendixHeading11">
    <w:name w:val="Appendix Heading 11"/>
    <w:basedOn w:val="Normal"/>
    <w:next w:val="BodyText"/>
    <w:uiPriority w:val="1"/>
    <w:rsid w:val="005B5171"/>
    <w:pPr>
      <w:keepNext/>
      <w:keepLines/>
      <w:tabs>
        <w:tab w:val="left" w:pos="1559"/>
        <w:tab w:val="left" w:pos="1843"/>
        <w:tab w:val="left" w:pos="2126"/>
        <w:tab w:val="left" w:pos="2410"/>
      </w:tabs>
      <w:spacing w:before="240" w:after="100" w:line="280" w:lineRule="exact"/>
      <w:outlineLvl w:val="8"/>
    </w:pPr>
    <w:rPr>
      <w:rFonts w:eastAsia="Times New Roman" w:cs="Arial"/>
      <w:b/>
      <w:color w:val="00B2A9"/>
      <w:sz w:val="24"/>
      <w:szCs w:val="20"/>
      <w:lang w:eastAsia="en-AU"/>
    </w:rPr>
  </w:style>
  <w:style w:type="paragraph" w:customStyle="1" w:styleId="xDisclaimertext3">
    <w:name w:val="xDisclaimer text 3"/>
    <w:basedOn w:val="xDisclaimerText"/>
    <w:rsid w:val="005B5171"/>
    <w:pPr>
      <w:spacing w:before="60" w:after="60"/>
    </w:pPr>
  </w:style>
  <w:style w:type="character" w:styleId="PageNumber">
    <w:name w:val="page number"/>
    <w:basedOn w:val="DefaultParagraphFont"/>
    <w:semiHidden/>
    <w:rsid w:val="005B5171"/>
    <w:rPr>
      <w:rFonts w:ascii="Arial" w:hAnsi="Arial"/>
      <w:b/>
      <w:color w:val="auto"/>
      <w:sz w:val="16"/>
    </w:rPr>
  </w:style>
  <w:style w:type="paragraph" w:customStyle="1" w:styleId="FooterOdd">
    <w:name w:val="Footer Odd"/>
    <w:next w:val="Footer"/>
    <w:rsid w:val="005B5171"/>
    <w:pPr>
      <w:spacing w:after="0" w:line="200" w:lineRule="atLeast"/>
      <w:jc w:val="right"/>
    </w:pPr>
    <w:rPr>
      <w:rFonts w:eastAsia="Times New Roman" w:cs="Arial"/>
      <w:color w:val="363534"/>
      <w:spacing w:val="2"/>
      <w:sz w:val="16"/>
      <w:szCs w:val="20"/>
      <w:lang w:eastAsia="en-AU"/>
    </w:rPr>
  </w:style>
  <w:style w:type="paragraph" w:customStyle="1" w:styleId="FooterEven">
    <w:name w:val="Footer Even"/>
    <w:next w:val="Footer"/>
    <w:rsid w:val="005B5171"/>
    <w:pPr>
      <w:spacing w:after="0" w:line="200" w:lineRule="atLeast"/>
    </w:pPr>
    <w:rPr>
      <w:rFonts w:eastAsia="Times New Roman" w:cs="Arial"/>
      <w:color w:val="363534"/>
      <w:sz w:val="16"/>
      <w:szCs w:val="20"/>
      <w:lang w:eastAsia="en-AU"/>
    </w:rPr>
  </w:style>
  <w:style w:type="paragraph" w:customStyle="1" w:styleId="FooterOddPageNumber">
    <w:name w:val="Footer Odd Page Number"/>
    <w:basedOn w:val="FooterOdd"/>
    <w:rsid w:val="005B5171"/>
    <w:pPr>
      <w:ind w:right="28"/>
    </w:pPr>
    <w:rPr>
      <w:b/>
      <w:color w:val="00B2A9"/>
    </w:rPr>
  </w:style>
  <w:style w:type="paragraph" w:customStyle="1" w:styleId="FootnoteSeparator">
    <w:name w:val="Footnote Separator"/>
    <w:basedOn w:val="Normal"/>
    <w:unhideWhenUsed/>
    <w:rsid w:val="005B5171"/>
    <w:pPr>
      <w:pBdr>
        <w:top w:val="dotted" w:sz="8" w:space="0" w:color="363534"/>
      </w:pBdr>
      <w:spacing w:before="120" w:after="0" w:line="120" w:lineRule="exact"/>
    </w:pPr>
    <w:rPr>
      <w:rFonts w:eastAsia="Times New Roman" w:cs="Arial"/>
      <w:color w:val="363534"/>
      <w:sz w:val="16"/>
      <w:szCs w:val="16"/>
      <w:lang w:eastAsia="en-AU"/>
    </w:rPr>
  </w:style>
  <w:style w:type="paragraph" w:customStyle="1" w:styleId="Emailaddress">
    <w:name w:val="Email address"/>
    <w:basedOn w:val="Normal"/>
    <w:semiHidden/>
    <w:rsid w:val="005B5171"/>
    <w:pPr>
      <w:spacing w:after="0" w:line="240" w:lineRule="atLeast"/>
    </w:pPr>
    <w:rPr>
      <w:rFonts w:eastAsia="Times New Roman" w:cs="Arial"/>
      <w:color w:val="363534"/>
      <w:sz w:val="16"/>
      <w:szCs w:val="16"/>
      <w:lang w:eastAsia="en-AU"/>
    </w:rPr>
  </w:style>
  <w:style w:type="character" w:customStyle="1" w:styleId="Italics">
    <w:name w:val="Italics"/>
    <w:qFormat/>
    <w:rsid w:val="005B5171"/>
    <w:rPr>
      <w:i/>
    </w:rPr>
  </w:style>
  <w:style w:type="paragraph" w:styleId="ListContinue">
    <w:name w:val="List Continue"/>
    <w:basedOn w:val="Normal"/>
    <w:semiHidden/>
    <w:qFormat/>
    <w:rsid w:val="005B5171"/>
    <w:pPr>
      <w:spacing w:before="220" w:after="220" w:line="240" w:lineRule="atLeast"/>
      <w:ind w:left="340"/>
    </w:pPr>
    <w:rPr>
      <w:rFonts w:eastAsia="Times New Roman" w:cs="Arial"/>
      <w:color w:val="363534"/>
      <w:sz w:val="20"/>
      <w:szCs w:val="20"/>
      <w:lang w:eastAsia="en-AU"/>
    </w:rPr>
  </w:style>
  <w:style w:type="paragraph" w:styleId="ListContinue2">
    <w:name w:val="List Continue 2"/>
    <w:basedOn w:val="Normal"/>
    <w:semiHidden/>
    <w:qFormat/>
    <w:rsid w:val="005B5171"/>
    <w:pPr>
      <w:spacing w:before="220" w:after="220" w:line="240" w:lineRule="atLeast"/>
      <w:ind w:left="680"/>
    </w:pPr>
    <w:rPr>
      <w:rFonts w:eastAsia="Times New Roman" w:cs="Arial"/>
      <w:color w:val="363534"/>
      <w:sz w:val="20"/>
      <w:szCs w:val="20"/>
      <w:lang w:eastAsia="en-AU"/>
    </w:rPr>
  </w:style>
  <w:style w:type="numbering" w:styleId="1ai">
    <w:name w:val="Outline List 1"/>
    <w:basedOn w:val="NoList"/>
    <w:rsid w:val="005B5171"/>
    <w:pPr>
      <w:numPr>
        <w:numId w:val="14"/>
      </w:numPr>
    </w:pPr>
  </w:style>
  <w:style w:type="paragraph" w:customStyle="1" w:styleId="TableTextBullet2">
    <w:name w:val="Table Text Bullet 2"/>
    <w:basedOn w:val="TableTextBullet"/>
    <w:qFormat/>
    <w:rsid w:val="005B5171"/>
    <w:pPr>
      <w:numPr>
        <w:ilvl w:val="1"/>
      </w:numPr>
    </w:pPr>
    <w:rPr>
      <w:bCs/>
    </w:rPr>
  </w:style>
  <w:style w:type="paragraph" w:customStyle="1" w:styleId="TableTextBullet3">
    <w:name w:val="Table Text Bullet 3"/>
    <w:basedOn w:val="TableTextBullet2"/>
    <w:qFormat/>
    <w:rsid w:val="005B5171"/>
    <w:pPr>
      <w:numPr>
        <w:ilvl w:val="2"/>
      </w:numPr>
    </w:pPr>
    <w:rPr>
      <w:bCs w:val="0"/>
    </w:rPr>
  </w:style>
  <w:style w:type="paragraph" w:customStyle="1" w:styleId="xDoublePic">
    <w:name w:val="xDoublePic"/>
    <w:basedOn w:val="xInlineShape"/>
    <w:semiHidden/>
    <w:rsid w:val="005B5171"/>
    <w:pPr>
      <w:spacing w:before="0" w:after="0"/>
    </w:pPr>
  </w:style>
  <w:style w:type="paragraph" w:customStyle="1" w:styleId="Footnotes">
    <w:name w:val="Footnotes"/>
    <w:basedOn w:val="Normal"/>
    <w:rsid w:val="005B5171"/>
    <w:pPr>
      <w:keepLines/>
      <w:numPr>
        <w:numId w:val="18"/>
      </w:numPr>
      <w:spacing w:before="60" w:after="100" w:afterAutospacing="1" w:line="180" w:lineRule="exact"/>
    </w:pPr>
    <w:rPr>
      <w:rFonts w:eastAsia="Times New Roman" w:cs="Arial"/>
      <w:color w:val="363534"/>
      <w:sz w:val="14"/>
      <w:szCs w:val="20"/>
      <w:lang w:eastAsia="en-AU"/>
    </w:rPr>
  </w:style>
  <w:style w:type="character" w:customStyle="1" w:styleId="Superscript">
    <w:name w:val="Superscript"/>
    <w:semiHidden/>
    <w:rsid w:val="005B5171"/>
    <w:rPr>
      <w:vertAlign w:val="superscript"/>
    </w:rPr>
  </w:style>
  <w:style w:type="table" w:styleId="TableColumns3">
    <w:name w:val="Table Columns 3"/>
    <w:basedOn w:val="TableNormal"/>
    <w:rsid w:val="005B5171"/>
    <w:pPr>
      <w:spacing w:after="0" w:line="240" w:lineRule="atLeast"/>
    </w:pPr>
    <w:rPr>
      <w:rFonts w:ascii="Times New Roman" w:eastAsia="Times New Roman" w:hAnsi="Times New Roman" w:cs="Times New Roman"/>
      <w:b/>
      <w:bCs/>
      <w:color w:val="363534"/>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5B5171"/>
    <w:pPr>
      <w:numPr>
        <w:numId w:val="20"/>
      </w:numPr>
    </w:pPr>
    <w:rPr>
      <w:rFonts w:asciiTheme="minorHAnsi" w:hAnsiTheme="minorHAnsi"/>
      <w:color w:val="363534"/>
    </w:rPr>
  </w:style>
  <w:style w:type="paragraph" w:customStyle="1" w:styleId="TableTextNumbered">
    <w:name w:val="Table Text Numbered"/>
    <w:basedOn w:val="TableTextLeft"/>
    <w:qFormat/>
    <w:rsid w:val="005B5171"/>
    <w:pPr>
      <w:numPr>
        <w:numId w:val="15"/>
      </w:numPr>
    </w:pPr>
    <w:rPr>
      <w:rFonts w:asciiTheme="minorHAnsi" w:hAnsiTheme="minorHAnsi"/>
      <w:color w:val="363534"/>
    </w:rPr>
  </w:style>
  <w:style w:type="paragraph" w:customStyle="1" w:styleId="TableTextNumbered2">
    <w:name w:val="Table Text Numbered 2"/>
    <w:basedOn w:val="TableTextNumbered"/>
    <w:qFormat/>
    <w:rsid w:val="005B5171"/>
    <w:pPr>
      <w:numPr>
        <w:ilvl w:val="1"/>
      </w:numPr>
    </w:pPr>
  </w:style>
  <w:style w:type="paragraph" w:customStyle="1" w:styleId="TableTextNumbered3">
    <w:name w:val="Table Text Numbered 3"/>
    <w:basedOn w:val="TableTextNumbered2"/>
    <w:qFormat/>
    <w:rsid w:val="005B5171"/>
    <w:pPr>
      <w:numPr>
        <w:ilvl w:val="2"/>
      </w:numPr>
    </w:pPr>
  </w:style>
  <w:style w:type="paragraph" w:customStyle="1" w:styleId="TableTextLeftBold">
    <w:name w:val="Table Text Left Bold"/>
    <w:basedOn w:val="TableTextLeft"/>
    <w:qFormat/>
    <w:rsid w:val="005B5171"/>
    <w:rPr>
      <w:rFonts w:asciiTheme="minorHAnsi" w:hAnsiTheme="minorHAnsi"/>
      <w:b/>
      <w:color w:val="363534"/>
    </w:rPr>
  </w:style>
  <w:style w:type="paragraph" w:customStyle="1" w:styleId="BoldHeading">
    <w:name w:val="Bold Heading"/>
    <w:basedOn w:val="Normal"/>
    <w:next w:val="BodyText"/>
    <w:qFormat/>
    <w:rsid w:val="005B5171"/>
    <w:pPr>
      <w:spacing w:before="280" w:after="240" w:line="240" w:lineRule="atLeast"/>
    </w:pPr>
    <w:rPr>
      <w:rFonts w:eastAsia="Times New Roman" w:cs="Arial"/>
      <w:b/>
      <w:color w:val="363534"/>
      <w:sz w:val="20"/>
      <w:szCs w:val="20"/>
      <w:lang w:eastAsia="en-AU"/>
    </w:rPr>
  </w:style>
  <w:style w:type="paragraph" w:customStyle="1" w:styleId="xInlineShape">
    <w:name w:val="xInlineShape"/>
    <w:basedOn w:val="Normal"/>
    <w:next w:val="BodyText"/>
    <w:uiPriority w:val="3"/>
    <w:semiHidden/>
    <w:rsid w:val="005B5171"/>
    <w:pPr>
      <w:keepNext/>
      <w:spacing w:before="120" w:after="20" w:line="240" w:lineRule="auto"/>
    </w:pPr>
    <w:rPr>
      <w:rFonts w:eastAsia="Times New Roman" w:cs="Arial"/>
      <w:color w:val="363534"/>
      <w:sz w:val="20"/>
      <w:szCs w:val="20"/>
      <w:lang w:eastAsia="en-AU"/>
    </w:rPr>
  </w:style>
  <w:style w:type="paragraph" w:customStyle="1" w:styleId="xDisclaimerHeading">
    <w:name w:val="xDisclaimer Heading"/>
    <w:basedOn w:val="Normal"/>
    <w:rsid w:val="005B5171"/>
    <w:pPr>
      <w:spacing w:before="170" w:after="20" w:line="170" w:lineRule="atLeast"/>
    </w:pPr>
    <w:rPr>
      <w:rFonts w:eastAsia="Times New Roman" w:cs="Arial"/>
      <w:b/>
      <w:color w:val="363534"/>
      <w:sz w:val="16"/>
      <w:szCs w:val="20"/>
      <w:lang w:eastAsia="en-AU"/>
    </w:rPr>
  </w:style>
  <w:style w:type="table" w:customStyle="1" w:styleId="TableAsPlaceholder">
    <w:name w:val="Table As Placeholder"/>
    <w:basedOn w:val="TableNormal"/>
    <w:uiPriority w:val="99"/>
    <w:qFormat/>
    <w:rsid w:val="005B5171"/>
    <w:pPr>
      <w:spacing w:after="0" w:line="240" w:lineRule="atLeast"/>
    </w:pPr>
    <w:rPr>
      <w:rFonts w:eastAsia="Times New Roman" w:cs="Arial"/>
      <w:color w:val="363534"/>
      <w:sz w:val="20"/>
      <w:szCs w:val="20"/>
      <w:lang w:eastAsia="en-AU"/>
    </w:rPr>
    <w:tblPr>
      <w:tblCellMar>
        <w:left w:w="0" w:type="dxa"/>
        <w:right w:w="0" w:type="dxa"/>
      </w:tblCellMar>
    </w:tblPr>
  </w:style>
  <w:style w:type="paragraph" w:customStyle="1" w:styleId="TOC11">
    <w:name w:val="TOC 11"/>
    <w:basedOn w:val="Normal"/>
    <w:next w:val="Normal"/>
    <w:uiPriority w:val="39"/>
    <w:rsid w:val="005B5171"/>
    <w:pPr>
      <w:tabs>
        <w:tab w:val="right" w:leader="dot" w:pos="9582"/>
      </w:tabs>
      <w:spacing w:before="240" w:after="60" w:line="240" w:lineRule="atLeast"/>
      <w:ind w:right="851"/>
    </w:pPr>
    <w:rPr>
      <w:rFonts w:eastAsia="Times New Roman" w:cs="Arial"/>
      <w:b/>
      <w:noProof/>
      <w:color w:val="00B2A9"/>
      <w:sz w:val="24"/>
      <w:szCs w:val="24"/>
      <w:lang w:eastAsia="en-AU"/>
    </w:rPr>
  </w:style>
  <w:style w:type="paragraph" w:customStyle="1" w:styleId="TOCHeading1">
    <w:name w:val="TOC Heading1"/>
    <w:basedOn w:val="Normal"/>
    <w:next w:val="TOCHeading"/>
    <w:uiPriority w:val="99"/>
    <w:rsid w:val="005B5171"/>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rFonts w:eastAsia="Times New Roman" w:cs="Arial"/>
      <w:b/>
      <w:color w:val="00B2A9"/>
      <w:sz w:val="40"/>
      <w:szCs w:val="40"/>
      <w:lang w:eastAsia="en-AU"/>
    </w:rPr>
  </w:style>
  <w:style w:type="paragraph" w:customStyle="1" w:styleId="TOC31">
    <w:name w:val="TOC 31"/>
    <w:basedOn w:val="Normal"/>
    <w:next w:val="Normal"/>
    <w:uiPriority w:val="39"/>
    <w:rsid w:val="005B5171"/>
    <w:pPr>
      <w:tabs>
        <w:tab w:val="right" w:leader="dot" w:pos="9582"/>
      </w:tabs>
      <w:spacing w:before="60" w:after="60" w:line="240" w:lineRule="atLeast"/>
      <w:ind w:left="142" w:right="851"/>
    </w:pPr>
    <w:rPr>
      <w:rFonts w:eastAsia="PMingLiU"/>
      <w:b/>
      <w:noProof/>
      <w:color w:val="4F4E4E"/>
      <w:sz w:val="20"/>
      <w:szCs w:val="20"/>
      <w:lang w:eastAsia="en-AU"/>
    </w:rPr>
  </w:style>
  <w:style w:type="paragraph" w:styleId="TOC4">
    <w:name w:val="toc 4"/>
    <w:basedOn w:val="Normal"/>
    <w:uiPriority w:val="39"/>
    <w:rsid w:val="005B5171"/>
    <w:pPr>
      <w:tabs>
        <w:tab w:val="right" w:leader="dot" w:pos="9582"/>
      </w:tabs>
      <w:spacing w:before="60" w:after="60" w:line="240" w:lineRule="atLeast"/>
      <w:ind w:left="567"/>
    </w:pPr>
    <w:rPr>
      <w:rFonts w:eastAsia="Times New Roman" w:cs="Arial"/>
      <w:noProof/>
      <w:color w:val="4F4E4E"/>
      <w:sz w:val="20"/>
      <w:szCs w:val="20"/>
      <w:lang w:eastAsia="en-AU"/>
    </w:rPr>
  </w:style>
  <w:style w:type="paragraph" w:customStyle="1" w:styleId="TOFHeading">
    <w:name w:val="TOF Heading"/>
    <w:basedOn w:val="Normal"/>
    <w:uiPriority w:val="99"/>
    <w:rsid w:val="005B5171"/>
    <w:pPr>
      <w:keepNext/>
      <w:tabs>
        <w:tab w:val="left" w:pos="2268"/>
      </w:tabs>
      <w:spacing w:before="240" w:after="60" w:line="240" w:lineRule="atLeast"/>
    </w:pPr>
    <w:rPr>
      <w:rFonts w:eastAsia="Times New Roman" w:cs="Arial"/>
      <w:b/>
      <w:color w:val="00B2A9"/>
      <w:sz w:val="24"/>
      <w:szCs w:val="32"/>
      <w:lang w:eastAsia="en-AU"/>
    </w:rPr>
  </w:style>
  <w:style w:type="paragraph" w:customStyle="1" w:styleId="BodyText12ptBefore">
    <w:name w:val="Body Text 12pt Before"/>
    <w:basedOn w:val="BodyText"/>
    <w:next w:val="BodyText"/>
    <w:qFormat/>
    <w:rsid w:val="005B5171"/>
    <w:pPr>
      <w:spacing w:before="240" w:line="240" w:lineRule="atLeast"/>
    </w:pPr>
    <w:rPr>
      <w:rFonts w:asciiTheme="minorHAnsi" w:eastAsia="Times New Roman" w:hAnsiTheme="minorHAnsi" w:cs="Times New Roman"/>
      <w:color w:val="363534"/>
      <w:sz w:val="20"/>
      <w:szCs w:val="20"/>
    </w:rPr>
  </w:style>
  <w:style w:type="paragraph" w:customStyle="1" w:styleId="TableofContents2">
    <w:name w:val="TableofContents2"/>
    <w:basedOn w:val="Normal"/>
    <w:semiHidden/>
    <w:rsid w:val="005B5171"/>
    <w:pPr>
      <w:keepNext/>
      <w:spacing w:after="120" w:line="230" w:lineRule="auto"/>
    </w:pPr>
    <w:rPr>
      <w:rFonts w:eastAsia="Times New Roman" w:cs="Arial"/>
      <w:color w:val="363534"/>
      <w:spacing w:val="-6"/>
      <w:sz w:val="40"/>
      <w:szCs w:val="28"/>
      <w:lang w:eastAsia="en-AU"/>
    </w:rPr>
  </w:style>
  <w:style w:type="paragraph" w:customStyle="1" w:styleId="TOC51">
    <w:name w:val="TOC 51"/>
    <w:basedOn w:val="Normal"/>
    <w:next w:val="Normal"/>
    <w:autoRedefine/>
    <w:uiPriority w:val="39"/>
    <w:rsid w:val="005B5171"/>
    <w:pPr>
      <w:tabs>
        <w:tab w:val="right" w:pos="9582"/>
      </w:tabs>
      <w:spacing w:before="240" w:after="60" w:line="240" w:lineRule="atLeast"/>
      <w:ind w:right="851"/>
    </w:pPr>
    <w:rPr>
      <w:rFonts w:eastAsia="Times New Roman" w:cs="Arial"/>
      <w:b/>
      <w:color w:val="00B2A9"/>
      <w:sz w:val="24"/>
      <w:szCs w:val="20"/>
      <w:lang w:eastAsia="en-AU"/>
    </w:rPr>
  </w:style>
  <w:style w:type="paragraph" w:styleId="TOC6">
    <w:name w:val="toc 6"/>
    <w:basedOn w:val="Normal"/>
    <w:next w:val="Normal"/>
    <w:autoRedefine/>
    <w:uiPriority w:val="39"/>
    <w:rsid w:val="005B5171"/>
    <w:pPr>
      <w:spacing w:after="100" w:line="240" w:lineRule="atLeast"/>
      <w:ind w:left="1000"/>
    </w:pPr>
    <w:rPr>
      <w:rFonts w:eastAsia="Times New Roman" w:cs="Arial"/>
      <w:color w:val="363534"/>
      <w:sz w:val="20"/>
      <w:szCs w:val="20"/>
      <w:lang w:eastAsia="en-AU"/>
    </w:rPr>
  </w:style>
  <w:style w:type="paragraph" w:styleId="TOC7">
    <w:name w:val="toc 7"/>
    <w:basedOn w:val="Normal"/>
    <w:next w:val="Normal"/>
    <w:autoRedefine/>
    <w:uiPriority w:val="39"/>
    <w:rsid w:val="005B5171"/>
    <w:pPr>
      <w:spacing w:after="100" w:line="240" w:lineRule="atLeast"/>
      <w:ind w:left="1200"/>
    </w:pPr>
    <w:rPr>
      <w:rFonts w:eastAsia="Times New Roman" w:cs="Arial"/>
      <w:color w:val="363534"/>
      <w:sz w:val="20"/>
      <w:szCs w:val="20"/>
      <w:lang w:eastAsia="en-AU"/>
    </w:rPr>
  </w:style>
  <w:style w:type="paragraph" w:customStyle="1" w:styleId="TOC81">
    <w:name w:val="TOC 81"/>
    <w:basedOn w:val="Normal"/>
    <w:next w:val="Normal"/>
    <w:autoRedefine/>
    <w:uiPriority w:val="39"/>
    <w:rsid w:val="005B5171"/>
    <w:pPr>
      <w:tabs>
        <w:tab w:val="right" w:leader="dot" w:pos="9582"/>
      </w:tabs>
      <w:spacing w:before="240" w:after="60" w:line="240" w:lineRule="atLeast"/>
      <w:ind w:right="851"/>
      <w:contextualSpacing/>
    </w:pPr>
    <w:rPr>
      <w:rFonts w:eastAsia="Times New Roman" w:cs="Arial"/>
      <w:b/>
      <w:color w:val="00B2A9"/>
      <w:sz w:val="24"/>
      <w:szCs w:val="20"/>
      <w:lang w:eastAsia="en-AU"/>
    </w:rPr>
  </w:style>
  <w:style w:type="character" w:customStyle="1" w:styleId="Bold">
    <w:name w:val="Bold"/>
    <w:rsid w:val="005B5171"/>
    <w:rPr>
      <w:b/>
    </w:rPr>
  </w:style>
  <w:style w:type="paragraph" w:customStyle="1" w:styleId="xContactDetails">
    <w:name w:val="xContact Details"/>
    <w:basedOn w:val="TableTextLeft"/>
    <w:uiPriority w:val="3"/>
    <w:semiHidden/>
    <w:rsid w:val="005B5171"/>
    <w:pPr>
      <w:spacing w:before="40"/>
      <w:contextualSpacing/>
    </w:pPr>
    <w:rPr>
      <w:rFonts w:asciiTheme="minorHAnsi" w:hAnsiTheme="minorHAnsi"/>
      <w:color w:val="363534"/>
      <w:sz w:val="16"/>
    </w:rPr>
  </w:style>
  <w:style w:type="paragraph" w:customStyle="1" w:styleId="xEntityDetails">
    <w:name w:val="xEntity Details"/>
    <w:basedOn w:val="xContactDetails"/>
    <w:uiPriority w:val="3"/>
    <w:semiHidden/>
    <w:rsid w:val="005B5171"/>
    <w:pPr>
      <w:framePr w:wrap="around" w:hAnchor="text"/>
    </w:pPr>
  </w:style>
  <w:style w:type="paragraph" w:customStyle="1" w:styleId="xStatus">
    <w:name w:val="xStatus"/>
    <w:basedOn w:val="Normal"/>
    <w:uiPriority w:val="3"/>
    <w:semiHidden/>
    <w:rsid w:val="005B5171"/>
    <w:pPr>
      <w:tabs>
        <w:tab w:val="left" w:pos="1134"/>
        <w:tab w:val="left" w:pos="2268"/>
        <w:tab w:val="left" w:pos="3402"/>
        <w:tab w:val="left" w:pos="4536"/>
        <w:tab w:val="left" w:pos="5103"/>
      </w:tabs>
      <w:spacing w:after="0" w:line="240" w:lineRule="auto"/>
      <w:jc w:val="center"/>
    </w:pPr>
    <w:rPr>
      <w:rFonts w:eastAsia="Times New Roman" w:cs="Arial"/>
      <w:caps/>
      <w:color w:val="EAEAEA"/>
      <w:spacing w:val="40"/>
      <w:sz w:val="120"/>
      <w:szCs w:val="24"/>
      <w:lang w:eastAsia="en-AU"/>
    </w:rPr>
  </w:style>
  <w:style w:type="character" w:styleId="IntenseEmphasis">
    <w:name w:val="Intense Emphasis"/>
    <w:rsid w:val="005B5171"/>
    <w:rPr>
      <w:b/>
      <w:bCs/>
      <w:i/>
      <w:iCs/>
      <w:color w:val="auto"/>
    </w:rPr>
  </w:style>
  <w:style w:type="paragraph" w:customStyle="1" w:styleId="BlockText1">
    <w:name w:val="Block Text1"/>
    <w:basedOn w:val="Normal"/>
    <w:next w:val="BlockText"/>
    <w:semiHidden/>
    <w:unhideWhenUsed/>
    <w:rsid w:val="005B5171"/>
    <w:pPr>
      <w:pBdr>
        <w:top w:val="single" w:sz="2" w:space="10" w:color="00B2A9" w:frame="1"/>
        <w:left w:val="single" w:sz="2" w:space="10" w:color="00B2A9" w:frame="1"/>
        <w:bottom w:val="single" w:sz="2" w:space="10" w:color="00B2A9" w:frame="1"/>
        <w:right w:val="single" w:sz="2" w:space="10" w:color="00B2A9" w:frame="1"/>
      </w:pBdr>
      <w:spacing w:after="0" w:line="240" w:lineRule="atLeast"/>
      <w:ind w:left="1152" w:right="1152"/>
    </w:pPr>
    <w:rPr>
      <w:rFonts w:eastAsia="PMingLiU"/>
      <w:i/>
      <w:iCs/>
      <w:color w:val="00B2A9"/>
      <w:sz w:val="20"/>
      <w:szCs w:val="20"/>
      <w:lang w:eastAsia="en-AU"/>
    </w:rPr>
  </w:style>
  <w:style w:type="paragraph" w:customStyle="1" w:styleId="IntenseQuote1">
    <w:name w:val="Intense Quote1"/>
    <w:basedOn w:val="Normal"/>
    <w:next w:val="Normal"/>
    <w:semiHidden/>
    <w:rsid w:val="005B5171"/>
    <w:pPr>
      <w:pBdr>
        <w:bottom w:val="single" w:sz="4" w:space="4" w:color="00B2A9"/>
      </w:pBdr>
      <w:spacing w:before="200" w:after="280" w:line="240" w:lineRule="atLeast"/>
      <w:ind w:left="936" w:right="936"/>
    </w:pPr>
    <w:rPr>
      <w:rFonts w:eastAsia="Times New Roman" w:cs="Arial"/>
      <w:b/>
      <w:bCs/>
      <w:i/>
      <w:iCs/>
      <w:color w:val="E5F7F6"/>
      <w:sz w:val="20"/>
      <w:szCs w:val="20"/>
      <w:lang w:eastAsia="en-AU"/>
    </w:rPr>
  </w:style>
  <w:style w:type="character" w:customStyle="1" w:styleId="IntenseQuoteChar">
    <w:name w:val="Intense Quote Char"/>
    <w:basedOn w:val="DefaultParagraphFont"/>
    <w:link w:val="IntenseQuote"/>
    <w:rsid w:val="005B5171"/>
    <w:rPr>
      <w:rFonts w:ascii="Arial" w:hAnsi="Arial" w:cs="Times New Roman"/>
      <w:b/>
      <w:bCs/>
      <w:i/>
      <w:iCs/>
      <w:color w:val="E5F7F6"/>
      <w:sz w:val="20"/>
      <w:szCs w:val="20"/>
    </w:rPr>
  </w:style>
  <w:style w:type="paragraph" w:customStyle="1" w:styleId="PullOutBoxBodyText">
    <w:name w:val="Pull Out Box Body Text"/>
    <w:basedOn w:val="Normal"/>
    <w:qFormat/>
    <w:rsid w:val="005B5171"/>
    <w:pPr>
      <w:spacing w:before="120" w:after="120" w:line="240" w:lineRule="atLeast"/>
      <w:ind w:left="142" w:right="142"/>
    </w:pPr>
    <w:rPr>
      <w:rFonts w:eastAsia="Times New Roman" w:cs="Arial"/>
      <w:color w:val="363534"/>
      <w:sz w:val="20"/>
      <w:szCs w:val="20"/>
      <w:lang w:eastAsia="en-AU"/>
    </w:rPr>
  </w:style>
  <w:style w:type="paragraph" w:customStyle="1" w:styleId="PullOutBoxHeading">
    <w:name w:val="Pull Out Box Heading"/>
    <w:basedOn w:val="PullOutBoxBodyText"/>
    <w:next w:val="PullOutBoxBodyText"/>
    <w:qFormat/>
    <w:rsid w:val="005B5171"/>
    <w:pPr>
      <w:keepNext/>
      <w:keepLines/>
    </w:pPr>
    <w:rPr>
      <w:b/>
      <w:szCs w:val="24"/>
    </w:rPr>
  </w:style>
  <w:style w:type="paragraph" w:customStyle="1" w:styleId="PullOutBoxBullet">
    <w:name w:val="Pull Out Box Bullet"/>
    <w:basedOn w:val="PullOutBoxBodyText"/>
    <w:qFormat/>
    <w:rsid w:val="005B5171"/>
    <w:pPr>
      <w:numPr>
        <w:numId w:val="21"/>
      </w:numPr>
    </w:pPr>
  </w:style>
  <w:style w:type="paragraph" w:customStyle="1" w:styleId="PullOutBoxBullet2">
    <w:name w:val="Pull Out Box Bullet 2"/>
    <w:basedOn w:val="PullOutBoxBodyText"/>
    <w:qFormat/>
    <w:rsid w:val="005B5171"/>
    <w:pPr>
      <w:numPr>
        <w:ilvl w:val="1"/>
        <w:numId w:val="21"/>
      </w:numPr>
    </w:pPr>
  </w:style>
  <w:style w:type="paragraph" w:customStyle="1" w:styleId="PullOutBoxBullet3">
    <w:name w:val="Pull Out Box Bullet 3"/>
    <w:basedOn w:val="PullOutBoxBodyText"/>
    <w:qFormat/>
    <w:rsid w:val="005B5171"/>
    <w:pPr>
      <w:numPr>
        <w:ilvl w:val="2"/>
        <w:numId w:val="21"/>
      </w:numPr>
    </w:pPr>
  </w:style>
  <w:style w:type="paragraph" w:customStyle="1" w:styleId="xBackPageWebAddress">
    <w:name w:val="xBack Page Web Address"/>
    <w:basedOn w:val="Normal"/>
    <w:semiHidden/>
    <w:rsid w:val="005B5171"/>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5B5171"/>
    <w:pPr>
      <w:spacing w:after="0" w:line="240" w:lineRule="atLeast"/>
    </w:pPr>
    <w:rPr>
      <w:rFonts w:eastAsia="Times New Roman" w:cs="Arial"/>
      <w:color w:val="FFFFFF"/>
      <w:sz w:val="20"/>
      <w:szCs w:val="20"/>
      <w:lang w:eastAsia="en-AU"/>
    </w:rPr>
  </w:style>
  <w:style w:type="paragraph" w:customStyle="1" w:styleId="Source">
    <w:name w:val="Source"/>
    <w:basedOn w:val="Normal"/>
    <w:next w:val="BodyText"/>
    <w:rsid w:val="005B5171"/>
    <w:pPr>
      <w:spacing w:before="60" w:after="60" w:line="180" w:lineRule="atLeast"/>
    </w:pPr>
    <w:rPr>
      <w:rFonts w:eastAsia="Times New Roman" w:cs="Arial"/>
      <w:b/>
      <w:i/>
      <w:color w:val="363534"/>
      <w:sz w:val="14"/>
      <w:szCs w:val="20"/>
      <w:lang w:eastAsia="en-AU"/>
    </w:rPr>
  </w:style>
  <w:style w:type="paragraph" w:customStyle="1" w:styleId="xDisclaimerText">
    <w:name w:val="xDisclaimer Text"/>
    <w:basedOn w:val="xContactDetails"/>
    <w:rsid w:val="005B5171"/>
    <w:pPr>
      <w:spacing w:before="0" w:after="0" w:line="175" w:lineRule="atLeast"/>
      <w:ind w:left="0" w:right="0"/>
      <w:contextualSpacing w:val="0"/>
    </w:pPr>
  </w:style>
  <w:style w:type="paragraph" w:customStyle="1" w:styleId="IntroFeatureText">
    <w:name w:val="Intro/Feature Text"/>
    <w:basedOn w:val="Normal"/>
    <w:next w:val="BodyText"/>
    <w:qFormat/>
    <w:rsid w:val="005B5171"/>
    <w:pPr>
      <w:spacing w:before="60" w:after="180" w:line="360" w:lineRule="exact"/>
    </w:pPr>
    <w:rPr>
      <w:rFonts w:eastAsia="Times New Roman" w:cs="Arial"/>
      <w:color w:val="00B2A9"/>
      <w:spacing w:val="-2"/>
      <w:sz w:val="32"/>
      <w:szCs w:val="20"/>
      <w:lang w:eastAsia="en-AU"/>
    </w:rPr>
  </w:style>
  <w:style w:type="character" w:customStyle="1" w:styleId="BoldAndItalics">
    <w:name w:val="Bold And Italics"/>
    <w:semiHidden/>
    <w:rsid w:val="005B5171"/>
    <w:rPr>
      <w:b/>
      <w:i/>
    </w:rPr>
  </w:style>
  <w:style w:type="paragraph" w:customStyle="1" w:styleId="CaptionDescriptive">
    <w:name w:val="Caption Descriptive"/>
    <w:basedOn w:val="BodyText"/>
    <w:next w:val="BodyText"/>
    <w:rsid w:val="005B5171"/>
    <w:pPr>
      <w:spacing w:before="60" w:after="60"/>
      <w:ind w:right="227"/>
    </w:pPr>
    <w:rPr>
      <w:rFonts w:asciiTheme="minorHAnsi" w:eastAsia="Times New Roman" w:hAnsiTheme="minorHAnsi" w:cs="Times New Roman"/>
      <w:i/>
      <w:color w:val="363534"/>
      <w:sz w:val="18"/>
      <w:szCs w:val="14"/>
    </w:rPr>
  </w:style>
  <w:style w:type="table" w:customStyle="1" w:styleId="PullOutBoxTable">
    <w:name w:val="Pull Out Box Table"/>
    <w:basedOn w:val="TableNormal"/>
    <w:uiPriority w:val="99"/>
    <w:rsid w:val="005B5171"/>
    <w:pPr>
      <w:spacing w:after="0" w:line="240" w:lineRule="auto"/>
    </w:pPr>
    <w:rPr>
      <w:rFonts w:eastAsia="Times New Roman" w:cs="Arial"/>
      <w:color w:val="363534"/>
      <w:sz w:val="20"/>
      <w:szCs w:val="20"/>
      <w:lang w:eastAsia="en-AU"/>
    </w:rPr>
    <w:tblPr>
      <w:tblBorders>
        <w:top w:val="single" w:sz="4" w:space="0" w:color="00B2A9"/>
        <w:left w:val="single" w:sz="4" w:space="0" w:color="00B2A9"/>
        <w:bottom w:val="single" w:sz="4" w:space="0" w:color="00B2A9"/>
        <w:right w:val="single" w:sz="4" w:space="0" w:color="00B2A9"/>
      </w:tblBorders>
      <w:tblCellMar>
        <w:top w:w="85" w:type="dxa"/>
        <w:left w:w="0" w:type="dxa"/>
        <w:bottom w:w="85" w:type="dxa"/>
        <w:right w:w="0" w:type="dxa"/>
      </w:tblCellMar>
    </w:tblPr>
    <w:tcPr>
      <w:shd w:val="clear" w:color="auto" w:fill="auto"/>
    </w:tcPr>
  </w:style>
  <w:style w:type="paragraph" w:customStyle="1" w:styleId="NormalWeb1">
    <w:name w:val="Normal (Web)1"/>
    <w:basedOn w:val="Normal"/>
    <w:next w:val="NormalWeb"/>
    <w:uiPriority w:val="99"/>
    <w:unhideWhenUsed/>
    <w:rsid w:val="005B5171"/>
    <w:pPr>
      <w:spacing w:after="0" w:line="240" w:lineRule="atLeast"/>
    </w:pPr>
    <w:rPr>
      <w:rFonts w:eastAsia="PMingLiU" w:cs="Times New Roman"/>
      <w:color w:val="363534"/>
      <w:sz w:val="20"/>
      <w:szCs w:val="24"/>
      <w:lang w:eastAsia="en-AU"/>
    </w:rPr>
  </w:style>
  <w:style w:type="character" w:customStyle="1" w:styleId="MySuperscript">
    <w:name w:val="MySuperscript"/>
    <w:uiPriority w:val="1"/>
    <w:semiHidden/>
    <w:rsid w:val="005B5171"/>
    <w:rPr>
      <w:vertAlign w:val="superscript"/>
    </w:rPr>
  </w:style>
  <w:style w:type="character" w:customStyle="1" w:styleId="MySubscript">
    <w:name w:val="MySubscript"/>
    <w:uiPriority w:val="1"/>
    <w:semiHidden/>
    <w:rsid w:val="005B5171"/>
    <w:rPr>
      <w:vertAlign w:val="subscript"/>
    </w:rPr>
  </w:style>
  <w:style w:type="character" w:customStyle="1" w:styleId="MySuperscriptItalics">
    <w:name w:val="MySuperscript&amp;Italics"/>
    <w:uiPriority w:val="1"/>
    <w:semiHidden/>
    <w:rsid w:val="005B5171"/>
    <w:rPr>
      <w:i/>
      <w:vertAlign w:val="superscript"/>
    </w:rPr>
  </w:style>
  <w:style w:type="character" w:customStyle="1" w:styleId="MySubscriptItalics">
    <w:name w:val="MySubscript&amp;Italics"/>
    <w:uiPriority w:val="1"/>
    <w:semiHidden/>
    <w:rsid w:val="005B5171"/>
    <w:rPr>
      <w:i/>
      <w:vertAlign w:val="subscript"/>
    </w:rPr>
  </w:style>
  <w:style w:type="paragraph" w:customStyle="1" w:styleId="QuoteBullet">
    <w:name w:val="Quote Bullet"/>
    <w:basedOn w:val="Quote"/>
    <w:qFormat/>
    <w:rsid w:val="005B5171"/>
    <w:pPr>
      <w:numPr>
        <w:numId w:val="19"/>
      </w:numPr>
      <w:tabs>
        <w:tab w:val="left" w:pos="1134"/>
      </w:tabs>
      <w:spacing w:before="120" w:after="120" w:line="240" w:lineRule="atLeast"/>
      <w:ind w:right="0"/>
      <w:jc w:val="left"/>
    </w:pPr>
    <w:rPr>
      <w:rFonts w:asciiTheme="minorHAnsi" w:eastAsia="Times New Roman" w:hAnsiTheme="minorHAnsi" w:cs="Arial"/>
      <w:color w:val="363534"/>
      <w:sz w:val="20"/>
      <w:szCs w:val="20"/>
      <w:lang w:eastAsia="en-AU"/>
    </w:rPr>
  </w:style>
  <w:style w:type="paragraph" w:customStyle="1" w:styleId="QuoteBullet2">
    <w:name w:val="Quote Bullet 2"/>
    <w:basedOn w:val="Quote"/>
    <w:qFormat/>
    <w:rsid w:val="005B5171"/>
    <w:pPr>
      <w:numPr>
        <w:ilvl w:val="1"/>
        <w:numId w:val="19"/>
      </w:numPr>
      <w:spacing w:before="120" w:after="120" w:line="240" w:lineRule="atLeast"/>
      <w:ind w:right="0"/>
      <w:jc w:val="left"/>
    </w:pPr>
    <w:rPr>
      <w:rFonts w:asciiTheme="minorHAnsi" w:eastAsia="Times New Roman" w:hAnsiTheme="minorHAnsi" w:cs="Arial"/>
      <w:color w:val="363534"/>
      <w:sz w:val="20"/>
      <w:szCs w:val="20"/>
      <w:lang w:eastAsia="en-AU"/>
    </w:rPr>
  </w:style>
  <w:style w:type="paragraph" w:customStyle="1" w:styleId="PullOutBoxNumbered">
    <w:name w:val="Pull Out Box Numbered"/>
    <w:basedOn w:val="PullOutBoxBodyText"/>
    <w:qFormat/>
    <w:rsid w:val="005B5171"/>
    <w:pPr>
      <w:numPr>
        <w:numId w:val="17"/>
      </w:numPr>
    </w:pPr>
  </w:style>
  <w:style w:type="paragraph" w:customStyle="1" w:styleId="PullOutBoxNumbered2">
    <w:name w:val="Pull Out Box Numbered 2"/>
    <w:basedOn w:val="PullOutBoxBodyText"/>
    <w:qFormat/>
    <w:rsid w:val="005B5171"/>
    <w:pPr>
      <w:numPr>
        <w:ilvl w:val="1"/>
        <w:numId w:val="17"/>
      </w:numPr>
    </w:pPr>
  </w:style>
  <w:style w:type="paragraph" w:customStyle="1" w:styleId="PullOutBoxNumbered3">
    <w:name w:val="Pull Out Box Numbered 3"/>
    <w:basedOn w:val="PullOutBoxBodyText"/>
    <w:qFormat/>
    <w:rsid w:val="005B5171"/>
    <w:pPr>
      <w:numPr>
        <w:ilvl w:val="2"/>
        <w:numId w:val="17"/>
      </w:numPr>
    </w:pPr>
  </w:style>
  <w:style w:type="table" w:styleId="TableGrid10">
    <w:name w:val="Table Grid 1"/>
    <w:basedOn w:val="TableNormal"/>
    <w:rsid w:val="005B5171"/>
    <w:pPr>
      <w:spacing w:after="0" w:line="240" w:lineRule="atLeast"/>
    </w:pPr>
    <w:rPr>
      <w:rFonts w:eastAsia="Times New Roman" w:cs="Arial"/>
      <w:color w:val="363534"/>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5B5171"/>
    <w:pPr>
      <w:spacing w:after="0" w:line="240" w:lineRule="atLeast"/>
    </w:pPr>
    <w:rPr>
      <w:rFonts w:eastAsia="Times New Roman" w:cs="Arial"/>
      <w:color w:val="363534"/>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21">
    <w:name w:val="Table Simple 21"/>
    <w:basedOn w:val="TableNormal"/>
    <w:next w:val="TableSimple2"/>
    <w:rsid w:val="005B5171"/>
    <w:pPr>
      <w:spacing w:after="0" w:line="240" w:lineRule="atLeast"/>
    </w:pPr>
    <w:rPr>
      <w:rFonts w:eastAsia="Times New Roman" w:cs="Arial"/>
      <w:color w:val="363534"/>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5B5171"/>
    <w:pPr>
      <w:spacing w:after="0" w:line="240" w:lineRule="atLeast"/>
    </w:pPr>
    <w:rPr>
      <w:rFonts w:eastAsia="Times New Roman" w:cs="Arial"/>
      <w:color w:val="363534"/>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5B5171"/>
    <w:pPr>
      <w:spacing w:before="180" w:after="170"/>
    </w:pPr>
  </w:style>
  <w:style w:type="paragraph" w:customStyle="1" w:styleId="Heading1TopofPage">
    <w:name w:val="Heading 1 Top of Page"/>
    <w:basedOn w:val="Heading1"/>
    <w:next w:val="BodyText"/>
    <w:rsid w:val="005B5171"/>
    <w:pPr>
      <w:keepNext/>
      <w:keepLines/>
      <w:pageBreakBefore/>
      <w:framePr w:w="11906" w:h="1701" w:hSpace="11339" w:wrap="around" w:vAnchor="page" w:hAnchor="page" w:x="1" w:y="1"/>
      <w:spacing w:before="1300" w:after="360" w:line="440" w:lineRule="exact"/>
      <w:ind w:left="1134" w:right="1134"/>
    </w:pPr>
    <w:rPr>
      <w:rFonts w:ascii="Arial" w:eastAsia="Times New Roman" w:hAnsi="Arial" w:cs="Arial"/>
      <w:b/>
      <w:bCs/>
      <w:color w:val="00B2A9"/>
      <w:kern w:val="32"/>
      <w:sz w:val="40"/>
      <w:szCs w:val="32"/>
      <w:lang w:eastAsia="en-AU"/>
    </w:rPr>
  </w:style>
  <w:style w:type="paragraph" w:customStyle="1" w:styleId="SectionHeading">
    <w:name w:val="Section Heading"/>
    <w:basedOn w:val="Normal"/>
    <w:next w:val="BodyText"/>
    <w:semiHidden/>
    <w:qFormat/>
    <w:rsid w:val="005B5171"/>
    <w:pPr>
      <w:keepLines/>
      <w:pageBreakBefore/>
      <w:framePr w:w="11906" w:h="1701" w:hSpace="11339" w:wrap="around" w:vAnchor="page" w:hAnchor="page" w:xAlign="right" w:y="1"/>
      <w:spacing w:before="1300" w:after="0" w:line="240" w:lineRule="atLeast"/>
      <w:ind w:left="3969" w:right="1134"/>
      <w:jc w:val="right"/>
      <w:outlineLvl w:val="4"/>
    </w:pPr>
    <w:rPr>
      <w:rFonts w:eastAsia="Times New Roman" w:cs="Arial"/>
      <w:b/>
      <w:color w:val="FFFFFF"/>
      <w:sz w:val="52"/>
      <w:szCs w:val="40"/>
      <w:lang w:eastAsia="en-AU"/>
    </w:rPr>
  </w:style>
  <w:style w:type="paragraph" w:customStyle="1" w:styleId="HighlightBoxText">
    <w:name w:val="Highlight Box Text"/>
    <w:basedOn w:val="Normal"/>
    <w:qFormat/>
    <w:rsid w:val="005B5171"/>
    <w:pPr>
      <w:spacing w:before="120" w:after="120" w:line="300" w:lineRule="atLeast"/>
      <w:ind w:left="227" w:right="227"/>
    </w:pPr>
    <w:rPr>
      <w:rFonts w:eastAsia="Times New Roman" w:cs="Arial"/>
      <w:color w:val="FFFFFF"/>
      <w:spacing w:val="-2"/>
      <w:sz w:val="24"/>
      <w:szCs w:val="20"/>
      <w:lang w:eastAsia="en-AU"/>
    </w:rPr>
  </w:style>
  <w:style w:type="paragraph" w:customStyle="1" w:styleId="TitleBarText">
    <w:name w:val="Title Bar Text"/>
    <w:basedOn w:val="Normal"/>
    <w:uiPriority w:val="99"/>
    <w:qFormat/>
    <w:rsid w:val="005B5171"/>
    <w:pPr>
      <w:spacing w:after="0" w:line="360" w:lineRule="exact"/>
      <w:jc w:val="right"/>
    </w:pPr>
    <w:rPr>
      <w:rFonts w:eastAsia="Times New Roman" w:cs="Arial"/>
      <w:color w:val="FFFFFF"/>
      <w:spacing w:val="-2"/>
      <w:sz w:val="28"/>
      <w:szCs w:val="28"/>
      <w:lang w:eastAsia="en-AU"/>
    </w:rPr>
  </w:style>
  <w:style w:type="table" w:customStyle="1" w:styleId="LogoPlaceholder">
    <w:name w:val="Logo Placeholder"/>
    <w:basedOn w:val="TableNormal"/>
    <w:uiPriority w:val="99"/>
    <w:rsid w:val="005B5171"/>
    <w:pPr>
      <w:spacing w:after="0" w:line="240" w:lineRule="auto"/>
    </w:pPr>
    <w:rPr>
      <w:rFonts w:eastAsia="Times New Roman" w:cs="Arial"/>
      <w:color w:val="363534"/>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5B5171"/>
    <w:pPr>
      <w:jc w:val="right"/>
    </w:pPr>
    <w:rPr>
      <w:rFonts w:asciiTheme="minorHAnsi" w:hAnsiTheme="minorHAnsi" w:cs="Times New Roman"/>
      <w:color w:val="FFFFFF"/>
    </w:rPr>
  </w:style>
  <w:style w:type="paragraph" w:customStyle="1" w:styleId="xCoverStatus">
    <w:name w:val="xCoverStatus"/>
    <w:basedOn w:val="Normal"/>
    <w:semiHidden/>
    <w:rsid w:val="005B5171"/>
    <w:pPr>
      <w:spacing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5B5171"/>
    <w:pPr>
      <w:jc w:val="center"/>
    </w:pPr>
    <w:rPr>
      <w:rFonts w:asciiTheme="minorHAnsi" w:hAnsiTheme="minorHAnsi"/>
      <w:color w:val="363534"/>
    </w:rPr>
  </w:style>
  <w:style w:type="paragraph" w:customStyle="1" w:styleId="TableHeadingCentre">
    <w:name w:val="Table Heading Centre"/>
    <w:basedOn w:val="TableHeadingLeft"/>
    <w:qFormat/>
    <w:rsid w:val="005B5171"/>
    <w:pPr>
      <w:jc w:val="center"/>
    </w:pPr>
    <w:rPr>
      <w:rFonts w:asciiTheme="minorHAnsi" w:hAnsiTheme="minorHAnsi"/>
      <w:color w:val="FFFFFF"/>
    </w:rPr>
  </w:style>
  <w:style w:type="paragraph" w:customStyle="1" w:styleId="Footnotes2">
    <w:name w:val="Footnotes 2"/>
    <w:basedOn w:val="Normal"/>
    <w:rsid w:val="005B5171"/>
    <w:pPr>
      <w:numPr>
        <w:ilvl w:val="1"/>
        <w:numId w:val="18"/>
      </w:numPr>
      <w:spacing w:after="100" w:afterAutospacing="1" w:line="180" w:lineRule="atLeast"/>
      <w:ind w:left="568" w:hanging="284"/>
      <w:contextualSpacing/>
    </w:pPr>
    <w:rPr>
      <w:rFonts w:eastAsia="Times New Roman" w:cs="Arial"/>
      <w:color w:val="363534"/>
      <w:sz w:val="14"/>
      <w:szCs w:val="20"/>
      <w:lang w:eastAsia="en-AU"/>
    </w:rPr>
  </w:style>
  <w:style w:type="table" w:customStyle="1" w:styleId="HighlightTable">
    <w:name w:val="Highlight Table"/>
    <w:basedOn w:val="TableNormal"/>
    <w:uiPriority w:val="99"/>
    <w:rsid w:val="005B5171"/>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rsid w:val="005B5171"/>
    <w:pPr>
      <w:spacing w:before="60" w:line="240" w:lineRule="atLeast"/>
    </w:pPr>
    <w:rPr>
      <w:rFonts w:asciiTheme="minorHAnsi" w:eastAsia="Times New Roman" w:hAnsiTheme="minorHAnsi" w:cs="Times New Roman"/>
      <w:color w:val="00B2A9"/>
      <w:sz w:val="20"/>
      <w:szCs w:val="20"/>
    </w:rPr>
  </w:style>
  <w:style w:type="paragraph" w:customStyle="1" w:styleId="ListAlpha">
    <w:name w:val="List Alpha"/>
    <w:basedOn w:val="Normal"/>
    <w:qFormat/>
    <w:rsid w:val="005B5171"/>
    <w:pPr>
      <w:numPr>
        <w:numId w:val="22"/>
      </w:numPr>
      <w:spacing w:before="120" w:after="120" w:line="240" w:lineRule="atLeast"/>
    </w:pPr>
    <w:rPr>
      <w:rFonts w:eastAsia="Times New Roman" w:cs="Arial"/>
      <w:color w:val="363534"/>
      <w:sz w:val="20"/>
      <w:szCs w:val="20"/>
      <w:lang w:eastAsia="en-AU"/>
    </w:rPr>
  </w:style>
  <w:style w:type="paragraph" w:customStyle="1" w:styleId="ListAlpha2">
    <w:name w:val="List Alpha 2"/>
    <w:basedOn w:val="Normal"/>
    <w:qFormat/>
    <w:rsid w:val="005B5171"/>
    <w:pPr>
      <w:numPr>
        <w:ilvl w:val="1"/>
        <w:numId w:val="22"/>
      </w:numPr>
      <w:spacing w:before="120" w:after="120" w:line="240" w:lineRule="atLeast"/>
    </w:pPr>
    <w:rPr>
      <w:rFonts w:eastAsia="Times New Roman" w:cs="Arial"/>
      <w:color w:val="363534"/>
      <w:sz w:val="20"/>
      <w:szCs w:val="20"/>
      <w:lang w:eastAsia="en-AU"/>
    </w:rPr>
  </w:style>
  <w:style w:type="paragraph" w:customStyle="1" w:styleId="ListAlpha3">
    <w:name w:val="List Alpha 3"/>
    <w:basedOn w:val="Normal"/>
    <w:qFormat/>
    <w:rsid w:val="005B5171"/>
    <w:pPr>
      <w:numPr>
        <w:ilvl w:val="2"/>
        <w:numId w:val="22"/>
      </w:numPr>
      <w:spacing w:before="120" w:after="120" w:line="240" w:lineRule="atLeast"/>
    </w:pPr>
    <w:rPr>
      <w:rFonts w:eastAsia="Times New Roman" w:cs="Arial"/>
      <w:color w:val="363534"/>
      <w:sz w:val="20"/>
      <w:szCs w:val="20"/>
      <w:lang w:eastAsia="en-AU"/>
    </w:rPr>
  </w:style>
  <w:style w:type="paragraph" w:customStyle="1" w:styleId="HighlightBoxHeading">
    <w:name w:val="Highlight Box Heading"/>
    <w:basedOn w:val="HighlightBoxText"/>
    <w:qFormat/>
    <w:rsid w:val="005B5171"/>
    <w:rPr>
      <w:b/>
    </w:rPr>
  </w:style>
  <w:style w:type="paragraph" w:customStyle="1" w:styleId="HighlightBoxBullet">
    <w:name w:val="Highlight Box Bullet"/>
    <w:basedOn w:val="HighlightBoxText"/>
    <w:qFormat/>
    <w:rsid w:val="005B5171"/>
    <w:pPr>
      <w:numPr>
        <w:numId w:val="24"/>
      </w:numPr>
      <w:tabs>
        <w:tab w:val="left" w:pos="454"/>
      </w:tabs>
    </w:pPr>
  </w:style>
  <w:style w:type="character" w:customStyle="1" w:styleId="MyUnderline">
    <w:name w:val="MyUnderline"/>
    <w:uiPriority w:val="1"/>
    <w:semiHidden/>
    <w:rsid w:val="005B5171"/>
    <w:rPr>
      <w:u w:val="single"/>
      <w:lang w:eastAsia="en-AU"/>
    </w:rPr>
  </w:style>
  <w:style w:type="character" w:customStyle="1" w:styleId="MyBoldItalicsUnderline">
    <w:name w:val="MyBoldItalicsUnderline"/>
    <w:uiPriority w:val="1"/>
    <w:semiHidden/>
    <w:rsid w:val="005B5171"/>
    <w:rPr>
      <w:b/>
      <w:i/>
      <w:u w:val="single"/>
    </w:rPr>
  </w:style>
  <w:style w:type="character" w:customStyle="1" w:styleId="MyBoldUnderline">
    <w:name w:val="MyBoldUnderline"/>
    <w:uiPriority w:val="1"/>
    <w:semiHidden/>
    <w:rsid w:val="005B5171"/>
    <w:rPr>
      <w:b/>
      <w:u w:val="single"/>
    </w:rPr>
  </w:style>
  <w:style w:type="character" w:customStyle="1" w:styleId="MyItalicsUnderline">
    <w:name w:val="MyItalicsUnderline"/>
    <w:uiPriority w:val="1"/>
    <w:semiHidden/>
    <w:rsid w:val="005B5171"/>
    <w:rPr>
      <w:i/>
      <w:u w:val="single"/>
    </w:rPr>
  </w:style>
  <w:style w:type="paragraph" w:customStyle="1" w:styleId="SmallBodyText">
    <w:name w:val="Small Body Text"/>
    <w:basedOn w:val="xDisclaimerText"/>
    <w:qFormat/>
    <w:rsid w:val="005B5171"/>
    <w:pPr>
      <w:spacing w:before="40" w:after="40" w:line="220" w:lineRule="atLeast"/>
    </w:pPr>
    <w:rPr>
      <w:sz w:val="18"/>
    </w:rPr>
  </w:style>
  <w:style w:type="paragraph" w:customStyle="1" w:styleId="SmallBullet">
    <w:name w:val="Small Bullet"/>
    <w:basedOn w:val="SmallBodyText"/>
    <w:qFormat/>
    <w:rsid w:val="005B5171"/>
    <w:pPr>
      <w:numPr>
        <w:numId w:val="23"/>
      </w:numPr>
    </w:pPr>
  </w:style>
  <w:style w:type="paragraph" w:customStyle="1" w:styleId="SmallHeading">
    <w:name w:val="Small Heading"/>
    <w:basedOn w:val="xDisclaimerHeading"/>
    <w:next w:val="SmallBodyText"/>
    <w:qFormat/>
    <w:rsid w:val="005B5171"/>
    <w:pPr>
      <w:spacing w:after="40" w:line="220" w:lineRule="atLeast"/>
    </w:pPr>
    <w:rPr>
      <w:sz w:val="18"/>
    </w:rPr>
  </w:style>
  <w:style w:type="paragraph" w:customStyle="1" w:styleId="xWeb">
    <w:name w:val="xWeb"/>
    <w:basedOn w:val="Normal"/>
    <w:qFormat/>
    <w:rsid w:val="005B5171"/>
    <w:pPr>
      <w:spacing w:after="0" w:line="240" w:lineRule="auto"/>
    </w:pPr>
    <w:rPr>
      <w:rFonts w:eastAsia="Times New Roman" w:cs="Arial"/>
      <w:b/>
      <w:color w:val="FFFFFF"/>
      <w:spacing w:val="-4"/>
      <w:sz w:val="25"/>
      <w:szCs w:val="42"/>
      <w:lang w:eastAsia="en-AU"/>
    </w:rPr>
  </w:style>
  <w:style w:type="table" w:customStyle="1" w:styleId="DELWPTableNormal">
    <w:name w:val="DELWP Table Normal"/>
    <w:basedOn w:val="TableNormal"/>
    <w:uiPriority w:val="99"/>
    <w:rsid w:val="005B5171"/>
    <w:pPr>
      <w:spacing w:after="0" w:line="240" w:lineRule="auto"/>
    </w:pPr>
    <w:rPr>
      <w:rFonts w:eastAsia="Times New Roman" w:cs="Arial"/>
      <w:color w:val="363534"/>
      <w:sz w:val="20"/>
      <w:szCs w:val="20"/>
      <w:lang w:eastAsia="en-AU"/>
    </w:rPr>
    <w:tblPr/>
  </w:style>
  <w:style w:type="paragraph" w:customStyle="1" w:styleId="xAccessibilityText">
    <w:name w:val="xAccessibility Text"/>
    <w:basedOn w:val="Normal"/>
    <w:semiHidden/>
    <w:qFormat/>
    <w:rsid w:val="005B5171"/>
    <w:pPr>
      <w:spacing w:after="0" w:line="300" w:lineRule="exact"/>
    </w:pPr>
    <w:rPr>
      <w:rFonts w:eastAsia="Times New Roman" w:cs="Arial"/>
      <w:color w:val="363534"/>
      <w:sz w:val="24"/>
      <w:szCs w:val="20"/>
      <w:lang w:eastAsia="en-AU"/>
    </w:rPr>
  </w:style>
  <w:style w:type="paragraph" w:customStyle="1" w:styleId="xAccessibilityHeading">
    <w:name w:val="xAccessibility Heading"/>
    <w:basedOn w:val="Normal"/>
    <w:semiHidden/>
    <w:qFormat/>
    <w:rsid w:val="005B5171"/>
    <w:pPr>
      <w:spacing w:before="170" w:after="20" w:line="300" w:lineRule="exact"/>
    </w:pPr>
    <w:rPr>
      <w:rFonts w:eastAsia="Times New Roman" w:cs="Arial"/>
      <w:b/>
      <w:color w:val="363534"/>
      <w:sz w:val="24"/>
      <w:szCs w:val="20"/>
      <w:lang w:eastAsia="en-AU"/>
    </w:rPr>
  </w:style>
  <w:style w:type="paragraph" w:customStyle="1" w:styleId="FooterEvenPageNumber">
    <w:name w:val="Footer Even Page Number"/>
    <w:basedOn w:val="FooterEven"/>
    <w:rsid w:val="005B5171"/>
    <w:pPr>
      <w:framePr w:wrap="around" w:vAnchor="page" w:hAnchor="margin" w:yAlign="bottom"/>
    </w:pPr>
    <w:rPr>
      <w:b/>
      <w:color w:val="00B2A9"/>
    </w:rPr>
  </w:style>
  <w:style w:type="character" w:customStyle="1" w:styleId="HiddenText">
    <w:name w:val="Hidden Text"/>
    <w:basedOn w:val="DefaultParagraphFont"/>
    <w:uiPriority w:val="1"/>
    <w:qFormat/>
    <w:rsid w:val="005B5171"/>
    <w:rPr>
      <w:vanish/>
      <w:color w:val="FF0000"/>
      <w:sz w:val="20"/>
      <w:u w:val="dotted"/>
    </w:rPr>
  </w:style>
  <w:style w:type="paragraph" w:customStyle="1" w:styleId="xWebCoverPage">
    <w:name w:val="xWebCoverPage"/>
    <w:basedOn w:val="xWeb"/>
    <w:semiHidden/>
    <w:qFormat/>
    <w:rsid w:val="005B5171"/>
    <w:rPr>
      <w:color w:val="00B2A9"/>
    </w:rPr>
  </w:style>
  <w:style w:type="paragraph" w:customStyle="1" w:styleId="xDisclaimertext4">
    <w:name w:val="xDisclaimer text 4"/>
    <w:basedOn w:val="xDisclaimertext3"/>
    <w:qFormat/>
    <w:rsid w:val="005B5171"/>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5B5171"/>
    <w:pPr>
      <w:framePr w:wrap="around"/>
      <w:spacing w:before="120" w:after="120"/>
    </w:pPr>
    <w:rPr>
      <w:b/>
      <w:color w:val="00B2A9"/>
      <w:sz w:val="20"/>
    </w:rPr>
  </w:style>
  <w:style w:type="paragraph" w:customStyle="1" w:styleId="xDisclaimertext5">
    <w:name w:val="xDisclaimer text 5"/>
    <w:basedOn w:val="xDisclaimertext4"/>
    <w:qFormat/>
    <w:rsid w:val="005B5171"/>
    <w:pPr>
      <w:framePr w:wrap="around"/>
      <w:spacing w:after="100"/>
      <w:ind w:right="3119"/>
    </w:pPr>
  </w:style>
  <w:style w:type="table" w:customStyle="1" w:styleId="TableGrid2">
    <w:name w:val="Table Grid2"/>
    <w:basedOn w:val="TableNormal"/>
    <w:next w:val="TableGrid"/>
    <w:rsid w:val="005B5171"/>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00B2A9"/>
        <w:bottom w:val="single" w:sz="8" w:space="0" w:color="00B2A9"/>
        <w:insideH w:val="single" w:sz="8" w:space="0" w:color="00B2A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Pr/>
      <w:tcPr>
        <w:vAlign w:val="center"/>
      </w:tcPr>
    </w:tblStylePr>
  </w:style>
  <w:style w:type="table" w:customStyle="1" w:styleId="LightList-Accent11">
    <w:name w:val="Light List - Accent 11"/>
    <w:basedOn w:val="TableNormal"/>
    <w:uiPriority w:val="61"/>
    <w:rsid w:val="005B5171"/>
    <w:pPr>
      <w:spacing w:after="0" w:line="240" w:lineRule="auto"/>
    </w:pPr>
    <w:rPr>
      <w:rFonts w:ascii="Calibri" w:eastAsia="Times New Roman" w:hAnsi="Calibri"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4Char1">
    <w:name w:val="Heading 4 Char1"/>
    <w:basedOn w:val="DefaultParagraphFont"/>
    <w:uiPriority w:val="9"/>
    <w:semiHidden/>
    <w:rsid w:val="005B5171"/>
    <w:rPr>
      <w:rFonts w:asciiTheme="majorHAnsi" w:eastAsiaTheme="majorEastAsia" w:hAnsiTheme="majorHAnsi" w:cstheme="majorBidi"/>
      <w:i/>
      <w:iCs/>
      <w:color w:val="2F5496" w:themeColor="accent1" w:themeShade="BF"/>
    </w:rPr>
  </w:style>
  <w:style w:type="character" w:customStyle="1" w:styleId="Heading1Char1">
    <w:name w:val="Heading 1 Char1"/>
    <w:basedOn w:val="DefaultParagraphFont"/>
    <w:uiPriority w:val="9"/>
    <w:rsid w:val="005B5171"/>
    <w:rPr>
      <w:rFonts w:asciiTheme="majorHAnsi" w:eastAsiaTheme="majorEastAsia" w:hAnsiTheme="majorHAnsi" w:cstheme="majorBidi"/>
      <w:color w:val="2F5496" w:themeColor="accent1" w:themeShade="BF"/>
      <w:sz w:val="32"/>
      <w:szCs w:val="32"/>
    </w:rPr>
  </w:style>
  <w:style w:type="character" w:customStyle="1" w:styleId="Heading7Char1">
    <w:name w:val="Heading 7 Char1"/>
    <w:basedOn w:val="DefaultParagraphFont"/>
    <w:uiPriority w:val="9"/>
    <w:semiHidden/>
    <w:rsid w:val="005B5171"/>
    <w:rPr>
      <w:rFonts w:asciiTheme="majorHAnsi" w:eastAsiaTheme="majorEastAsia" w:hAnsiTheme="majorHAnsi" w:cstheme="majorBidi"/>
      <w:i/>
      <w:iCs/>
      <w:color w:val="1F3763" w:themeColor="accent1" w:themeShade="7F"/>
    </w:rPr>
  </w:style>
  <w:style w:type="character" w:customStyle="1" w:styleId="Heading9Char1">
    <w:name w:val="Heading 9 Char1"/>
    <w:basedOn w:val="DefaultParagraphFont"/>
    <w:uiPriority w:val="9"/>
    <w:semiHidden/>
    <w:rsid w:val="005B5171"/>
    <w:rPr>
      <w:rFonts w:asciiTheme="majorHAnsi" w:eastAsiaTheme="majorEastAsia" w:hAnsiTheme="majorHAnsi" w:cstheme="majorBidi"/>
      <w:i/>
      <w:iCs/>
      <w:color w:val="272727" w:themeColor="text1" w:themeTint="D8"/>
      <w:sz w:val="21"/>
      <w:szCs w:val="21"/>
    </w:rPr>
  </w:style>
  <w:style w:type="character" w:customStyle="1" w:styleId="Heading8Char1">
    <w:name w:val="Heading 8 Char1"/>
    <w:basedOn w:val="DefaultParagraphFont"/>
    <w:uiPriority w:val="9"/>
    <w:semiHidden/>
    <w:rsid w:val="005B5171"/>
    <w:rPr>
      <w:rFonts w:asciiTheme="majorHAnsi" w:eastAsiaTheme="majorEastAsia" w:hAnsiTheme="majorHAnsi" w:cstheme="majorBidi"/>
      <w:color w:val="272727" w:themeColor="text1" w:themeTint="D8"/>
      <w:sz w:val="21"/>
      <w:szCs w:val="21"/>
    </w:rPr>
  </w:style>
  <w:style w:type="paragraph" w:styleId="BlockText">
    <w:name w:val="Block Text"/>
    <w:basedOn w:val="Normal"/>
    <w:semiHidden/>
    <w:unhideWhenUsed/>
    <w:rsid w:val="005B517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IntenseQuote">
    <w:name w:val="Intense Quote"/>
    <w:basedOn w:val="Normal"/>
    <w:next w:val="Normal"/>
    <w:link w:val="IntenseQuoteChar"/>
    <w:qFormat/>
    <w:rsid w:val="005B5171"/>
    <w:pPr>
      <w:pBdr>
        <w:top w:val="single" w:sz="4" w:space="10" w:color="4472C4" w:themeColor="accent1"/>
        <w:bottom w:val="single" w:sz="4" w:space="10" w:color="4472C4" w:themeColor="accent1"/>
      </w:pBdr>
      <w:spacing w:before="360" w:after="360"/>
      <w:ind w:left="864" w:right="864"/>
      <w:jc w:val="center"/>
    </w:pPr>
    <w:rPr>
      <w:rFonts w:ascii="Arial" w:hAnsi="Arial" w:cs="Times New Roman"/>
      <w:b/>
      <w:bCs/>
      <w:i/>
      <w:iCs/>
      <w:color w:val="E5F7F6"/>
      <w:sz w:val="20"/>
      <w:szCs w:val="20"/>
    </w:rPr>
  </w:style>
  <w:style w:type="character" w:customStyle="1" w:styleId="IntenseQuoteChar1">
    <w:name w:val="Intense Quote Char1"/>
    <w:basedOn w:val="DefaultParagraphFont"/>
    <w:uiPriority w:val="30"/>
    <w:rsid w:val="005B5171"/>
    <w:rPr>
      <w:i/>
      <w:iCs/>
      <w:color w:val="4472C4" w:themeColor="accent1"/>
    </w:rPr>
  </w:style>
  <w:style w:type="table" w:styleId="TableSimple2">
    <w:name w:val="Table Simple 2"/>
    <w:basedOn w:val="TableNormal"/>
    <w:uiPriority w:val="99"/>
    <w:semiHidden/>
    <w:unhideWhenUsed/>
    <w:rsid w:val="005B517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Heading2Char1">
    <w:name w:val="Heading 2 Char1"/>
    <w:basedOn w:val="DefaultParagraphFont"/>
    <w:uiPriority w:val="9"/>
    <w:semiHidden/>
    <w:rsid w:val="005B5171"/>
    <w:rPr>
      <w:rFonts w:asciiTheme="majorHAnsi" w:eastAsiaTheme="majorEastAsia" w:hAnsiTheme="majorHAnsi" w:cstheme="majorBidi"/>
      <w:color w:val="2F5496" w:themeColor="accent1" w:themeShade="BF"/>
      <w:sz w:val="26"/>
      <w:szCs w:val="26"/>
    </w:rPr>
  </w:style>
  <w:style w:type="table" w:styleId="TableGridLight">
    <w:name w:val="Grid Table Light"/>
    <w:basedOn w:val="TableNormal"/>
    <w:uiPriority w:val="40"/>
    <w:rsid w:val="005B517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
    <w:name w:val="Table Grid4"/>
    <w:basedOn w:val="TableNormal"/>
    <w:next w:val="TableGrid"/>
    <w:rsid w:val="005B5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B5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B5171"/>
  </w:style>
  <w:style w:type="numbering" w:customStyle="1" w:styleId="NoList111">
    <w:name w:val="No List111"/>
    <w:next w:val="NoList"/>
    <w:uiPriority w:val="99"/>
    <w:semiHidden/>
    <w:unhideWhenUsed/>
    <w:rsid w:val="005B5171"/>
  </w:style>
  <w:style w:type="table" w:customStyle="1" w:styleId="TableGrid6">
    <w:name w:val="Table Grid6"/>
    <w:basedOn w:val="TableNormal"/>
    <w:next w:val="TableGrid"/>
    <w:rsid w:val="005B5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xTable2">
    <w:name w:val="x Table 2"/>
    <w:basedOn w:val="xTable1"/>
    <w:uiPriority w:val="99"/>
    <w:rsid w:val="005B5171"/>
    <w:pPr>
      <w:spacing w:after="0" w:line="240" w:lineRule="auto"/>
    </w:pPr>
    <w:rPr>
      <w:rFonts w:ascii="Segoe UI" w:hAnsi="Segoe UI"/>
      <w:sz w:val="19"/>
    </w:rPr>
    <w:tblPr>
      <w:tblBorders>
        <w:bottom w:val="none" w:sz="0" w:space="0" w:color="auto"/>
        <w:insideH w:val="single" w:sz="4" w:space="0" w:color="7F7F7F" w:themeColor="text1" w:themeTint="80"/>
      </w:tblBorders>
    </w:tblPr>
    <w:tcPr>
      <w:shd w:val="clear" w:color="auto" w:fill="auto"/>
    </w:tcPr>
    <w:tblStylePr w:type="firstRow">
      <w:pPr>
        <w:wordWrap/>
        <w:spacing w:beforeLines="0" w:before="20" w:beforeAutospacing="0" w:afterLines="0" w:after="20" w:afterAutospacing="0" w:line="240" w:lineRule="atLeast"/>
        <w:jc w:val="left"/>
      </w:pPr>
      <w:rPr>
        <w:rFonts w:ascii="Chiller" w:hAnsi="Chiller"/>
        <w:b w:val="0"/>
        <w:i w:val="0"/>
        <w:color w:val="auto"/>
        <w:sz w:val="19"/>
      </w:rPr>
      <w:tblPr/>
      <w:tcPr>
        <w:tcBorders>
          <w:bottom w:val="single" w:sz="4" w:space="0" w:color="auto"/>
        </w:tcBorders>
        <w:shd w:val="clear" w:color="auto" w:fill="E2EFD9" w:themeFill="accent6" w:themeFillTint="33"/>
        <w:vAlign w:val="bottom"/>
      </w:tcPr>
    </w:tblStylePr>
    <w:tblStylePr w:type="lastRow">
      <w:rPr>
        <w:rFonts w:ascii="Chiller" w:hAnsi="Chiller"/>
        <w:b/>
        <w:sz w:val="19"/>
      </w:rPr>
      <w:tblPr/>
      <w:tcPr>
        <w:tcBorders>
          <w:bottom w:val="single" w:sz="4" w:space="0" w:color="auto"/>
        </w:tcBorders>
      </w:tcPr>
    </w:tblStylePr>
    <w:tblStylePr w:type="firstCol">
      <w:rPr>
        <w:rFonts w:ascii="Chiller" w:hAnsi="Chiller"/>
        <w:sz w:val="19"/>
      </w:rPr>
    </w:tblStylePr>
    <w:tblStylePr w:type="band1Vert">
      <w:rPr>
        <w:rFonts w:ascii="Chiller" w:hAnsi="Chiller"/>
        <w:sz w:val="19"/>
      </w:rPr>
    </w:tblStylePr>
    <w:tblStylePr w:type="band2Vert">
      <w:rPr>
        <w:rFonts w:ascii="Chiller" w:hAnsi="Chiller"/>
        <w:sz w:val="19"/>
      </w:rPr>
      <w:tblPr/>
      <w:tcPr>
        <w:tcBorders>
          <w:left w:val="nil"/>
        </w:tcBorders>
      </w:tcPr>
    </w:tblStylePr>
    <w:tblStylePr w:type="band1Horz">
      <w:rPr>
        <w:rFonts w:ascii="Chiller" w:hAnsi="Chiller"/>
        <w:sz w:val="19"/>
      </w:rPr>
      <w:tblPr/>
      <w:tcPr>
        <w:tcBorders>
          <w:bottom w:val="nil"/>
          <w:insideH w:val="single" w:sz="4" w:space="0" w:color="auto"/>
        </w:tcBorders>
      </w:tcPr>
    </w:tblStylePr>
    <w:tblStylePr w:type="band2Horz">
      <w:rPr>
        <w:rFonts w:ascii="Chiller" w:hAnsi="Chiller"/>
        <w:sz w:val="19"/>
      </w:rPr>
      <w:tblPr/>
      <w:tcPr>
        <w:tcBorders>
          <w:left w:val="nil"/>
          <w:bottom w:val="single" w:sz="4" w:space="0" w:color="000000"/>
          <w:insideH w:val="single" w:sz="4" w:space="0" w:color="auto"/>
        </w:tcBorders>
      </w:tcPr>
    </w:tblStylePr>
    <w:tblStylePr w:type="nwCell">
      <w:pPr>
        <w:jc w:val="left"/>
      </w:pPr>
      <w:tblPr/>
      <w:tcPr>
        <w:vAlign w:val="bottom"/>
      </w:tcPr>
    </w:tblStylePr>
  </w:style>
  <w:style w:type="table" w:customStyle="1" w:styleId="LightList-Accent311">
    <w:name w:val="Light List - Accent 311"/>
    <w:basedOn w:val="TableNormal"/>
    <w:next w:val="LightList-Accent3"/>
    <w:uiPriority w:val="61"/>
    <w:rsid w:val="005B5171"/>
    <w:pPr>
      <w:spacing w:after="0" w:line="240" w:lineRule="auto"/>
    </w:pPr>
    <w:rPr>
      <w:rFonts w:eastAsia="STZhongsong"/>
      <w:lang w:val="en-US" w:eastAsia="ja-JP"/>
    </w:rPr>
    <w:tblPr>
      <w:tblStyleRowBandSize w:val="1"/>
      <w:tblStyleColBandSize w:val="1"/>
      <w:tblBorders>
        <w:top w:val="single" w:sz="8" w:space="0" w:color="B0D8B5"/>
        <w:left w:val="single" w:sz="8" w:space="0" w:color="B0D8B5"/>
        <w:bottom w:val="single" w:sz="8" w:space="0" w:color="B0D8B5"/>
        <w:right w:val="single" w:sz="8" w:space="0" w:color="B0D8B5"/>
      </w:tblBorders>
    </w:tblPr>
    <w:tblStylePr w:type="firstRow">
      <w:pPr>
        <w:spacing w:before="0" w:after="0" w:line="240" w:lineRule="auto"/>
      </w:pPr>
      <w:rPr>
        <w:b/>
        <w:bCs/>
        <w:color w:val="FFFFFF"/>
      </w:rPr>
      <w:tblPr/>
      <w:tcPr>
        <w:shd w:val="clear" w:color="auto" w:fill="B0D8B5"/>
      </w:tcPr>
    </w:tblStylePr>
    <w:tblStylePr w:type="lastRow">
      <w:pPr>
        <w:spacing w:before="0" w:after="0" w:line="240" w:lineRule="auto"/>
      </w:pPr>
      <w:rPr>
        <w:b/>
        <w:bCs/>
      </w:rPr>
      <w:tblPr/>
      <w:tcPr>
        <w:tcBorders>
          <w:top w:val="double" w:sz="6" w:space="0" w:color="B0D8B5"/>
          <w:left w:val="single" w:sz="8" w:space="0" w:color="B0D8B5"/>
          <w:bottom w:val="single" w:sz="8" w:space="0" w:color="B0D8B5"/>
          <w:right w:val="single" w:sz="8" w:space="0" w:color="B0D8B5"/>
        </w:tcBorders>
      </w:tcPr>
    </w:tblStylePr>
    <w:tblStylePr w:type="firstCol">
      <w:rPr>
        <w:b/>
        <w:bCs/>
      </w:rPr>
    </w:tblStylePr>
    <w:tblStylePr w:type="lastCol">
      <w:rPr>
        <w:b/>
        <w:bCs/>
      </w:rPr>
    </w:tblStylePr>
    <w:tblStylePr w:type="band1Vert">
      <w:tblPr/>
      <w:tcPr>
        <w:tcBorders>
          <w:top w:val="single" w:sz="8" w:space="0" w:color="B0D8B5"/>
          <w:left w:val="single" w:sz="8" w:space="0" w:color="B0D8B5"/>
          <w:bottom w:val="single" w:sz="8" w:space="0" w:color="B0D8B5"/>
          <w:right w:val="single" w:sz="8" w:space="0" w:color="B0D8B5"/>
        </w:tcBorders>
      </w:tcPr>
    </w:tblStylePr>
    <w:tblStylePr w:type="band1Horz">
      <w:tblPr/>
      <w:tcPr>
        <w:tcBorders>
          <w:top w:val="single" w:sz="8" w:space="0" w:color="B0D8B5"/>
          <w:left w:val="single" w:sz="8" w:space="0" w:color="B0D8B5"/>
          <w:bottom w:val="single" w:sz="8" w:space="0" w:color="B0D8B5"/>
          <w:right w:val="single" w:sz="8" w:space="0" w:color="B0D8B5"/>
        </w:tcBorders>
      </w:tcPr>
    </w:tblStylePr>
  </w:style>
  <w:style w:type="table" w:customStyle="1" w:styleId="LightShading11">
    <w:name w:val="Light Shading11"/>
    <w:basedOn w:val="TableNormal"/>
    <w:next w:val="LightShading"/>
    <w:uiPriority w:val="60"/>
    <w:rsid w:val="005B5171"/>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next w:val="LightShading-Accent1"/>
    <w:uiPriority w:val="60"/>
    <w:rsid w:val="005B5171"/>
    <w:pPr>
      <w:spacing w:after="0" w:line="240" w:lineRule="auto"/>
    </w:pPr>
    <w:rPr>
      <w:color w:val="1D4F8B"/>
    </w:rPr>
    <w:tblPr>
      <w:tblStyleRowBandSize w:val="1"/>
      <w:tblStyleColBandSize w:val="1"/>
      <w:tblBorders>
        <w:top w:val="single" w:sz="8" w:space="0" w:color="276ABB"/>
        <w:bottom w:val="single" w:sz="8" w:space="0" w:color="276ABB"/>
      </w:tblBorders>
    </w:tblPr>
    <w:tblStylePr w:type="firstRow">
      <w:pPr>
        <w:spacing w:before="0" w:after="0" w:line="240" w:lineRule="auto"/>
      </w:pPr>
      <w:rPr>
        <w:b/>
        <w:bCs/>
      </w:rPr>
      <w:tblPr/>
      <w:tcPr>
        <w:tcBorders>
          <w:top w:val="single" w:sz="8" w:space="0" w:color="276ABB"/>
          <w:left w:val="nil"/>
          <w:bottom w:val="single" w:sz="8" w:space="0" w:color="276ABB"/>
          <w:right w:val="nil"/>
          <w:insideH w:val="nil"/>
          <w:insideV w:val="nil"/>
        </w:tcBorders>
      </w:tcPr>
    </w:tblStylePr>
    <w:tblStylePr w:type="lastRow">
      <w:pPr>
        <w:spacing w:before="0" w:after="0" w:line="240" w:lineRule="auto"/>
      </w:pPr>
      <w:rPr>
        <w:b/>
        <w:bCs/>
      </w:rPr>
      <w:tblPr/>
      <w:tcPr>
        <w:tcBorders>
          <w:top w:val="single" w:sz="8" w:space="0" w:color="276ABB"/>
          <w:left w:val="nil"/>
          <w:bottom w:val="single" w:sz="8" w:space="0" w:color="276AB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D9F3"/>
      </w:tcPr>
    </w:tblStylePr>
    <w:tblStylePr w:type="band1Horz">
      <w:tblPr/>
      <w:tcPr>
        <w:tcBorders>
          <w:left w:val="nil"/>
          <w:right w:val="nil"/>
          <w:insideH w:val="nil"/>
          <w:insideV w:val="nil"/>
        </w:tcBorders>
        <w:shd w:val="clear" w:color="auto" w:fill="C4D9F3"/>
      </w:tcPr>
    </w:tblStylePr>
  </w:style>
  <w:style w:type="table" w:customStyle="1" w:styleId="LightShading-Accent611">
    <w:name w:val="Light Shading - Accent 611"/>
    <w:basedOn w:val="TableNormal"/>
    <w:next w:val="LightShading-Accent6"/>
    <w:uiPriority w:val="60"/>
    <w:rsid w:val="005B5171"/>
    <w:pPr>
      <w:spacing w:after="0" w:line="240" w:lineRule="auto"/>
    </w:pPr>
    <w:rPr>
      <w:color w:val="03AEBC"/>
    </w:rPr>
    <w:tblPr>
      <w:tblStyleRowBandSize w:val="1"/>
      <w:tblStyleColBandSize w:val="1"/>
      <w:tblBorders>
        <w:top w:val="single" w:sz="8" w:space="0" w:color="05E9FB"/>
        <w:bottom w:val="single" w:sz="8" w:space="0" w:color="05E9FB"/>
      </w:tblBorders>
    </w:tblPr>
    <w:tblStylePr w:type="firstRow">
      <w:pPr>
        <w:spacing w:before="0" w:after="0" w:line="240" w:lineRule="auto"/>
      </w:pPr>
      <w:rPr>
        <w:b/>
        <w:bCs/>
      </w:rPr>
      <w:tblPr/>
      <w:tcPr>
        <w:tcBorders>
          <w:top w:val="single" w:sz="8" w:space="0" w:color="05E9FB"/>
          <w:left w:val="nil"/>
          <w:bottom w:val="single" w:sz="8" w:space="0" w:color="05E9FB"/>
          <w:right w:val="nil"/>
          <w:insideH w:val="nil"/>
          <w:insideV w:val="nil"/>
        </w:tcBorders>
      </w:tcPr>
    </w:tblStylePr>
    <w:tblStylePr w:type="lastRow">
      <w:pPr>
        <w:spacing w:before="0" w:after="0" w:line="240" w:lineRule="auto"/>
      </w:pPr>
      <w:rPr>
        <w:b/>
        <w:bCs/>
      </w:rPr>
      <w:tblPr/>
      <w:tcPr>
        <w:tcBorders>
          <w:top w:val="single" w:sz="8" w:space="0" w:color="05E9FB"/>
          <w:left w:val="nil"/>
          <w:bottom w:val="single" w:sz="8" w:space="0" w:color="05E9F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9FE"/>
      </w:tcPr>
    </w:tblStylePr>
    <w:tblStylePr w:type="band1Horz">
      <w:tblPr/>
      <w:tcPr>
        <w:tcBorders>
          <w:left w:val="nil"/>
          <w:right w:val="nil"/>
          <w:insideH w:val="nil"/>
          <w:insideV w:val="nil"/>
        </w:tcBorders>
        <w:shd w:val="clear" w:color="auto" w:fill="C1F9FE"/>
      </w:tcPr>
    </w:tblStylePr>
  </w:style>
  <w:style w:type="table" w:customStyle="1" w:styleId="LightShading-Accent211">
    <w:name w:val="Light Shading - Accent 211"/>
    <w:basedOn w:val="TableGrid"/>
    <w:next w:val="LightShading-Accent2"/>
    <w:uiPriority w:val="60"/>
    <w:rsid w:val="005B5171"/>
    <w:rPr>
      <w:color w:val="0292DF"/>
    </w:rPr>
    <w:tblPr>
      <w:tblStyleRowBandSize w:val="1"/>
      <w:tblStyleColBandSize w:val="1"/>
      <w:tblBorders>
        <w:top w:val="single" w:sz="8" w:space="0" w:color="31B6FD"/>
        <w:left w:val="none" w:sz="0" w:space="0" w:color="auto"/>
        <w:bottom w:val="single" w:sz="8" w:space="0" w:color="31B6FD"/>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31B6FD"/>
          <w:left w:val="nil"/>
          <w:bottom w:val="single" w:sz="8" w:space="0" w:color="31B6FD"/>
          <w:right w:val="nil"/>
          <w:insideH w:val="nil"/>
          <w:insideV w:val="nil"/>
        </w:tcBorders>
      </w:tcPr>
    </w:tblStylePr>
    <w:tblStylePr w:type="lastRow">
      <w:pPr>
        <w:spacing w:before="0" w:after="0" w:line="240" w:lineRule="auto"/>
      </w:pPr>
      <w:rPr>
        <w:b/>
        <w:bCs/>
      </w:rPr>
      <w:tblPr/>
      <w:tcPr>
        <w:tcBorders>
          <w:top w:val="single" w:sz="8" w:space="0" w:color="31B6FD"/>
          <w:left w:val="nil"/>
          <w:bottom w:val="single" w:sz="8" w:space="0" w:color="31B6F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CFE"/>
      </w:tcPr>
    </w:tblStylePr>
    <w:tblStylePr w:type="band1Horz">
      <w:tblPr/>
      <w:tcPr>
        <w:tcBorders>
          <w:left w:val="nil"/>
          <w:right w:val="nil"/>
          <w:insideH w:val="nil"/>
          <w:insideV w:val="nil"/>
        </w:tcBorders>
        <w:shd w:val="clear" w:color="auto" w:fill="CBECFE"/>
      </w:tcPr>
    </w:tblStylePr>
  </w:style>
  <w:style w:type="table" w:customStyle="1" w:styleId="MediumList2-Accent111">
    <w:name w:val="Medium List 2 - Accent 111"/>
    <w:basedOn w:val="TableNormal"/>
    <w:next w:val="MediumList2-Accent1"/>
    <w:uiPriority w:val="66"/>
    <w:rsid w:val="005B5171"/>
    <w:pPr>
      <w:spacing w:after="0" w:line="240" w:lineRule="auto"/>
    </w:pPr>
    <w:rPr>
      <w:rFonts w:ascii="Gill Sans MT" w:eastAsia="STZhongsong" w:hAnsi="Gill Sans MT" w:cs="Majalla UI"/>
      <w:color w:val="000000"/>
      <w:lang w:val="en-US" w:eastAsia="ja-JP"/>
    </w:rPr>
    <w:tblPr>
      <w:tblStyleRowBandSize w:val="1"/>
      <w:tblStyleColBandSize w:val="1"/>
      <w:tblBorders>
        <w:top w:val="single" w:sz="8" w:space="0" w:color="276ABB"/>
        <w:left w:val="single" w:sz="8" w:space="0" w:color="276ABB"/>
        <w:bottom w:val="single" w:sz="8" w:space="0" w:color="276ABB"/>
        <w:right w:val="single" w:sz="8" w:space="0" w:color="276ABB"/>
      </w:tblBorders>
    </w:tblPr>
    <w:tblStylePr w:type="firstRow">
      <w:rPr>
        <w:sz w:val="24"/>
        <w:szCs w:val="24"/>
      </w:rPr>
      <w:tblPr/>
      <w:tcPr>
        <w:tcBorders>
          <w:top w:val="nil"/>
          <w:left w:val="nil"/>
          <w:bottom w:val="single" w:sz="24" w:space="0" w:color="276ABB"/>
          <w:right w:val="nil"/>
          <w:insideH w:val="nil"/>
          <w:insideV w:val="nil"/>
        </w:tcBorders>
        <w:shd w:val="clear" w:color="auto" w:fill="FFFFFF"/>
      </w:tcPr>
    </w:tblStylePr>
    <w:tblStylePr w:type="lastRow">
      <w:tblPr/>
      <w:tcPr>
        <w:tcBorders>
          <w:top w:val="single" w:sz="8" w:space="0" w:color="276ABB"/>
          <w:left w:val="nil"/>
          <w:bottom w:val="nil"/>
          <w:right w:val="nil"/>
          <w:insideH w:val="nil"/>
          <w:insideV w:val="nil"/>
        </w:tcBorders>
        <w:shd w:val="clear" w:color="auto" w:fill="FFFFFF"/>
      </w:tcPr>
    </w:tblStylePr>
    <w:tblStylePr w:type="firstCol">
      <w:tblPr/>
      <w:tcPr>
        <w:tcBorders>
          <w:top w:val="nil"/>
          <w:left w:val="nil"/>
          <w:bottom w:val="nil"/>
          <w:right w:val="single" w:sz="8" w:space="0" w:color="276ABB"/>
          <w:insideH w:val="nil"/>
          <w:insideV w:val="nil"/>
        </w:tcBorders>
        <w:shd w:val="clear" w:color="auto" w:fill="FFFFFF"/>
      </w:tcPr>
    </w:tblStylePr>
    <w:tblStylePr w:type="lastCol">
      <w:tblPr/>
      <w:tcPr>
        <w:tcBorders>
          <w:top w:val="nil"/>
          <w:left w:val="single" w:sz="8" w:space="0" w:color="276AB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4D9F3"/>
      </w:tcPr>
    </w:tblStylePr>
    <w:tblStylePr w:type="band1Horz">
      <w:tblPr/>
      <w:tcPr>
        <w:tcBorders>
          <w:top w:val="nil"/>
          <w:bottom w:val="nil"/>
          <w:insideH w:val="nil"/>
          <w:insideV w:val="nil"/>
        </w:tcBorders>
        <w:shd w:val="clear" w:color="auto" w:fill="C4D9F3"/>
      </w:tcPr>
    </w:tblStylePr>
    <w:tblStylePr w:type="nwCell">
      <w:tblPr/>
      <w:tcPr>
        <w:shd w:val="clear" w:color="auto" w:fill="FFFFFF"/>
      </w:tcPr>
    </w:tblStylePr>
    <w:tblStylePr w:type="swCell">
      <w:tblPr/>
      <w:tcPr>
        <w:tcBorders>
          <w:top w:val="nil"/>
        </w:tcBorders>
      </w:tcPr>
    </w:tblStylePr>
  </w:style>
  <w:style w:type="table" w:customStyle="1" w:styleId="Frame1">
    <w:name w:val="Frame1"/>
    <w:basedOn w:val="TableNormal"/>
    <w:uiPriority w:val="99"/>
    <w:rsid w:val="005B5171"/>
    <w:pPr>
      <w:spacing w:after="0" w:line="240" w:lineRule="auto"/>
    </w:pPr>
    <w:tblPr>
      <w:tblCellMar>
        <w:left w:w="0" w:type="dxa"/>
        <w:right w:w="0" w:type="dxa"/>
      </w:tblCellMar>
    </w:tblPr>
  </w:style>
  <w:style w:type="table" w:customStyle="1" w:styleId="TableGrid31">
    <w:name w:val="Table Grid31"/>
    <w:basedOn w:val="TableNormal"/>
    <w:next w:val="TableGrid"/>
    <w:uiPriority w:val="59"/>
    <w:rsid w:val="005B5171"/>
    <w:pPr>
      <w:spacing w:after="0" w:line="240" w:lineRule="auto"/>
    </w:pPr>
    <w:rPr>
      <w:rFonts w:eastAsia="STZhongsong"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
    <w:name w:val="Light List - Accent 32"/>
    <w:basedOn w:val="TableNormal"/>
    <w:next w:val="LightList-Accent3"/>
    <w:uiPriority w:val="61"/>
    <w:unhideWhenUsed/>
    <w:rsid w:val="005B517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Shading2">
    <w:name w:val="Light Shading2"/>
    <w:basedOn w:val="TableNormal"/>
    <w:next w:val="LightShading"/>
    <w:uiPriority w:val="60"/>
    <w:unhideWhenUsed/>
    <w:rsid w:val="005B517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next w:val="LightShading-Accent1"/>
    <w:uiPriority w:val="60"/>
    <w:unhideWhenUsed/>
    <w:rsid w:val="005B5171"/>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Shading-Accent62">
    <w:name w:val="Light Shading - Accent 62"/>
    <w:basedOn w:val="TableNormal"/>
    <w:next w:val="LightShading-Accent6"/>
    <w:uiPriority w:val="60"/>
    <w:unhideWhenUsed/>
    <w:rsid w:val="005B517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ghtShading-Accent22">
    <w:name w:val="Light Shading - Accent 22"/>
    <w:basedOn w:val="TableNormal"/>
    <w:next w:val="LightShading-Accent2"/>
    <w:uiPriority w:val="60"/>
    <w:unhideWhenUsed/>
    <w:rsid w:val="005B5171"/>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MediumList2-Accent12">
    <w:name w:val="Medium List 2 - Accent 12"/>
    <w:basedOn w:val="TableNormal"/>
    <w:next w:val="MediumList2-Accent1"/>
    <w:uiPriority w:val="66"/>
    <w:unhideWhenUsed/>
    <w:rsid w:val="005B51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yle11">
    <w:name w:val="Style11"/>
    <w:basedOn w:val="TableNormal"/>
    <w:uiPriority w:val="99"/>
    <w:rsid w:val="005B5171"/>
    <w:pPr>
      <w:spacing w:after="0" w:line="240" w:lineRule="auto"/>
    </w:pPr>
    <w:tblPr/>
  </w:style>
  <w:style w:type="table" w:customStyle="1" w:styleId="TableGrid11">
    <w:name w:val="Table Grid11"/>
    <w:basedOn w:val="TableNormal"/>
    <w:next w:val="TableGrid"/>
    <w:rsid w:val="005B5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umns31">
    <w:name w:val="Table Columns 31"/>
    <w:basedOn w:val="TableNormal"/>
    <w:next w:val="TableColumns3"/>
    <w:rsid w:val="005B5171"/>
    <w:pPr>
      <w:spacing w:after="0" w:line="240" w:lineRule="atLeast"/>
    </w:pPr>
    <w:rPr>
      <w:rFonts w:ascii="Times New Roman" w:eastAsia="Times New Roman" w:hAnsi="Times New Roman" w:cs="Times New Roman"/>
      <w:b/>
      <w:bCs/>
      <w:color w:val="363534"/>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AsPlaceholder1">
    <w:name w:val="Table As Placeholder1"/>
    <w:basedOn w:val="TableNormal"/>
    <w:uiPriority w:val="99"/>
    <w:qFormat/>
    <w:rsid w:val="005B5171"/>
    <w:pPr>
      <w:spacing w:after="0" w:line="240" w:lineRule="atLeast"/>
    </w:pPr>
    <w:rPr>
      <w:rFonts w:eastAsia="Times New Roman" w:cs="Arial"/>
      <w:color w:val="363534"/>
      <w:sz w:val="20"/>
      <w:szCs w:val="20"/>
      <w:lang w:eastAsia="en-AU"/>
    </w:rPr>
    <w:tblPr>
      <w:tblCellMar>
        <w:left w:w="0" w:type="dxa"/>
        <w:right w:w="0" w:type="dxa"/>
      </w:tblCellMar>
    </w:tblPr>
  </w:style>
  <w:style w:type="table" w:customStyle="1" w:styleId="PullOutBoxTable1">
    <w:name w:val="Pull Out Box Table1"/>
    <w:basedOn w:val="TableNormal"/>
    <w:uiPriority w:val="99"/>
    <w:rsid w:val="005B5171"/>
    <w:pPr>
      <w:spacing w:after="0" w:line="240" w:lineRule="auto"/>
    </w:pPr>
    <w:rPr>
      <w:rFonts w:eastAsia="Times New Roman" w:cs="Arial"/>
      <w:color w:val="363534"/>
      <w:sz w:val="20"/>
      <w:szCs w:val="20"/>
      <w:lang w:eastAsia="en-AU"/>
    </w:rPr>
    <w:tblPr>
      <w:tblBorders>
        <w:top w:val="single" w:sz="4" w:space="0" w:color="00B2A9"/>
        <w:left w:val="single" w:sz="4" w:space="0" w:color="00B2A9"/>
        <w:bottom w:val="single" w:sz="4" w:space="0" w:color="00B2A9"/>
        <w:right w:val="single" w:sz="4" w:space="0" w:color="00B2A9"/>
      </w:tblBorders>
      <w:tblCellMar>
        <w:top w:w="85" w:type="dxa"/>
        <w:left w:w="0" w:type="dxa"/>
        <w:bottom w:w="85" w:type="dxa"/>
        <w:right w:w="0" w:type="dxa"/>
      </w:tblCellMar>
    </w:tblPr>
    <w:tcPr>
      <w:shd w:val="clear" w:color="auto" w:fill="auto"/>
    </w:tcPr>
  </w:style>
  <w:style w:type="table" w:customStyle="1" w:styleId="TableGrid110">
    <w:name w:val="Table Grid 11"/>
    <w:basedOn w:val="TableNormal"/>
    <w:next w:val="TableGrid10"/>
    <w:rsid w:val="005B5171"/>
    <w:pPr>
      <w:spacing w:after="0" w:line="240" w:lineRule="atLeast"/>
    </w:pPr>
    <w:rPr>
      <w:rFonts w:eastAsia="Times New Roman" w:cs="Arial"/>
      <w:color w:val="363534"/>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5B5171"/>
    <w:pPr>
      <w:spacing w:after="0" w:line="240" w:lineRule="atLeast"/>
    </w:pPr>
    <w:rPr>
      <w:rFonts w:eastAsia="Times New Roman" w:cs="Arial"/>
      <w:color w:val="363534"/>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211">
    <w:name w:val="Table Simple 211"/>
    <w:basedOn w:val="TableNormal"/>
    <w:next w:val="TableSimple2"/>
    <w:rsid w:val="005B5171"/>
    <w:pPr>
      <w:spacing w:after="0" w:line="240" w:lineRule="atLeast"/>
    </w:pPr>
    <w:rPr>
      <w:rFonts w:eastAsia="Times New Roman" w:cs="Arial"/>
      <w:color w:val="363534"/>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ubtle21">
    <w:name w:val="Table Subtle 21"/>
    <w:basedOn w:val="TableNormal"/>
    <w:next w:val="TableSubtle2"/>
    <w:rsid w:val="005B5171"/>
    <w:pPr>
      <w:spacing w:after="0" w:line="240" w:lineRule="atLeast"/>
    </w:pPr>
    <w:rPr>
      <w:rFonts w:eastAsia="Times New Roman" w:cs="Arial"/>
      <w:color w:val="363534"/>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ogoPlaceholder1">
    <w:name w:val="Logo Placeholder1"/>
    <w:basedOn w:val="TableNormal"/>
    <w:uiPriority w:val="99"/>
    <w:rsid w:val="005B5171"/>
    <w:pPr>
      <w:spacing w:after="0" w:line="240" w:lineRule="auto"/>
    </w:pPr>
    <w:rPr>
      <w:rFonts w:eastAsia="Times New Roman" w:cs="Arial"/>
      <w:color w:val="363534"/>
      <w:sz w:val="20"/>
      <w:szCs w:val="20"/>
      <w:lang w:eastAsia="en-AU"/>
    </w:rPr>
    <w:tblPr>
      <w:tblCellSpacing w:w="142" w:type="dxa"/>
      <w:tblCellMar>
        <w:left w:w="0" w:type="dxa"/>
        <w:right w:w="0" w:type="dxa"/>
      </w:tblCellMar>
    </w:tblPr>
    <w:trPr>
      <w:tblCellSpacing w:w="142" w:type="dxa"/>
    </w:trPr>
  </w:style>
  <w:style w:type="table" w:customStyle="1" w:styleId="HighlightTable1">
    <w:name w:val="Highlight Table1"/>
    <w:basedOn w:val="TableNormal"/>
    <w:uiPriority w:val="99"/>
    <w:rsid w:val="005B5171"/>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cPr>
  </w:style>
  <w:style w:type="table" w:customStyle="1" w:styleId="DELWPTableNormal1">
    <w:name w:val="DELWP Table Normal1"/>
    <w:basedOn w:val="TableNormal"/>
    <w:uiPriority w:val="99"/>
    <w:rsid w:val="005B5171"/>
    <w:pPr>
      <w:spacing w:after="0" w:line="240" w:lineRule="auto"/>
    </w:pPr>
    <w:rPr>
      <w:rFonts w:eastAsia="Times New Roman" w:cs="Arial"/>
      <w:color w:val="363534"/>
      <w:sz w:val="20"/>
      <w:szCs w:val="20"/>
      <w:lang w:eastAsia="en-AU"/>
    </w:rPr>
    <w:tblPr/>
  </w:style>
  <w:style w:type="table" w:customStyle="1" w:styleId="TableGrid21">
    <w:name w:val="Table Grid21"/>
    <w:basedOn w:val="TableNormal"/>
    <w:next w:val="TableGrid"/>
    <w:rsid w:val="005B5171"/>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00B2A9"/>
        <w:bottom w:val="single" w:sz="8" w:space="0" w:color="00B2A9"/>
        <w:insideH w:val="single" w:sz="8" w:space="0" w:color="00B2A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Pr/>
      <w:tcPr>
        <w:vAlign w:val="center"/>
      </w:tcPr>
    </w:tblStylePr>
  </w:style>
  <w:style w:type="table" w:customStyle="1" w:styleId="LightList-Accent111">
    <w:name w:val="Light List - Accent 111"/>
    <w:basedOn w:val="TableNormal"/>
    <w:uiPriority w:val="61"/>
    <w:rsid w:val="005B5171"/>
    <w:pPr>
      <w:spacing w:after="0" w:line="240" w:lineRule="auto"/>
    </w:pPr>
    <w:rPr>
      <w:rFonts w:ascii="Calibri" w:eastAsia="Times New Roman" w:hAnsi="Calibri"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Simple22">
    <w:name w:val="Table Simple 22"/>
    <w:basedOn w:val="TableNormal"/>
    <w:next w:val="TableSimple2"/>
    <w:uiPriority w:val="99"/>
    <w:semiHidden/>
    <w:unhideWhenUsed/>
    <w:rsid w:val="005B517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HTMLPreformatted">
    <w:name w:val="HTML Preformatted"/>
    <w:basedOn w:val="Normal"/>
    <w:link w:val="HTMLPreformattedChar"/>
    <w:uiPriority w:val="99"/>
    <w:unhideWhenUsed/>
    <w:rsid w:val="005B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5B5171"/>
    <w:rPr>
      <w:rFonts w:ascii="Courier New" w:eastAsia="Times New Roman" w:hAnsi="Courier New" w:cs="Courier New"/>
      <w:sz w:val="20"/>
      <w:szCs w:val="20"/>
      <w:lang w:eastAsia="en-AU"/>
    </w:rPr>
  </w:style>
  <w:style w:type="paragraph" w:customStyle="1" w:styleId="font6">
    <w:name w:val="font6"/>
    <w:basedOn w:val="Normal"/>
    <w:rsid w:val="005B5171"/>
    <w:pPr>
      <w:spacing w:before="100" w:beforeAutospacing="1" w:after="100" w:afterAutospacing="1" w:line="240" w:lineRule="auto"/>
    </w:pPr>
    <w:rPr>
      <w:rFonts w:ascii="Calibri" w:eastAsia="Times New Roman" w:hAnsi="Calibri" w:cs="Calibri"/>
      <w:b/>
      <w:bCs/>
      <w:color w:val="000000"/>
      <w:sz w:val="20"/>
      <w:szCs w:val="20"/>
      <w:lang w:eastAsia="en-AU"/>
    </w:rPr>
  </w:style>
  <w:style w:type="paragraph" w:customStyle="1" w:styleId="TableParagraph">
    <w:name w:val="Table Paragraph"/>
    <w:basedOn w:val="Normal"/>
    <w:uiPriority w:val="1"/>
    <w:rsid w:val="005B5171"/>
    <w:pPr>
      <w:widowControl w:val="0"/>
      <w:spacing w:after="0" w:line="240" w:lineRule="auto"/>
    </w:pPr>
    <w:rPr>
      <w:lang w:val="en-US"/>
    </w:rPr>
  </w:style>
  <w:style w:type="numbering" w:customStyle="1" w:styleId="NoList3">
    <w:name w:val="No List3"/>
    <w:next w:val="NoList"/>
    <w:uiPriority w:val="99"/>
    <w:semiHidden/>
    <w:unhideWhenUsed/>
    <w:rsid w:val="005B5171"/>
  </w:style>
  <w:style w:type="paragraph" w:customStyle="1" w:styleId="xl88">
    <w:name w:val="xl88"/>
    <w:basedOn w:val="Normal"/>
    <w:rsid w:val="005B5171"/>
    <w:pPr>
      <w:pBdr>
        <w:top w:val="single" w:sz="4" w:space="0" w:color="FFFFFF"/>
        <w:left w:val="single" w:sz="4" w:space="0" w:color="D9D9D9"/>
        <w:bottom w:val="single" w:sz="4" w:space="0" w:color="D9D9D9"/>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89">
    <w:name w:val="xl89"/>
    <w:basedOn w:val="Normal"/>
    <w:rsid w:val="005B5171"/>
    <w:pPr>
      <w:pBdr>
        <w:top w:val="single" w:sz="4" w:space="0" w:color="FFFFFF"/>
        <w:left w:val="single" w:sz="4" w:space="0" w:color="D9D9D9"/>
        <w:bottom w:val="single" w:sz="4" w:space="0" w:color="D9D9D9"/>
      </w:pBdr>
      <w:shd w:val="clear" w:color="DDEBF7" w:fill="DDEBF7"/>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0">
    <w:name w:val="xl90"/>
    <w:basedOn w:val="Normal"/>
    <w:rsid w:val="005B5171"/>
    <w:pPr>
      <w:pBdr>
        <w:top w:val="single" w:sz="4" w:space="0" w:color="FFFFFF"/>
        <w:left w:val="single" w:sz="4" w:space="0" w:color="D9D9D9"/>
        <w:bottom w:val="single" w:sz="4" w:space="0" w:color="D9D9D9"/>
      </w:pBdr>
      <w:shd w:val="clear" w:color="DDEBF7" w:fill="DDEBF7"/>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1">
    <w:name w:val="xl91"/>
    <w:basedOn w:val="Normal"/>
    <w:rsid w:val="005B5171"/>
    <w:pPr>
      <w:pBdr>
        <w:top w:val="single" w:sz="4" w:space="0" w:color="FFFFFF"/>
        <w:left w:val="single" w:sz="4" w:space="0" w:color="D9D9D9"/>
        <w:bottom w:val="single" w:sz="4" w:space="0" w:color="D9D9D9"/>
        <w:right w:val="single" w:sz="4" w:space="0" w:color="FFFFFF"/>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2">
    <w:name w:val="xl92"/>
    <w:basedOn w:val="Normal"/>
    <w:rsid w:val="005B5171"/>
    <w:pPr>
      <w:pBdr>
        <w:top w:val="single" w:sz="4" w:space="0" w:color="FFFFFF"/>
        <w:left w:val="single" w:sz="4" w:space="0" w:color="D9D9D9"/>
        <w:bottom w:val="single" w:sz="4" w:space="0" w:color="D9D9D9"/>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3">
    <w:name w:val="xl93"/>
    <w:basedOn w:val="Normal"/>
    <w:rsid w:val="005B5171"/>
    <w:pPr>
      <w:pBdr>
        <w:top w:val="single" w:sz="4" w:space="0" w:color="FFFFFF"/>
        <w:left w:val="single" w:sz="4" w:space="0" w:color="D9D9D9"/>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4">
    <w:name w:val="xl94"/>
    <w:basedOn w:val="Normal"/>
    <w:rsid w:val="005B5171"/>
    <w:pPr>
      <w:pBdr>
        <w:top w:val="single" w:sz="4" w:space="0" w:color="FFFFFF"/>
        <w:bottom w:val="single" w:sz="4" w:space="0" w:color="D9D9D9"/>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95">
    <w:name w:val="xl95"/>
    <w:basedOn w:val="Normal"/>
    <w:rsid w:val="005B5171"/>
    <w:pPr>
      <w:pBdr>
        <w:top w:val="single" w:sz="4" w:space="0" w:color="FFFFFF"/>
        <w:bottom w:val="single" w:sz="4" w:space="0" w:color="D9D9D9"/>
        <w:right w:val="single" w:sz="4" w:space="0" w:color="FFFFFF"/>
      </w:pBdr>
      <w:shd w:val="clear" w:color="BDD7EE" w:fill="BDD7EE"/>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96">
    <w:name w:val="xl96"/>
    <w:basedOn w:val="Normal"/>
    <w:rsid w:val="005B5171"/>
    <w:pPr>
      <w:pBdr>
        <w:left w:val="single" w:sz="4" w:space="0" w:color="000000"/>
      </w:pBdr>
      <w:shd w:val="clear" w:color="000000" w:fill="D8D8D8"/>
      <w:spacing w:before="100" w:beforeAutospacing="1" w:after="100" w:afterAutospacing="1" w:line="240" w:lineRule="auto"/>
      <w:textAlignment w:val="top"/>
    </w:pPr>
    <w:rPr>
      <w:rFonts w:ascii="Arial" w:eastAsia="Times New Roman" w:hAnsi="Arial" w:cs="Arial"/>
      <w:b/>
      <w:bCs/>
      <w:color w:val="000000"/>
      <w:sz w:val="18"/>
      <w:szCs w:val="18"/>
      <w:lang w:eastAsia="en-AU"/>
    </w:rPr>
  </w:style>
  <w:style w:type="paragraph" w:customStyle="1" w:styleId="xl97">
    <w:name w:val="xl97"/>
    <w:basedOn w:val="Normal"/>
    <w:rsid w:val="005B5171"/>
    <w:pPr>
      <w:pBdr>
        <w:left w:val="single" w:sz="4" w:space="0" w:color="000000"/>
      </w:pBdr>
      <w:shd w:val="clear" w:color="000000" w:fill="D8D8D8"/>
      <w:spacing w:before="100" w:beforeAutospacing="1" w:after="100" w:afterAutospacing="1" w:line="240" w:lineRule="auto"/>
      <w:textAlignment w:val="top"/>
    </w:pPr>
    <w:rPr>
      <w:rFonts w:ascii="Arial" w:eastAsia="Times New Roman" w:hAnsi="Arial" w:cs="Arial"/>
      <w:b/>
      <w:bCs/>
      <w:color w:val="000000"/>
      <w:sz w:val="18"/>
      <w:szCs w:val="18"/>
      <w:lang w:eastAsia="en-AU"/>
    </w:rPr>
  </w:style>
  <w:style w:type="paragraph" w:customStyle="1" w:styleId="xl98">
    <w:name w:val="xl98"/>
    <w:basedOn w:val="Normal"/>
    <w:rsid w:val="005B51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99">
    <w:name w:val="xl99"/>
    <w:basedOn w:val="Normal"/>
    <w:rsid w:val="005B51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0">
    <w:name w:val="xl100"/>
    <w:basedOn w:val="Normal"/>
    <w:rsid w:val="005B51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1">
    <w:name w:val="xl101"/>
    <w:basedOn w:val="Normal"/>
    <w:rsid w:val="005B51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2">
    <w:name w:val="xl102"/>
    <w:basedOn w:val="Normal"/>
    <w:rsid w:val="005B51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3">
    <w:name w:val="xl103"/>
    <w:basedOn w:val="Normal"/>
    <w:rsid w:val="005B51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4">
    <w:name w:val="xl104"/>
    <w:basedOn w:val="Normal"/>
    <w:rsid w:val="005B51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5">
    <w:name w:val="xl105"/>
    <w:basedOn w:val="Normal"/>
    <w:rsid w:val="005B51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6">
    <w:name w:val="xl106"/>
    <w:basedOn w:val="Normal"/>
    <w:rsid w:val="005B51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7">
    <w:name w:val="xl107"/>
    <w:basedOn w:val="Normal"/>
    <w:rsid w:val="005B51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8">
    <w:name w:val="xl108"/>
    <w:basedOn w:val="Normal"/>
    <w:rsid w:val="005B51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09">
    <w:name w:val="xl109"/>
    <w:basedOn w:val="Normal"/>
    <w:rsid w:val="005B51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0">
    <w:name w:val="xl110"/>
    <w:basedOn w:val="Normal"/>
    <w:rsid w:val="005B51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1">
    <w:name w:val="xl111"/>
    <w:basedOn w:val="Normal"/>
    <w:rsid w:val="005B51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2">
    <w:name w:val="xl112"/>
    <w:basedOn w:val="Normal"/>
    <w:rsid w:val="005B51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13">
    <w:name w:val="xl113"/>
    <w:basedOn w:val="Normal"/>
    <w:rsid w:val="005B5171"/>
    <w:pPr>
      <w:pBdr>
        <w:top w:val="single" w:sz="4" w:space="0" w:color="FFFFFF"/>
        <w:bottom w:val="single" w:sz="4" w:space="0" w:color="D9D9D9"/>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14">
    <w:name w:val="xl114"/>
    <w:basedOn w:val="Normal"/>
    <w:rsid w:val="005B517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15">
    <w:name w:val="xl115"/>
    <w:basedOn w:val="Normal"/>
    <w:rsid w:val="005B5171"/>
    <w:pPr>
      <w:pBdr>
        <w:top w:val="single" w:sz="4" w:space="0" w:color="FFFFFF"/>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16">
    <w:name w:val="xl116"/>
    <w:basedOn w:val="Normal"/>
    <w:rsid w:val="005B51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7">
    <w:name w:val="xl117"/>
    <w:basedOn w:val="Normal"/>
    <w:rsid w:val="005B517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8">
    <w:name w:val="xl118"/>
    <w:basedOn w:val="Normal"/>
    <w:rsid w:val="005B51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9">
    <w:name w:val="xl119"/>
    <w:basedOn w:val="Normal"/>
    <w:rsid w:val="005B51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0">
    <w:name w:val="xl120"/>
    <w:basedOn w:val="Normal"/>
    <w:rsid w:val="005B51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1">
    <w:name w:val="xl121"/>
    <w:basedOn w:val="Normal"/>
    <w:rsid w:val="005B51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2">
    <w:name w:val="xl122"/>
    <w:basedOn w:val="Normal"/>
    <w:rsid w:val="005B5171"/>
    <w:pPr>
      <w:pBdr>
        <w:top w:val="single" w:sz="4" w:space="0" w:color="FFFFFF"/>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3">
    <w:name w:val="xl123"/>
    <w:basedOn w:val="Normal"/>
    <w:rsid w:val="005B5171"/>
    <w:pPr>
      <w:pBdr>
        <w:top w:val="single" w:sz="4" w:space="0" w:color="auto"/>
        <w:left w:val="single" w:sz="4" w:space="0" w:color="auto"/>
        <w:bottom w:val="single" w:sz="4" w:space="0" w:color="auto"/>
        <w:right w:val="single" w:sz="4" w:space="0" w:color="auto"/>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4">
    <w:name w:val="xl124"/>
    <w:basedOn w:val="Normal"/>
    <w:rsid w:val="005B5171"/>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5">
    <w:name w:val="xl125"/>
    <w:basedOn w:val="Normal"/>
    <w:rsid w:val="005B5171"/>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6">
    <w:name w:val="xl126"/>
    <w:basedOn w:val="Normal"/>
    <w:rsid w:val="005B5171"/>
    <w:pPr>
      <w:pBdr>
        <w:top w:val="single" w:sz="4" w:space="0" w:color="auto"/>
        <w:left w:val="single" w:sz="4" w:space="0" w:color="auto"/>
        <w:bottom w:val="single" w:sz="4" w:space="0" w:color="auto"/>
        <w:right w:val="single" w:sz="4" w:space="0" w:color="auto"/>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7">
    <w:name w:val="xl127"/>
    <w:basedOn w:val="Normal"/>
    <w:rsid w:val="005B5171"/>
    <w:pPr>
      <w:pBdr>
        <w:top w:val="single" w:sz="4" w:space="0" w:color="auto"/>
        <w:left w:val="single" w:sz="4" w:space="0" w:color="auto"/>
        <w:bottom w:val="single" w:sz="4" w:space="0" w:color="auto"/>
        <w:right w:val="single" w:sz="4" w:space="0" w:color="auto"/>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8">
    <w:name w:val="xl128"/>
    <w:basedOn w:val="Normal"/>
    <w:rsid w:val="005B517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9">
    <w:name w:val="xl129"/>
    <w:basedOn w:val="Normal"/>
    <w:rsid w:val="005B5171"/>
    <w:pPr>
      <w:pBdr>
        <w:top w:val="single" w:sz="4" w:space="0" w:color="FFFFFF"/>
        <w:left w:val="single" w:sz="4" w:space="0" w:color="D9D9D9"/>
        <w:bottom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0">
    <w:name w:val="xl130"/>
    <w:basedOn w:val="Normal"/>
    <w:rsid w:val="005B5171"/>
    <w:pPr>
      <w:pBdr>
        <w:top w:val="single" w:sz="4" w:space="0" w:color="FFFFFF"/>
        <w:left w:val="single" w:sz="4" w:space="0" w:color="D9D9D9"/>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1">
    <w:name w:val="xl131"/>
    <w:basedOn w:val="Normal"/>
    <w:rsid w:val="005B517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2">
    <w:name w:val="xl132"/>
    <w:basedOn w:val="Normal"/>
    <w:rsid w:val="005B5171"/>
    <w:pPr>
      <w:pBdr>
        <w:top w:val="single" w:sz="4" w:space="0" w:color="FFFFFF"/>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3">
    <w:name w:val="xl133"/>
    <w:basedOn w:val="Normal"/>
    <w:rsid w:val="005B5171"/>
    <w:pPr>
      <w:pBdr>
        <w:top w:val="single" w:sz="4" w:space="0" w:color="FFFFFF"/>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4">
    <w:name w:val="xl134"/>
    <w:basedOn w:val="Normal"/>
    <w:rsid w:val="005B51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numbering" w:customStyle="1" w:styleId="Appendix1">
    <w:name w:val="Appendix1"/>
    <w:uiPriority w:val="99"/>
    <w:rsid w:val="005B5171"/>
    <w:pPr>
      <w:numPr>
        <w:numId w:val="31"/>
      </w:numPr>
    </w:pPr>
  </w:style>
  <w:style w:type="table" w:styleId="GridTable1Light">
    <w:name w:val="Grid Table 1 Light"/>
    <w:basedOn w:val="TableNormal"/>
    <w:uiPriority w:val="46"/>
    <w:rsid w:val="005B517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ont7">
    <w:name w:val="font7"/>
    <w:basedOn w:val="Normal"/>
    <w:rsid w:val="005B5171"/>
    <w:pPr>
      <w:spacing w:before="100" w:beforeAutospacing="1" w:after="100" w:afterAutospacing="1" w:line="240" w:lineRule="auto"/>
    </w:pPr>
    <w:rPr>
      <w:rFonts w:ascii="Tahoma" w:eastAsia="Times New Roman" w:hAnsi="Tahoma" w:cs="Tahoma"/>
      <w:color w:val="000000"/>
      <w:sz w:val="18"/>
      <w:szCs w:val="18"/>
      <w:lang w:eastAsia="en-AU"/>
    </w:rPr>
  </w:style>
  <w:style w:type="paragraph" w:customStyle="1" w:styleId="font8">
    <w:name w:val="font8"/>
    <w:basedOn w:val="Normal"/>
    <w:rsid w:val="005B5171"/>
    <w:pPr>
      <w:spacing w:before="100" w:beforeAutospacing="1" w:after="100" w:afterAutospacing="1" w:line="240" w:lineRule="auto"/>
    </w:pPr>
    <w:rPr>
      <w:rFonts w:ascii="Tahoma" w:eastAsia="Times New Roman" w:hAnsi="Tahoma" w:cs="Tahoma"/>
      <w:b/>
      <w:bCs/>
      <w:color w:val="000000"/>
      <w:sz w:val="18"/>
      <w:szCs w:val="18"/>
      <w:lang w:eastAsia="en-AU"/>
    </w:rPr>
  </w:style>
  <w:style w:type="paragraph" w:customStyle="1" w:styleId="DSEBody">
    <w:name w:val="DSE_Body"/>
    <w:rsid w:val="005B5171"/>
    <w:pPr>
      <w:spacing w:after="113" w:line="240" w:lineRule="atLeast"/>
      <w:jc w:val="both"/>
    </w:pPr>
    <w:rPr>
      <w:rFonts w:ascii="Arial" w:eastAsia="Times New Roman" w:hAnsi="Arial" w:cs="Arial"/>
      <w:sz w:val="18"/>
      <w:szCs w:val="24"/>
    </w:rPr>
  </w:style>
  <w:style w:type="character" w:customStyle="1" w:styleId="UnresolvedMention2">
    <w:name w:val="Unresolved Mention2"/>
    <w:basedOn w:val="DefaultParagraphFont"/>
    <w:uiPriority w:val="99"/>
    <w:semiHidden/>
    <w:unhideWhenUsed/>
    <w:rsid w:val="005B5171"/>
    <w:rPr>
      <w:color w:val="605E5C"/>
      <w:shd w:val="clear" w:color="auto" w:fill="E1DFDD"/>
    </w:rPr>
  </w:style>
  <w:style w:type="character" w:styleId="UnresolvedMention">
    <w:name w:val="Unresolved Mention"/>
    <w:basedOn w:val="DefaultParagraphFont"/>
    <w:uiPriority w:val="99"/>
    <w:semiHidden/>
    <w:unhideWhenUsed/>
    <w:rsid w:val="005B5171"/>
    <w:rPr>
      <w:color w:val="605E5C"/>
      <w:shd w:val="clear" w:color="auto" w:fill="E1DFDD"/>
    </w:rPr>
  </w:style>
  <w:style w:type="character" w:customStyle="1" w:styleId="attention2">
    <w:name w:val="attention2"/>
    <w:basedOn w:val="DefaultParagraphFont"/>
    <w:rsid w:val="005B5171"/>
    <w:rPr>
      <w:color w:val="C0504D"/>
    </w:rPr>
  </w:style>
  <w:style w:type="character" w:customStyle="1" w:styleId="UnresolvedMention3">
    <w:name w:val="Unresolved Mention3"/>
    <w:basedOn w:val="DefaultParagraphFont"/>
    <w:uiPriority w:val="99"/>
    <w:semiHidden/>
    <w:unhideWhenUsed/>
    <w:rsid w:val="005B5171"/>
    <w:rPr>
      <w:color w:val="605E5C"/>
      <w:shd w:val="clear" w:color="auto" w:fill="E1DFDD"/>
    </w:rPr>
  </w:style>
  <w:style w:type="paragraph" w:customStyle="1" w:styleId="xReferencelist">
    <w:name w:val="xReference list"/>
    <w:basedOn w:val="Normal"/>
    <w:qFormat/>
    <w:rsid w:val="005B5171"/>
    <w:pPr>
      <w:spacing w:after="80"/>
      <w:ind w:left="720" w:hanging="720"/>
    </w:pPr>
    <w:rPr>
      <w:rFonts w:ascii="Segoe UI" w:hAnsi="Segoe UI"/>
    </w:rPr>
  </w:style>
  <w:style w:type="paragraph" w:customStyle="1" w:styleId="xFootnotes">
    <w:name w:val="xFootnotes"/>
    <w:basedOn w:val="FootnoteText"/>
    <w:qFormat/>
    <w:rsid w:val="005B5171"/>
    <w:pPr>
      <w:ind w:left="340" w:hanging="340"/>
    </w:pPr>
    <w:rPr>
      <w:szCs w:val="18"/>
    </w:rPr>
  </w:style>
  <w:style w:type="paragraph" w:customStyle="1" w:styleId="xBodytext">
    <w:name w:val="xBody text"/>
    <w:qFormat/>
    <w:rsid w:val="005B5171"/>
    <w:pPr>
      <w:jc w:val="both"/>
    </w:pPr>
    <w:rPr>
      <w:rFonts w:ascii="Segoe UI" w:hAnsi="Segoe UI" w:cs="Segoe UI"/>
    </w:rPr>
  </w:style>
  <w:style w:type="paragraph" w:customStyle="1" w:styleId="xNumberedlista">
    <w:name w:val="xNumbered list (a)"/>
    <w:basedOn w:val="ListParagraph"/>
    <w:qFormat/>
    <w:rsid w:val="005B5171"/>
    <w:pPr>
      <w:numPr>
        <w:numId w:val="25"/>
      </w:numPr>
      <w:spacing w:before="0" w:after="160" w:line="259" w:lineRule="auto"/>
      <w:jc w:val="both"/>
    </w:pPr>
  </w:style>
  <w:style w:type="paragraph" w:customStyle="1" w:styleId="xBulletedlist">
    <w:name w:val="xBulleted list"/>
    <w:basedOn w:val="ListParagraph"/>
    <w:qFormat/>
    <w:rsid w:val="005B5171"/>
    <w:pPr>
      <w:numPr>
        <w:numId w:val="26"/>
      </w:numPr>
      <w:spacing w:before="0" w:after="160" w:line="259" w:lineRule="auto"/>
    </w:pPr>
  </w:style>
  <w:style w:type="paragraph" w:customStyle="1" w:styleId="xBulletedlistLevel2">
    <w:name w:val="xBulleted list Level 2"/>
    <w:basedOn w:val="ListParagraph"/>
    <w:qFormat/>
    <w:rsid w:val="005B5171"/>
    <w:pPr>
      <w:spacing w:before="0" w:after="160" w:line="259" w:lineRule="auto"/>
      <w:ind w:left="1440" w:hanging="360"/>
    </w:pPr>
  </w:style>
  <w:style w:type="paragraph" w:customStyle="1" w:styleId="xTabletextLeft">
    <w:name w:val="xTable text Left"/>
    <w:basedOn w:val="Normal"/>
    <w:qFormat/>
    <w:rsid w:val="005B5171"/>
    <w:pPr>
      <w:spacing w:before="20" w:after="0" w:line="240" w:lineRule="auto"/>
    </w:pPr>
    <w:rPr>
      <w:rFonts w:ascii="Segoe UI" w:eastAsia="Calibri" w:hAnsi="Segoe UI" w:cs="Calibri"/>
      <w:sz w:val="19"/>
      <w:szCs w:val="19"/>
      <w:lang w:eastAsia="en-AU"/>
    </w:rPr>
  </w:style>
  <w:style w:type="paragraph" w:customStyle="1" w:styleId="xTabletextRight">
    <w:name w:val="xTable text Right"/>
    <w:basedOn w:val="Normal"/>
    <w:qFormat/>
    <w:rsid w:val="005B5171"/>
    <w:pPr>
      <w:spacing w:before="20" w:after="0" w:line="240" w:lineRule="auto"/>
      <w:jc w:val="right"/>
    </w:pPr>
    <w:rPr>
      <w:rFonts w:ascii="Segoe UI" w:eastAsia="Calibri" w:hAnsi="Segoe UI" w:cs="Calibri"/>
      <w:color w:val="000000"/>
      <w:sz w:val="19"/>
      <w:szCs w:val="19"/>
      <w:lang w:eastAsia="en-AU"/>
    </w:rPr>
  </w:style>
  <w:style w:type="paragraph" w:customStyle="1" w:styleId="xTableheadingleft">
    <w:name w:val="xTable heading left"/>
    <w:rsid w:val="005B5171"/>
    <w:pPr>
      <w:spacing w:after="0"/>
    </w:pPr>
    <w:rPr>
      <w:rFonts w:ascii="Segoe UI" w:hAnsi="Segoe UI" w:cs="Segoe UI"/>
      <w:b/>
      <w:bCs/>
      <w:sz w:val="19"/>
      <w:szCs w:val="19"/>
      <w:lang w:eastAsia="en-AU"/>
    </w:rPr>
  </w:style>
  <w:style w:type="paragraph" w:customStyle="1" w:styleId="xTableorfiguresource">
    <w:name w:val="xTable or figure source"/>
    <w:qFormat/>
    <w:rsid w:val="005B5171"/>
    <w:pPr>
      <w:spacing w:before="80"/>
    </w:pPr>
    <w:rPr>
      <w:rFonts w:ascii="Segoe UI" w:eastAsia="STZhongsong" w:hAnsi="Segoe UI" w:cs="Segoe UI"/>
      <w:bCs/>
      <w:sz w:val="18"/>
      <w:szCs w:val="18"/>
      <w:lang w:eastAsia="ko-KR"/>
    </w:rPr>
  </w:style>
  <w:style w:type="paragraph" w:customStyle="1" w:styleId="xBodytextindented">
    <w:name w:val="xBody text indented"/>
    <w:basedOn w:val="ListParagraph"/>
    <w:rsid w:val="005B5171"/>
    <w:pPr>
      <w:contextualSpacing w:val="0"/>
      <w:jc w:val="both"/>
    </w:pPr>
  </w:style>
  <w:style w:type="paragraph" w:customStyle="1" w:styleId="xQuote">
    <w:name w:val="xQuote"/>
    <w:basedOn w:val="Normal"/>
    <w:qFormat/>
    <w:rsid w:val="005B5171"/>
    <w:pPr>
      <w:spacing w:line="250" w:lineRule="auto"/>
      <w:ind w:left="794" w:right="794"/>
      <w:jc w:val="both"/>
    </w:pPr>
    <w:rPr>
      <w:rFonts w:ascii="Segoe UI" w:hAnsi="Segoe UI" w:cs="Segoe UI"/>
      <w:iCs/>
      <w:sz w:val="20"/>
      <w:szCs w:val="14"/>
    </w:rPr>
  </w:style>
  <w:style w:type="paragraph" w:customStyle="1" w:styleId="xNumberedlist1">
    <w:name w:val="xNumbered list (1)"/>
    <w:basedOn w:val="ListParagraph"/>
    <w:qFormat/>
    <w:rsid w:val="005B5171"/>
    <w:pPr>
      <w:tabs>
        <w:tab w:val="num" w:pos="360"/>
      </w:tabs>
      <w:spacing w:line="259" w:lineRule="auto"/>
      <w:ind w:hanging="360"/>
    </w:pPr>
  </w:style>
  <w:style w:type="paragraph" w:customStyle="1" w:styleId="xQuoteindent">
    <w:name w:val="xQuote indent"/>
    <w:basedOn w:val="xQuote"/>
    <w:rsid w:val="005B5171"/>
    <w:pPr>
      <w:ind w:left="1440"/>
    </w:pPr>
  </w:style>
  <w:style w:type="paragraph" w:customStyle="1" w:styleId="xNumberedlisti">
    <w:name w:val="xNumbered list (i)"/>
    <w:basedOn w:val="Normal"/>
    <w:rsid w:val="005B5171"/>
    <w:pPr>
      <w:ind w:left="714" w:hanging="357"/>
      <w:contextualSpacing/>
    </w:pPr>
    <w:rPr>
      <w:rFonts w:ascii="Segoe UI" w:eastAsia="Gill Sans MT" w:hAnsi="Segoe UI" w:cs="Majalla UI"/>
    </w:rPr>
  </w:style>
  <w:style w:type="paragraph" w:customStyle="1" w:styleId="xTableorfigurenote">
    <w:name w:val="xTable or figure note"/>
    <w:basedOn w:val="xTableorfiguresource"/>
    <w:rsid w:val="005B5171"/>
    <w:pPr>
      <w:tabs>
        <w:tab w:val="left" w:pos="426"/>
      </w:tabs>
      <w:contextualSpacing/>
    </w:pPr>
  </w:style>
  <w:style w:type="paragraph" w:customStyle="1" w:styleId="definition">
    <w:name w:val="definition"/>
    <w:basedOn w:val="Normal"/>
    <w:rsid w:val="005B51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nta">
    <w:name w:val="indenta"/>
    <w:basedOn w:val="Normal"/>
    <w:rsid w:val="005B51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ntii">
    <w:name w:val="indentii"/>
    <w:basedOn w:val="Normal"/>
    <w:rsid w:val="005B51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5">
    <w:name w:val="toc 5"/>
    <w:basedOn w:val="Normal"/>
    <w:next w:val="Normal"/>
    <w:autoRedefine/>
    <w:uiPriority w:val="39"/>
    <w:unhideWhenUsed/>
    <w:rsid w:val="005B5171"/>
    <w:pPr>
      <w:spacing w:after="100"/>
      <w:ind w:left="880"/>
    </w:pPr>
    <w:rPr>
      <w:rFonts w:ascii="Segoe UI" w:hAnsi="Segoe UI" w:cs="Segoe UI"/>
    </w:rPr>
  </w:style>
  <w:style w:type="paragraph" w:styleId="TOC8">
    <w:name w:val="toc 8"/>
    <w:basedOn w:val="Normal"/>
    <w:next w:val="Normal"/>
    <w:autoRedefine/>
    <w:uiPriority w:val="39"/>
    <w:unhideWhenUsed/>
    <w:rsid w:val="005B5171"/>
    <w:pPr>
      <w:spacing w:after="100"/>
      <w:ind w:left="1540"/>
    </w:pPr>
    <w:rPr>
      <w:rFonts w:eastAsiaTheme="minorEastAsia"/>
      <w:lang w:eastAsia="en-AU"/>
    </w:rPr>
  </w:style>
  <w:style w:type="paragraph" w:styleId="TOC9">
    <w:name w:val="toc 9"/>
    <w:basedOn w:val="Normal"/>
    <w:next w:val="Normal"/>
    <w:autoRedefine/>
    <w:uiPriority w:val="39"/>
    <w:unhideWhenUsed/>
    <w:rsid w:val="005B5171"/>
    <w:pPr>
      <w:spacing w:after="100"/>
      <w:ind w:left="1760"/>
    </w:pPr>
    <w:rPr>
      <w:rFonts w:eastAsiaTheme="minorEastAsia"/>
      <w:lang w:eastAsia="en-AU"/>
    </w:rPr>
  </w:style>
  <w:style w:type="paragraph" w:customStyle="1" w:styleId="xQuotebullet">
    <w:name w:val="xQuote bullet"/>
    <w:basedOn w:val="xQuoteindent"/>
    <w:rsid w:val="005B5171"/>
    <w:pPr>
      <w:numPr>
        <w:numId w:val="13"/>
      </w:numPr>
    </w:pPr>
  </w:style>
  <w:style w:type="paragraph" w:customStyle="1" w:styleId="xTableheadingcentre">
    <w:name w:val="xTable heading centre"/>
    <w:rsid w:val="005B5171"/>
    <w:pPr>
      <w:spacing w:after="0"/>
      <w:jc w:val="center"/>
    </w:pPr>
    <w:rPr>
      <w:rFonts w:ascii="Segoe UI" w:hAnsi="Segoe UI" w:cs="Segoe UI"/>
      <w:b/>
      <w:bCs/>
      <w:sz w:val="19"/>
      <w:szCs w:val="19"/>
    </w:rPr>
  </w:style>
  <w:style w:type="paragraph" w:customStyle="1" w:styleId="xTabletextCentre">
    <w:name w:val="xTable text Centre"/>
    <w:basedOn w:val="xTabletextLeft"/>
    <w:rsid w:val="005B5171"/>
    <w:pPr>
      <w:spacing w:before="0"/>
      <w:jc w:val="center"/>
    </w:pPr>
  </w:style>
  <w:style w:type="paragraph" w:customStyle="1" w:styleId="xTabletextLeft2">
    <w:name w:val="xTable text Left 2"/>
    <w:basedOn w:val="xTabletextLeft"/>
    <w:rsid w:val="005B5171"/>
    <w:pPr>
      <w:ind w:left="284"/>
    </w:pPr>
  </w:style>
  <w:style w:type="paragraph" w:customStyle="1" w:styleId="xTablebullets">
    <w:name w:val="xTable bullets"/>
    <w:basedOn w:val="xTabletextLeft"/>
    <w:rsid w:val="005B5171"/>
    <w:pPr>
      <w:ind w:left="2148" w:hanging="360"/>
    </w:pPr>
  </w:style>
  <w:style w:type="paragraph" w:customStyle="1" w:styleId="xTabletexthanging">
    <w:name w:val="xTable text hanging"/>
    <w:basedOn w:val="xTabletextLeft"/>
    <w:rsid w:val="005B5171"/>
    <w:pPr>
      <w:spacing w:before="0" w:after="80"/>
      <w:ind w:left="318" w:hanging="318"/>
    </w:pPr>
  </w:style>
  <w:style w:type="character" w:customStyle="1" w:styleId="xsuperscript">
    <w:name w:val="xsuperscript"/>
    <w:basedOn w:val="Bold"/>
    <w:uiPriority w:val="1"/>
    <w:rsid w:val="005B5171"/>
    <w:rPr>
      <w:b w:val="0"/>
      <w:vertAlign w:val="superscript"/>
    </w:rPr>
  </w:style>
  <w:style w:type="paragraph" w:customStyle="1" w:styleId="xTablebulletsindent">
    <w:name w:val="xTable bullets indent"/>
    <w:basedOn w:val="xTablebullets"/>
    <w:rsid w:val="005B5171"/>
    <w:pPr>
      <w:ind w:left="697"/>
    </w:pPr>
  </w:style>
  <w:style w:type="character" w:customStyle="1" w:styleId="notbold">
    <w:name w:val="not bold"/>
    <w:basedOn w:val="Bold"/>
    <w:uiPriority w:val="1"/>
    <w:rsid w:val="005B5171"/>
    <w:rPr>
      <w:b w:val="0"/>
      <w:color w:val="000000"/>
    </w:rPr>
  </w:style>
  <w:style w:type="paragraph" w:customStyle="1" w:styleId="xTablebullets2">
    <w:name w:val="xTable bullets 2"/>
    <w:basedOn w:val="xTablebullets"/>
    <w:rsid w:val="005B5171"/>
    <w:pPr>
      <w:ind w:left="616" w:hanging="284"/>
    </w:pPr>
  </w:style>
  <w:style w:type="paragraph" w:customStyle="1" w:styleId="xTabletextindent">
    <w:name w:val="xTable text indent"/>
    <w:basedOn w:val="xTabletextLeft"/>
    <w:rsid w:val="005B5171"/>
  </w:style>
  <w:style w:type="numbering" w:customStyle="1" w:styleId="NoList4">
    <w:name w:val="No List4"/>
    <w:next w:val="NoList"/>
    <w:uiPriority w:val="99"/>
    <w:semiHidden/>
    <w:unhideWhenUsed/>
    <w:rsid w:val="005B5171"/>
  </w:style>
  <w:style w:type="paragraph" w:styleId="Bibliography">
    <w:name w:val="Bibliography"/>
    <w:basedOn w:val="Normal"/>
    <w:next w:val="Normal"/>
    <w:uiPriority w:val="37"/>
    <w:unhideWhenUsed/>
    <w:rsid w:val="005B5171"/>
    <w:rPr>
      <w:rFonts w:ascii="Segoe UI" w:hAnsi="Segoe UI" w:cs="Segoe UI"/>
    </w:rPr>
  </w:style>
  <w:style w:type="paragraph" w:customStyle="1" w:styleId="xAcronymslist">
    <w:name w:val="xAcronyms list"/>
    <w:rsid w:val="005B5171"/>
    <w:pPr>
      <w:spacing w:after="0"/>
    </w:pPr>
    <w:rPr>
      <w:rFonts w:ascii="Segoe UI" w:hAnsi="Segoe UI" w:cs="Segoe UI"/>
      <w:color w:val="000000"/>
      <w:szCs w:val="19"/>
      <w:lang w:eastAsia="en-AU"/>
    </w:rPr>
  </w:style>
  <w:style w:type="character" w:customStyle="1" w:styleId="xTablenotesuperscript">
    <w:name w:val="xTable note (superscript)"/>
    <w:basedOn w:val="DefaultParagraphFont"/>
    <w:uiPriority w:val="1"/>
    <w:qFormat/>
    <w:rsid w:val="005B5171"/>
    <w:rPr>
      <w:position w:val="8"/>
    </w:rPr>
  </w:style>
  <w:style w:type="table" w:customStyle="1" w:styleId="dpitablestyle">
    <w:name w:val="dpi table style"/>
    <w:basedOn w:val="TableGrid"/>
    <w:uiPriority w:val="99"/>
    <w:rsid w:val="005B5171"/>
    <w:pPr>
      <w:spacing w:before="20" w:after="20" w:line="240" w:lineRule="atLeast"/>
    </w:pPr>
    <w:rPr>
      <w:rFonts w:ascii="Segoe UI Semibold" w:hAnsi="Segoe UI Semibold"/>
      <w:color w:val="000000"/>
      <w:sz w:val="20"/>
    </w:rPr>
    <w:tblPr>
      <w:tblStyleRowBandSize w:val="1"/>
      <w:tblStyleColBandSize w:val="1"/>
      <w:tblBorders>
        <w:top w:val="none" w:sz="0" w:space="0" w:color="auto"/>
        <w:left w:val="none" w:sz="0" w:space="0" w:color="auto"/>
        <w:bottom w:val="single" w:sz="4" w:space="0" w:color="000000"/>
        <w:right w:val="none" w:sz="0" w:space="0" w:color="auto"/>
        <w:insideH w:val="single" w:sz="4" w:space="0" w:color="000000"/>
        <w:insideV w:val="none" w:sz="0" w:space="0" w:color="auto"/>
      </w:tblBorders>
      <w:tblCellMar>
        <w:top w:w="85" w:type="dxa"/>
        <w:bottom w:w="85" w:type="dxa"/>
      </w:tblCellMar>
    </w:tblPr>
    <w:tcPr>
      <w:noWrap/>
      <w:tcMar>
        <w:top w:w="57" w:type="dxa"/>
        <w:bottom w:w="57" w:type="dxa"/>
      </w:tcMar>
    </w:tcPr>
    <w:tblStylePr w:type="firstRow">
      <w:pPr>
        <w:wordWrap/>
        <w:spacing w:beforeLines="0" w:before="20" w:beforeAutospacing="0" w:afterLines="0" w:after="20" w:afterAutospacing="0" w:line="240" w:lineRule="atLeast"/>
      </w:pPr>
      <w:rPr>
        <w:rFonts w:ascii="Microsoft JhengHei UI Light" w:hAnsi="Microsoft JhengHei UI Light"/>
        <w:b/>
        <w:i w:val="0"/>
        <w:color w:val="000000"/>
        <w:sz w:val="20"/>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EFE1"/>
      </w:tcPr>
    </w:tblStylePr>
    <w:tblStylePr w:type="lastRow">
      <w:tblPr/>
      <w:tcPr>
        <w:tcBorders>
          <w:bottom w:val="nil"/>
        </w:tcBorders>
      </w:tcPr>
    </w:tblStylePr>
    <w:tblStylePr w:type="band2Vert">
      <w:tblPr/>
      <w:tcPr>
        <w:tcBorders>
          <w:left w:val="nil"/>
        </w:tcBorders>
      </w:tcPr>
    </w:tblStylePr>
    <w:tblStylePr w:type="band1Horz">
      <w:tblPr/>
      <w:tcPr>
        <w:tcBorders>
          <w:bottom w:val="nil"/>
        </w:tcBorders>
      </w:tcPr>
    </w:tblStylePr>
    <w:tblStylePr w:type="band2Horz">
      <w:tblPr/>
      <w:tcPr>
        <w:tcBorders>
          <w:left w:val="nil"/>
          <w:bottom w:val="single" w:sz="4" w:space="0" w:color="000000"/>
        </w:tcBorders>
      </w:tcPr>
    </w:tblStylePr>
  </w:style>
  <w:style w:type="table" w:customStyle="1" w:styleId="dpitablestyle1">
    <w:name w:val="dpi table style1"/>
    <w:basedOn w:val="TableGrid"/>
    <w:uiPriority w:val="99"/>
    <w:rsid w:val="005B5171"/>
    <w:pPr>
      <w:spacing w:before="20" w:after="20" w:line="240" w:lineRule="atLeast"/>
    </w:pPr>
    <w:rPr>
      <w:rFonts w:ascii="Segoe UI Semibold" w:hAnsi="Segoe UI Semibold"/>
      <w:color w:val="000000"/>
      <w:sz w:val="20"/>
    </w:rPr>
    <w:tblPr>
      <w:tblStyleRowBandSize w:val="1"/>
      <w:tblStyleColBandSize w:val="1"/>
      <w:tblBorders>
        <w:top w:val="none" w:sz="0" w:space="0" w:color="auto"/>
        <w:left w:val="none" w:sz="0" w:space="0" w:color="auto"/>
        <w:bottom w:val="single" w:sz="4" w:space="0" w:color="000000"/>
        <w:right w:val="none" w:sz="0" w:space="0" w:color="auto"/>
        <w:insideH w:val="single" w:sz="4" w:space="0" w:color="000000"/>
        <w:insideV w:val="none" w:sz="0" w:space="0" w:color="auto"/>
      </w:tblBorders>
      <w:tblCellMar>
        <w:top w:w="85" w:type="dxa"/>
        <w:bottom w:w="85" w:type="dxa"/>
      </w:tblCellMar>
    </w:tblPr>
    <w:tcPr>
      <w:noWrap/>
      <w:tcMar>
        <w:top w:w="57" w:type="dxa"/>
        <w:bottom w:w="57" w:type="dxa"/>
      </w:tcMar>
    </w:tcPr>
    <w:tblStylePr w:type="firstRow">
      <w:pPr>
        <w:wordWrap/>
        <w:spacing w:beforeLines="0" w:before="20" w:beforeAutospacing="0" w:afterLines="0" w:after="20" w:afterAutospacing="0" w:line="240" w:lineRule="atLeast"/>
      </w:pPr>
      <w:rPr>
        <w:rFonts w:ascii="MV Boli" w:hAnsi="MV Boli"/>
        <w:b/>
        <w:i w:val="0"/>
        <w:color w:val="000000"/>
        <w:sz w:val="20"/>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EFE1"/>
      </w:tcPr>
    </w:tblStylePr>
    <w:tblStylePr w:type="lastRow">
      <w:tblPr/>
      <w:tcPr>
        <w:tcBorders>
          <w:bottom w:val="nil"/>
        </w:tcBorders>
      </w:tcPr>
    </w:tblStylePr>
    <w:tblStylePr w:type="band2Vert">
      <w:tblPr/>
      <w:tcPr>
        <w:tcBorders>
          <w:left w:val="nil"/>
        </w:tcBorders>
      </w:tcPr>
    </w:tblStylePr>
    <w:tblStylePr w:type="band1Horz">
      <w:tblPr/>
      <w:tcPr>
        <w:tcBorders>
          <w:bottom w:val="nil"/>
        </w:tcBorders>
      </w:tcPr>
    </w:tblStylePr>
    <w:tblStylePr w:type="band2Horz">
      <w:tblPr/>
      <w:tcPr>
        <w:tcBorders>
          <w:left w:val="nil"/>
          <w:bottom w:val="single" w:sz="4" w:space="0" w:color="000000"/>
        </w:tcBorders>
      </w:tcPr>
    </w:tblStylePr>
  </w:style>
  <w:style w:type="table" w:customStyle="1" w:styleId="dpitablestyle2">
    <w:name w:val="dpi table style2"/>
    <w:basedOn w:val="TableGrid"/>
    <w:uiPriority w:val="99"/>
    <w:rsid w:val="005B5171"/>
    <w:pPr>
      <w:spacing w:before="20" w:after="20" w:line="240" w:lineRule="atLeast"/>
    </w:pPr>
    <w:rPr>
      <w:rFonts w:ascii="Segoe UI Semibold" w:hAnsi="Segoe UI Semibold"/>
      <w:color w:val="000000"/>
      <w:sz w:val="20"/>
    </w:rPr>
    <w:tblPr>
      <w:tblStyleRowBandSize w:val="1"/>
      <w:tblStyleColBandSize w:val="1"/>
      <w:tblBorders>
        <w:top w:val="none" w:sz="0" w:space="0" w:color="auto"/>
        <w:left w:val="none" w:sz="0" w:space="0" w:color="auto"/>
        <w:bottom w:val="single" w:sz="4" w:space="0" w:color="000000"/>
        <w:right w:val="none" w:sz="0" w:space="0" w:color="auto"/>
        <w:insideH w:val="single" w:sz="4" w:space="0" w:color="000000"/>
        <w:insideV w:val="none" w:sz="0" w:space="0" w:color="auto"/>
      </w:tblBorders>
      <w:tblCellMar>
        <w:top w:w="85" w:type="dxa"/>
        <w:bottom w:w="85" w:type="dxa"/>
      </w:tblCellMar>
    </w:tblPr>
    <w:tcPr>
      <w:noWrap/>
      <w:tcMar>
        <w:top w:w="57" w:type="dxa"/>
        <w:bottom w:w="57" w:type="dxa"/>
      </w:tcMar>
    </w:tcPr>
    <w:tblStylePr w:type="firstRow">
      <w:pPr>
        <w:wordWrap/>
        <w:spacing w:beforeLines="0" w:before="20" w:beforeAutospacing="0" w:afterLines="0" w:after="20" w:afterAutospacing="0" w:line="240" w:lineRule="atLeast"/>
      </w:pPr>
      <w:rPr>
        <w:rFonts w:ascii="MV Boli" w:hAnsi="MV Boli"/>
        <w:b/>
        <w:i w:val="0"/>
        <w:color w:val="000000"/>
        <w:sz w:val="20"/>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EFE1"/>
      </w:tcPr>
    </w:tblStylePr>
    <w:tblStylePr w:type="lastRow">
      <w:tblPr/>
      <w:tcPr>
        <w:tcBorders>
          <w:bottom w:val="nil"/>
        </w:tcBorders>
      </w:tcPr>
    </w:tblStylePr>
    <w:tblStylePr w:type="band2Vert">
      <w:tblPr/>
      <w:tcPr>
        <w:tcBorders>
          <w:left w:val="nil"/>
        </w:tcBorders>
      </w:tcPr>
    </w:tblStylePr>
    <w:tblStylePr w:type="band1Horz">
      <w:tblPr/>
      <w:tcPr>
        <w:tcBorders>
          <w:bottom w:val="nil"/>
        </w:tcBorders>
      </w:tcPr>
    </w:tblStylePr>
    <w:tblStylePr w:type="band2Horz">
      <w:tblPr/>
      <w:tcPr>
        <w:tcBorders>
          <w:left w:val="nil"/>
          <w:bottom w:val="single" w:sz="4" w:space="0" w:color="000000"/>
        </w:tcBorders>
      </w:tcPr>
    </w:tblStylePr>
  </w:style>
  <w:style w:type="paragraph" w:customStyle="1" w:styleId="xxxmsolistparagraph">
    <w:name w:val="x_x_x_msolistparagraph"/>
    <w:basedOn w:val="Normal"/>
    <w:rsid w:val="005B5171"/>
    <w:pPr>
      <w:spacing w:after="0" w:line="240" w:lineRule="auto"/>
      <w:ind w:left="720"/>
    </w:pPr>
    <w:rPr>
      <w:rFonts w:ascii="Calibri" w:hAnsi="Calibri" w:cs="Calibri"/>
      <w:lang w:eastAsia="en-AU"/>
    </w:rPr>
  </w:style>
  <w:style w:type="paragraph" w:customStyle="1" w:styleId="Indent15">
    <w:name w:val="Indent 1.5"/>
    <w:basedOn w:val="Normal"/>
    <w:rsid w:val="005B5171"/>
    <w:pPr>
      <w:keepLines/>
      <w:spacing w:before="240" w:after="0" w:line="240" w:lineRule="auto"/>
      <w:jc w:val="both"/>
    </w:pPr>
    <w:rPr>
      <w:rFonts w:ascii="Times New Roman" w:eastAsia="Times New Roman" w:hAnsi="Times New Roman" w:cs="Times New Roman"/>
      <w:sz w:val="24"/>
      <w:szCs w:val="20"/>
      <w:lang w:eastAsia="en-AU"/>
    </w:rPr>
  </w:style>
  <w:style w:type="paragraph" w:customStyle="1" w:styleId="Indent25">
    <w:name w:val="Indent 2.5"/>
    <w:basedOn w:val="Indent15"/>
    <w:rsid w:val="005B5171"/>
    <w:pPr>
      <w:ind w:left="1418" w:hanging="568"/>
    </w:pPr>
  </w:style>
  <w:style w:type="paragraph" w:customStyle="1" w:styleId="level2indent">
    <w:name w:val="level 2 indent"/>
    <w:basedOn w:val="Normal"/>
    <w:rsid w:val="005B5171"/>
    <w:pPr>
      <w:spacing w:after="0" w:line="240" w:lineRule="auto"/>
      <w:ind w:left="2160" w:hanging="720"/>
      <w:jc w:val="both"/>
    </w:pPr>
    <w:rPr>
      <w:rFonts w:ascii="Times New Roman" w:eastAsia="Times New Roman" w:hAnsi="Times New Roman" w:cs="Times New Roman"/>
      <w:szCs w:val="20"/>
      <w:lang w:eastAsia="en-AU"/>
    </w:rPr>
  </w:style>
  <w:style w:type="paragraph" w:customStyle="1" w:styleId="Def">
    <w:name w:val="Def"/>
    <w:basedOn w:val="Indent35"/>
    <w:rsid w:val="005B5171"/>
    <w:pPr>
      <w:ind w:left="709" w:firstLine="0"/>
    </w:pPr>
  </w:style>
  <w:style w:type="paragraph" w:customStyle="1" w:styleId="Indent35">
    <w:name w:val="Indent 3.5"/>
    <w:basedOn w:val="Indent25"/>
    <w:rsid w:val="005B5171"/>
    <w:pPr>
      <w:ind w:left="1985"/>
    </w:pPr>
  </w:style>
  <w:style w:type="paragraph" w:customStyle="1" w:styleId="level1indent">
    <w:name w:val="level 1 indent"/>
    <w:basedOn w:val="Normal"/>
    <w:rsid w:val="005B5171"/>
    <w:pPr>
      <w:spacing w:after="0" w:line="240" w:lineRule="auto"/>
      <w:ind w:left="1440" w:hanging="720"/>
      <w:jc w:val="both"/>
    </w:pPr>
    <w:rPr>
      <w:rFonts w:ascii="Times New Roman" w:eastAsia="Times New Roman" w:hAnsi="Times New Roman" w:cs="Times New Roman"/>
      <w:szCs w:val="20"/>
      <w:lang w:eastAsia="en-AU"/>
    </w:rPr>
  </w:style>
  <w:style w:type="paragraph" w:customStyle="1" w:styleId="standardunumberedpara">
    <w:name w:val="standard unumbered para"/>
    <w:basedOn w:val="StandardPara"/>
    <w:rsid w:val="005B5171"/>
  </w:style>
  <w:style w:type="paragraph" w:customStyle="1" w:styleId="StandardPara">
    <w:name w:val="Standard Para"/>
    <w:basedOn w:val="Normal"/>
    <w:rsid w:val="005B5171"/>
    <w:pPr>
      <w:spacing w:after="0" w:line="240" w:lineRule="auto"/>
      <w:ind w:left="567" w:hanging="567"/>
    </w:pPr>
    <w:rPr>
      <w:rFonts w:ascii="Times New Roman" w:eastAsia="Times New Roman" w:hAnsi="Times New Roman" w:cs="Times New Roman"/>
      <w:szCs w:val="20"/>
      <w:lang w:eastAsia="en-AU"/>
    </w:rPr>
  </w:style>
  <w:style w:type="paragraph" w:customStyle="1" w:styleId="level3indent">
    <w:name w:val="level 3 indent"/>
    <w:basedOn w:val="Normal"/>
    <w:rsid w:val="005B5171"/>
    <w:pPr>
      <w:spacing w:after="0" w:line="240" w:lineRule="auto"/>
      <w:ind w:left="2880" w:hanging="720"/>
      <w:jc w:val="both"/>
    </w:pPr>
    <w:rPr>
      <w:rFonts w:ascii="Times New Roman" w:eastAsia="Times New Roman" w:hAnsi="Times New Roman" w:cs="Times New Roman"/>
      <w:szCs w:val="20"/>
      <w:lang w:eastAsia="en-AU"/>
    </w:rPr>
  </w:style>
  <w:style w:type="paragraph" w:customStyle="1" w:styleId="P1">
    <w:name w:val="P1"/>
    <w:aliases w:val="(a)"/>
    <w:basedOn w:val="Normal"/>
    <w:rsid w:val="005B5171"/>
    <w:pPr>
      <w:keepNext/>
      <w:keepLines/>
      <w:tabs>
        <w:tab w:val="right" w:pos="1276"/>
      </w:tabs>
      <w:spacing w:before="40" w:after="0" w:line="260" w:lineRule="atLeast"/>
      <w:ind w:left="1560" w:hanging="1422"/>
      <w:jc w:val="both"/>
    </w:pPr>
    <w:rPr>
      <w:rFonts w:ascii="Times" w:eastAsia="Times New Roman" w:hAnsi="Times" w:cs="Times New Roman"/>
      <w:sz w:val="24"/>
      <w:szCs w:val="20"/>
      <w:lang w:eastAsia="en-AU"/>
    </w:rPr>
  </w:style>
  <w:style w:type="paragraph" w:customStyle="1" w:styleId="HR">
    <w:name w:val="HR"/>
    <w:aliases w:val="Regulation Heading"/>
    <w:basedOn w:val="Normal"/>
    <w:next w:val="R1"/>
    <w:rsid w:val="005B5171"/>
    <w:pPr>
      <w:keepNext/>
      <w:tabs>
        <w:tab w:val="left" w:pos="964"/>
      </w:tabs>
      <w:spacing w:before="360" w:after="0" w:line="240" w:lineRule="auto"/>
      <w:ind w:left="567" w:hanging="567"/>
    </w:pPr>
    <w:rPr>
      <w:rFonts w:ascii="Helvetica" w:eastAsia="Times New Roman" w:hAnsi="Helvetica" w:cs="Times New Roman"/>
      <w:b/>
      <w:sz w:val="24"/>
      <w:szCs w:val="20"/>
      <w:lang w:eastAsia="en-AU"/>
    </w:rPr>
  </w:style>
  <w:style w:type="paragraph" w:customStyle="1" w:styleId="R1">
    <w:name w:val="R1"/>
    <w:aliases w:val="1. or 1.(1)"/>
    <w:basedOn w:val="Normal"/>
    <w:next w:val="P1"/>
    <w:rsid w:val="005B5171"/>
    <w:pPr>
      <w:tabs>
        <w:tab w:val="right" w:pos="794"/>
        <w:tab w:val="left" w:pos="964"/>
      </w:tabs>
      <w:spacing w:before="120" w:after="0" w:line="260" w:lineRule="exact"/>
      <w:ind w:left="964" w:hanging="964"/>
      <w:jc w:val="both"/>
    </w:pPr>
    <w:rPr>
      <w:rFonts w:ascii="Times" w:eastAsia="Times New Roman" w:hAnsi="Times" w:cs="Times New Roman"/>
      <w:sz w:val="24"/>
      <w:szCs w:val="20"/>
      <w:lang w:eastAsia="en-AU"/>
    </w:rPr>
  </w:style>
  <w:style w:type="paragraph" w:customStyle="1" w:styleId="R2">
    <w:name w:val="R2"/>
    <w:aliases w:val="(2)"/>
    <w:basedOn w:val="R1"/>
    <w:rsid w:val="005B5171"/>
    <w:pPr>
      <w:spacing w:before="180"/>
    </w:pPr>
  </w:style>
  <w:style w:type="paragraph" w:customStyle="1" w:styleId="A2">
    <w:name w:val="A2"/>
    <w:aliases w:val="1.1 amendment"/>
    <w:basedOn w:val="Normal"/>
    <w:rsid w:val="005B5171"/>
    <w:pPr>
      <w:keepNext/>
      <w:spacing w:before="40" w:after="0" w:line="260" w:lineRule="atLeast"/>
      <w:jc w:val="both"/>
    </w:pPr>
    <w:rPr>
      <w:rFonts w:ascii="Times" w:eastAsia="Times New Roman" w:hAnsi="Times" w:cs="Times New Roman"/>
      <w:sz w:val="26"/>
      <w:szCs w:val="20"/>
      <w:lang w:eastAsia="en-AU"/>
    </w:rPr>
  </w:style>
  <w:style w:type="paragraph" w:customStyle="1" w:styleId="A1">
    <w:name w:val="A1"/>
    <w:aliases w:val="1. Amendment"/>
    <w:basedOn w:val="Normal"/>
    <w:next w:val="A2"/>
    <w:rsid w:val="005B5171"/>
    <w:pPr>
      <w:keepNext/>
      <w:spacing w:before="480" w:after="0" w:line="240" w:lineRule="atLeast"/>
      <w:jc w:val="both"/>
    </w:pPr>
    <w:rPr>
      <w:rFonts w:ascii="Times" w:eastAsia="Times New Roman" w:hAnsi="Times" w:cs="Times New Roman"/>
      <w:b/>
      <w:sz w:val="26"/>
      <w:szCs w:val="20"/>
      <w:lang w:eastAsia="en-AU"/>
    </w:rPr>
  </w:style>
  <w:style w:type="paragraph" w:styleId="BodyText2">
    <w:name w:val="Body Text 2"/>
    <w:basedOn w:val="Normal"/>
    <w:link w:val="BodyText2Char"/>
    <w:semiHidden/>
    <w:rsid w:val="005B5171"/>
    <w:pPr>
      <w:spacing w:before="120" w:after="0" w:line="240" w:lineRule="auto"/>
      <w:ind w:left="709"/>
      <w:jc w:val="both"/>
    </w:pPr>
    <w:rPr>
      <w:rFonts w:ascii="Times New Roman" w:eastAsia="Times New Roman" w:hAnsi="Times New Roman" w:cs="Times New Roman"/>
      <w:szCs w:val="20"/>
      <w:lang w:eastAsia="en-AU"/>
    </w:rPr>
  </w:style>
  <w:style w:type="character" w:customStyle="1" w:styleId="BodyText2Char">
    <w:name w:val="Body Text 2 Char"/>
    <w:basedOn w:val="DefaultParagraphFont"/>
    <w:link w:val="BodyText2"/>
    <w:semiHidden/>
    <w:rsid w:val="005B5171"/>
    <w:rPr>
      <w:rFonts w:ascii="Times New Roman" w:eastAsia="Times New Roman" w:hAnsi="Times New Roman" w:cs="Times New Roman"/>
      <w:szCs w:val="20"/>
      <w:lang w:eastAsia="en-AU"/>
    </w:rPr>
  </w:style>
  <w:style w:type="paragraph" w:styleId="BodyText3">
    <w:name w:val="Body Text 3"/>
    <w:basedOn w:val="Normal"/>
    <w:link w:val="BodyText3Char"/>
    <w:semiHidden/>
    <w:rsid w:val="005B5171"/>
    <w:pPr>
      <w:spacing w:after="0" w:line="240" w:lineRule="auto"/>
    </w:pPr>
    <w:rPr>
      <w:rFonts w:ascii="Times New Roman" w:eastAsia="Times New Roman" w:hAnsi="Times New Roman" w:cs="Times New Roman"/>
      <w:sz w:val="20"/>
      <w:szCs w:val="20"/>
      <w:lang w:eastAsia="en-AU"/>
    </w:rPr>
  </w:style>
  <w:style w:type="character" w:customStyle="1" w:styleId="BodyText3Char">
    <w:name w:val="Body Text 3 Char"/>
    <w:basedOn w:val="DefaultParagraphFont"/>
    <w:link w:val="BodyText3"/>
    <w:semiHidden/>
    <w:rsid w:val="005B5171"/>
    <w:rPr>
      <w:rFonts w:ascii="Times New Roman" w:eastAsia="Times New Roman" w:hAnsi="Times New Roman" w:cs="Times New Roman"/>
      <w:sz w:val="20"/>
      <w:szCs w:val="20"/>
      <w:lang w:eastAsia="en-AU"/>
    </w:rPr>
  </w:style>
  <w:style w:type="paragraph" w:styleId="BodyTextIndent">
    <w:name w:val="Body Text Indent"/>
    <w:basedOn w:val="Normal"/>
    <w:link w:val="BodyTextIndentChar"/>
    <w:semiHidden/>
    <w:rsid w:val="005B5171"/>
    <w:pPr>
      <w:spacing w:before="120" w:after="0" w:line="240" w:lineRule="auto"/>
      <w:ind w:left="709" w:hanging="709"/>
    </w:pPr>
    <w:rPr>
      <w:rFonts w:ascii="Times New Roman" w:eastAsia="Times New Roman" w:hAnsi="Times New Roman" w:cs="Times New Roman"/>
      <w:sz w:val="24"/>
      <w:szCs w:val="20"/>
      <w:lang w:eastAsia="en-AU"/>
    </w:rPr>
  </w:style>
  <w:style w:type="character" w:customStyle="1" w:styleId="BodyTextIndentChar">
    <w:name w:val="Body Text Indent Char"/>
    <w:basedOn w:val="DefaultParagraphFont"/>
    <w:link w:val="BodyTextIndent"/>
    <w:semiHidden/>
    <w:rsid w:val="005B5171"/>
    <w:rPr>
      <w:rFonts w:ascii="Times New Roman" w:eastAsia="Times New Roman" w:hAnsi="Times New Roman" w:cs="Times New Roman"/>
      <w:sz w:val="24"/>
      <w:szCs w:val="20"/>
      <w:lang w:eastAsia="en-AU"/>
    </w:rPr>
  </w:style>
  <w:style w:type="paragraph" w:styleId="BodyTextIndent3">
    <w:name w:val="Body Text Indent 3"/>
    <w:basedOn w:val="Normal"/>
    <w:link w:val="BodyTextIndent3Char"/>
    <w:semiHidden/>
    <w:rsid w:val="005B5171"/>
    <w:pPr>
      <w:spacing w:before="240" w:after="0" w:line="240" w:lineRule="auto"/>
      <w:ind w:left="993" w:hanging="993"/>
    </w:pPr>
    <w:rPr>
      <w:rFonts w:ascii="Times New Roman" w:eastAsia="Times New Roman" w:hAnsi="Times New Roman" w:cs="Times New Roman"/>
      <w:b/>
      <w:sz w:val="24"/>
      <w:szCs w:val="20"/>
      <w:lang w:eastAsia="en-AU"/>
    </w:rPr>
  </w:style>
  <w:style w:type="character" w:customStyle="1" w:styleId="BodyTextIndent3Char">
    <w:name w:val="Body Text Indent 3 Char"/>
    <w:basedOn w:val="DefaultParagraphFont"/>
    <w:link w:val="BodyTextIndent3"/>
    <w:semiHidden/>
    <w:rsid w:val="005B5171"/>
    <w:rPr>
      <w:rFonts w:ascii="Times New Roman" w:eastAsia="Times New Roman" w:hAnsi="Times New Roman" w:cs="Times New Roman"/>
      <w:b/>
      <w:sz w:val="24"/>
      <w:szCs w:val="20"/>
      <w:lang w:eastAsia="en-AU"/>
    </w:rPr>
  </w:style>
  <w:style w:type="paragraph" w:customStyle="1" w:styleId="DotLeader">
    <w:name w:val="Dot Leader"/>
    <w:basedOn w:val="Normal"/>
    <w:rsid w:val="005B5171"/>
    <w:pPr>
      <w:keepLines/>
      <w:tabs>
        <w:tab w:val="left" w:pos="8222"/>
      </w:tabs>
      <w:spacing w:after="0" w:line="240" w:lineRule="auto"/>
    </w:pPr>
    <w:rPr>
      <w:rFonts w:ascii="Times New Roman" w:eastAsia="Times New Roman" w:hAnsi="Times New Roman" w:cs="Times New Roman"/>
      <w:szCs w:val="20"/>
      <w:lang w:eastAsia="en-AU"/>
    </w:rPr>
  </w:style>
  <w:style w:type="paragraph" w:customStyle="1" w:styleId="dotpoint">
    <w:name w:val="dot point"/>
    <w:basedOn w:val="Normal"/>
    <w:rsid w:val="005B5171"/>
    <w:pPr>
      <w:numPr>
        <w:numId w:val="35"/>
      </w:numPr>
      <w:tabs>
        <w:tab w:val="clear" w:pos="360"/>
      </w:tabs>
      <w:spacing w:after="0" w:line="240" w:lineRule="auto"/>
      <w:ind w:left="284" w:hanging="284"/>
    </w:pPr>
    <w:rPr>
      <w:rFonts w:ascii="Times New Roman" w:eastAsia="Times New Roman" w:hAnsi="Times New Roman" w:cs="Times New Roman"/>
      <w:szCs w:val="20"/>
      <w:lang w:eastAsia="en-AU"/>
    </w:rPr>
  </w:style>
  <w:style w:type="paragraph" w:customStyle="1" w:styleId="Figure">
    <w:name w:val="Figure"/>
    <w:basedOn w:val="Normal"/>
    <w:rsid w:val="005B5171"/>
    <w:pPr>
      <w:pBdr>
        <w:top w:val="single" w:sz="6" w:space="1" w:color="auto"/>
        <w:bottom w:val="single" w:sz="6" w:space="1" w:color="auto"/>
      </w:pBdr>
      <w:spacing w:after="120" w:line="240" w:lineRule="auto"/>
      <w:ind w:left="1134" w:hanging="1134"/>
    </w:pPr>
    <w:rPr>
      <w:rFonts w:ascii="Times New Roman" w:eastAsia="Times New Roman" w:hAnsi="Times New Roman" w:cs="Times New Roman"/>
      <w:b/>
      <w:szCs w:val="20"/>
      <w:lang w:eastAsia="en-AU"/>
    </w:rPr>
  </w:style>
  <w:style w:type="paragraph" w:customStyle="1" w:styleId="lastdot">
    <w:name w:val="last dot"/>
    <w:basedOn w:val="dotpoint"/>
    <w:rsid w:val="005B5171"/>
    <w:pPr>
      <w:numPr>
        <w:numId w:val="34"/>
      </w:numPr>
      <w:tabs>
        <w:tab w:val="num" w:pos="680"/>
      </w:tabs>
      <w:spacing w:after="220"/>
      <w:ind w:left="284" w:hanging="284"/>
    </w:pPr>
  </w:style>
  <w:style w:type="paragraph" w:customStyle="1" w:styleId="References0">
    <w:name w:val="References"/>
    <w:basedOn w:val="Normal"/>
    <w:rsid w:val="005B5171"/>
    <w:pPr>
      <w:spacing w:after="240" w:line="360" w:lineRule="atLeast"/>
      <w:ind w:left="220" w:hanging="220"/>
      <w:jc w:val="both"/>
    </w:pPr>
    <w:rPr>
      <w:rFonts w:ascii="Times" w:eastAsia="Times New Roman" w:hAnsi="Times" w:cs="Times New Roman"/>
      <w:sz w:val="24"/>
      <w:szCs w:val="20"/>
      <w:lang w:eastAsia="en-AU"/>
    </w:rPr>
  </w:style>
  <w:style w:type="paragraph" w:customStyle="1" w:styleId="Tablefootnote">
    <w:name w:val="Table footnote"/>
    <w:basedOn w:val="Normal"/>
    <w:rsid w:val="005B5171"/>
    <w:pPr>
      <w:spacing w:after="220" w:line="180" w:lineRule="exact"/>
    </w:pPr>
    <w:rPr>
      <w:rFonts w:ascii="Times" w:eastAsia="Times New Roman" w:hAnsi="Times" w:cs="Times New Roman"/>
      <w:sz w:val="16"/>
      <w:szCs w:val="20"/>
      <w:lang w:eastAsia="en-AU"/>
    </w:rPr>
  </w:style>
  <w:style w:type="paragraph" w:customStyle="1" w:styleId="Nospaceafter">
    <w:name w:val="No space after"/>
    <w:basedOn w:val="Normal"/>
    <w:rsid w:val="005B5171"/>
    <w:pPr>
      <w:spacing w:after="0" w:line="240" w:lineRule="auto"/>
    </w:pPr>
    <w:rPr>
      <w:rFonts w:ascii="Times New Roman" w:eastAsia="Times New Roman" w:hAnsi="Times New Roman" w:cs="Times New Roman"/>
      <w:szCs w:val="20"/>
      <w:lang w:eastAsia="en-AU"/>
    </w:rPr>
  </w:style>
  <w:style w:type="paragraph" w:customStyle="1" w:styleId="Evenpageheader">
    <w:name w:val="Even page header"/>
    <w:basedOn w:val="Header"/>
    <w:rsid w:val="005B5171"/>
    <w:pPr>
      <w:widowControl w:val="0"/>
      <w:tabs>
        <w:tab w:val="clear" w:pos="4513"/>
        <w:tab w:val="clear" w:pos="9026"/>
        <w:tab w:val="center" w:pos="4153"/>
        <w:tab w:val="right" w:pos="8306"/>
      </w:tabs>
      <w:spacing w:before="0" w:after="120"/>
      <w:jc w:val="left"/>
    </w:pPr>
    <w:rPr>
      <w:rFonts w:ascii="Times New Roman" w:eastAsia="Times New Roman" w:hAnsi="Times New Roman" w:cs="Times New Roman"/>
      <w:i/>
      <w:color w:val="auto"/>
      <w:szCs w:val="20"/>
      <w:lang w:eastAsia="en-AU"/>
    </w:rPr>
  </w:style>
  <w:style w:type="paragraph" w:customStyle="1" w:styleId="reference">
    <w:name w:val="reference"/>
    <w:basedOn w:val="Normal"/>
    <w:rsid w:val="005B5171"/>
    <w:pPr>
      <w:tabs>
        <w:tab w:val="left" w:pos="7938"/>
      </w:tabs>
      <w:spacing w:before="120" w:after="0" w:line="240" w:lineRule="auto"/>
      <w:ind w:left="284" w:hanging="284"/>
    </w:pPr>
    <w:rPr>
      <w:rFonts w:ascii="Times New Roman" w:eastAsia="Times New Roman" w:hAnsi="Times New Roman" w:cs="Times New Roman"/>
      <w:szCs w:val="20"/>
      <w:lang w:val="en-US"/>
    </w:rPr>
  </w:style>
  <w:style w:type="paragraph" w:customStyle="1" w:styleId="rfa1">
    <w:name w:val="rfa1"/>
    <w:basedOn w:val="Normal"/>
    <w:rsid w:val="005B5171"/>
    <w:pPr>
      <w:numPr>
        <w:numId w:val="37"/>
      </w:numPr>
      <w:tabs>
        <w:tab w:val="left" w:pos="567"/>
      </w:tabs>
      <w:spacing w:after="120" w:line="240" w:lineRule="auto"/>
    </w:pPr>
    <w:rPr>
      <w:rFonts w:ascii="Times New Roman" w:eastAsia="Times New Roman" w:hAnsi="Times New Roman" w:cs="Times New Roman"/>
      <w:sz w:val="24"/>
      <w:szCs w:val="20"/>
      <w:lang w:eastAsia="en-AU"/>
    </w:rPr>
  </w:style>
  <w:style w:type="paragraph" w:customStyle="1" w:styleId="rfa2">
    <w:name w:val="rfa2"/>
    <w:basedOn w:val="Normal"/>
    <w:rsid w:val="005B5171"/>
    <w:pPr>
      <w:numPr>
        <w:ilvl w:val="1"/>
        <w:numId w:val="37"/>
      </w:numPr>
      <w:spacing w:after="120" w:line="240" w:lineRule="auto"/>
    </w:pPr>
    <w:rPr>
      <w:rFonts w:ascii="Times New Roman" w:eastAsia="Times New Roman" w:hAnsi="Times New Roman" w:cs="Times New Roman"/>
      <w:sz w:val="24"/>
      <w:szCs w:val="20"/>
      <w:lang w:eastAsia="en-AU"/>
    </w:rPr>
  </w:style>
  <w:style w:type="paragraph" w:customStyle="1" w:styleId="rfa3">
    <w:name w:val="rfa3"/>
    <w:basedOn w:val="Normal"/>
    <w:rsid w:val="005B5171"/>
    <w:pPr>
      <w:numPr>
        <w:ilvl w:val="2"/>
        <w:numId w:val="37"/>
      </w:numPr>
      <w:spacing w:after="120" w:line="240" w:lineRule="auto"/>
    </w:pPr>
    <w:rPr>
      <w:rFonts w:ascii="Times New Roman" w:eastAsia="Times New Roman" w:hAnsi="Times New Roman" w:cs="Times New Roman"/>
      <w:sz w:val="24"/>
      <w:szCs w:val="20"/>
      <w:lang w:eastAsia="en-AU"/>
    </w:rPr>
  </w:style>
  <w:style w:type="paragraph" w:customStyle="1" w:styleId="rfa4">
    <w:name w:val="rfa4"/>
    <w:basedOn w:val="Normal"/>
    <w:rsid w:val="005B5171"/>
    <w:pPr>
      <w:numPr>
        <w:ilvl w:val="3"/>
        <w:numId w:val="37"/>
      </w:numPr>
      <w:tabs>
        <w:tab w:val="left" w:pos="567"/>
      </w:tabs>
      <w:spacing w:after="120" w:line="240" w:lineRule="auto"/>
    </w:pPr>
    <w:rPr>
      <w:rFonts w:ascii="Times New Roman" w:eastAsia="Times New Roman" w:hAnsi="Times New Roman" w:cs="Times New Roman"/>
      <w:sz w:val="24"/>
      <w:szCs w:val="20"/>
      <w:lang w:eastAsia="en-AU"/>
    </w:rPr>
  </w:style>
  <w:style w:type="paragraph" w:customStyle="1" w:styleId="rfa5">
    <w:name w:val="rfa5"/>
    <w:basedOn w:val="Normal"/>
    <w:rsid w:val="005B5171"/>
    <w:pPr>
      <w:numPr>
        <w:ilvl w:val="4"/>
        <w:numId w:val="37"/>
      </w:numPr>
      <w:spacing w:after="0" w:line="240" w:lineRule="auto"/>
    </w:pPr>
    <w:rPr>
      <w:rFonts w:ascii="Times New Roman" w:eastAsia="Times New Roman" w:hAnsi="Times New Roman" w:cs="Times New Roman"/>
      <w:sz w:val="24"/>
      <w:szCs w:val="20"/>
      <w:lang w:eastAsia="en-AU"/>
    </w:rPr>
  </w:style>
  <w:style w:type="paragraph" w:customStyle="1" w:styleId="rfa6">
    <w:name w:val="rfa6"/>
    <w:basedOn w:val="Normal"/>
    <w:rsid w:val="005B5171"/>
    <w:pPr>
      <w:numPr>
        <w:ilvl w:val="5"/>
        <w:numId w:val="37"/>
      </w:numPr>
      <w:spacing w:after="120" w:line="240" w:lineRule="auto"/>
    </w:pPr>
    <w:rPr>
      <w:rFonts w:ascii="Times New Roman" w:eastAsia="Times New Roman" w:hAnsi="Times New Roman" w:cs="Times New Roman"/>
      <w:sz w:val="24"/>
      <w:szCs w:val="20"/>
      <w:lang w:eastAsia="en-AU"/>
    </w:rPr>
  </w:style>
  <w:style w:type="paragraph" w:customStyle="1" w:styleId="rfa7">
    <w:name w:val="rfa7"/>
    <w:basedOn w:val="Normal"/>
    <w:rsid w:val="005B5171"/>
    <w:pPr>
      <w:numPr>
        <w:ilvl w:val="6"/>
        <w:numId w:val="37"/>
      </w:numPr>
      <w:tabs>
        <w:tab w:val="left" w:pos="567"/>
      </w:tabs>
      <w:spacing w:after="120" w:line="240" w:lineRule="auto"/>
    </w:pPr>
    <w:rPr>
      <w:rFonts w:ascii="Times New Roman" w:eastAsia="Times New Roman" w:hAnsi="Times New Roman" w:cs="Times New Roman"/>
      <w:sz w:val="24"/>
      <w:szCs w:val="20"/>
      <w:lang w:eastAsia="en-AU"/>
    </w:rPr>
  </w:style>
  <w:style w:type="paragraph" w:customStyle="1" w:styleId="rfa8">
    <w:name w:val="rfa8"/>
    <w:basedOn w:val="Normal"/>
    <w:rsid w:val="005B5171"/>
    <w:pPr>
      <w:numPr>
        <w:ilvl w:val="7"/>
        <w:numId w:val="37"/>
      </w:numPr>
      <w:spacing w:after="120" w:line="240" w:lineRule="auto"/>
    </w:pPr>
    <w:rPr>
      <w:rFonts w:ascii="Times New Roman" w:eastAsia="Times New Roman" w:hAnsi="Times New Roman" w:cs="Times New Roman"/>
      <w:sz w:val="24"/>
      <w:szCs w:val="20"/>
      <w:lang w:eastAsia="en-AU"/>
    </w:rPr>
  </w:style>
  <w:style w:type="paragraph" w:customStyle="1" w:styleId="rfa9">
    <w:name w:val="rfa9"/>
    <w:basedOn w:val="Normal"/>
    <w:rsid w:val="005B5171"/>
    <w:pPr>
      <w:numPr>
        <w:ilvl w:val="8"/>
        <w:numId w:val="37"/>
      </w:numPr>
      <w:spacing w:after="120" w:line="240" w:lineRule="auto"/>
    </w:pPr>
    <w:rPr>
      <w:rFonts w:ascii="Times New Roman" w:eastAsia="Times New Roman" w:hAnsi="Times New Roman" w:cs="Times New Roman"/>
      <w:sz w:val="24"/>
      <w:szCs w:val="20"/>
      <w:lang w:eastAsia="en-AU"/>
    </w:rPr>
  </w:style>
  <w:style w:type="paragraph" w:customStyle="1" w:styleId="attachpara">
    <w:name w:val="attach para"/>
    <w:basedOn w:val="Normal"/>
    <w:autoRedefine/>
    <w:rsid w:val="005B5171"/>
    <w:pPr>
      <w:numPr>
        <w:numId w:val="38"/>
      </w:numPr>
      <w:tabs>
        <w:tab w:val="clear" w:pos="360"/>
      </w:tabs>
      <w:spacing w:after="120" w:line="240" w:lineRule="auto"/>
      <w:jc w:val="both"/>
    </w:pPr>
    <w:rPr>
      <w:rFonts w:ascii="Times New Roman" w:eastAsia="Times New Roman" w:hAnsi="Times New Roman" w:cs="Times New Roman"/>
      <w:sz w:val="24"/>
      <w:szCs w:val="20"/>
      <w:lang w:eastAsia="en-AU"/>
    </w:rPr>
  </w:style>
  <w:style w:type="paragraph" w:customStyle="1" w:styleId="dotpoint2">
    <w:name w:val="dot point2"/>
    <w:basedOn w:val="Normal"/>
    <w:autoRedefine/>
    <w:rsid w:val="005B5171"/>
    <w:pPr>
      <w:widowControl w:val="0"/>
      <w:tabs>
        <w:tab w:val="left" w:pos="709"/>
      </w:tabs>
      <w:spacing w:after="120" w:line="240" w:lineRule="auto"/>
      <w:ind w:left="709" w:hanging="284"/>
      <w:jc w:val="both"/>
    </w:pPr>
    <w:rPr>
      <w:rFonts w:ascii="Times New Roman" w:eastAsia="Times New Roman" w:hAnsi="Times New Roman" w:cs="Times New Roman"/>
      <w:sz w:val="24"/>
      <w:szCs w:val="20"/>
      <w:lang w:val="en-US"/>
    </w:rPr>
  </w:style>
  <w:style w:type="paragraph" w:customStyle="1" w:styleId="number">
    <w:name w:val="number"/>
    <w:basedOn w:val="Normal"/>
    <w:autoRedefine/>
    <w:rsid w:val="005B5171"/>
    <w:pPr>
      <w:widowControl w:val="0"/>
      <w:numPr>
        <w:numId w:val="36"/>
      </w:numPr>
      <w:tabs>
        <w:tab w:val="clear" w:pos="360"/>
      </w:tabs>
      <w:spacing w:after="120" w:line="240" w:lineRule="auto"/>
      <w:ind w:left="426" w:hanging="426"/>
      <w:jc w:val="both"/>
    </w:pPr>
    <w:rPr>
      <w:rFonts w:ascii="Times New Roman" w:eastAsia="Times New Roman" w:hAnsi="Times New Roman" w:cs="Times New Roman"/>
      <w:sz w:val="24"/>
      <w:szCs w:val="20"/>
      <w:lang w:val="en-US"/>
    </w:rPr>
  </w:style>
  <w:style w:type="paragraph" w:customStyle="1" w:styleId="headStyle1">
    <w:name w:val="headStyle1"/>
    <w:basedOn w:val="Normal"/>
    <w:rsid w:val="005B5171"/>
    <w:pPr>
      <w:widowControl w:val="0"/>
      <w:spacing w:after="0" w:line="240" w:lineRule="auto"/>
      <w:ind w:left="851" w:hanging="851"/>
    </w:pPr>
    <w:rPr>
      <w:rFonts w:ascii="Times New Roman" w:eastAsia="Times New Roman" w:hAnsi="Times New Roman" w:cs="Times New Roman"/>
      <w:b/>
      <w:sz w:val="32"/>
      <w:szCs w:val="20"/>
      <w:lang w:val="en-US" w:eastAsia="en-AU"/>
    </w:rPr>
  </w:style>
  <w:style w:type="paragraph" w:styleId="DocumentMap">
    <w:name w:val="Document Map"/>
    <w:basedOn w:val="Normal"/>
    <w:link w:val="DocumentMapChar"/>
    <w:semiHidden/>
    <w:rsid w:val="005B5171"/>
    <w:pPr>
      <w:shd w:val="clear" w:color="auto" w:fill="000080"/>
      <w:spacing w:after="0" w:line="240" w:lineRule="auto"/>
    </w:pPr>
    <w:rPr>
      <w:rFonts w:ascii="Tahoma" w:eastAsia="Times New Roman" w:hAnsi="Tahoma" w:cs="Times New Roman"/>
      <w:sz w:val="24"/>
      <w:szCs w:val="20"/>
      <w:lang w:eastAsia="en-AU"/>
    </w:rPr>
  </w:style>
  <w:style w:type="character" w:customStyle="1" w:styleId="DocumentMapChar">
    <w:name w:val="Document Map Char"/>
    <w:basedOn w:val="DefaultParagraphFont"/>
    <w:link w:val="DocumentMap"/>
    <w:semiHidden/>
    <w:rsid w:val="005B5171"/>
    <w:rPr>
      <w:rFonts w:ascii="Tahoma" w:eastAsia="Times New Roman" w:hAnsi="Tahoma" w:cs="Times New Roman"/>
      <w:sz w:val="24"/>
      <w:szCs w:val="20"/>
      <w:shd w:val="clear" w:color="auto" w:fill="000080"/>
      <w:lang w:eastAsia="en-AU"/>
    </w:rPr>
  </w:style>
  <w:style w:type="paragraph" w:customStyle="1" w:styleId="headingB">
    <w:name w:val="heading B"/>
    <w:basedOn w:val="Normal"/>
    <w:rsid w:val="005B5171"/>
    <w:pPr>
      <w:widowControl w:val="0"/>
      <w:spacing w:after="120" w:line="240" w:lineRule="auto"/>
    </w:pPr>
    <w:rPr>
      <w:rFonts w:ascii="Arial" w:eastAsia="Times New Roman" w:hAnsi="Arial" w:cs="Times New Roman"/>
      <w:caps/>
      <w:spacing w:val="-26"/>
      <w:sz w:val="32"/>
      <w:szCs w:val="20"/>
      <w:lang w:val="en-US" w:eastAsia="en-AU"/>
    </w:rPr>
  </w:style>
  <w:style w:type="paragraph" w:customStyle="1" w:styleId="Dash">
    <w:name w:val="Dash"/>
    <w:basedOn w:val="Normal"/>
    <w:rsid w:val="005B5171"/>
    <w:pPr>
      <w:numPr>
        <w:numId w:val="39"/>
      </w:numPr>
      <w:tabs>
        <w:tab w:val="clear" w:pos="360"/>
      </w:tabs>
      <w:spacing w:after="240" w:line="240" w:lineRule="auto"/>
      <w:ind w:left="709" w:hanging="283"/>
    </w:pPr>
    <w:rPr>
      <w:rFonts w:ascii="Times New Roman" w:eastAsia="Times New Roman" w:hAnsi="Times New Roman" w:cs="Times New Roman"/>
      <w:sz w:val="24"/>
      <w:szCs w:val="20"/>
      <w:lang w:eastAsia="en-AU"/>
    </w:rPr>
  </w:style>
  <w:style w:type="paragraph" w:customStyle="1" w:styleId="Doubledot">
    <w:name w:val="Double dot"/>
    <w:basedOn w:val="Dash"/>
    <w:rsid w:val="005B5171"/>
    <w:pPr>
      <w:numPr>
        <w:numId w:val="40"/>
      </w:numPr>
      <w:tabs>
        <w:tab w:val="clear" w:pos="1276"/>
        <w:tab w:val="num" w:pos="360"/>
      </w:tabs>
      <w:ind w:left="851"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vicforests.com.au/planning-1/resource-outlook-2017" TargetMode="External"/><Relationship Id="rId26" Type="http://schemas.openxmlformats.org/officeDocument/2006/relationships/image" Target="media/image8.emf"/><Relationship Id="rId39"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chart" Target="charts/chart7.xml"/><Relationship Id="rId42" Type="http://schemas.openxmlformats.org/officeDocument/2006/relationships/chart" Target="charts/chart9.xml"/><Relationship Id="rId47"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07/relationships/hdphoto" Target="media/hdphoto1.wdp"/><Relationship Id="rId25" Type="http://schemas.openxmlformats.org/officeDocument/2006/relationships/image" Target="cid:image008.png@01D58DA6.BEAD65A0" TargetMode="External"/><Relationship Id="rId33" Type="http://schemas.openxmlformats.org/officeDocument/2006/relationships/chart" Target="charts/chart6.xml"/><Relationship Id="rId38" Type="http://schemas.openxmlformats.org/officeDocument/2006/relationships/image" Target="media/image13.png"/><Relationship Id="rId46" Type="http://schemas.openxmlformats.org/officeDocument/2006/relationships/hyperlink" Target="http://www.vicforests.com.au/about-vicforests/corporate-reporting-1/corporate-report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chart" Target="charts/chart4.xm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9.jpeg"/><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image" Target="media/image17.emf"/><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chart" Target="charts/chart3.xml"/><Relationship Id="rId36" Type="http://schemas.openxmlformats.org/officeDocument/2006/relationships/image" Target="media/image11.jpeg"/><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header" Target="header2.xml"/><Relationship Id="rId44"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10.jpeg"/><Relationship Id="rId43" Type="http://schemas.openxmlformats.org/officeDocument/2006/relationships/chart" Target="charts/chart10.xml"/><Relationship Id="rId48" Type="http://schemas.openxmlformats.org/officeDocument/2006/relationships/fontTable" Target="fontTable.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environment.vic.gov.au/__data/assets/pdf_file/0011/50420/201706-FFG-protected-flora-list.pdf" TargetMode="External"/><Relationship Id="rId2" Type="http://schemas.openxmlformats.org/officeDocument/2006/relationships/hyperlink" Target="http://agriculture.gov.au/SiteCollectionDocuments/abares/publications/AustPlantationStats_2019_v.1.0.0.pdf" TargetMode="External"/><Relationship Id="rId1" Type="http://schemas.openxmlformats.org/officeDocument/2006/relationships/hyperlink" Target="http://data.daff.gov.au/data/warehouse/aplnsd9ablf002/aplnsd9ablf201608/AustPlantationStats_2016_v.1.0.0.pdf" TargetMode="External"/><Relationship Id="rId6" Type="http://schemas.openxmlformats.org/officeDocument/2006/relationships/hyperlink" Target="https://parkweb.vic.gov.au/park-management/environment/research-and-scientific-management/research/research-partners-program" TargetMode="External"/><Relationship Id="rId5" Type="http://schemas.openxmlformats.org/officeDocument/2006/relationships/hyperlink" Target="http://carbonpricingdashboard.worldbank.org/map_data" TargetMode="External"/><Relationship Id="rId4" Type="http://schemas.openxmlformats.org/officeDocument/2006/relationships/hyperlink" Target="http://www.vicforests.com.au/static/uploads/files/vicforests-firewood-fact-sheet-wfjpybkftntp.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3.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internal.vic.gov.au\DEPI\GroupData\LFE_Group\FEM\Knowledge_Engagement\Monitor_Eval_Research\Projects\RFA\1-RFA%20Assess%20Project\Project%2010%20-%20Reporting\Report_sections\5_Economic\AFWPSSummaries-Mar-Jun-2018.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delwpvicgovau.sharepoint.com/sites/ecm_535/Forests/ReportData_ForestsEconomicAssessment.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delwpvicgovau.sharepoint.com/sites/ecm_535/Forests/ReportData_ForestsEconomicAssessment.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delwpvicgovau-my.sharepoint.com/personal/freya_mccormick_delwp_vic_gov_au/Documents/Content%20not%20on%20ECM/Forests/ensym_water_yield_trees_RFA_catch_FM%20calc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delwpvicgovau-my.sharepoint.com/personal/freya_mccormick_delwp_vic_gov_au/Documents/Content%20not%20on%20ECM/Forests/RFA_carbon_output_active_FM%20calc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'04 Plantation areas'!$T$27</c:f>
              <c:strCache>
                <c:ptCount val="1"/>
                <c:pt idx="0">
                  <c:v>Hardwood</c:v>
                </c:pt>
              </c:strCache>
            </c:strRef>
          </c:tx>
          <c:spPr>
            <a:solidFill>
              <a:schemeClr val="accent1"/>
            </a:solidFill>
            <a:ln>
              <a:noFill/>
            </a:ln>
            <a:effectLst/>
          </c:spPr>
          <c:invertIfNegative val="0"/>
          <c:cat>
            <c:strRef>
              <c:f>'04 Plantation areas'!$U$26:$AL$26</c:f>
              <c:strCache>
                <c:ptCount val="18"/>
                <c:pt idx="0">
                  <c:v>1999/2000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pt idx="14">
                  <c:v>2013/14</c:v>
                </c:pt>
                <c:pt idx="15">
                  <c:v>2014/15</c:v>
                </c:pt>
                <c:pt idx="16">
                  <c:v>2015/16</c:v>
                </c:pt>
                <c:pt idx="17">
                  <c:v>2016/17</c:v>
                </c:pt>
              </c:strCache>
            </c:strRef>
          </c:cat>
          <c:val>
            <c:numRef>
              <c:f>'04 Plantation areas'!$U$27:$AL$27</c:f>
              <c:numCache>
                <c:formatCode>_-* #,##0.0_-;\-* #,##0.0_-;_-* "-"??_-;_-@_-</c:formatCode>
                <c:ptCount val="18"/>
                <c:pt idx="0">
                  <c:v>101500</c:v>
                </c:pt>
                <c:pt idx="1">
                  <c:v>128900</c:v>
                </c:pt>
                <c:pt idx="2">
                  <c:v>142600</c:v>
                </c:pt>
                <c:pt idx="3">
                  <c:v>154700</c:v>
                </c:pt>
                <c:pt idx="4">
                  <c:v>168500</c:v>
                </c:pt>
                <c:pt idx="5">
                  <c:v>164700</c:v>
                </c:pt>
                <c:pt idx="6">
                  <c:v>175300</c:v>
                </c:pt>
                <c:pt idx="7">
                  <c:v>191000</c:v>
                </c:pt>
                <c:pt idx="8">
                  <c:v>200700</c:v>
                </c:pt>
                <c:pt idx="9">
                  <c:v>202700</c:v>
                </c:pt>
                <c:pt idx="10">
                  <c:v>203000</c:v>
                </c:pt>
                <c:pt idx="11">
                  <c:v>205800</c:v>
                </c:pt>
                <c:pt idx="12">
                  <c:v>206600</c:v>
                </c:pt>
                <c:pt idx="13">
                  <c:v>206500</c:v>
                </c:pt>
                <c:pt idx="14">
                  <c:v>206000</c:v>
                </c:pt>
                <c:pt idx="15">
                  <c:v>199000</c:v>
                </c:pt>
                <c:pt idx="16">
                  <c:v>199000</c:v>
                </c:pt>
                <c:pt idx="17">
                  <c:v>197500</c:v>
                </c:pt>
              </c:numCache>
            </c:numRef>
          </c:val>
          <c:extLst>
            <c:ext xmlns:c16="http://schemas.microsoft.com/office/drawing/2014/chart" uri="{C3380CC4-5D6E-409C-BE32-E72D297353CC}">
              <c16:uniqueId val="{00000000-A0A6-43CA-941D-9E35DC85D3EF}"/>
            </c:ext>
          </c:extLst>
        </c:ser>
        <c:ser>
          <c:idx val="1"/>
          <c:order val="1"/>
          <c:tx>
            <c:strRef>
              <c:f>'04 Plantation areas'!$T$28</c:f>
              <c:strCache>
                <c:ptCount val="1"/>
                <c:pt idx="0">
                  <c:v>Softwood</c:v>
                </c:pt>
              </c:strCache>
            </c:strRef>
          </c:tx>
          <c:spPr>
            <a:solidFill>
              <a:schemeClr val="accent2"/>
            </a:solidFill>
            <a:ln>
              <a:noFill/>
            </a:ln>
            <a:effectLst/>
          </c:spPr>
          <c:invertIfNegative val="0"/>
          <c:cat>
            <c:strRef>
              <c:f>'04 Plantation areas'!$U$26:$AL$26</c:f>
              <c:strCache>
                <c:ptCount val="18"/>
                <c:pt idx="0">
                  <c:v>1999/2000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pt idx="14">
                  <c:v>2013/14</c:v>
                </c:pt>
                <c:pt idx="15">
                  <c:v>2014/15</c:v>
                </c:pt>
                <c:pt idx="16">
                  <c:v>2015/16</c:v>
                </c:pt>
                <c:pt idx="17">
                  <c:v>2016/17</c:v>
                </c:pt>
              </c:strCache>
            </c:strRef>
          </c:cat>
          <c:val>
            <c:numRef>
              <c:f>'04 Plantation areas'!$U$28:$AL$28</c:f>
              <c:numCache>
                <c:formatCode>_-* #,##0.0_-;\-* #,##0.0_-;_-* "-"??_-;_-@_-</c:formatCode>
                <c:ptCount val="18"/>
                <c:pt idx="0">
                  <c:v>215100</c:v>
                </c:pt>
                <c:pt idx="1">
                  <c:v>216100</c:v>
                </c:pt>
                <c:pt idx="2">
                  <c:v>217300</c:v>
                </c:pt>
                <c:pt idx="3">
                  <c:v>212000</c:v>
                </c:pt>
                <c:pt idx="4">
                  <c:v>214900</c:v>
                </c:pt>
                <c:pt idx="5">
                  <c:v>218400</c:v>
                </c:pt>
                <c:pt idx="6">
                  <c:v>218900</c:v>
                </c:pt>
                <c:pt idx="7">
                  <c:v>219400</c:v>
                </c:pt>
                <c:pt idx="8">
                  <c:v>219900</c:v>
                </c:pt>
                <c:pt idx="9">
                  <c:v>220000</c:v>
                </c:pt>
                <c:pt idx="10">
                  <c:v>226400</c:v>
                </c:pt>
                <c:pt idx="11">
                  <c:v>225900</c:v>
                </c:pt>
                <c:pt idx="12">
                  <c:v>225900</c:v>
                </c:pt>
                <c:pt idx="13">
                  <c:v>225900</c:v>
                </c:pt>
                <c:pt idx="14">
                  <c:v>226000</c:v>
                </c:pt>
                <c:pt idx="15">
                  <c:v>223300</c:v>
                </c:pt>
                <c:pt idx="16">
                  <c:v>223300</c:v>
                </c:pt>
                <c:pt idx="17">
                  <c:v>223400</c:v>
                </c:pt>
              </c:numCache>
            </c:numRef>
          </c:val>
          <c:extLst>
            <c:ext xmlns:c16="http://schemas.microsoft.com/office/drawing/2014/chart" uri="{C3380CC4-5D6E-409C-BE32-E72D297353CC}">
              <c16:uniqueId val="{00000001-A0A6-43CA-941D-9E35DC85D3EF}"/>
            </c:ext>
          </c:extLst>
        </c:ser>
        <c:dLbls>
          <c:showLegendKey val="0"/>
          <c:showVal val="0"/>
          <c:showCatName val="0"/>
          <c:showSerName val="0"/>
          <c:showPercent val="0"/>
          <c:showBubbleSize val="0"/>
        </c:dLbls>
        <c:gapWidth val="219"/>
        <c:overlap val="-27"/>
        <c:axId val="680273720"/>
        <c:axId val="680274376"/>
      </c:barChart>
      <c:catAx>
        <c:axId val="680273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274376"/>
        <c:crosses val="autoZero"/>
        <c:auto val="1"/>
        <c:lblAlgn val="ctr"/>
        <c:lblOffset val="100"/>
        <c:noMultiLvlLbl val="0"/>
      </c:catAx>
      <c:valAx>
        <c:axId val="680274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273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Victorian import/export trends in secondary wood products 2007-2018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'Secondary wood'!$A$2</c:f>
              <c:strCache>
                <c:ptCount val="1"/>
                <c:pt idx="0">
                  <c:v>Imports </c:v>
                </c:pt>
              </c:strCache>
            </c:strRef>
          </c:tx>
          <c:spPr>
            <a:solidFill>
              <a:schemeClr val="accent1"/>
            </a:solidFill>
            <a:ln>
              <a:noFill/>
            </a:ln>
            <a:effectLst/>
          </c:spPr>
          <c:invertIfNegative val="0"/>
          <c:cat>
            <c:strRef>
              <c:f>'Secondary wood'!$B$1:$L$1</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c:v>
                </c:pt>
              </c:strCache>
            </c:strRef>
          </c:cat>
          <c:val>
            <c:numRef>
              <c:f>'Secondary wood'!$B$2:$L$2</c:f>
              <c:numCache>
                <c:formatCode>0</c:formatCode>
                <c:ptCount val="11"/>
                <c:pt idx="0">
                  <c:v>676.28924600000005</c:v>
                </c:pt>
                <c:pt idx="1">
                  <c:v>731.23312499999997</c:v>
                </c:pt>
                <c:pt idx="2">
                  <c:v>709.77553699999999</c:v>
                </c:pt>
                <c:pt idx="3">
                  <c:v>705.89087199999994</c:v>
                </c:pt>
                <c:pt idx="4">
                  <c:v>751.837897</c:v>
                </c:pt>
                <c:pt idx="5">
                  <c:v>720.53693599999997</c:v>
                </c:pt>
                <c:pt idx="6">
                  <c:v>806.5542109999999</c:v>
                </c:pt>
                <c:pt idx="7">
                  <c:v>901.16551200000004</c:v>
                </c:pt>
                <c:pt idx="8">
                  <c:v>958.67876600000011</c:v>
                </c:pt>
                <c:pt idx="9">
                  <c:v>977.736895</c:v>
                </c:pt>
                <c:pt idx="10">
                  <c:v>1001.6136470000001</c:v>
                </c:pt>
              </c:numCache>
            </c:numRef>
          </c:val>
          <c:extLst>
            <c:ext xmlns:c16="http://schemas.microsoft.com/office/drawing/2014/chart" uri="{C3380CC4-5D6E-409C-BE32-E72D297353CC}">
              <c16:uniqueId val="{00000000-4A8A-4E19-B1EB-6B62267B2CE3}"/>
            </c:ext>
          </c:extLst>
        </c:ser>
        <c:ser>
          <c:idx val="1"/>
          <c:order val="1"/>
          <c:tx>
            <c:strRef>
              <c:f>'Secondary wood'!$A$3</c:f>
              <c:strCache>
                <c:ptCount val="1"/>
                <c:pt idx="0">
                  <c:v>Exports </c:v>
                </c:pt>
              </c:strCache>
            </c:strRef>
          </c:tx>
          <c:spPr>
            <a:solidFill>
              <a:schemeClr val="accent2"/>
            </a:solidFill>
            <a:ln>
              <a:noFill/>
            </a:ln>
            <a:effectLst/>
          </c:spPr>
          <c:invertIfNegative val="0"/>
          <c:cat>
            <c:strRef>
              <c:f>'Secondary wood'!$B$1:$L$1</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c:v>
                </c:pt>
              </c:strCache>
            </c:strRef>
          </c:cat>
          <c:val>
            <c:numRef>
              <c:f>'Secondary wood'!$B$3:$L$3</c:f>
              <c:numCache>
                <c:formatCode>0</c:formatCode>
                <c:ptCount val="11"/>
                <c:pt idx="0">
                  <c:v>78.206346999999994</c:v>
                </c:pt>
                <c:pt idx="1">
                  <c:v>77.844649000000004</c:v>
                </c:pt>
                <c:pt idx="2">
                  <c:v>89.428336999999999</c:v>
                </c:pt>
                <c:pt idx="3">
                  <c:v>96.151230999999996</c:v>
                </c:pt>
                <c:pt idx="4">
                  <c:v>80.572584999999989</c:v>
                </c:pt>
                <c:pt idx="5">
                  <c:v>63.791026999999993</c:v>
                </c:pt>
                <c:pt idx="6">
                  <c:v>49.508070999999994</c:v>
                </c:pt>
                <c:pt idx="7">
                  <c:v>50.703597000000002</c:v>
                </c:pt>
                <c:pt idx="8">
                  <c:v>46.563850999999993</c:v>
                </c:pt>
                <c:pt idx="9">
                  <c:v>82.430346999999998</c:v>
                </c:pt>
                <c:pt idx="10">
                  <c:v>104.67532000000001</c:v>
                </c:pt>
              </c:numCache>
            </c:numRef>
          </c:val>
          <c:extLst>
            <c:ext xmlns:c16="http://schemas.microsoft.com/office/drawing/2014/chart" uri="{C3380CC4-5D6E-409C-BE32-E72D297353CC}">
              <c16:uniqueId val="{00000001-4A8A-4E19-B1EB-6B62267B2CE3}"/>
            </c:ext>
          </c:extLst>
        </c:ser>
        <c:ser>
          <c:idx val="2"/>
          <c:order val="2"/>
          <c:tx>
            <c:strRef>
              <c:f>'Secondary wood'!$A$4</c:f>
              <c:strCache>
                <c:ptCount val="1"/>
                <c:pt idx="0">
                  <c:v>Decifit</c:v>
                </c:pt>
              </c:strCache>
            </c:strRef>
          </c:tx>
          <c:spPr>
            <a:solidFill>
              <a:srgbClr val="00B050"/>
            </a:solidFill>
            <a:ln>
              <a:noFill/>
            </a:ln>
            <a:effectLst/>
          </c:spPr>
          <c:invertIfNegative val="0"/>
          <c:cat>
            <c:strRef>
              <c:f>'Secondary wood'!$B$1:$L$1</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c:v>
                </c:pt>
              </c:strCache>
            </c:strRef>
          </c:cat>
          <c:val>
            <c:numRef>
              <c:f>'Secondary wood'!$B$4:$L$4</c:f>
              <c:numCache>
                <c:formatCode>0</c:formatCode>
                <c:ptCount val="11"/>
                <c:pt idx="0">
                  <c:v>-598.082899</c:v>
                </c:pt>
                <c:pt idx="1">
                  <c:v>-653.38847599999997</c:v>
                </c:pt>
                <c:pt idx="2">
                  <c:v>-620.34719999999993</c:v>
                </c:pt>
                <c:pt idx="3">
                  <c:v>-609.73964099999989</c:v>
                </c:pt>
                <c:pt idx="4">
                  <c:v>-671.26531199999999</c:v>
                </c:pt>
                <c:pt idx="5">
                  <c:v>-656.74590899999998</c:v>
                </c:pt>
                <c:pt idx="6">
                  <c:v>-757.04613999999992</c:v>
                </c:pt>
                <c:pt idx="7">
                  <c:v>-850.46191500000009</c:v>
                </c:pt>
                <c:pt idx="8">
                  <c:v>-912.11491500000011</c:v>
                </c:pt>
                <c:pt idx="9">
                  <c:v>-895.30654800000002</c:v>
                </c:pt>
                <c:pt idx="10">
                  <c:v>-896.93832700000007</c:v>
                </c:pt>
              </c:numCache>
            </c:numRef>
          </c:val>
          <c:extLst>
            <c:ext xmlns:c16="http://schemas.microsoft.com/office/drawing/2014/chart" uri="{C3380CC4-5D6E-409C-BE32-E72D297353CC}">
              <c16:uniqueId val="{00000002-4A8A-4E19-B1EB-6B62267B2CE3}"/>
            </c:ext>
          </c:extLst>
        </c:ser>
        <c:dLbls>
          <c:showLegendKey val="0"/>
          <c:showVal val="0"/>
          <c:showCatName val="0"/>
          <c:showSerName val="0"/>
          <c:showPercent val="0"/>
          <c:showBubbleSize val="0"/>
        </c:dLbls>
        <c:gapWidth val="219"/>
        <c:overlap val="-27"/>
        <c:axId val="554780232"/>
        <c:axId val="554782200"/>
      </c:barChart>
      <c:catAx>
        <c:axId val="554780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Financial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54782200"/>
        <c:crosses val="autoZero"/>
        <c:auto val="1"/>
        <c:lblAlgn val="ctr"/>
        <c:lblOffset val="100"/>
        <c:noMultiLvlLbl val="0"/>
      </c:catAx>
      <c:valAx>
        <c:axId val="554782200"/>
        <c:scaling>
          <c:orientation val="minMax"/>
          <c:max val="1200"/>
          <c:min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Value</a:t>
                </a:r>
                <a:r>
                  <a:rPr lang="en-AU" b="1" baseline="0"/>
                  <a:t> ($ millions)</a:t>
                </a:r>
                <a:endParaRPr lang="en-AU"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780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[AFWPSSummaries-Mar-Jun-2018.xlsx]09 Log price ind!PivotTable2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Log price indexes, by log type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1"/>
          </a:solidFill>
          <a:ln w="28575" cap="rnd">
            <a:solidFill>
              <a:schemeClr val="accent1"/>
            </a:solidFill>
            <a:round/>
          </a:ln>
          <a:effectLst/>
        </c:spPr>
        <c:marker>
          <c:symbol val="none"/>
        </c:marker>
      </c:pivotFmt>
      <c:pivotFmt>
        <c:idx val="5"/>
        <c:spPr>
          <a:solidFill>
            <a:schemeClr val="accent1"/>
          </a:solidFill>
          <a:ln w="28575" cap="rnd">
            <a:solidFill>
              <a:schemeClr val="accent1"/>
            </a:solidFill>
            <a:round/>
          </a:ln>
          <a:effectLst/>
        </c:spPr>
        <c:marker>
          <c:symbol val="none"/>
        </c:marker>
      </c:pivotFmt>
      <c:pivotFmt>
        <c:idx val="6"/>
        <c:spPr>
          <a:solidFill>
            <a:schemeClr val="accent1"/>
          </a:solidFill>
          <a:ln w="28575" cap="rnd">
            <a:solidFill>
              <a:schemeClr val="accent1"/>
            </a:solidFill>
            <a:round/>
          </a:ln>
          <a:effectLst/>
        </c:spPr>
        <c:marker>
          <c:symbol val="none"/>
        </c:marker>
      </c:pivotFmt>
      <c:pivotFmt>
        <c:idx val="7"/>
        <c:spPr>
          <a:solidFill>
            <a:schemeClr val="accent1"/>
          </a:solidFill>
          <a:ln w="28575" cap="rnd">
            <a:solidFill>
              <a:schemeClr val="accent1"/>
            </a:solidFill>
            <a:round/>
          </a:ln>
          <a:effectLst/>
        </c:spPr>
        <c:marker>
          <c:symbol val="none"/>
        </c:marker>
      </c:pivotFmt>
      <c:pivotFmt>
        <c:idx val="8"/>
        <c:spPr>
          <a:solidFill>
            <a:schemeClr val="accent1"/>
          </a:solidFill>
          <a:ln w="28575" cap="rnd">
            <a:solidFill>
              <a:schemeClr val="accent1"/>
            </a:solidFill>
            <a:round/>
          </a:ln>
          <a:effectLst/>
        </c:spPr>
        <c:marker>
          <c:symbol val="none"/>
        </c:marker>
      </c:pivotFmt>
      <c:pivotFmt>
        <c:idx val="9"/>
        <c:spPr>
          <a:solidFill>
            <a:schemeClr val="accent1"/>
          </a:solidFill>
          <a:ln w="28575" cap="rnd">
            <a:solidFill>
              <a:schemeClr val="accent1"/>
            </a:solidFill>
            <a:round/>
          </a:ln>
          <a:effectLst/>
        </c:spPr>
        <c:marker>
          <c:symbol val="none"/>
        </c:marker>
      </c:pivotFmt>
      <c:pivotFmt>
        <c:idx val="10"/>
        <c:spPr>
          <a:solidFill>
            <a:schemeClr val="accent1"/>
          </a:solidFill>
          <a:ln w="28575" cap="rnd">
            <a:solidFill>
              <a:schemeClr val="accent1"/>
            </a:solidFill>
            <a:round/>
          </a:ln>
          <a:effectLst/>
        </c:spPr>
        <c:marker>
          <c:symbol val="none"/>
        </c:marker>
      </c:pivotFmt>
      <c:pivotFmt>
        <c:idx val="11"/>
        <c:spPr>
          <a:solidFill>
            <a:schemeClr val="accent1"/>
          </a:solidFill>
          <a:ln w="28575" cap="rnd">
            <a:solidFill>
              <a:schemeClr val="accent1"/>
            </a:solidFill>
            <a:round/>
          </a:ln>
          <a:effectLst/>
        </c:spPr>
        <c:marker>
          <c:symbol val="none"/>
        </c:marker>
      </c:pivotFmt>
      <c:pivotFmt>
        <c:idx val="12"/>
        <c:spPr>
          <a:solidFill>
            <a:schemeClr val="accent1"/>
          </a:solidFill>
          <a:ln w="28575" cap="rnd">
            <a:solidFill>
              <a:schemeClr val="accent1"/>
            </a:solidFill>
            <a:round/>
          </a:ln>
          <a:effectLst/>
        </c:spPr>
        <c:marker>
          <c:symbol val="none"/>
        </c:marker>
      </c:pivotFmt>
      <c:pivotFmt>
        <c:idx val="13"/>
        <c:spPr>
          <a:solidFill>
            <a:schemeClr val="accent1"/>
          </a:solidFill>
          <a:ln w="28575" cap="rnd">
            <a:solidFill>
              <a:schemeClr val="accent1"/>
            </a:solidFill>
            <a:round/>
          </a:ln>
          <a:effectLst/>
        </c:spPr>
        <c:marker>
          <c:symbol val="none"/>
        </c:marker>
      </c:pivotFmt>
      <c:pivotFmt>
        <c:idx val="14"/>
        <c:spPr>
          <a:solidFill>
            <a:schemeClr val="accent1"/>
          </a:solidFill>
          <a:ln w="28575" cap="rnd">
            <a:solidFill>
              <a:schemeClr val="accent1"/>
            </a:solidFill>
            <a:round/>
          </a:ln>
          <a:effectLst/>
        </c:spPr>
        <c:marker>
          <c:symbol val="none"/>
        </c:marker>
      </c:pivotFmt>
      <c:pivotFmt>
        <c:idx val="15"/>
        <c:spPr>
          <a:solidFill>
            <a:schemeClr val="accent1"/>
          </a:solidFill>
          <a:ln w="28575" cap="rnd">
            <a:solidFill>
              <a:schemeClr val="accent1"/>
            </a:solidFill>
            <a:round/>
          </a:ln>
          <a:effectLst/>
        </c:spPr>
        <c:marker>
          <c:symbol val="none"/>
        </c:marker>
      </c:pivotFmt>
      <c:pivotFmt>
        <c:idx val="16"/>
        <c:spPr>
          <a:solidFill>
            <a:schemeClr val="accent1"/>
          </a:solidFill>
          <a:ln w="28575" cap="rnd">
            <a:solidFill>
              <a:schemeClr val="accent1"/>
            </a:solidFill>
            <a:round/>
          </a:ln>
          <a:effectLst/>
        </c:spPr>
        <c:marker>
          <c:symbol val="none"/>
        </c:marker>
      </c:pivotFmt>
      <c:pivotFmt>
        <c:idx val="17"/>
        <c:spPr>
          <a:solidFill>
            <a:schemeClr val="accent1"/>
          </a:solidFill>
          <a:ln w="28575" cap="rnd">
            <a:solidFill>
              <a:schemeClr val="accent1"/>
            </a:solidFill>
            <a:round/>
          </a:ln>
          <a:effectLst/>
        </c:spPr>
        <c:marker>
          <c:symbol val="none"/>
        </c:marker>
      </c:pivotFmt>
    </c:pivotFmts>
    <c:plotArea>
      <c:layout>
        <c:manualLayout>
          <c:layoutTarget val="inner"/>
          <c:xMode val="edge"/>
          <c:yMode val="edge"/>
          <c:x val="9.7498869296895621E-2"/>
          <c:y val="0.12540997464074388"/>
          <c:w val="0.59269264788284515"/>
          <c:h val="0.73090434701579465"/>
        </c:manualLayout>
      </c:layout>
      <c:lineChart>
        <c:grouping val="standard"/>
        <c:varyColors val="0"/>
        <c:ser>
          <c:idx val="0"/>
          <c:order val="0"/>
          <c:tx>
            <c:strRef>
              <c:f>'09 Log price ind'!$M$39:$M$41</c:f>
              <c:strCache>
                <c:ptCount val="1"/>
                <c:pt idx="0">
                  <c:v>Native hardwood - Pulplogs</c:v>
                </c:pt>
              </c:strCache>
            </c:strRef>
          </c:tx>
          <c:spPr>
            <a:ln w="28575" cap="rnd">
              <a:solidFill>
                <a:schemeClr val="accent1"/>
              </a:solidFill>
              <a:round/>
            </a:ln>
            <a:effectLst/>
          </c:spPr>
          <c:marker>
            <c:symbol val="none"/>
          </c:marker>
          <c:cat>
            <c:strRef>
              <c:f>'09 Log price ind'!$L$42:$L$52</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'09 Log price ind'!$M$42:$M$52</c:f>
              <c:numCache>
                <c:formatCode>General</c:formatCode>
                <c:ptCount val="10"/>
                <c:pt idx="0">
                  <c:v>122.677720300313</c:v>
                </c:pt>
                <c:pt idx="1">
                  <c:v>129.87022248868001</c:v>
                </c:pt>
                <c:pt idx="2">
                  <c:v>131.978722446783</c:v>
                </c:pt>
                <c:pt idx="3">
                  <c:v>130.834064933826</c:v>
                </c:pt>
                <c:pt idx="4">
                  <c:v>142.63601533884301</c:v>
                </c:pt>
                <c:pt idx="5">
                  <c:v>139.43816626819199</c:v>
                </c:pt>
                <c:pt idx="6">
                  <c:v>132.45321620295499</c:v>
                </c:pt>
                <c:pt idx="7">
                  <c:v>138.32014379579601</c:v>
                </c:pt>
                <c:pt idx="8">
                  <c:v>140.980166050614</c:v>
                </c:pt>
                <c:pt idx="9">
                  <c:v>152.84418278259</c:v>
                </c:pt>
              </c:numCache>
            </c:numRef>
          </c:val>
          <c:smooth val="0"/>
          <c:extLst>
            <c:ext xmlns:c16="http://schemas.microsoft.com/office/drawing/2014/chart" uri="{C3380CC4-5D6E-409C-BE32-E72D297353CC}">
              <c16:uniqueId val="{00000000-FFF3-4D71-AA8B-AD91921B4315}"/>
            </c:ext>
          </c:extLst>
        </c:ser>
        <c:ser>
          <c:idx val="1"/>
          <c:order val="1"/>
          <c:tx>
            <c:strRef>
              <c:f>'09 Log price ind'!$N$39:$N$41</c:f>
              <c:strCache>
                <c:ptCount val="1"/>
                <c:pt idx="0">
                  <c:v>Native hardwood - Saw and veneer logs</c:v>
                </c:pt>
              </c:strCache>
            </c:strRef>
          </c:tx>
          <c:spPr>
            <a:ln w="28575" cap="rnd">
              <a:solidFill>
                <a:schemeClr val="accent2"/>
              </a:solidFill>
              <a:round/>
            </a:ln>
            <a:effectLst/>
          </c:spPr>
          <c:marker>
            <c:symbol val="none"/>
          </c:marker>
          <c:cat>
            <c:strRef>
              <c:f>'09 Log price ind'!$L$42:$L$52</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'09 Log price ind'!$N$42:$N$52</c:f>
              <c:numCache>
                <c:formatCode>General</c:formatCode>
                <c:ptCount val="10"/>
                <c:pt idx="0">
                  <c:v>142.514269713327</c:v>
                </c:pt>
                <c:pt idx="1">
                  <c:v>148.85945020501401</c:v>
                </c:pt>
                <c:pt idx="2">
                  <c:v>148.14733877401699</c:v>
                </c:pt>
                <c:pt idx="3">
                  <c:v>148.78109159812601</c:v>
                </c:pt>
                <c:pt idx="4">
                  <c:v>154.446317652435</c:v>
                </c:pt>
                <c:pt idx="5">
                  <c:v>161.42475019275099</c:v>
                </c:pt>
                <c:pt idx="6">
                  <c:v>167.57495922605199</c:v>
                </c:pt>
                <c:pt idx="7">
                  <c:v>168.31729856492899</c:v>
                </c:pt>
                <c:pt idx="8">
                  <c:v>169.04716133482401</c:v>
                </c:pt>
                <c:pt idx="9">
                  <c:v>170.374482401324</c:v>
                </c:pt>
              </c:numCache>
            </c:numRef>
          </c:val>
          <c:smooth val="0"/>
          <c:extLst>
            <c:ext xmlns:c16="http://schemas.microsoft.com/office/drawing/2014/chart" uri="{C3380CC4-5D6E-409C-BE32-E72D297353CC}">
              <c16:uniqueId val="{00000001-FFF3-4D71-AA8B-AD91921B4315}"/>
            </c:ext>
          </c:extLst>
        </c:ser>
        <c:ser>
          <c:idx val="2"/>
          <c:order val="2"/>
          <c:tx>
            <c:strRef>
              <c:f>'09 Log price ind'!$O$39:$O$41</c:f>
              <c:strCache>
                <c:ptCount val="1"/>
                <c:pt idx="0">
                  <c:v>Softwood - Pulplogs</c:v>
                </c:pt>
              </c:strCache>
            </c:strRef>
          </c:tx>
          <c:spPr>
            <a:ln w="28575" cap="rnd">
              <a:solidFill>
                <a:schemeClr val="accent3"/>
              </a:solidFill>
              <a:round/>
            </a:ln>
            <a:effectLst/>
          </c:spPr>
          <c:marker>
            <c:symbol val="none"/>
          </c:marker>
          <c:cat>
            <c:strRef>
              <c:f>'09 Log price ind'!$L$42:$L$52</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'09 Log price ind'!$O$42:$O$52</c:f>
              <c:numCache>
                <c:formatCode>General</c:formatCode>
                <c:ptCount val="10"/>
                <c:pt idx="0">
                  <c:v>102.633925889219</c:v>
                </c:pt>
                <c:pt idx="1">
                  <c:v>105.486603779436</c:v>
                </c:pt>
                <c:pt idx="2">
                  <c:v>102.758214341902</c:v>
                </c:pt>
                <c:pt idx="3">
                  <c:v>111.55285864296501</c:v>
                </c:pt>
                <c:pt idx="4">
                  <c:v>113.80014619545599</c:v>
                </c:pt>
                <c:pt idx="5">
                  <c:v>115.48151495324601</c:v>
                </c:pt>
                <c:pt idx="6">
                  <c:v>125.505807142262</c:v>
                </c:pt>
                <c:pt idx="7">
                  <c:v>124.170245454227</c:v>
                </c:pt>
                <c:pt idx="8">
                  <c:v>135.46978068287899</c:v>
                </c:pt>
                <c:pt idx="9">
                  <c:v>150.012222470175</c:v>
                </c:pt>
              </c:numCache>
            </c:numRef>
          </c:val>
          <c:smooth val="0"/>
          <c:extLst>
            <c:ext xmlns:c16="http://schemas.microsoft.com/office/drawing/2014/chart" uri="{C3380CC4-5D6E-409C-BE32-E72D297353CC}">
              <c16:uniqueId val="{00000002-FFF3-4D71-AA8B-AD91921B4315}"/>
            </c:ext>
          </c:extLst>
        </c:ser>
        <c:ser>
          <c:idx val="3"/>
          <c:order val="3"/>
          <c:tx>
            <c:strRef>
              <c:f>'09 Log price ind'!$P$39:$P$41</c:f>
              <c:strCache>
                <c:ptCount val="1"/>
                <c:pt idx="0">
                  <c:v>Softwood - Saw and veneer logs</c:v>
                </c:pt>
              </c:strCache>
            </c:strRef>
          </c:tx>
          <c:spPr>
            <a:ln w="28575" cap="rnd">
              <a:solidFill>
                <a:schemeClr val="accent4"/>
              </a:solidFill>
              <a:round/>
            </a:ln>
            <a:effectLst/>
          </c:spPr>
          <c:marker>
            <c:symbol val="none"/>
          </c:marker>
          <c:cat>
            <c:strRef>
              <c:f>'09 Log price ind'!$L$42:$L$52</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'09 Log price ind'!$P$42:$P$52</c:f>
              <c:numCache>
                <c:formatCode>General</c:formatCode>
                <c:ptCount val="10"/>
                <c:pt idx="0">
                  <c:v>114.238197844342</c:v>
                </c:pt>
                <c:pt idx="1">
                  <c:v>120.02771647771</c:v>
                </c:pt>
                <c:pt idx="2">
                  <c:v>124.468970754955</c:v>
                </c:pt>
                <c:pt idx="3">
                  <c:v>127.48906522661299</c:v>
                </c:pt>
                <c:pt idx="4">
                  <c:v>124.00135706176501</c:v>
                </c:pt>
                <c:pt idx="5">
                  <c:v>117.889480854224</c:v>
                </c:pt>
                <c:pt idx="6">
                  <c:v>135.554184428019</c:v>
                </c:pt>
                <c:pt idx="7">
                  <c:v>136.53611919256099</c:v>
                </c:pt>
                <c:pt idx="8">
                  <c:v>140.18032668993899</c:v>
                </c:pt>
                <c:pt idx="9">
                  <c:v>147.863779226974</c:v>
                </c:pt>
              </c:numCache>
            </c:numRef>
          </c:val>
          <c:smooth val="0"/>
          <c:extLst>
            <c:ext xmlns:c16="http://schemas.microsoft.com/office/drawing/2014/chart" uri="{C3380CC4-5D6E-409C-BE32-E72D297353CC}">
              <c16:uniqueId val="{00000003-FFF3-4D71-AA8B-AD91921B4315}"/>
            </c:ext>
          </c:extLst>
        </c:ser>
        <c:ser>
          <c:idx val="4"/>
          <c:order val="4"/>
          <c:tx>
            <c:strRef>
              <c:f>'09 Log price ind'!$Q$39:$Q$41</c:f>
              <c:strCache>
                <c:ptCount val="1"/>
                <c:pt idx="0">
                  <c:v>Hardwood plantation - Pulplogs</c:v>
                </c:pt>
              </c:strCache>
            </c:strRef>
          </c:tx>
          <c:spPr>
            <a:ln w="28575" cap="rnd">
              <a:solidFill>
                <a:schemeClr val="accent5"/>
              </a:solidFill>
              <a:round/>
            </a:ln>
            <a:effectLst/>
          </c:spPr>
          <c:marker>
            <c:symbol val="none"/>
          </c:marker>
          <c:cat>
            <c:strRef>
              <c:f>'09 Log price ind'!$L$42:$L$52</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'09 Log price ind'!$Q$42:$Q$52</c:f>
              <c:numCache>
                <c:formatCode>General</c:formatCode>
                <c:ptCount val="10"/>
                <c:pt idx="0">
                  <c:v>166.042102272601</c:v>
                </c:pt>
                <c:pt idx="1">
                  <c:v>170.350612637171</c:v>
                </c:pt>
                <c:pt idx="2">
                  <c:v>172.52112299959001</c:v>
                </c:pt>
                <c:pt idx="3">
                  <c:v>176.891955021168</c:v>
                </c:pt>
                <c:pt idx="4">
                  <c:v>154.16061305402101</c:v>
                </c:pt>
                <c:pt idx="5">
                  <c:v>145.11304162199201</c:v>
                </c:pt>
                <c:pt idx="6">
                  <c:v>153.176871609035</c:v>
                </c:pt>
                <c:pt idx="7">
                  <c:v>162.83064312837701</c:v>
                </c:pt>
                <c:pt idx="8">
                  <c:v>163.727884633955</c:v>
                </c:pt>
                <c:pt idx="9">
                  <c:v>160.131142720274</c:v>
                </c:pt>
              </c:numCache>
            </c:numRef>
          </c:val>
          <c:smooth val="0"/>
          <c:extLst>
            <c:ext xmlns:c16="http://schemas.microsoft.com/office/drawing/2014/chart" uri="{C3380CC4-5D6E-409C-BE32-E72D297353CC}">
              <c16:uniqueId val="{00000004-FFF3-4D71-AA8B-AD91921B4315}"/>
            </c:ext>
          </c:extLst>
        </c:ser>
        <c:ser>
          <c:idx val="5"/>
          <c:order val="5"/>
          <c:tx>
            <c:strRef>
              <c:f>'09 Log price ind'!$R$39:$R$41</c:f>
              <c:strCache>
                <c:ptCount val="1"/>
                <c:pt idx="0">
                  <c:v>Hardwood plantation - Saw and veneer logs</c:v>
                </c:pt>
              </c:strCache>
            </c:strRef>
          </c:tx>
          <c:spPr>
            <a:ln w="28575" cap="rnd">
              <a:solidFill>
                <a:schemeClr val="accent6"/>
              </a:solidFill>
              <a:round/>
            </a:ln>
            <a:effectLst/>
          </c:spPr>
          <c:marker>
            <c:symbol val="none"/>
          </c:marker>
          <c:cat>
            <c:strRef>
              <c:f>'09 Log price ind'!$L$42:$L$52</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'09 Log price ind'!$R$42:$R$52</c:f>
              <c:numCache>
                <c:formatCode>General</c:formatCode>
                <c:ptCount val="10"/>
                <c:pt idx="0">
                  <c:v>101.697214365371</c:v>
                </c:pt>
                <c:pt idx="1">
                  <c:v>102.60121509287499</c:v>
                </c:pt>
                <c:pt idx="2">
                  <c:v>104.152925169656</c:v>
                </c:pt>
                <c:pt idx="3">
                  <c:v>184.511954215712</c:v>
                </c:pt>
                <c:pt idx="4">
                  <c:v>207.407509072626</c:v>
                </c:pt>
                <c:pt idx="5">
                  <c:v>132.75220010722299</c:v>
                </c:pt>
                <c:pt idx="6">
                  <c:v>112.51394716390701</c:v>
                </c:pt>
                <c:pt idx="7">
                  <c:v>107.495061137394</c:v>
                </c:pt>
                <c:pt idx="8">
                  <c:v>121.752473407568</c:v>
                </c:pt>
                <c:pt idx="9">
                  <c:v>128.33057968942001</c:v>
                </c:pt>
              </c:numCache>
            </c:numRef>
          </c:val>
          <c:smooth val="0"/>
          <c:extLst>
            <c:ext xmlns:c16="http://schemas.microsoft.com/office/drawing/2014/chart" uri="{C3380CC4-5D6E-409C-BE32-E72D297353CC}">
              <c16:uniqueId val="{00000005-FFF3-4D71-AA8B-AD91921B4315}"/>
            </c:ext>
          </c:extLst>
        </c:ser>
        <c:dLbls>
          <c:showLegendKey val="0"/>
          <c:showVal val="0"/>
          <c:showCatName val="0"/>
          <c:showSerName val="0"/>
          <c:showPercent val="0"/>
          <c:showBubbleSize val="0"/>
        </c:dLbls>
        <c:smooth val="0"/>
        <c:axId val="749225352"/>
        <c:axId val="749232896"/>
      </c:lineChart>
      <c:catAx>
        <c:axId val="74922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232896"/>
        <c:crosses val="autoZero"/>
        <c:auto val="1"/>
        <c:lblAlgn val="ctr"/>
        <c:lblOffset val="100"/>
        <c:noMultiLvlLbl val="0"/>
      </c:catAx>
      <c:valAx>
        <c:axId val="74923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Nominal price /m3 at </a:t>
                </a:r>
                <a:r>
                  <a:rPr lang="en-AU" sz="1000" b="0" i="0" u="none" strike="noStrike" baseline="0">
                    <a:effectLst/>
                  </a:rPr>
                  <a:t>milldoor</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225352"/>
        <c:crosses val="autoZero"/>
        <c:crossBetween val="between"/>
      </c:valAx>
      <c:spPr>
        <a:noFill/>
        <a:ln>
          <a:noFill/>
        </a:ln>
        <a:effectLst/>
      </c:spPr>
    </c:plotArea>
    <c:legend>
      <c:legendPos val="r"/>
      <c:layout>
        <c:manualLayout>
          <c:xMode val="edge"/>
          <c:yMode val="edge"/>
          <c:x val="0.68627071733657286"/>
          <c:y val="0.26261806031642493"/>
          <c:w val="0.30196688313392306"/>
          <c:h val="0.562980278352779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23404217329976"/>
          <c:y val="4.1439065737427012E-2"/>
          <c:w val="0.69370866759786898"/>
          <c:h val="0.87116870327166906"/>
        </c:manualLayout>
      </c:layout>
      <c:lineChart>
        <c:grouping val="standard"/>
        <c:varyColors val="0"/>
        <c:ser>
          <c:idx val="0"/>
          <c:order val="0"/>
          <c:tx>
            <c:strRef>
              <c:f>'Native timber'!$A$3:$A$9</c:f>
              <c:strCache>
                <c:ptCount val="1"/>
                <c:pt idx="0">
                  <c:v>Central Highlands</c:v>
                </c:pt>
              </c:strCache>
            </c:strRef>
          </c:tx>
          <c:spPr>
            <a:ln w="28575" cap="rnd">
              <a:solidFill>
                <a:schemeClr val="accent1">
                  <a:lumMod val="75000"/>
                </a:schemeClr>
              </a:solidFill>
              <a:round/>
            </a:ln>
            <a:effectLst/>
          </c:spPr>
          <c:marker>
            <c:symbol val="none"/>
          </c:marker>
          <c:cat>
            <c:numRef>
              <c:f>'Native timber'!$C$2:$P$2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'Native timber'!$C$9:$P$9</c:f>
              <c:numCache>
                <c:formatCode>#,##0</c:formatCode>
                <c:ptCount val="14"/>
                <c:pt idx="0">
                  <c:v>939381</c:v>
                </c:pt>
                <c:pt idx="1">
                  <c:v>900900</c:v>
                </c:pt>
                <c:pt idx="2">
                  <c:v>763653</c:v>
                </c:pt>
                <c:pt idx="3">
                  <c:v>733655.91469999962</c:v>
                </c:pt>
                <c:pt idx="4">
                  <c:v>925577.24019999942</c:v>
                </c:pt>
                <c:pt idx="5">
                  <c:v>1432530.0503</c:v>
                </c:pt>
                <c:pt idx="6">
                  <c:v>1136226.7448000009</c:v>
                </c:pt>
                <c:pt idx="7">
                  <c:v>943543.24250000005</c:v>
                </c:pt>
                <c:pt idx="8">
                  <c:v>861590.92209999985</c:v>
                </c:pt>
                <c:pt idx="9">
                  <c:v>854127.73249999993</c:v>
                </c:pt>
                <c:pt idx="10">
                  <c:v>983561.56549999979</c:v>
                </c:pt>
                <c:pt idx="11">
                  <c:v>1032186.9773999996</c:v>
                </c:pt>
                <c:pt idx="12">
                  <c:v>916162.13020000013</c:v>
                </c:pt>
                <c:pt idx="13">
                  <c:v>867488.21060000011</c:v>
                </c:pt>
              </c:numCache>
            </c:numRef>
          </c:val>
          <c:smooth val="0"/>
          <c:extLst>
            <c:ext xmlns:c16="http://schemas.microsoft.com/office/drawing/2014/chart" uri="{C3380CC4-5D6E-409C-BE32-E72D297353CC}">
              <c16:uniqueId val="{00000000-44A9-4357-BCE9-A7E872BE9B5E}"/>
            </c:ext>
          </c:extLst>
        </c:ser>
        <c:ser>
          <c:idx val="1"/>
          <c:order val="1"/>
          <c:tx>
            <c:strRef>
              <c:f>'Native timber'!$A$11:$A$17</c:f>
              <c:strCache>
                <c:ptCount val="1"/>
                <c:pt idx="0">
                  <c:v>East Gippsland</c:v>
                </c:pt>
              </c:strCache>
            </c:strRef>
          </c:tx>
          <c:spPr>
            <a:ln w="28575" cap="rnd">
              <a:solidFill>
                <a:schemeClr val="accent2">
                  <a:lumMod val="50000"/>
                  <a:lumOff val="50000"/>
                </a:schemeClr>
              </a:solidFill>
              <a:round/>
            </a:ln>
            <a:effectLst/>
          </c:spPr>
          <c:marker>
            <c:symbol val="none"/>
          </c:marker>
          <c:cat>
            <c:numRef>
              <c:f>'Native timber'!$C$2:$P$2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'Native timber'!$C$17:$P$17</c:f>
              <c:numCache>
                <c:formatCode>#,##0</c:formatCode>
                <c:ptCount val="14"/>
                <c:pt idx="0">
                  <c:v>478106</c:v>
                </c:pt>
                <c:pt idx="1">
                  <c:v>494341</c:v>
                </c:pt>
                <c:pt idx="2">
                  <c:v>476662</c:v>
                </c:pt>
                <c:pt idx="3">
                  <c:v>409575.33509999997</c:v>
                </c:pt>
                <c:pt idx="4">
                  <c:v>514360.52999999997</c:v>
                </c:pt>
                <c:pt idx="5">
                  <c:v>391531.65010000009</c:v>
                </c:pt>
                <c:pt idx="6">
                  <c:v>398141.42160000006</c:v>
                </c:pt>
                <c:pt idx="7">
                  <c:v>332438.84799999994</c:v>
                </c:pt>
                <c:pt idx="8">
                  <c:v>265444.58479999995</c:v>
                </c:pt>
                <c:pt idx="9">
                  <c:v>220329.64729999998</c:v>
                </c:pt>
                <c:pt idx="10">
                  <c:v>169100.70589999997</c:v>
                </c:pt>
                <c:pt idx="11">
                  <c:v>95496.190799999982</c:v>
                </c:pt>
                <c:pt idx="12">
                  <c:v>109789.64109999999</c:v>
                </c:pt>
                <c:pt idx="13">
                  <c:v>141162.9155</c:v>
                </c:pt>
              </c:numCache>
            </c:numRef>
          </c:val>
          <c:smooth val="0"/>
          <c:extLst>
            <c:ext xmlns:c16="http://schemas.microsoft.com/office/drawing/2014/chart" uri="{C3380CC4-5D6E-409C-BE32-E72D297353CC}">
              <c16:uniqueId val="{00000001-44A9-4357-BCE9-A7E872BE9B5E}"/>
            </c:ext>
          </c:extLst>
        </c:ser>
        <c:ser>
          <c:idx val="2"/>
          <c:order val="2"/>
          <c:tx>
            <c:strRef>
              <c:f>'Native timber'!$A$19:$A$25</c:f>
              <c:strCache>
                <c:ptCount val="1"/>
                <c:pt idx="0">
                  <c:v>Gippsland</c:v>
                </c:pt>
              </c:strCache>
            </c:strRef>
          </c:tx>
          <c:spPr>
            <a:ln w="28575" cap="rnd">
              <a:solidFill>
                <a:srgbClr val="92D050"/>
              </a:solidFill>
              <a:round/>
            </a:ln>
            <a:effectLst/>
          </c:spPr>
          <c:marker>
            <c:symbol val="none"/>
          </c:marker>
          <c:cat>
            <c:numRef>
              <c:f>'Native timber'!$C$2:$P$2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'Native timber'!$C$25:$P$25</c:f>
              <c:numCache>
                <c:formatCode>#,##0</c:formatCode>
                <c:ptCount val="14"/>
                <c:pt idx="0">
                  <c:v>236080</c:v>
                </c:pt>
                <c:pt idx="1">
                  <c:v>234130</c:v>
                </c:pt>
                <c:pt idx="2">
                  <c:v>333849</c:v>
                </c:pt>
                <c:pt idx="3">
                  <c:v>480181.93360000022</c:v>
                </c:pt>
                <c:pt idx="4">
                  <c:v>339066.20219999994</c:v>
                </c:pt>
                <c:pt idx="5">
                  <c:v>20173.210499999997</c:v>
                </c:pt>
                <c:pt idx="6">
                  <c:v>158108.18450000009</c:v>
                </c:pt>
                <c:pt idx="7">
                  <c:v>145197.8824</c:v>
                </c:pt>
                <c:pt idx="8">
                  <c:v>98063.657099999997</c:v>
                </c:pt>
                <c:pt idx="9">
                  <c:v>91690.19</c:v>
                </c:pt>
                <c:pt idx="10">
                  <c:v>111502.60029999998</c:v>
                </c:pt>
                <c:pt idx="11">
                  <c:v>123217.09600000002</c:v>
                </c:pt>
                <c:pt idx="12">
                  <c:v>153633.98899999997</c:v>
                </c:pt>
                <c:pt idx="13">
                  <c:v>112699.54200000002</c:v>
                </c:pt>
              </c:numCache>
            </c:numRef>
          </c:val>
          <c:smooth val="0"/>
          <c:extLst>
            <c:ext xmlns:c16="http://schemas.microsoft.com/office/drawing/2014/chart" uri="{C3380CC4-5D6E-409C-BE32-E72D297353CC}">
              <c16:uniqueId val="{00000002-44A9-4357-BCE9-A7E872BE9B5E}"/>
            </c:ext>
          </c:extLst>
        </c:ser>
        <c:ser>
          <c:idx val="3"/>
          <c:order val="3"/>
          <c:tx>
            <c:strRef>
              <c:f>'Native timber'!$A$27:$A$33</c:f>
              <c:strCache>
                <c:ptCount val="1"/>
                <c:pt idx="0">
                  <c:v>North East</c:v>
                </c:pt>
              </c:strCache>
            </c:strRef>
          </c:tx>
          <c:spPr>
            <a:ln w="28575" cap="rnd">
              <a:solidFill>
                <a:schemeClr val="accent5"/>
              </a:solidFill>
              <a:round/>
            </a:ln>
            <a:effectLst/>
          </c:spPr>
          <c:marker>
            <c:symbol val="none"/>
          </c:marker>
          <c:cat>
            <c:numRef>
              <c:f>'Native timber'!$C$2:$P$2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'Native timber'!$C$33:$P$33</c:f>
              <c:numCache>
                <c:formatCode>#,##0</c:formatCode>
                <c:ptCount val="14"/>
                <c:pt idx="0">
                  <c:v>203267</c:v>
                </c:pt>
                <c:pt idx="1">
                  <c:v>185505</c:v>
                </c:pt>
                <c:pt idx="2">
                  <c:v>100008</c:v>
                </c:pt>
                <c:pt idx="3">
                  <c:v>150030.8731</c:v>
                </c:pt>
                <c:pt idx="4">
                  <c:v>35434.341100000005</c:v>
                </c:pt>
                <c:pt idx="5">
                  <c:v>8033.3719999999985</c:v>
                </c:pt>
                <c:pt idx="6">
                  <c:v>4977.4309999999969</c:v>
                </c:pt>
                <c:pt idx="7">
                  <c:v>10232.930999999995</c:v>
                </c:pt>
                <c:pt idx="8">
                  <c:v>34619.916799999999</c:v>
                </c:pt>
                <c:pt idx="9">
                  <c:v>47603.381099999999</c:v>
                </c:pt>
                <c:pt idx="10">
                  <c:v>22043.665700000001</c:v>
                </c:pt>
                <c:pt idx="11">
                  <c:v>42460.059700000005</c:v>
                </c:pt>
                <c:pt idx="12">
                  <c:v>26460.338199999998</c:v>
                </c:pt>
                <c:pt idx="13">
                  <c:v>33113.905000000006</c:v>
                </c:pt>
              </c:numCache>
            </c:numRef>
          </c:val>
          <c:smooth val="0"/>
          <c:extLst>
            <c:ext xmlns:c16="http://schemas.microsoft.com/office/drawing/2014/chart" uri="{C3380CC4-5D6E-409C-BE32-E72D297353CC}">
              <c16:uniqueId val="{00000003-44A9-4357-BCE9-A7E872BE9B5E}"/>
            </c:ext>
          </c:extLst>
        </c:ser>
        <c:ser>
          <c:idx val="4"/>
          <c:order val="4"/>
          <c:tx>
            <c:strRef>
              <c:f>'Native timber'!$A$35:$A$41</c:f>
              <c:strCache>
                <c:ptCount val="1"/>
                <c:pt idx="0">
                  <c:v>Total</c:v>
                </c:pt>
              </c:strCache>
            </c:strRef>
          </c:tx>
          <c:spPr>
            <a:ln w="28575" cap="rnd">
              <a:solidFill>
                <a:schemeClr val="tx1">
                  <a:lumMod val="60000"/>
                  <a:lumOff val="40000"/>
                </a:schemeClr>
              </a:solidFill>
              <a:round/>
            </a:ln>
            <a:effectLst/>
          </c:spPr>
          <c:marker>
            <c:symbol val="none"/>
          </c:marker>
          <c:val>
            <c:numRef>
              <c:f>'Native timber'!$C$41:$P$41</c:f>
              <c:numCache>
                <c:formatCode>#,##0</c:formatCode>
                <c:ptCount val="14"/>
                <c:pt idx="0">
                  <c:v>1856834</c:v>
                </c:pt>
                <c:pt idx="1">
                  <c:v>1814876</c:v>
                </c:pt>
                <c:pt idx="2">
                  <c:v>1674172</c:v>
                </c:pt>
                <c:pt idx="3">
                  <c:v>1773444.0564999999</c:v>
                </c:pt>
                <c:pt idx="4">
                  <c:v>1814438.3134999995</c:v>
                </c:pt>
                <c:pt idx="5">
                  <c:v>1852268.2829</c:v>
                </c:pt>
                <c:pt idx="6">
                  <c:v>1697453.781900001</c:v>
                </c:pt>
                <c:pt idx="7">
                  <c:v>1431412.9039</c:v>
                </c:pt>
                <c:pt idx="8">
                  <c:v>1259719.0807999999</c:v>
                </c:pt>
                <c:pt idx="9">
                  <c:v>1213750.9509000001</c:v>
                </c:pt>
                <c:pt idx="10">
                  <c:v>1286208.5373999998</c:v>
                </c:pt>
                <c:pt idx="11">
                  <c:v>1293360.3238999997</c:v>
                </c:pt>
                <c:pt idx="12">
                  <c:v>1206046.0985000003</c:v>
                </c:pt>
                <c:pt idx="13">
                  <c:v>1154464.5731000002</c:v>
                </c:pt>
              </c:numCache>
            </c:numRef>
          </c:val>
          <c:smooth val="0"/>
          <c:extLst>
            <c:ext xmlns:c16="http://schemas.microsoft.com/office/drawing/2014/chart" uri="{C3380CC4-5D6E-409C-BE32-E72D297353CC}">
              <c16:uniqueId val="{00000004-44A9-4357-BCE9-A7E872BE9B5E}"/>
            </c:ext>
          </c:extLst>
        </c:ser>
        <c:dLbls>
          <c:showLegendKey val="0"/>
          <c:showVal val="0"/>
          <c:showCatName val="0"/>
          <c:showSerName val="0"/>
          <c:showPercent val="0"/>
          <c:showBubbleSize val="0"/>
        </c:dLbls>
        <c:smooth val="0"/>
        <c:axId val="342626648"/>
        <c:axId val="484668152"/>
      </c:lineChart>
      <c:catAx>
        <c:axId val="342626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668152"/>
        <c:crosses val="autoZero"/>
        <c:auto val="1"/>
        <c:lblAlgn val="ctr"/>
        <c:lblOffset val="100"/>
        <c:noMultiLvlLbl val="0"/>
      </c:catAx>
      <c:valAx>
        <c:axId val="484668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626648"/>
        <c:crosses val="autoZero"/>
        <c:crossBetween val="between"/>
      </c:valAx>
      <c:spPr>
        <a:noFill/>
        <a:ln>
          <a:noFill/>
        </a:ln>
        <a:effectLst/>
      </c:spPr>
    </c:plotArea>
    <c:legend>
      <c:legendPos val="r"/>
      <c:layout>
        <c:manualLayout>
          <c:xMode val="edge"/>
          <c:yMode val="edge"/>
          <c:x val="0.81443234774224649"/>
          <c:y val="0.29586425072266226"/>
          <c:w val="0.18556765225775348"/>
          <c:h val="0.317858694862238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'Native timber'!$A$46:$A$52</c:f>
              <c:strCache>
                <c:ptCount val="1"/>
                <c:pt idx="0">
                  <c:v>Central Highlands</c:v>
                </c:pt>
              </c:strCache>
            </c:strRef>
          </c:tx>
          <c:spPr>
            <a:ln w="28575" cap="rnd">
              <a:solidFill>
                <a:schemeClr val="accent1">
                  <a:lumMod val="75000"/>
                </a:schemeClr>
              </a:solidFill>
              <a:round/>
            </a:ln>
            <a:effectLst/>
          </c:spPr>
          <c:marker>
            <c:symbol val="none"/>
          </c:marker>
          <c:cat>
            <c:numRef>
              <c:f>'Native timber'!$C$45:$P$45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'Native timber'!$C$52:$P$52</c:f>
              <c:numCache>
                <c:formatCode>#,##0</c:formatCode>
                <c:ptCount val="14"/>
                <c:pt idx="0">
                  <c:v>22168285.175999995</c:v>
                </c:pt>
                <c:pt idx="1">
                  <c:v>22016362.932799999</c:v>
                </c:pt>
                <c:pt idx="2">
                  <c:v>18589392.6129</c:v>
                </c:pt>
                <c:pt idx="3">
                  <c:v>20964048.145700011</c:v>
                </c:pt>
                <c:pt idx="4">
                  <c:v>16374693.650000002</c:v>
                </c:pt>
                <c:pt idx="5">
                  <c:v>28646744.519400001</c:v>
                </c:pt>
                <c:pt idx="6">
                  <c:v>27812902.219100006</c:v>
                </c:pt>
                <c:pt idx="7">
                  <c:v>24228432.07</c:v>
                </c:pt>
                <c:pt idx="8">
                  <c:v>24717862.540000003</c:v>
                </c:pt>
                <c:pt idx="9">
                  <c:v>23724230.999999996</c:v>
                </c:pt>
                <c:pt idx="10">
                  <c:v>25368386.860000003</c:v>
                </c:pt>
                <c:pt idx="11">
                  <c:v>28239663.73</c:v>
                </c:pt>
                <c:pt idx="12">
                  <c:v>24910151.84999999</c:v>
                </c:pt>
                <c:pt idx="13">
                  <c:v>21043987</c:v>
                </c:pt>
              </c:numCache>
            </c:numRef>
          </c:val>
          <c:smooth val="0"/>
          <c:extLst>
            <c:ext xmlns:c16="http://schemas.microsoft.com/office/drawing/2014/chart" uri="{C3380CC4-5D6E-409C-BE32-E72D297353CC}">
              <c16:uniqueId val="{00000000-4EDC-43D7-B182-AAA9EC3EB013}"/>
            </c:ext>
          </c:extLst>
        </c:ser>
        <c:ser>
          <c:idx val="1"/>
          <c:order val="1"/>
          <c:tx>
            <c:strRef>
              <c:f>'Native timber'!$A$53:$A$59</c:f>
              <c:strCache>
                <c:ptCount val="1"/>
                <c:pt idx="0">
                  <c:v>East Gippsland</c:v>
                </c:pt>
              </c:strCache>
            </c:strRef>
          </c:tx>
          <c:spPr>
            <a:ln w="28575" cap="rnd">
              <a:solidFill>
                <a:schemeClr val="accent2">
                  <a:lumMod val="50000"/>
                  <a:lumOff val="50000"/>
                </a:schemeClr>
              </a:solidFill>
              <a:round/>
            </a:ln>
            <a:effectLst/>
          </c:spPr>
          <c:marker>
            <c:symbol val="none"/>
          </c:marker>
          <c:cat>
            <c:numRef>
              <c:f>'Native timber'!$C$45:$P$45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'Native timber'!$C$59:$P$59</c:f>
              <c:numCache>
                <c:formatCode>#,##0</c:formatCode>
                <c:ptCount val="14"/>
                <c:pt idx="0">
                  <c:v>6293933.1301999995</c:v>
                </c:pt>
                <c:pt idx="1">
                  <c:v>6782827.9734000005</c:v>
                </c:pt>
                <c:pt idx="2">
                  <c:v>6735140.6782</c:v>
                </c:pt>
                <c:pt idx="3">
                  <c:v>15037316.923599999</c:v>
                </c:pt>
                <c:pt idx="4">
                  <c:v>4982022.2799999993</c:v>
                </c:pt>
                <c:pt idx="5">
                  <c:v>5449364.4699999988</c:v>
                </c:pt>
                <c:pt idx="6">
                  <c:v>5379912.1699999999</c:v>
                </c:pt>
                <c:pt idx="7">
                  <c:v>4882688.72</c:v>
                </c:pt>
                <c:pt idx="8">
                  <c:v>4473645.92</c:v>
                </c:pt>
                <c:pt idx="9">
                  <c:v>3434224.01</c:v>
                </c:pt>
                <c:pt idx="10">
                  <c:v>3141189.3200000003</c:v>
                </c:pt>
                <c:pt idx="11">
                  <c:v>2935004.3400000003</c:v>
                </c:pt>
                <c:pt idx="12">
                  <c:v>2848663.5700000008</c:v>
                </c:pt>
                <c:pt idx="13">
                  <c:v>3037723.27</c:v>
                </c:pt>
              </c:numCache>
            </c:numRef>
          </c:val>
          <c:smooth val="0"/>
          <c:extLst>
            <c:ext xmlns:c16="http://schemas.microsoft.com/office/drawing/2014/chart" uri="{C3380CC4-5D6E-409C-BE32-E72D297353CC}">
              <c16:uniqueId val="{00000001-4EDC-43D7-B182-AAA9EC3EB013}"/>
            </c:ext>
          </c:extLst>
        </c:ser>
        <c:ser>
          <c:idx val="2"/>
          <c:order val="2"/>
          <c:tx>
            <c:strRef>
              <c:f>'Native timber'!$A$60:$A$66</c:f>
              <c:strCache>
                <c:ptCount val="1"/>
                <c:pt idx="0">
                  <c:v>Gippsland</c:v>
                </c:pt>
              </c:strCache>
            </c:strRef>
          </c:tx>
          <c:spPr>
            <a:ln w="28575" cap="rnd">
              <a:solidFill>
                <a:srgbClr val="92D050"/>
              </a:solidFill>
              <a:round/>
            </a:ln>
            <a:effectLst/>
          </c:spPr>
          <c:marker>
            <c:symbol val="none"/>
          </c:marker>
          <c:cat>
            <c:numRef>
              <c:f>'Native timber'!$C$45:$P$45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'Native timber'!$C$66:$P$66</c:f>
              <c:numCache>
                <c:formatCode>#,##0</c:formatCode>
                <c:ptCount val="14"/>
                <c:pt idx="0">
                  <c:v>4250912.3607000001</c:v>
                </c:pt>
                <c:pt idx="1">
                  <c:v>4005315.2370999991</c:v>
                </c:pt>
                <c:pt idx="2">
                  <c:v>5653261.1900000004</c:v>
                </c:pt>
                <c:pt idx="3">
                  <c:v>7020165.8233000003</c:v>
                </c:pt>
                <c:pt idx="4">
                  <c:v>3762998.8299999996</c:v>
                </c:pt>
                <c:pt idx="5">
                  <c:v>1552441.9300000002</c:v>
                </c:pt>
                <c:pt idx="6">
                  <c:v>5347786.1900000013</c:v>
                </c:pt>
                <c:pt idx="7">
                  <c:v>4472110.3100000005</c:v>
                </c:pt>
                <c:pt idx="8">
                  <c:v>3591706.1999999993</c:v>
                </c:pt>
                <c:pt idx="9">
                  <c:v>2593111.7599999998</c:v>
                </c:pt>
                <c:pt idx="10">
                  <c:v>3222232.8500000006</c:v>
                </c:pt>
                <c:pt idx="11">
                  <c:v>3857371.2600000002</c:v>
                </c:pt>
                <c:pt idx="12">
                  <c:v>4537682.7299999995</c:v>
                </c:pt>
                <c:pt idx="13">
                  <c:v>3084501.75</c:v>
                </c:pt>
              </c:numCache>
            </c:numRef>
          </c:val>
          <c:smooth val="0"/>
          <c:extLst>
            <c:ext xmlns:c16="http://schemas.microsoft.com/office/drawing/2014/chart" uri="{C3380CC4-5D6E-409C-BE32-E72D297353CC}">
              <c16:uniqueId val="{00000002-4EDC-43D7-B182-AAA9EC3EB013}"/>
            </c:ext>
          </c:extLst>
        </c:ser>
        <c:ser>
          <c:idx val="3"/>
          <c:order val="3"/>
          <c:tx>
            <c:strRef>
              <c:f>'Native timber'!$A$67:$A$73</c:f>
              <c:strCache>
                <c:ptCount val="1"/>
                <c:pt idx="0">
                  <c:v>North East</c:v>
                </c:pt>
              </c:strCache>
            </c:strRef>
          </c:tx>
          <c:spPr>
            <a:ln w="28575" cap="rnd">
              <a:solidFill>
                <a:schemeClr val="accent5"/>
              </a:solidFill>
              <a:round/>
            </a:ln>
            <a:effectLst/>
          </c:spPr>
          <c:marker>
            <c:symbol val="none"/>
          </c:marker>
          <c:cat>
            <c:numRef>
              <c:f>'Native timber'!$C$45:$P$45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'Native timber'!$C$73:$P$73</c:f>
              <c:numCache>
                <c:formatCode>#,##0</c:formatCode>
                <c:ptCount val="14"/>
                <c:pt idx="0">
                  <c:v>2651855.6157999998</c:v>
                </c:pt>
                <c:pt idx="1">
                  <c:v>2253291.9468</c:v>
                </c:pt>
                <c:pt idx="2">
                  <c:v>1852346.8581000003</c:v>
                </c:pt>
                <c:pt idx="3">
                  <c:v>2809208.8123999992</c:v>
                </c:pt>
                <c:pt idx="4">
                  <c:v>1653628.6499999992</c:v>
                </c:pt>
                <c:pt idx="5">
                  <c:v>841359.83000000007</c:v>
                </c:pt>
                <c:pt idx="6">
                  <c:v>187026.02999999988</c:v>
                </c:pt>
                <c:pt idx="7">
                  <c:v>446701.82000000036</c:v>
                </c:pt>
                <c:pt idx="8">
                  <c:v>1408649.12</c:v>
                </c:pt>
                <c:pt idx="9">
                  <c:v>1950499.1299999997</c:v>
                </c:pt>
                <c:pt idx="10">
                  <c:v>816234.01</c:v>
                </c:pt>
                <c:pt idx="11">
                  <c:v>1503474.6600000001</c:v>
                </c:pt>
                <c:pt idx="12">
                  <c:v>786453.24000000022</c:v>
                </c:pt>
                <c:pt idx="13">
                  <c:v>1046896.6999999998</c:v>
                </c:pt>
              </c:numCache>
            </c:numRef>
          </c:val>
          <c:smooth val="0"/>
          <c:extLst>
            <c:ext xmlns:c16="http://schemas.microsoft.com/office/drawing/2014/chart" uri="{C3380CC4-5D6E-409C-BE32-E72D297353CC}">
              <c16:uniqueId val="{00000003-4EDC-43D7-B182-AAA9EC3EB013}"/>
            </c:ext>
          </c:extLst>
        </c:ser>
        <c:ser>
          <c:idx val="4"/>
          <c:order val="4"/>
          <c:tx>
            <c:strRef>
              <c:f>'Native timber'!$A$74:$A$80</c:f>
              <c:strCache>
                <c:ptCount val="1"/>
                <c:pt idx="0">
                  <c:v>Total</c:v>
                </c:pt>
              </c:strCache>
            </c:strRef>
          </c:tx>
          <c:spPr>
            <a:ln w="28575" cap="rnd">
              <a:solidFill>
                <a:schemeClr val="tx1">
                  <a:lumMod val="60000"/>
                  <a:lumOff val="40000"/>
                </a:schemeClr>
              </a:solidFill>
              <a:round/>
            </a:ln>
            <a:effectLst/>
          </c:spPr>
          <c:marker>
            <c:symbol val="none"/>
          </c:marker>
          <c:val>
            <c:numRef>
              <c:f>'Native timber'!$C$80:$P$80</c:f>
              <c:numCache>
                <c:formatCode>#,##0</c:formatCode>
                <c:ptCount val="14"/>
                <c:pt idx="0">
                  <c:v>35364986.282699995</c:v>
                </c:pt>
                <c:pt idx="1">
                  <c:v>35057798.090099998</c:v>
                </c:pt>
                <c:pt idx="2">
                  <c:v>32830141.339200001</c:v>
                </c:pt>
                <c:pt idx="3">
                  <c:v>45830739.705000013</c:v>
                </c:pt>
                <c:pt idx="4">
                  <c:v>26773343.409999996</c:v>
                </c:pt>
                <c:pt idx="5">
                  <c:v>36489910.749399997</c:v>
                </c:pt>
                <c:pt idx="6">
                  <c:v>38727626.609100014</c:v>
                </c:pt>
                <c:pt idx="7">
                  <c:v>34029932.920000002</c:v>
                </c:pt>
                <c:pt idx="8">
                  <c:v>34191863.780000001</c:v>
                </c:pt>
                <c:pt idx="9">
                  <c:v>31702065.899999995</c:v>
                </c:pt>
                <c:pt idx="10">
                  <c:v>32548043.040000007</c:v>
                </c:pt>
                <c:pt idx="11">
                  <c:v>36535513.989999995</c:v>
                </c:pt>
                <c:pt idx="12">
                  <c:v>33082951.389999993</c:v>
                </c:pt>
                <c:pt idx="13">
                  <c:v>28213108.719999999</c:v>
                </c:pt>
              </c:numCache>
            </c:numRef>
          </c:val>
          <c:smooth val="0"/>
          <c:extLst>
            <c:ext xmlns:c16="http://schemas.microsoft.com/office/drawing/2014/chart" uri="{C3380CC4-5D6E-409C-BE32-E72D297353CC}">
              <c16:uniqueId val="{00000004-4EDC-43D7-B182-AAA9EC3EB013}"/>
            </c:ext>
          </c:extLst>
        </c:ser>
        <c:dLbls>
          <c:showLegendKey val="0"/>
          <c:showVal val="0"/>
          <c:showCatName val="0"/>
          <c:showSerName val="0"/>
          <c:showPercent val="0"/>
          <c:showBubbleSize val="0"/>
        </c:dLbls>
        <c:smooth val="0"/>
        <c:axId val="484672464"/>
        <c:axId val="484671288"/>
      </c:lineChart>
      <c:catAx>
        <c:axId val="48467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671288"/>
        <c:crosses val="autoZero"/>
        <c:auto val="1"/>
        <c:lblAlgn val="ctr"/>
        <c:lblOffset val="100"/>
        <c:noMultiLvlLbl val="0"/>
      </c:catAx>
      <c:valAx>
        <c:axId val="484671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6724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'Plantation timber'!$A$3:$A$6</c:f>
              <c:strCache>
                <c:ptCount val="1"/>
                <c:pt idx="0">
                  <c:v>Hardwood</c:v>
                </c:pt>
              </c:strCache>
            </c:strRef>
          </c:tx>
          <c:spPr>
            <a:ln w="28575" cap="rnd">
              <a:solidFill>
                <a:schemeClr val="accent1"/>
              </a:solidFill>
              <a:round/>
            </a:ln>
            <a:effectLst/>
          </c:spPr>
          <c:marker>
            <c:symbol val="none"/>
          </c:marker>
          <c:cat>
            <c:strRef>
              <c:f>'Plantation timber'!$C$2:$M$2</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c:v>
                </c:pt>
              </c:strCache>
            </c:strRef>
          </c:cat>
          <c:val>
            <c:numRef>
              <c:f>'Plantation timber'!$C$6:$M$6</c:f>
              <c:numCache>
                <c:formatCode>_-* #,##0_-;\-* #,##0_-;_-* "-"??_-;_-@_-</c:formatCode>
                <c:ptCount val="11"/>
                <c:pt idx="0">
                  <c:v>456833</c:v>
                </c:pt>
                <c:pt idx="1">
                  <c:v>600908.5</c:v>
                </c:pt>
                <c:pt idx="2">
                  <c:v>640645.74</c:v>
                </c:pt>
                <c:pt idx="3">
                  <c:v>767813.05999999994</c:v>
                </c:pt>
                <c:pt idx="4">
                  <c:v>1689439.7899999998</c:v>
                </c:pt>
                <c:pt idx="5">
                  <c:v>1789281.39986715</c:v>
                </c:pt>
                <c:pt idx="6">
                  <c:v>2199505.70488354</c:v>
                </c:pt>
                <c:pt idx="7">
                  <c:v>2834255.5338880401</c:v>
                </c:pt>
                <c:pt idx="8">
                  <c:v>2827197.7029411802</c:v>
                </c:pt>
                <c:pt idx="9">
                  <c:v>3996449.7250000001</c:v>
                </c:pt>
                <c:pt idx="10">
                  <c:v>3577211.5729</c:v>
                </c:pt>
              </c:numCache>
            </c:numRef>
          </c:val>
          <c:smooth val="0"/>
          <c:extLst>
            <c:ext xmlns:c16="http://schemas.microsoft.com/office/drawing/2014/chart" uri="{C3380CC4-5D6E-409C-BE32-E72D297353CC}">
              <c16:uniqueId val="{00000000-97FC-418F-B901-72D66C42F3F6}"/>
            </c:ext>
          </c:extLst>
        </c:ser>
        <c:ser>
          <c:idx val="1"/>
          <c:order val="1"/>
          <c:tx>
            <c:strRef>
              <c:f>'Plantation timber'!$A$7:$A$10</c:f>
              <c:strCache>
                <c:ptCount val="1"/>
                <c:pt idx="0">
                  <c:v>Softwood</c:v>
                </c:pt>
              </c:strCache>
            </c:strRef>
          </c:tx>
          <c:spPr>
            <a:ln w="28575" cap="rnd">
              <a:solidFill>
                <a:schemeClr val="accent2"/>
              </a:solidFill>
              <a:round/>
            </a:ln>
            <a:effectLst/>
          </c:spPr>
          <c:marker>
            <c:symbol val="none"/>
          </c:marker>
          <c:cat>
            <c:strRef>
              <c:f>'Plantation timber'!$C$2:$M$2</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c:v>
                </c:pt>
              </c:strCache>
            </c:strRef>
          </c:cat>
          <c:val>
            <c:numRef>
              <c:f>'Plantation timber'!$C$10:$M$10</c:f>
              <c:numCache>
                <c:formatCode>_-* #,##0_-;\-* #,##0_-;_-* "-"??_-;_-@_-</c:formatCode>
                <c:ptCount val="11"/>
                <c:pt idx="0">
                  <c:v>3911365.1681051999</c:v>
                </c:pt>
                <c:pt idx="1">
                  <c:v>3890279.5449108798</c:v>
                </c:pt>
                <c:pt idx="2">
                  <c:v>3569565.1825909899</c:v>
                </c:pt>
                <c:pt idx="3">
                  <c:v>3751926.9801849201</c:v>
                </c:pt>
                <c:pt idx="4">
                  <c:v>3381211.0991599304</c:v>
                </c:pt>
                <c:pt idx="5">
                  <c:v>3559630.4108366701</c:v>
                </c:pt>
                <c:pt idx="6">
                  <c:v>3805915.67</c:v>
                </c:pt>
                <c:pt idx="7">
                  <c:v>3928089.4294731901</c:v>
                </c:pt>
                <c:pt idx="8">
                  <c:v>4039568.1220405698</c:v>
                </c:pt>
                <c:pt idx="9">
                  <c:v>4274405.0738134906</c:v>
                </c:pt>
                <c:pt idx="10">
                  <c:v>4261916.1160240397</c:v>
                </c:pt>
              </c:numCache>
            </c:numRef>
          </c:val>
          <c:smooth val="0"/>
          <c:extLst>
            <c:ext xmlns:c16="http://schemas.microsoft.com/office/drawing/2014/chart" uri="{C3380CC4-5D6E-409C-BE32-E72D297353CC}">
              <c16:uniqueId val="{00000001-97FC-418F-B901-72D66C42F3F6}"/>
            </c:ext>
          </c:extLst>
        </c:ser>
        <c:ser>
          <c:idx val="2"/>
          <c:order val="2"/>
          <c:tx>
            <c:strRef>
              <c:f>'Plantation timber'!$A$11:$A$14</c:f>
              <c:strCache>
                <c:ptCount val="1"/>
                <c:pt idx="0">
                  <c:v>Total</c:v>
                </c:pt>
              </c:strCache>
            </c:strRef>
          </c:tx>
          <c:spPr>
            <a:ln w="28575" cap="rnd">
              <a:solidFill>
                <a:schemeClr val="accent3"/>
              </a:solidFill>
              <a:round/>
            </a:ln>
            <a:effectLst/>
          </c:spPr>
          <c:marker>
            <c:symbol val="none"/>
          </c:marker>
          <c:cat>
            <c:strRef>
              <c:f>'Plantation timber'!$C$2:$M$2</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c:v>
                </c:pt>
              </c:strCache>
            </c:strRef>
          </c:cat>
          <c:val>
            <c:numRef>
              <c:f>'Plantation timber'!$C$14:$M$14</c:f>
              <c:numCache>
                <c:formatCode>_-* #,##0_-;\-* #,##0_-;_-* "-"??_-;_-@_-</c:formatCode>
                <c:ptCount val="11"/>
                <c:pt idx="0">
                  <c:v>4368198.1681051999</c:v>
                </c:pt>
                <c:pt idx="1">
                  <c:v>4491188.0449108798</c:v>
                </c:pt>
                <c:pt idx="2">
                  <c:v>4210210.9225909896</c:v>
                </c:pt>
                <c:pt idx="3">
                  <c:v>4519740.0401849197</c:v>
                </c:pt>
                <c:pt idx="4">
                  <c:v>5070650.8891599299</c:v>
                </c:pt>
                <c:pt idx="5">
                  <c:v>5348911.8107038196</c:v>
                </c:pt>
                <c:pt idx="6">
                  <c:v>6005421.37488354</c:v>
                </c:pt>
                <c:pt idx="7">
                  <c:v>6762344.9633612297</c:v>
                </c:pt>
                <c:pt idx="8">
                  <c:v>6866765.82498175</c:v>
                </c:pt>
                <c:pt idx="9">
                  <c:v>8270854.7988134902</c:v>
                </c:pt>
                <c:pt idx="10">
                  <c:v>7839127.6889240397</c:v>
                </c:pt>
              </c:numCache>
            </c:numRef>
          </c:val>
          <c:smooth val="0"/>
          <c:extLst>
            <c:ext xmlns:c16="http://schemas.microsoft.com/office/drawing/2014/chart" uri="{C3380CC4-5D6E-409C-BE32-E72D297353CC}">
              <c16:uniqueId val="{00000002-97FC-418F-B901-72D66C42F3F6}"/>
            </c:ext>
          </c:extLst>
        </c:ser>
        <c:dLbls>
          <c:showLegendKey val="0"/>
          <c:showVal val="0"/>
          <c:showCatName val="0"/>
          <c:showSerName val="0"/>
          <c:showPercent val="0"/>
          <c:showBubbleSize val="0"/>
        </c:dLbls>
        <c:smooth val="0"/>
        <c:axId val="736605120"/>
        <c:axId val="736605512"/>
      </c:lineChart>
      <c:catAx>
        <c:axId val="73660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605512"/>
        <c:crosses val="autoZero"/>
        <c:auto val="1"/>
        <c:lblAlgn val="ctr"/>
        <c:lblOffset val="100"/>
        <c:noMultiLvlLbl val="0"/>
      </c:catAx>
      <c:valAx>
        <c:axId val="73660551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60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'Yield (ML) RFA'!$B$2</c:f>
              <c:strCache>
                <c:ptCount val="1"/>
                <c:pt idx="0">
                  <c:v>Central Highlands</c:v>
                </c:pt>
              </c:strCache>
            </c:strRef>
          </c:tx>
          <c:spPr>
            <a:ln w="28575" cap="rnd">
              <a:solidFill>
                <a:schemeClr val="accent1">
                  <a:lumMod val="75000"/>
                </a:schemeClr>
              </a:solidFill>
              <a:round/>
            </a:ln>
            <a:effectLst/>
          </c:spPr>
          <c:marker>
            <c:symbol val="none"/>
          </c:marker>
          <c:cat>
            <c:numRef>
              <c:f>'Yield (ML) RFA'!$E$1:$O$1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'Yield (ML) RFA'!$E$2:$O$2</c:f>
              <c:numCache>
                <c:formatCode>_-* #,##0_-;\-* #,##0_-;_-* "-"??_-;_-@_-</c:formatCode>
                <c:ptCount val="11"/>
                <c:pt idx="0">
                  <c:v>413092.74535977375</c:v>
                </c:pt>
                <c:pt idx="1">
                  <c:v>1358060.0489618387</c:v>
                </c:pt>
                <c:pt idx="2">
                  <c:v>3544451.7636718694</c:v>
                </c:pt>
                <c:pt idx="3">
                  <c:v>3825369.6948551629</c:v>
                </c:pt>
                <c:pt idx="4">
                  <c:v>3450629.1370527521</c:v>
                </c:pt>
                <c:pt idx="5">
                  <c:v>2458901.4331903378</c:v>
                </c:pt>
                <c:pt idx="6">
                  <c:v>2238797.8660378335</c:v>
                </c:pt>
                <c:pt idx="7">
                  <c:v>1511839.2702131635</c:v>
                </c:pt>
                <c:pt idx="8">
                  <c:v>2998349.0391690056</c:v>
                </c:pt>
                <c:pt idx="9">
                  <c:v>2262308.9083568593</c:v>
                </c:pt>
                <c:pt idx="10">
                  <c:v>1747530.0171441757</c:v>
                </c:pt>
              </c:numCache>
            </c:numRef>
          </c:val>
          <c:smooth val="0"/>
          <c:extLst>
            <c:ext xmlns:c16="http://schemas.microsoft.com/office/drawing/2014/chart" uri="{C3380CC4-5D6E-409C-BE32-E72D297353CC}">
              <c16:uniqueId val="{00000000-92FF-4656-B835-4415D14823C8}"/>
            </c:ext>
          </c:extLst>
        </c:ser>
        <c:ser>
          <c:idx val="1"/>
          <c:order val="1"/>
          <c:tx>
            <c:strRef>
              <c:f>'Yield (ML) RFA'!$B$3</c:f>
              <c:strCache>
                <c:ptCount val="1"/>
                <c:pt idx="0">
                  <c:v>East Gippsland</c:v>
                </c:pt>
              </c:strCache>
            </c:strRef>
          </c:tx>
          <c:spPr>
            <a:ln w="28575" cap="rnd">
              <a:solidFill>
                <a:schemeClr val="accent2">
                  <a:lumMod val="75000"/>
                  <a:lumOff val="25000"/>
                </a:schemeClr>
              </a:solidFill>
              <a:round/>
            </a:ln>
            <a:effectLst/>
          </c:spPr>
          <c:marker>
            <c:symbol val="none"/>
          </c:marker>
          <c:cat>
            <c:numRef>
              <c:f>'Yield (ML) RFA'!$E$1:$O$1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'Yield (ML) RFA'!$E$3:$O$3</c:f>
              <c:numCache>
                <c:formatCode>_-* #,##0_-;\-* #,##0_-;_-* "-"??_-;_-@_-</c:formatCode>
                <c:ptCount val="11"/>
                <c:pt idx="0">
                  <c:v>164850.06783907535</c:v>
                </c:pt>
                <c:pt idx="1">
                  <c:v>185925.57349262165</c:v>
                </c:pt>
                <c:pt idx="2">
                  <c:v>599094.63191546639</c:v>
                </c:pt>
                <c:pt idx="3">
                  <c:v>1942295.2218048268</c:v>
                </c:pt>
                <c:pt idx="4">
                  <c:v>2517341.4587967563</c:v>
                </c:pt>
                <c:pt idx="5">
                  <c:v>1553906.4119220036</c:v>
                </c:pt>
                <c:pt idx="6">
                  <c:v>2069085.1564071944</c:v>
                </c:pt>
                <c:pt idx="7">
                  <c:v>2238008.0635939743</c:v>
                </c:pt>
                <c:pt idx="8">
                  <c:v>1971093.2403932861</c:v>
                </c:pt>
                <c:pt idx="9">
                  <c:v>83314.133899554654</c:v>
                </c:pt>
                <c:pt idx="10">
                  <c:v>144802.32479332984</c:v>
                </c:pt>
              </c:numCache>
            </c:numRef>
          </c:val>
          <c:smooth val="0"/>
          <c:extLst>
            <c:ext xmlns:c16="http://schemas.microsoft.com/office/drawing/2014/chart" uri="{C3380CC4-5D6E-409C-BE32-E72D297353CC}">
              <c16:uniqueId val="{00000001-92FF-4656-B835-4415D14823C8}"/>
            </c:ext>
          </c:extLst>
        </c:ser>
        <c:ser>
          <c:idx val="2"/>
          <c:order val="2"/>
          <c:tx>
            <c:strRef>
              <c:f>'Yield (ML) RFA'!$B$4</c:f>
              <c:strCache>
                <c:ptCount val="1"/>
                <c:pt idx="0">
                  <c:v>Gippsland</c:v>
                </c:pt>
              </c:strCache>
            </c:strRef>
          </c:tx>
          <c:spPr>
            <a:ln w="28575" cap="rnd">
              <a:solidFill>
                <a:schemeClr val="accent3">
                  <a:lumMod val="60000"/>
                  <a:lumOff val="40000"/>
                </a:schemeClr>
              </a:solidFill>
              <a:round/>
            </a:ln>
            <a:effectLst/>
          </c:spPr>
          <c:marker>
            <c:symbol val="none"/>
          </c:marker>
          <c:cat>
            <c:numRef>
              <c:f>'Yield (ML) RFA'!$E$1:$O$1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'Yield (ML) RFA'!$E$4:$O$4</c:f>
              <c:numCache>
                <c:formatCode>_-* #,##0_-;\-* #,##0_-;_-* "-"??_-;_-@_-</c:formatCode>
                <c:ptCount val="11"/>
                <c:pt idx="0">
                  <c:v>445768.16288845195</c:v>
                </c:pt>
                <c:pt idx="1">
                  <c:v>1415886.5386516536</c:v>
                </c:pt>
                <c:pt idx="2">
                  <c:v>3289019.4233762845</c:v>
                </c:pt>
                <c:pt idx="3">
                  <c:v>3325828.5842467421</c:v>
                </c:pt>
                <c:pt idx="4">
                  <c:v>4326741.7279198878</c:v>
                </c:pt>
                <c:pt idx="5">
                  <c:v>3148922.7968576499</c:v>
                </c:pt>
                <c:pt idx="6">
                  <c:v>2355893.5604372444</c:v>
                </c:pt>
                <c:pt idx="7">
                  <c:v>1807557.8912182886</c:v>
                </c:pt>
                <c:pt idx="8">
                  <c:v>4476586.7817308782</c:v>
                </c:pt>
                <c:pt idx="9">
                  <c:v>1734526.8420752913</c:v>
                </c:pt>
                <c:pt idx="10">
                  <c:v>1115835.2200933855</c:v>
                </c:pt>
              </c:numCache>
            </c:numRef>
          </c:val>
          <c:smooth val="0"/>
          <c:extLst>
            <c:ext xmlns:c16="http://schemas.microsoft.com/office/drawing/2014/chart" uri="{C3380CC4-5D6E-409C-BE32-E72D297353CC}">
              <c16:uniqueId val="{00000002-92FF-4656-B835-4415D14823C8}"/>
            </c:ext>
          </c:extLst>
        </c:ser>
        <c:ser>
          <c:idx val="3"/>
          <c:order val="3"/>
          <c:tx>
            <c:strRef>
              <c:f>'Yield (ML) RFA'!$B$5</c:f>
              <c:strCache>
                <c:ptCount val="1"/>
                <c:pt idx="0">
                  <c:v>North East</c:v>
                </c:pt>
              </c:strCache>
            </c:strRef>
          </c:tx>
          <c:spPr>
            <a:ln w="28575" cap="rnd">
              <a:solidFill>
                <a:srgbClr val="0070C0"/>
              </a:solidFill>
              <a:round/>
            </a:ln>
            <a:effectLst/>
          </c:spPr>
          <c:marker>
            <c:symbol val="none"/>
          </c:marker>
          <c:cat>
            <c:numRef>
              <c:f>'Yield (ML) RFA'!$E$1:$O$1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'Yield (ML) RFA'!$E$5:$O$5</c:f>
              <c:numCache>
                <c:formatCode>_-* #,##0_-;\-* #,##0_-;_-* "-"??_-;_-@_-</c:formatCode>
                <c:ptCount val="11"/>
                <c:pt idx="0">
                  <c:v>946653.2998645358</c:v>
                </c:pt>
                <c:pt idx="1">
                  <c:v>3667190.5464156289</c:v>
                </c:pt>
                <c:pt idx="2">
                  <c:v>8627465.0958761312</c:v>
                </c:pt>
                <c:pt idx="3">
                  <c:v>5125182.1101420037</c:v>
                </c:pt>
                <c:pt idx="4">
                  <c:v>5442415.9120332999</c:v>
                </c:pt>
                <c:pt idx="5">
                  <c:v>4744181.0030346895</c:v>
                </c:pt>
                <c:pt idx="6">
                  <c:v>3869636.00616448</c:v>
                </c:pt>
                <c:pt idx="7">
                  <c:v>2597292.7788408939</c:v>
                </c:pt>
                <c:pt idx="8">
                  <c:v>9424964.7404038142</c:v>
                </c:pt>
                <c:pt idx="9">
                  <c:v>4112989.8120225645</c:v>
                </c:pt>
                <c:pt idx="10">
                  <c:v>2414067.8741328204</c:v>
                </c:pt>
              </c:numCache>
            </c:numRef>
          </c:val>
          <c:smooth val="0"/>
          <c:extLst>
            <c:ext xmlns:c16="http://schemas.microsoft.com/office/drawing/2014/chart" uri="{C3380CC4-5D6E-409C-BE32-E72D297353CC}">
              <c16:uniqueId val="{00000003-92FF-4656-B835-4415D14823C8}"/>
            </c:ext>
          </c:extLst>
        </c:ser>
        <c:ser>
          <c:idx val="4"/>
          <c:order val="4"/>
          <c:tx>
            <c:strRef>
              <c:f>'Yield (ML) RFA'!$B$6</c:f>
              <c:strCache>
                <c:ptCount val="1"/>
                <c:pt idx="0">
                  <c:v>West</c:v>
                </c:pt>
              </c:strCache>
            </c:strRef>
          </c:tx>
          <c:spPr>
            <a:ln w="28575" cap="rnd">
              <a:solidFill>
                <a:schemeClr val="accent6">
                  <a:lumMod val="60000"/>
                  <a:lumOff val="40000"/>
                </a:schemeClr>
              </a:solidFill>
              <a:round/>
            </a:ln>
            <a:effectLst/>
          </c:spPr>
          <c:marker>
            <c:symbol val="none"/>
          </c:marker>
          <c:cat>
            <c:numRef>
              <c:f>'Yield (ML) RFA'!$E$1:$O$1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'Yield (ML) RFA'!$E$6:$O$6</c:f>
              <c:numCache>
                <c:formatCode>_-* #,##0_-;\-* #,##0_-;_-* "-"??_-;_-@_-</c:formatCode>
                <c:ptCount val="11"/>
                <c:pt idx="0">
                  <c:v>126075.13097829718</c:v>
                </c:pt>
                <c:pt idx="1">
                  <c:v>656449.54337983823</c:v>
                </c:pt>
                <c:pt idx="2">
                  <c:v>1576011.5220463537</c:v>
                </c:pt>
                <c:pt idx="3">
                  <c:v>1321059.5230389028</c:v>
                </c:pt>
                <c:pt idx="4">
                  <c:v>1186659.3116589987</c:v>
                </c:pt>
                <c:pt idx="5">
                  <c:v>1581769.8839545788</c:v>
                </c:pt>
                <c:pt idx="6">
                  <c:v>900692.71130664472</c:v>
                </c:pt>
                <c:pt idx="7">
                  <c:v>434485.98896435468</c:v>
                </c:pt>
                <c:pt idx="8">
                  <c:v>2474915.856432986</c:v>
                </c:pt>
                <c:pt idx="9">
                  <c:v>1255449.3586359664</c:v>
                </c:pt>
                <c:pt idx="10">
                  <c:v>1009526.257866268</c:v>
                </c:pt>
              </c:numCache>
            </c:numRef>
          </c:val>
          <c:smooth val="0"/>
          <c:extLst>
            <c:ext xmlns:c16="http://schemas.microsoft.com/office/drawing/2014/chart" uri="{C3380CC4-5D6E-409C-BE32-E72D297353CC}">
              <c16:uniqueId val="{00000004-92FF-4656-B835-4415D14823C8}"/>
            </c:ext>
          </c:extLst>
        </c:ser>
        <c:ser>
          <c:idx val="5"/>
          <c:order val="5"/>
          <c:tx>
            <c:strRef>
              <c:f>'Yield (ML) RFA'!$B$7</c:f>
              <c:strCache>
                <c:ptCount val="1"/>
                <c:pt idx="0">
                  <c:v>Total</c:v>
                </c:pt>
              </c:strCache>
            </c:strRef>
          </c:tx>
          <c:spPr>
            <a:ln w="28575" cap="rnd">
              <a:solidFill>
                <a:schemeClr val="tx1">
                  <a:lumMod val="60000"/>
                  <a:lumOff val="40000"/>
                </a:schemeClr>
              </a:solidFill>
              <a:round/>
            </a:ln>
            <a:effectLst/>
          </c:spPr>
          <c:marker>
            <c:symbol val="none"/>
          </c:marker>
          <c:cat>
            <c:numRef>
              <c:f>'Yield (ML) RFA'!$E$1:$O$1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'Yield (ML) RFA'!$E$7:$O$7</c:f>
              <c:numCache>
                <c:formatCode>_-* #,##0_-;\-* #,##0_-;_-* "-"??_-;_-@_-</c:formatCode>
                <c:ptCount val="11"/>
                <c:pt idx="0">
                  <c:v>2096439.4069301339</c:v>
                </c:pt>
                <c:pt idx="1">
                  <c:v>7283512.2509015808</c:v>
                </c:pt>
                <c:pt idx="2">
                  <c:v>17636042.436886106</c:v>
                </c:pt>
                <c:pt idx="3">
                  <c:v>15539735.134087639</c:v>
                </c:pt>
                <c:pt idx="4">
                  <c:v>16923787.547461692</c:v>
                </c:pt>
                <c:pt idx="5">
                  <c:v>13487681.528959261</c:v>
                </c:pt>
                <c:pt idx="6">
                  <c:v>11434105.300353397</c:v>
                </c:pt>
                <c:pt idx="7">
                  <c:v>8589183.9928306751</c:v>
                </c:pt>
                <c:pt idx="8">
                  <c:v>21345909.658129971</c:v>
                </c:pt>
                <c:pt idx="9">
                  <c:v>9448589.0549902357</c:v>
                </c:pt>
                <c:pt idx="10">
                  <c:v>6431761.6940299794</c:v>
                </c:pt>
              </c:numCache>
            </c:numRef>
          </c:val>
          <c:smooth val="0"/>
          <c:extLst>
            <c:ext xmlns:c16="http://schemas.microsoft.com/office/drawing/2014/chart" uri="{C3380CC4-5D6E-409C-BE32-E72D297353CC}">
              <c16:uniqueId val="{00000005-92FF-4656-B835-4415D14823C8}"/>
            </c:ext>
          </c:extLst>
        </c:ser>
        <c:dLbls>
          <c:showLegendKey val="0"/>
          <c:showVal val="0"/>
          <c:showCatName val="0"/>
          <c:showSerName val="0"/>
          <c:showPercent val="0"/>
          <c:showBubbleSize val="0"/>
        </c:dLbls>
        <c:smooth val="0"/>
        <c:axId val="484668544"/>
        <c:axId val="484670112"/>
      </c:lineChart>
      <c:catAx>
        <c:axId val="48466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670112"/>
        <c:crosses val="autoZero"/>
        <c:auto val="1"/>
        <c:lblAlgn val="ctr"/>
        <c:lblOffset val="100"/>
        <c:noMultiLvlLbl val="0"/>
      </c:catAx>
      <c:valAx>
        <c:axId val="48467011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668544"/>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Million</a:t>
                  </a:r>
                  <a:r>
                    <a:rPr lang="en-AU" baseline="0"/>
                    <a:t> megalitres (ML)</a:t>
                  </a:r>
                  <a:endParaRPr lang="en-AU"/>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'Yield ($) RFA - allocation'!$B$2</c:f>
              <c:strCache>
                <c:ptCount val="1"/>
                <c:pt idx="0">
                  <c:v>Central Highlands</c:v>
                </c:pt>
              </c:strCache>
            </c:strRef>
          </c:tx>
          <c:spPr>
            <a:ln w="28575" cap="rnd">
              <a:solidFill>
                <a:schemeClr val="accent1">
                  <a:lumMod val="75000"/>
                </a:schemeClr>
              </a:solidFill>
              <a:round/>
            </a:ln>
            <a:effectLst/>
          </c:spPr>
          <c:marker>
            <c:symbol val="none"/>
          </c:marker>
          <c:cat>
            <c:numRef>
              <c:f>'Yield (ML) RFA'!$E$1:$O$1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'Yield ($) RFA - allocation'!$E$2:$O$2</c:f>
              <c:numCache>
                <c:formatCode>_-* #,##0_-;\-* #,##0_-;_-* "-"??_-;_-@_-</c:formatCode>
                <c:ptCount val="11"/>
                <c:pt idx="0">
                  <c:v>114125876.8099031</c:v>
                </c:pt>
                <c:pt idx="1">
                  <c:v>390059484.61852616</c:v>
                </c:pt>
                <c:pt idx="2">
                  <c:v>644861017.02301145</c:v>
                </c:pt>
                <c:pt idx="3">
                  <c:v>508439549.15374112</c:v>
                </c:pt>
                <c:pt idx="4">
                  <c:v>449741450.89054847</c:v>
                </c:pt>
                <c:pt idx="5">
                  <c:v>329555517.97638804</c:v>
                </c:pt>
                <c:pt idx="6">
                  <c:v>316839716.25884241</c:v>
                </c:pt>
                <c:pt idx="7">
                  <c:v>276717766.89284873</c:v>
                </c:pt>
                <c:pt idx="8">
                  <c:v>684729407.75658131</c:v>
                </c:pt>
                <c:pt idx="9">
                  <c:v>264313708.01615608</c:v>
                </c:pt>
                <c:pt idx="10">
                  <c:v>310684656.14533716</c:v>
                </c:pt>
              </c:numCache>
            </c:numRef>
          </c:val>
          <c:smooth val="0"/>
          <c:extLst>
            <c:ext xmlns:c16="http://schemas.microsoft.com/office/drawing/2014/chart" uri="{C3380CC4-5D6E-409C-BE32-E72D297353CC}">
              <c16:uniqueId val="{00000000-38BD-4A16-B8A9-FBB0DB2DFB71}"/>
            </c:ext>
          </c:extLst>
        </c:ser>
        <c:ser>
          <c:idx val="1"/>
          <c:order val="1"/>
          <c:tx>
            <c:strRef>
              <c:f>'Yield ($) RFA - allocation'!$B$3</c:f>
              <c:strCache>
                <c:ptCount val="1"/>
                <c:pt idx="0">
                  <c:v>East Gippsland</c:v>
                </c:pt>
              </c:strCache>
            </c:strRef>
          </c:tx>
          <c:spPr>
            <a:ln w="28575" cap="rnd">
              <a:solidFill>
                <a:schemeClr val="accent2">
                  <a:lumMod val="75000"/>
                  <a:lumOff val="25000"/>
                </a:schemeClr>
              </a:solidFill>
              <a:round/>
            </a:ln>
            <a:effectLst/>
          </c:spPr>
          <c:marker>
            <c:symbol val="none"/>
          </c:marker>
          <c:cat>
            <c:numRef>
              <c:f>'Yield (ML) RFA'!$E$1:$O$1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'Yield ($) RFA - allocation'!$E$3:$O$3</c:f>
              <c:numCache>
                <c:formatCode>_-* #,##0_-;\-* #,##0_-;_-* "-"??_-;_-@_-</c:formatCode>
                <c:ptCount val="11"/>
                <c:pt idx="0">
                  <c:v>10248617.707677957</c:v>
                </c:pt>
                <c:pt idx="1">
                  <c:v>11602331.863462729</c:v>
                </c:pt>
                <c:pt idx="2">
                  <c:v>37222159.305749103</c:v>
                </c:pt>
                <c:pt idx="3">
                  <c:v>120259133.52684398</c:v>
                </c:pt>
                <c:pt idx="4">
                  <c:v>155849155.05435756</c:v>
                </c:pt>
                <c:pt idx="5">
                  <c:v>116447539.56647106</c:v>
                </c:pt>
                <c:pt idx="6">
                  <c:v>75782504.739937559</c:v>
                </c:pt>
                <c:pt idx="7">
                  <c:v>123042624.80333376</c:v>
                </c:pt>
                <c:pt idx="8">
                  <c:v>157735578.06533158</c:v>
                </c:pt>
                <c:pt idx="9">
                  <c:v>4154582.7687247945</c:v>
                </c:pt>
                <c:pt idx="10">
                  <c:v>10863553.352627911</c:v>
                </c:pt>
              </c:numCache>
            </c:numRef>
          </c:val>
          <c:smooth val="0"/>
          <c:extLst>
            <c:ext xmlns:c16="http://schemas.microsoft.com/office/drawing/2014/chart" uri="{C3380CC4-5D6E-409C-BE32-E72D297353CC}">
              <c16:uniqueId val="{00000001-38BD-4A16-B8A9-FBB0DB2DFB71}"/>
            </c:ext>
          </c:extLst>
        </c:ser>
        <c:ser>
          <c:idx val="2"/>
          <c:order val="2"/>
          <c:tx>
            <c:strRef>
              <c:f>'Yield ($) RFA - allocation'!$B$4</c:f>
              <c:strCache>
                <c:ptCount val="1"/>
                <c:pt idx="0">
                  <c:v>Gippsland</c:v>
                </c:pt>
              </c:strCache>
            </c:strRef>
          </c:tx>
          <c:spPr>
            <a:ln w="28575" cap="rnd">
              <a:solidFill>
                <a:schemeClr val="accent3">
                  <a:lumMod val="60000"/>
                  <a:lumOff val="40000"/>
                </a:schemeClr>
              </a:solidFill>
              <a:round/>
            </a:ln>
            <a:effectLst/>
          </c:spPr>
          <c:marker>
            <c:symbol val="none"/>
          </c:marker>
          <c:cat>
            <c:numRef>
              <c:f>'Yield (ML) RFA'!$E$1:$O$1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'Yield ($) RFA - allocation'!$E$4:$O$4</c:f>
              <c:numCache>
                <c:formatCode>_-* #,##0_-;\-* #,##0_-;_-* "-"??_-;_-@_-</c:formatCode>
                <c:ptCount val="11"/>
                <c:pt idx="0">
                  <c:v>59070223.644087732</c:v>
                </c:pt>
                <c:pt idx="1">
                  <c:v>213656158.28687367</c:v>
                </c:pt>
                <c:pt idx="2">
                  <c:v>358052239.97637117</c:v>
                </c:pt>
                <c:pt idx="3">
                  <c:v>215522615.42414662</c:v>
                </c:pt>
                <c:pt idx="4">
                  <c:v>262441368.29645562</c:v>
                </c:pt>
                <c:pt idx="5">
                  <c:v>258012435.63323927</c:v>
                </c:pt>
                <c:pt idx="6">
                  <c:v>168496227.34917131</c:v>
                </c:pt>
                <c:pt idx="7">
                  <c:v>143865181.49260885</c:v>
                </c:pt>
                <c:pt idx="8">
                  <c:v>604186400.49188852</c:v>
                </c:pt>
                <c:pt idx="9">
                  <c:v>112747746.81058672</c:v>
                </c:pt>
                <c:pt idx="10">
                  <c:v>94915354.82212171</c:v>
                </c:pt>
              </c:numCache>
            </c:numRef>
          </c:val>
          <c:smooth val="0"/>
          <c:extLst>
            <c:ext xmlns:c16="http://schemas.microsoft.com/office/drawing/2014/chart" uri="{C3380CC4-5D6E-409C-BE32-E72D297353CC}">
              <c16:uniqueId val="{00000002-38BD-4A16-B8A9-FBB0DB2DFB71}"/>
            </c:ext>
          </c:extLst>
        </c:ser>
        <c:ser>
          <c:idx val="3"/>
          <c:order val="3"/>
          <c:tx>
            <c:strRef>
              <c:f>'Yield ($) RFA - allocation'!$B$5</c:f>
              <c:strCache>
                <c:ptCount val="1"/>
                <c:pt idx="0">
                  <c:v>North East</c:v>
                </c:pt>
              </c:strCache>
            </c:strRef>
          </c:tx>
          <c:spPr>
            <a:ln w="28575" cap="rnd">
              <a:solidFill>
                <a:srgbClr val="0070C0"/>
              </a:solidFill>
              <a:round/>
            </a:ln>
            <a:effectLst/>
          </c:spPr>
          <c:marker>
            <c:symbol val="none"/>
          </c:marker>
          <c:cat>
            <c:numRef>
              <c:f>'Yield (ML) RFA'!$E$1:$O$1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'Yield ($) RFA - allocation'!$E$5:$O$5</c:f>
              <c:numCache>
                <c:formatCode>_-* #,##0_-;\-* #,##0_-;_-* "-"??_-;_-@_-</c:formatCode>
                <c:ptCount val="11"/>
                <c:pt idx="0">
                  <c:v>211981476.34307137</c:v>
                </c:pt>
                <c:pt idx="1">
                  <c:v>836968865.46492147</c:v>
                </c:pt>
                <c:pt idx="2">
                  <c:v>1059663528.0457219</c:v>
                </c:pt>
                <c:pt idx="3">
                  <c:v>204507122.69386825</c:v>
                </c:pt>
                <c:pt idx="4">
                  <c:v>195749273.79177064</c:v>
                </c:pt>
                <c:pt idx="5">
                  <c:v>265409164.06970885</c:v>
                </c:pt>
                <c:pt idx="6">
                  <c:v>234043934.13583297</c:v>
                </c:pt>
                <c:pt idx="7">
                  <c:v>249408094.70942891</c:v>
                </c:pt>
                <c:pt idx="8">
                  <c:v>1636046910.7887056</c:v>
                </c:pt>
                <c:pt idx="9">
                  <c:v>200605094.93487024</c:v>
                </c:pt>
                <c:pt idx="10">
                  <c:v>261205474.49525967</c:v>
                </c:pt>
              </c:numCache>
            </c:numRef>
          </c:val>
          <c:smooth val="0"/>
          <c:extLst>
            <c:ext xmlns:c16="http://schemas.microsoft.com/office/drawing/2014/chart" uri="{C3380CC4-5D6E-409C-BE32-E72D297353CC}">
              <c16:uniqueId val="{00000003-38BD-4A16-B8A9-FBB0DB2DFB71}"/>
            </c:ext>
          </c:extLst>
        </c:ser>
        <c:ser>
          <c:idx val="4"/>
          <c:order val="4"/>
          <c:tx>
            <c:strRef>
              <c:f>'Yield ($) RFA - allocation'!$B$6</c:f>
              <c:strCache>
                <c:ptCount val="1"/>
                <c:pt idx="0">
                  <c:v>West</c:v>
                </c:pt>
              </c:strCache>
            </c:strRef>
          </c:tx>
          <c:spPr>
            <a:ln w="28575" cap="rnd">
              <a:solidFill>
                <a:schemeClr val="accent6">
                  <a:lumMod val="60000"/>
                  <a:lumOff val="40000"/>
                </a:schemeClr>
              </a:solidFill>
              <a:round/>
            </a:ln>
            <a:effectLst/>
          </c:spPr>
          <c:marker>
            <c:symbol val="none"/>
          </c:marker>
          <c:cat>
            <c:numRef>
              <c:f>'Yield (ML) RFA'!$E$1:$O$1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'Yield ($) RFA - allocation'!$E$6:$O$6</c:f>
              <c:numCache>
                <c:formatCode>_-* #,##0_-;\-* #,##0_-;_-* "-"??_-;_-@_-</c:formatCode>
                <c:ptCount val="11"/>
                <c:pt idx="0">
                  <c:v>12856919.2298766</c:v>
                </c:pt>
                <c:pt idx="1">
                  <c:v>62778691.625773579</c:v>
                </c:pt>
                <c:pt idx="2">
                  <c:v>156196438.16754276</c:v>
                </c:pt>
                <c:pt idx="3">
                  <c:v>119478250.16853878</c:v>
                </c:pt>
                <c:pt idx="4">
                  <c:v>101532246.68025181</c:v>
                </c:pt>
                <c:pt idx="5">
                  <c:v>126780411.67477465</c:v>
                </c:pt>
                <c:pt idx="6">
                  <c:v>56693907.011394784</c:v>
                </c:pt>
                <c:pt idx="7">
                  <c:v>33221099.022727795</c:v>
                </c:pt>
                <c:pt idx="8">
                  <c:v>346201577.91266549</c:v>
                </c:pt>
                <c:pt idx="9">
                  <c:v>68854488.531409368</c:v>
                </c:pt>
                <c:pt idx="10">
                  <c:v>95940966.220525116</c:v>
                </c:pt>
              </c:numCache>
            </c:numRef>
          </c:val>
          <c:smooth val="0"/>
          <c:extLst>
            <c:ext xmlns:c16="http://schemas.microsoft.com/office/drawing/2014/chart" uri="{C3380CC4-5D6E-409C-BE32-E72D297353CC}">
              <c16:uniqueId val="{00000004-38BD-4A16-B8A9-FBB0DB2DFB71}"/>
            </c:ext>
          </c:extLst>
        </c:ser>
        <c:ser>
          <c:idx val="5"/>
          <c:order val="5"/>
          <c:tx>
            <c:strRef>
              <c:f>'Yield ($) RFA - allocation'!$B$7</c:f>
              <c:strCache>
                <c:ptCount val="1"/>
                <c:pt idx="0">
                  <c:v>Total</c:v>
                </c:pt>
              </c:strCache>
            </c:strRef>
          </c:tx>
          <c:spPr>
            <a:ln w="28575" cap="rnd">
              <a:solidFill>
                <a:schemeClr val="tx1">
                  <a:lumMod val="60000"/>
                  <a:lumOff val="40000"/>
                </a:schemeClr>
              </a:solidFill>
              <a:round/>
            </a:ln>
            <a:effectLst/>
          </c:spPr>
          <c:marker>
            <c:symbol val="none"/>
          </c:marker>
          <c:cat>
            <c:numRef>
              <c:f>'Yield (ML) RFA'!$E$1:$O$1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'Yield ($) RFA - allocation'!$E$7:$O$7</c:f>
              <c:numCache>
                <c:formatCode>_-* #,##0_-;\-* #,##0_-;_-* "-"??_-;_-@_-</c:formatCode>
                <c:ptCount val="11"/>
                <c:pt idx="0">
                  <c:v>408283113.7346167</c:v>
                </c:pt>
                <c:pt idx="1">
                  <c:v>1515065531.8595579</c:v>
                </c:pt>
                <c:pt idx="2">
                  <c:v>2255995382.5183964</c:v>
                </c:pt>
                <c:pt idx="3">
                  <c:v>1168206670.9671388</c:v>
                </c:pt>
                <c:pt idx="4">
                  <c:v>1165313494.7133842</c:v>
                </c:pt>
                <c:pt idx="5">
                  <c:v>1096205068.9205818</c:v>
                </c:pt>
                <c:pt idx="6">
                  <c:v>851856289.49517894</c:v>
                </c:pt>
                <c:pt idx="7">
                  <c:v>826254766.92094803</c:v>
                </c:pt>
                <c:pt idx="8">
                  <c:v>3428899875.015172</c:v>
                </c:pt>
                <c:pt idx="9">
                  <c:v>650675621.06174719</c:v>
                </c:pt>
                <c:pt idx="10">
                  <c:v>773610005.03587162</c:v>
                </c:pt>
              </c:numCache>
            </c:numRef>
          </c:val>
          <c:smooth val="0"/>
          <c:extLst>
            <c:ext xmlns:c16="http://schemas.microsoft.com/office/drawing/2014/chart" uri="{C3380CC4-5D6E-409C-BE32-E72D297353CC}">
              <c16:uniqueId val="{00000005-38BD-4A16-B8A9-FBB0DB2DFB71}"/>
            </c:ext>
          </c:extLst>
        </c:ser>
        <c:dLbls>
          <c:showLegendKey val="0"/>
          <c:showVal val="0"/>
          <c:showCatName val="0"/>
          <c:showSerName val="0"/>
          <c:showPercent val="0"/>
          <c:showBubbleSize val="0"/>
        </c:dLbls>
        <c:smooth val="0"/>
        <c:axId val="484670504"/>
        <c:axId val="484666584"/>
      </c:lineChart>
      <c:catAx>
        <c:axId val="484670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666584"/>
        <c:crosses val="autoZero"/>
        <c:auto val="1"/>
        <c:lblAlgn val="ctr"/>
        <c:lblOffset val="100"/>
        <c:noMultiLvlLbl val="0"/>
      </c:catAx>
      <c:valAx>
        <c:axId val="48466658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670504"/>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Millions ($)</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'Carbon (t) - RFA'!$B$14</c:f>
              <c:strCache>
                <c:ptCount val="1"/>
                <c:pt idx="0">
                  <c:v>Central Highlands</c:v>
                </c:pt>
              </c:strCache>
            </c:strRef>
          </c:tx>
          <c:spPr>
            <a:ln w="28575" cap="rnd">
              <a:solidFill>
                <a:schemeClr val="accent1"/>
              </a:solidFill>
              <a:round/>
            </a:ln>
            <a:effectLst/>
          </c:spPr>
          <c:marker>
            <c:symbol val="none"/>
          </c:marker>
          <c:cat>
            <c:numRef>
              <c:f>'Carbon (t) - RFA'!$D$2:$AC$2</c:f>
              <c:numCache>
                <c:formatCode>General</c:formatCode>
                <c:ptCount val="26"/>
                <c:pt idx="0">
                  <c:v>1988</c:v>
                </c:pt>
                <c:pt idx="1">
                  <c:v>1989</c:v>
                </c:pt>
                <c:pt idx="2">
                  <c:v>1990</c:v>
                </c:pt>
                <c:pt idx="3">
                  <c:v>1991</c:v>
                </c:pt>
                <c:pt idx="4">
                  <c:v>1992</c:v>
                </c:pt>
                <c:pt idx="5">
                  <c:v>1993</c:v>
                </c:pt>
                <c:pt idx="6">
                  <c:v>1994</c:v>
                </c:pt>
                <c:pt idx="7">
                  <c:v>1995</c:v>
                </c:pt>
                <c:pt idx="8">
                  <c:v>1996</c:v>
                </c:pt>
                <c:pt idx="9">
                  <c:v>1997</c:v>
                </c:pt>
                <c:pt idx="10">
                  <c:v>1998</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numCache>
            </c:numRef>
          </c:cat>
          <c:val>
            <c:numRef>
              <c:f>'Carbon (t) - RFA'!$D$14:$AC$14</c:f>
              <c:numCache>
                <c:formatCode>_-* #,##0_-;\-* #,##0_-;_-* "-"??_-;_-@_-</c:formatCode>
                <c:ptCount val="26"/>
                <c:pt idx="0">
                  <c:v>163801059.70999998</c:v>
                </c:pt>
                <c:pt idx="1">
                  <c:v>165043990.68999997</c:v>
                </c:pt>
                <c:pt idx="2">
                  <c:v>164570910.30999997</c:v>
                </c:pt>
                <c:pt idx="3">
                  <c:v>164257569.29999998</c:v>
                </c:pt>
                <c:pt idx="4">
                  <c:v>164494956.42999998</c:v>
                </c:pt>
                <c:pt idx="5">
                  <c:v>164270288.44</c:v>
                </c:pt>
                <c:pt idx="6">
                  <c:v>163828854.56999999</c:v>
                </c:pt>
                <c:pt idx="7">
                  <c:v>163149934.39999998</c:v>
                </c:pt>
                <c:pt idx="8">
                  <c:v>163000250.67999998</c:v>
                </c:pt>
                <c:pt idx="9">
                  <c:v>162413991.94999999</c:v>
                </c:pt>
                <c:pt idx="10">
                  <c:v>161870285.60999998</c:v>
                </c:pt>
                <c:pt idx="11">
                  <c:v>160609009.12</c:v>
                </c:pt>
                <c:pt idx="12">
                  <c:v>161657693.33000001</c:v>
                </c:pt>
                <c:pt idx="13">
                  <c:v>161269311.18000001</c:v>
                </c:pt>
                <c:pt idx="14">
                  <c:v>159792221.03</c:v>
                </c:pt>
                <c:pt idx="15">
                  <c:v>156244607.91999999</c:v>
                </c:pt>
                <c:pt idx="16">
                  <c:v>157698667.13</c:v>
                </c:pt>
                <c:pt idx="17">
                  <c:v>140547837.44</c:v>
                </c:pt>
                <c:pt idx="18">
                  <c:v>145827878.06999999</c:v>
                </c:pt>
                <c:pt idx="19">
                  <c:v>146603947.23999998</c:v>
                </c:pt>
                <c:pt idx="20">
                  <c:v>147621137.69</c:v>
                </c:pt>
                <c:pt idx="21">
                  <c:v>149315079.25999999</c:v>
                </c:pt>
                <c:pt idx="22">
                  <c:v>150012395.69999999</c:v>
                </c:pt>
                <c:pt idx="23">
                  <c:v>151707152.71999997</c:v>
                </c:pt>
                <c:pt idx="24">
                  <c:v>153276900.07999998</c:v>
                </c:pt>
                <c:pt idx="25">
                  <c:v>156163164.44</c:v>
                </c:pt>
              </c:numCache>
            </c:numRef>
          </c:val>
          <c:smooth val="0"/>
          <c:extLst>
            <c:ext xmlns:c16="http://schemas.microsoft.com/office/drawing/2014/chart" uri="{C3380CC4-5D6E-409C-BE32-E72D297353CC}">
              <c16:uniqueId val="{00000000-BD64-4568-ACC1-8750B558BA3A}"/>
            </c:ext>
          </c:extLst>
        </c:ser>
        <c:ser>
          <c:idx val="1"/>
          <c:order val="1"/>
          <c:tx>
            <c:strRef>
              <c:f>'Carbon (t) - RFA'!$B$15</c:f>
              <c:strCache>
                <c:ptCount val="1"/>
                <c:pt idx="0">
                  <c:v>East Gippsland</c:v>
                </c:pt>
              </c:strCache>
            </c:strRef>
          </c:tx>
          <c:spPr>
            <a:ln w="28575" cap="rnd">
              <a:solidFill>
                <a:schemeClr val="tx1">
                  <a:lumMod val="60000"/>
                  <a:lumOff val="40000"/>
                </a:schemeClr>
              </a:solidFill>
              <a:round/>
            </a:ln>
            <a:effectLst/>
          </c:spPr>
          <c:marker>
            <c:symbol val="none"/>
          </c:marker>
          <c:cat>
            <c:numRef>
              <c:f>'Carbon (t) - RFA'!$D$2:$AC$2</c:f>
              <c:numCache>
                <c:formatCode>General</c:formatCode>
                <c:ptCount val="26"/>
                <c:pt idx="0">
                  <c:v>1988</c:v>
                </c:pt>
                <c:pt idx="1">
                  <c:v>1989</c:v>
                </c:pt>
                <c:pt idx="2">
                  <c:v>1990</c:v>
                </c:pt>
                <c:pt idx="3">
                  <c:v>1991</c:v>
                </c:pt>
                <c:pt idx="4">
                  <c:v>1992</c:v>
                </c:pt>
                <c:pt idx="5">
                  <c:v>1993</c:v>
                </c:pt>
                <c:pt idx="6">
                  <c:v>1994</c:v>
                </c:pt>
                <c:pt idx="7">
                  <c:v>1995</c:v>
                </c:pt>
                <c:pt idx="8">
                  <c:v>1996</c:v>
                </c:pt>
                <c:pt idx="9">
                  <c:v>1997</c:v>
                </c:pt>
                <c:pt idx="10">
                  <c:v>1998</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numCache>
            </c:numRef>
          </c:cat>
          <c:val>
            <c:numRef>
              <c:f>'Carbon (t) - RFA'!$D$15:$AC$15</c:f>
              <c:numCache>
                <c:formatCode>_-* #,##0_-;\-* #,##0_-;_-* "-"??_-;_-@_-</c:formatCode>
                <c:ptCount val="26"/>
                <c:pt idx="0">
                  <c:v>236493850.34999999</c:v>
                </c:pt>
                <c:pt idx="1">
                  <c:v>238465484.84</c:v>
                </c:pt>
                <c:pt idx="2">
                  <c:v>238972867.22999999</c:v>
                </c:pt>
                <c:pt idx="3">
                  <c:v>238971159.71999997</c:v>
                </c:pt>
                <c:pt idx="4">
                  <c:v>239458333.52000001</c:v>
                </c:pt>
                <c:pt idx="5">
                  <c:v>239672167.53999999</c:v>
                </c:pt>
                <c:pt idx="6">
                  <c:v>239427065.82999998</c:v>
                </c:pt>
                <c:pt idx="7">
                  <c:v>239307798.63</c:v>
                </c:pt>
                <c:pt idx="8">
                  <c:v>239318477.49999997</c:v>
                </c:pt>
                <c:pt idx="9">
                  <c:v>238884568.80000001</c:v>
                </c:pt>
                <c:pt idx="10">
                  <c:v>234426028.00999999</c:v>
                </c:pt>
                <c:pt idx="11">
                  <c:v>227528846.16</c:v>
                </c:pt>
                <c:pt idx="12">
                  <c:v>230971446.69999996</c:v>
                </c:pt>
                <c:pt idx="13">
                  <c:v>231716575.76999998</c:v>
                </c:pt>
                <c:pt idx="14">
                  <c:v>232088458.09999999</c:v>
                </c:pt>
                <c:pt idx="15">
                  <c:v>229852243.69</c:v>
                </c:pt>
                <c:pt idx="16">
                  <c:v>232562737.44999999</c:v>
                </c:pt>
                <c:pt idx="17">
                  <c:v>233397765.76999998</c:v>
                </c:pt>
                <c:pt idx="18">
                  <c:v>233737501.97999999</c:v>
                </c:pt>
                <c:pt idx="19">
                  <c:v>235297142.92999998</c:v>
                </c:pt>
                <c:pt idx="20">
                  <c:v>237349410.61999997</c:v>
                </c:pt>
                <c:pt idx="21">
                  <c:v>238343240.65999997</c:v>
                </c:pt>
                <c:pt idx="22">
                  <c:v>233533389.43999997</c:v>
                </c:pt>
                <c:pt idx="23">
                  <c:v>241466851.25999999</c:v>
                </c:pt>
                <c:pt idx="24">
                  <c:v>243227078.33999997</c:v>
                </c:pt>
                <c:pt idx="25">
                  <c:v>244875757.03</c:v>
                </c:pt>
              </c:numCache>
            </c:numRef>
          </c:val>
          <c:smooth val="0"/>
          <c:extLst>
            <c:ext xmlns:c16="http://schemas.microsoft.com/office/drawing/2014/chart" uri="{C3380CC4-5D6E-409C-BE32-E72D297353CC}">
              <c16:uniqueId val="{00000001-BD64-4568-ACC1-8750B558BA3A}"/>
            </c:ext>
          </c:extLst>
        </c:ser>
        <c:ser>
          <c:idx val="2"/>
          <c:order val="2"/>
          <c:tx>
            <c:strRef>
              <c:f>'Carbon (t) - RFA'!$B$16</c:f>
              <c:strCache>
                <c:ptCount val="1"/>
                <c:pt idx="0">
                  <c:v>Gippsland</c:v>
                </c:pt>
              </c:strCache>
            </c:strRef>
          </c:tx>
          <c:spPr>
            <a:ln w="28575" cap="rnd">
              <a:solidFill>
                <a:schemeClr val="accent3">
                  <a:lumMod val="60000"/>
                  <a:lumOff val="40000"/>
                </a:schemeClr>
              </a:solidFill>
              <a:round/>
            </a:ln>
            <a:effectLst/>
          </c:spPr>
          <c:marker>
            <c:symbol val="none"/>
          </c:marker>
          <c:cat>
            <c:numRef>
              <c:f>'Carbon (t) - RFA'!$D$2:$AC$2</c:f>
              <c:numCache>
                <c:formatCode>General</c:formatCode>
                <c:ptCount val="26"/>
                <c:pt idx="0">
                  <c:v>1988</c:v>
                </c:pt>
                <c:pt idx="1">
                  <c:v>1989</c:v>
                </c:pt>
                <c:pt idx="2">
                  <c:v>1990</c:v>
                </c:pt>
                <c:pt idx="3">
                  <c:v>1991</c:v>
                </c:pt>
                <c:pt idx="4">
                  <c:v>1992</c:v>
                </c:pt>
                <c:pt idx="5">
                  <c:v>1993</c:v>
                </c:pt>
                <c:pt idx="6">
                  <c:v>1994</c:v>
                </c:pt>
                <c:pt idx="7">
                  <c:v>1995</c:v>
                </c:pt>
                <c:pt idx="8">
                  <c:v>1996</c:v>
                </c:pt>
                <c:pt idx="9">
                  <c:v>1997</c:v>
                </c:pt>
                <c:pt idx="10">
                  <c:v>1998</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numCache>
            </c:numRef>
          </c:cat>
          <c:val>
            <c:numRef>
              <c:f>'Carbon (t) - RFA'!$D$16:$AC$16</c:f>
              <c:numCache>
                <c:formatCode>_-* #,##0_-;\-* #,##0_-;_-* "-"??_-;_-@_-</c:formatCode>
                <c:ptCount val="26"/>
                <c:pt idx="0">
                  <c:v>305593682.75</c:v>
                </c:pt>
                <c:pt idx="1">
                  <c:v>307735347.73000002</c:v>
                </c:pt>
                <c:pt idx="2">
                  <c:v>306673966.46999997</c:v>
                </c:pt>
                <c:pt idx="3">
                  <c:v>306439740.55999994</c:v>
                </c:pt>
                <c:pt idx="4">
                  <c:v>306678474.70999998</c:v>
                </c:pt>
                <c:pt idx="5">
                  <c:v>306357413.00999999</c:v>
                </c:pt>
                <c:pt idx="6">
                  <c:v>305162933.85999995</c:v>
                </c:pt>
                <c:pt idx="7">
                  <c:v>303842730.17999995</c:v>
                </c:pt>
                <c:pt idx="8">
                  <c:v>303602325.64999998</c:v>
                </c:pt>
                <c:pt idx="9">
                  <c:v>302292498.16000003</c:v>
                </c:pt>
                <c:pt idx="10">
                  <c:v>284136060.69999999</c:v>
                </c:pt>
                <c:pt idx="11">
                  <c:v>262234535.40000001</c:v>
                </c:pt>
                <c:pt idx="12">
                  <c:v>270933093.30000001</c:v>
                </c:pt>
                <c:pt idx="13">
                  <c:v>270869180.81999999</c:v>
                </c:pt>
                <c:pt idx="14">
                  <c:v>270297109.50999999</c:v>
                </c:pt>
                <c:pt idx="15">
                  <c:v>221197165.95999998</c:v>
                </c:pt>
                <c:pt idx="16">
                  <c:v>252706940.73999998</c:v>
                </c:pt>
                <c:pt idx="17">
                  <c:v>250100901.66</c:v>
                </c:pt>
                <c:pt idx="18">
                  <c:v>253738277.24999997</c:v>
                </c:pt>
                <c:pt idx="19">
                  <c:v>260821731.84999999</c:v>
                </c:pt>
                <c:pt idx="20">
                  <c:v>265707296.31</c:v>
                </c:pt>
                <c:pt idx="21">
                  <c:v>263366616.88</c:v>
                </c:pt>
                <c:pt idx="22">
                  <c:v>270608241.99000001</c:v>
                </c:pt>
                <c:pt idx="23">
                  <c:v>281036110.37</c:v>
                </c:pt>
                <c:pt idx="24">
                  <c:v>289888381.76999998</c:v>
                </c:pt>
                <c:pt idx="25">
                  <c:v>300177884.02999997</c:v>
                </c:pt>
              </c:numCache>
            </c:numRef>
          </c:val>
          <c:smooth val="0"/>
          <c:extLst>
            <c:ext xmlns:c16="http://schemas.microsoft.com/office/drawing/2014/chart" uri="{C3380CC4-5D6E-409C-BE32-E72D297353CC}">
              <c16:uniqueId val="{00000002-BD64-4568-ACC1-8750B558BA3A}"/>
            </c:ext>
          </c:extLst>
        </c:ser>
        <c:ser>
          <c:idx val="3"/>
          <c:order val="3"/>
          <c:tx>
            <c:strRef>
              <c:f>'Carbon (t) - RFA'!$B$17</c:f>
              <c:strCache>
                <c:ptCount val="1"/>
                <c:pt idx="0">
                  <c:v>North East</c:v>
                </c:pt>
              </c:strCache>
            </c:strRef>
          </c:tx>
          <c:spPr>
            <a:ln w="28575" cap="rnd">
              <a:solidFill>
                <a:schemeClr val="accent2">
                  <a:lumMod val="50000"/>
                  <a:lumOff val="50000"/>
                </a:schemeClr>
              </a:solidFill>
              <a:round/>
            </a:ln>
            <a:effectLst/>
          </c:spPr>
          <c:marker>
            <c:symbol val="none"/>
          </c:marker>
          <c:cat>
            <c:numRef>
              <c:f>'Carbon (t) - RFA'!$D$2:$AC$2</c:f>
              <c:numCache>
                <c:formatCode>General</c:formatCode>
                <c:ptCount val="26"/>
                <c:pt idx="0">
                  <c:v>1988</c:v>
                </c:pt>
                <c:pt idx="1">
                  <c:v>1989</c:v>
                </c:pt>
                <c:pt idx="2">
                  <c:v>1990</c:v>
                </c:pt>
                <c:pt idx="3">
                  <c:v>1991</c:v>
                </c:pt>
                <c:pt idx="4">
                  <c:v>1992</c:v>
                </c:pt>
                <c:pt idx="5">
                  <c:v>1993</c:v>
                </c:pt>
                <c:pt idx="6">
                  <c:v>1994</c:v>
                </c:pt>
                <c:pt idx="7">
                  <c:v>1995</c:v>
                </c:pt>
                <c:pt idx="8">
                  <c:v>1996</c:v>
                </c:pt>
                <c:pt idx="9">
                  <c:v>1997</c:v>
                </c:pt>
                <c:pt idx="10">
                  <c:v>1998</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numCache>
            </c:numRef>
          </c:cat>
          <c:val>
            <c:numRef>
              <c:f>'Carbon (t) - RFA'!$D$17:$AC$17</c:f>
              <c:numCache>
                <c:formatCode>_-* #,##0_-;\-* #,##0_-;_-* "-"??_-;_-@_-</c:formatCode>
                <c:ptCount val="26"/>
                <c:pt idx="0">
                  <c:v>267571359.54999998</c:v>
                </c:pt>
                <c:pt idx="1">
                  <c:v>269229094.66999996</c:v>
                </c:pt>
                <c:pt idx="2">
                  <c:v>267669814.68000001</c:v>
                </c:pt>
                <c:pt idx="3">
                  <c:v>266965022.88999999</c:v>
                </c:pt>
                <c:pt idx="4">
                  <c:v>266010671.90999997</c:v>
                </c:pt>
                <c:pt idx="5">
                  <c:v>265672362.15000001</c:v>
                </c:pt>
                <c:pt idx="6">
                  <c:v>264327398.86999997</c:v>
                </c:pt>
                <c:pt idx="7">
                  <c:v>262407848.83999997</c:v>
                </c:pt>
                <c:pt idx="8">
                  <c:v>261539407.27999997</c:v>
                </c:pt>
                <c:pt idx="9">
                  <c:v>260163074.78999999</c:v>
                </c:pt>
                <c:pt idx="10">
                  <c:v>258473560.14999998</c:v>
                </c:pt>
                <c:pt idx="11">
                  <c:v>220405074.95999998</c:v>
                </c:pt>
                <c:pt idx="12">
                  <c:v>234921560.75999999</c:v>
                </c:pt>
                <c:pt idx="13">
                  <c:v>234445017.41999999</c:v>
                </c:pt>
                <c:pt idx="14">
                  <c:v>234675963.19999999</c:v>
                </c:pt>
                <c:pt idx="15">
                  <c:v>188465819.81999996</c:v>
                </c:pt>
                <c:pt idx="16">
                  <c:v>222907751.16999999</c:v>
                </c:pt>
                <c:pt idx="17">
                  <c:v>217311821.18999997</c:v>
                </c:pt>
                <c:pt idx="18">
                  <c:v>219312729.16</c:v>
                </c:pt>
                <c:pt idx="19">
                  <c:v>225079490.97999999</c:v>
                </c:pt>
                <c:pt idx="20">
                  <c:v>226583930.90000001</c:v>
                </c:pt>
                <c:pt idx="21">
                  <c:v>226001433.10999998</c:v>
                </c:pt>
                <c:pt idx="22">
                  <c:v>230174968.72</c:v>
                </c:pt>
                <c:pt idx="23">
                  <c:v>237673756.68000001</c:v>
                </c:pt>
                <c:pt idx="24">
                  <c:v>243014980.5</c:v>
                </c:pt>
                <c:pt idx="25">
                  <c:v>249655338.83999997</c:v>
                </c:pt>
              </c:numCache>
            </c:numRef>
          </c:val>
          <c:smooth val="0"/>
          <c:extLst>
            <c:ext xmlns:c16="http://schemas.microsoft.com/office/drawing/2014/chart" uri="{C3380CC4-5D6E-409C-BE32-E72D297353CC}">
              <c16:uniqueId val="{00000003-BD64-4568-ACC1-8750B558BA3A}"/>
            </c:ext>
          </c:extLst>
        </c:ser>
        <c:ser>
          <c:idx val="4"/>
          <c:order val="4"/>
          <c:tx>
            <c:strRef>
              <c:f>'Carbon (t) - RFA'!$B$18</c:f>
              <c:strCache>
                <c:ptCount val="1"/>
                <c:pt idx="0">
                  <c:v>West</c:v>
                </c:pt>
              </c:strCache>
            </c:strRef>
          </c:tx>
          <c:spPr>
            <a:ln w="28575" cap="rnd">
              <a:solidFill>
                <a:schemeClr val="accent2"/>
              </a:solidFill>
              <a:round/>
            </a:ln>
            <a:effectLst/>
          </c:spPr>
          <c:marker>
            <c:symbol val="none"/>
          </c:marker>
          <c:cat>
            <c:numRef>
              <c:f>'Carbon (t) - RFA'!$D$2:$AC$2</c:f>
              <c:numCache>
                <c:formatCode>General</c:formatCode>
                <c:ptCount val="26"/>
                <c:pt idx="0">
                  <c:v>1988</c:v>
                </c:pt>
                <c:pt idx="1">
                  <c:v>1989</c:v>
                </c:pt>
                <c:pt idx="2">
                  <c:v>1990</c:v>
                </c:pt>
                <c:pt idx="3">
                  <c:v>1991</c:v>
                </c:pt>
                <c:pt idx="4">
                  <c:v>1992</c:v>
                </c:pt>
                <c:pt idx="5">
                  <c:v>1993</c:v>
                </c:pt>
                <c:pt idx="6">
                  <c:v>1994</c:v>
                </c:pt>
                <c:pt idx="7">
                  <c:v>1995</c:v>
                </c:pt>
                <c:pt idx="8">
                  <c:v>1996</c:v>
                </c:pt>
                <c:pt idx="9">
                  <c:v>1997</c:v>
                </c:pt>
                <c:pt idx="10">
                  <c:v>1998</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numCache>
            </c:numRef>
          </c:cat>
          <c:val>
            <c:numRef>
              <c:f>'Carbon (t) - RFA'!$D$18:$AC$18</c:f>
              <c:numCache>
                <c:formatCode>_-* #,##0_-;\-* #,##0_-;_-* "-"??_-;_-@_-</c:formatCode>
                <c:ptCount val="26"/>
                <c:pt idx="0">
                  <c:v>159649372.52000001</c:v>
                </c:pt>
                <c:pt idx="1">
                  <c:v>160198000.23000002</c:v>
                </c:pt>
                <c:pt idx="2">
                  <c:v>160008211.41</c:v>
                </c:pt>
                <c:pt idx="3">
                  <c:v>158966031.53</c:v>
                </c:pt>
                <c:pt idx="4">
                  <c:v>159851301.44</c:v>
                </c:pt>
                <c:pt idx="5">
                  <c:v>159432775.37</c:v>
                </c:pt>
                <c:pt idx="6">
                  <c:v>158145318.94</c:v>
                </c:pt>
                <c:pt idx="7">
                  <c:v>155535541.48000002</c:v>
                </c:pt>
                <c:pt idx="8">
                  <c:v>155089918.49999997</c:v>
                </c:pt>
                <c:pt idx="9">
                  <c:v>153949569.72</c:v>
                </c:pt>
                <c:pt idx="10">
                  <c:v>152832624.58999997</c:v>
                </c:pt>
                <c:pt idx="11">
                  <c:v>148935067.81</c:v>
                </c:pt>
                <c:pt idx="12">
                  <c:v>148716834.12</c:v>
                </c:pt>
                <c:pt idx="13">
                  <c:v>148232577.13999999</c:v>
                </c:pt>
                <c:pt idx="14">
                  <c:v>142032627.13</c:v>
                </c:pt>
                <c:pt idx="15">
                  <c:v>141353956.06</c:v>
                </c:pt>
                <c:pt idx="16">
                  <c:v>144798371.74000001</c:v>
                </c:pt>
                <c:pt idx="17">
                  <c:v>143974669.94999999</c:v>
                </c:pt>
                <c:pt idx="18">
                  <c:v>144715169.04999998</c:v>
                </c:pt>
                <c:pt idx="19">
                  <c:v>145783653.88999999</c:v>
                </c:pt>
                <c:pt idx="20">
                  <c:v>146145078.25</c:v>
                </c:pt>
                <c:pt idx="21">
                  <c:v>145535645.69999999</c:v>
                </c:pt>
                <c:pt idx="22">
                  <c:v>144863162.17999998</c:v>
                </c:pt>
                <c:pt idx="23">
                  <c:v>145190649.72</c:v>
                </c:pt>
                <c:pt idx="24">
                  <c:v>144668333.54999998</c:v>
                </c:pt>
                <c:pt idx="25">
                  <c:v>150233161.28</c:v>
                </c:pt>
              </c:numCache>
            </c:numRef>
          </c:val>
          <c:smooth val="0"/>
          <c:extLst>
            <c:ext xmlns:c16="http://schemas.microsoft.com/office/drawing/2014/chart" uri="{C3380CC4-5D6E-409C-BE32-E72D297353CC}">
              <c16:uniqueId val="{00000004-BD64-4568-ACC1-8750B558BA3A}"/>
            </c:ext>
          </c:extLst>
        </c:ser>
        <c:dLbls>
          <c:showLegendKey val="0"/>
          <c:showVal val="0"/>
          <c:showCatName val="0"/>
          <c:showSerName val="0"/>
          <c:showPercent val="0"/>
          <c:showBubbleSize val="0"/>
        </c:dLbls>
        <c:smooth val="0"/>
        <c:axId val="484813984"/>
        <c:axId val="484810456"/>
      </c:lineChart>
      <c:catAx>
        <c:axId val="4848139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810456"/>
        <c:crosses val="autoZero"/>
        <c:auto val="1"/>
        <c:lblAlgn val="ctr"/>
        <c:lblOffset val="100"/>
        <c:noMultiLvlLbl val="0"/>
      </c:catAx>
      <c:valAx>
        <c:axId val="48481045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813984"/>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Million tonnes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Australian import/export trend in wood</a:t>
            </a:r>
            <a:r>
              <a:rPr lang="en-AU" baseline="0"/>
              <a:t> products 2007-2018</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'wood products'!$A$2</c:f>
              <c:strCache>
                <c:ptCount val="1"/>
                <c:pt idx="0">
                  <c:v>Imports</c:v>
                </c:pt>
              </c:strCache>
            </c:strRef>
          </c:tx>
          <c:spPr>
            <a:solidFill>
              <a:schemeClr val="accent1"/>
            </a:solidFill>
            <a:ln>
              <a:noFill/>
            </a:ln>
            <a:effectLst/>
          </c:spPr>
          <c:invertIfNegative val="0"/>
          <c:cat>
            <c:strRef>
              <c:f>'wood products'!$B$1:$L$1</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c:v>
                </c:pt>
              </c:strCache>
            </c:strRef>
          </c:cat>
          <c:val>
            <c:numRef>
              <c:f>'wood products'!$B$2:$L$2</c:f>
              <c:numCache>
                <c:formatCode>0</c:formatCode>
                <c:ptCount val="11"/>
                <c:pt idx="0">
                  <c:v>4422.9041520000001</c:v>
                </c:pt>
                <c:pt idx="1">
                  <c:v>4471.0832929999997</c:v>
                </c:pt>
                <c:pt idx="2">
                  <c:v>4225.3780649999999</c:v>
                </c:pt>
                <c:pt idx="3">
                  <c:v>4431.4756829999997</c:v>
                </c:pt>
                <c:pt idx="4">
                  <c:v>4202.2018749999997</c:v>
                </c:pt>
                <c:pt idx="5">
                  <c:v>4116.2883179999999</c:v>
                </c:pt>
                <c:pt idx="6">
                  <c:v>4596.1721859999998</c:v>
                </c:pt>
                <c:pt idx="7">
                  <c:v>5052.0152340000004</c:v>
                </c:pt>
                <c:pt idx="8">
                  <c:v>5378.3880529999997</c:v>
                </c:pt>
                <c:pt idx="9">
                  <c:v>5195.2504280000003</c:v>
                </c:pt>
                <c:pt idx="10">
                  <c:v>5615.7896700000001</c:v>
                </c:pt>
              </c:numCache>
            </c:numRef>
          </c:val>
          <c:extLst>
            <c:ext xmlns:c16="http://schemas.microsoft.com/office/drawing/2014/chart" uri="{C3380CC4-5D6E-409C-BE32-E72D297353CC}">
              <c16:uniqueId val="{00000000-B1DC-4FBD-9D3D-A05D3CE577A4}"/>
            </c:ext>
          </c:extLst>
        </c:ser>
        <c:ser>
          <c:idx val="1"/>
          <c:order val="1"/>
          <c:tx>
            <c:strRef>
              <c:f>'wood products'!$A$3</c:f>
              <c:strCache>
                <c:ptCount val="1"/>
                <c:pt idx="0">
                  <c:v>Exports</c:v>
                </c:pt>
              </c:strCache>
            </c:strRef>
          </c:tx>
          <c:spPr>
            <a:solidFill>
              <a:schemeClr val="accent2"/>
            </a:solidFill>
            <a:ln>
              <a:noFill/>
            </a:ln>
            <a:effectLst/>
          </c:spPr>
          <c:invertIfNegative val="0"/>
          <c:cat>
            <c:strRef>
              <c:f>'wood products'!$B$1:$L$1</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c:v>
                </c:pt>
              </c:strCache>
            </c:strRef>
          </c:cat>
          <c:val>
            <c:numRef>
              <c:f>'wood products'!$B$3:$L$3</c:f>
              <c:numCache>
                <c:formatCode>0</c:formatCode>
                <c:ptCount val="11"/>
                <c:pt idx="0">
                  <c:v>2472.0953690000001</c:v>
                </c:pt>
                <c:pt idx="1">
                  <c:v>2363.8051129999999</c:v>
                </c:pt>
                <c:pt idx="2">
                  <c:v>2272.162448</c:v>
                </c:pt>
                <c:pt idx="3">
                  <c:v>2468.6552360000001</c:v>
                </c:pt>
                <c:pt idx="4">
                  <c:v>2229.2374730000001</c:v>
                </c:pt>
                <c:pt idx="5">
                  <c:v>2043.9753049999999</c:v>
                </c:pt>
                <c:pt idx="6">
                  <c:v>2528.5384629999999</c:v>
                </c:pt>
                <c:pt idx="7">
                  <c:v>2772.491094</c:v>
                </c:pt>
                <c:pt idx="8">
                  <c:v>3116.301023</c:v>
                </c:pt>
                <c:pt idx="9">
                  <c:v>3459.8185629999998</c:v>
                </c:pt>
                <c:pt idx="10">
                  <c:v>3605.4736929999999</c:v>
                </c:pt>
              </c:numCache>
            </c:numRef>
          </c:val>
          <c:extLst>
            <c:ext xmlns:c16="http://schemas.microsoft.com/office/drawing/2014/chart" uri="{C3380CC4-5D6E-409C-BE32-E72D297353CC}">
              <c16:uniqueId val="{00000001-B1DC-4FBD-9D3D-A05D3CE577A4}"/>
            </c:ext>
          </c:extLst>
        </c:ser>
        <c:ser>
          <c:idx val="2"/>
          <c:order val="2"/>
          <c:tx>
            <c:strRef>
              <c:f>'wood products'!$A$4</c:f>
              <c:strCache>
                <c:ptCount val="1"/>
                <c:pt idx="0">
                  <c:v>Deficit</c:v>
                </c:pt>
              </c:strCache>
            </c:strRef>
          </c:tx>
          <c:spPr>
            <a:solidFill>
              <a:srgbClr val="00B050"/>
            </a:solidFill>
            <a:ln>
              <a:noFill/>
            </a:ln>
            <a:effectLst/>
          </c:spPr>
          <c:invertIfNegative val="0"/>
          <c:cat>
            <c:strRef>
              <c:f>'wood products'!$B$1:$L$1</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c:v>
                </c:pt>
              </c:strCache>
            </c:strRef>
          </c:cat>
          <c:val>
            <c:numRef>
              <c:f>'wood products'!$B$4:$L$4</c:f>
              <c:numCache>
                <c:formatCode>0</c:formatCode>
                <c:ptCount val="11"/>
                <c:pt idx="0">
                  <c:v>-1950.8087829999999</c:v>
                </c:pt>
                <c:pt idx="1">
                  <c:v>-2107.2781799999998</c:v>
                </c:pt>
                <c:pt idx="2">
                  <c:v>-1953.2156169999998</c:v>
                </c:pt>
                <c:pt idx="3">
                  <c:v>-1962.8204469999996</c:v>
                </c:pt>
                <c:pt idx="4">
                  <c:v>-1972.9644019999996</c:v>
                </c:pt>
                <c:pt idx="5">
                  <c:v>-2072.313013</c:v>
                </c:pt>
                <c:pt idx="6">
                  <c:v>-2067.6337229999999</c:v>
                </c:pt>
                <c:pt idx="7">
                  <c:v>-2279.5241400000004</c:v>
                </c:pt>
                <c:pt idx="8">
                  <c:v>-2262.0870299999997</c:v>
                </c:pt>
                <c:pt idx="9">
                  <c:v>-1735.4318650000005</c:v>
                </c:pt>
                <c:pt idx="10">
                  <c:v>-2010.3159770000002</c:v>
                </c:pt>
              </c:numCache>
            </c:numRef>
          </c:val>
          <c:extLst>
            <c:ext xmlns:c16="http://schemas.microsoft.com/office/drawing/2014/chart" uri="{C3380CC4-5D6E-409C-BE32-E72D297353CC}">
              <c16:uniqueId val="{00000002-B1DC-4FBD-9D3D-A05D3CE577A4}"/>
            </c:ext>
          </c:extLst>
        </c:ser>
        <c:dLbls>
          <c:showLegendKey val="0"/>
          <c:showVal val="0"/>
          <c:showCatName val="0"/>
          <c:showSerName val="0"/>
          <c:showPercent val="0"/>
          <c:showBubbleSize val="0"/>
        </c:dLbls>
        <c:gapWidth val="219"/>
        <c:overlap val="-27"/>
        <c:axId val="460648976"/>
        <c:axId val="460652584"/>
      </c:barChart>
      <c:catAx>
        <c:axId val="460648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Financial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652584"/>
        <c:crosses val="autoZero"/>
        <c:auto val="1"/>
        <c:lblAlgn val="ctr"/>
        <c:lblOffset val="100"/>
        <c:noMultiLvlLbl val="0"/>
      </c:catAx>
      <c:valAx>
        <c:axId val="460652584"/>
        <c:scaling>
          <c:orientation val="minMax"/>
          <c:min val="-3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Value ($</a:t>
                </a:r>
                <a:r>
                  <a:rPr lang="en-AU" b="1" baseline="0"/>
                  <a:t> million)</a:t>
                </a:r>
                <a:endParaRPr lang="en-AU"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64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2517F445A0F35E449C98AAD631F2B03860" PreviousValue="false"/>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9</Value>
      <Value>8</Value>
      <Value>7</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Policy and Planning</TermName>
          <TermId xmlns="http://schemas.microsoft.com/office/infopath/2007/PartnerControls">01515e0b-0528-49c7-a53b-6d3bf8d1dbc3</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4fc4eb71-37bd-484a-9730-ffe71d98aecc</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Forest, Fire and Regions</TermName>
          <TermId xmlns="http://schemas.microsoft.com/office/infopath/2007/PartnerControls">2e0654de-dfdc-4793-b2a2-0db9a0abca14</TermId>
        </TermInfo>
      </Terms>
    </ic50d0a05a8e4d9791dac67f8a1e716c>
    <_dlc_DocId xmlns="a5f32de4-e402-4188-b034-e71ca7d22e54">DOCID523-1673081819-48</_dlc_DocId>
    <_dlc_DocIdUrl xmlns="a5f32de4-e402-4188-b034-e71ca7d22e54">
      <Url>https://delwpvicgovau.sharepoint.com/sites/ecm_523/_layouts/15/DocIdRedir.aspx?ID=DOCID523-1673081819-48</Url>
      <Description>DOCID523-1673081819-48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Action List" ma:contentTypeID="0x0101002517F445A0F35E449C98AAD631F2B0386000BF9FDAF71FE12C4CA6EB66F3EAF59B97" ma:contentTypeVersion="11" ma:contentTypeDescription="Used to log actions from meetings" ma:contentTypeScope="" ma:versionID="2d7aa6d35e1117a88b3137bd98c5c572">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a1c3bab4d30470caadf44401f3f90800"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8;#Policy|4fc4eb71-37bd-484a-9730-ffe71d98aec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8c89ca8-b6b9-4847-a38b-51831b7d3b46}" ma:internalName="TaxCatchAll" ma:showField="CatchAllData" ma:web="f62668c0-82ee-4623-ab3b-d6d6f9ed9c40">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8c89ca8-b6b9-4847-a38b-51831b7d3b46}" ma:internalName="TaxCatchAllLabel" ma:readOnly="true" ma:showField="CatchAllDataLabel" ma:web="f62668c0-82ee-4623-ab3b-d6d6f9ed9c40">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0;#Forest, Fire and Regions|2e0654de-dfdc-4793-b2a2-0db9a0abca1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9;#Policy and Planning|01515e0b-0528-49c7-a53b-6d3bf8d1dbc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37CC0A2-28E4-49CA-8B77-BD68ECFD427C}">
  <ds:schemaRefs>
    <ds:schemaRef ds:uri="Microsoft.SharePoint.Taxonomy.ContentTypeSync"/>
  </ds:schemaRefs>
</ds:datastoreItem>
</file>

<file path=customXml/itemProps2.xml><?xml version="1.0" encoding="utf-8"?>
<ds:datastoreItem xmlns:ds="http://schemas.openxmlformats.org/officeDocument/2006/customXml" ds:itemID="{C19C99C9-E6DC-4E05-BE5C-8691BFCE292F}">
  <ds:schemaRefs>
    <ds:schemaRef ds:uri="http://schemas.microsoft.com/office/2006/metadata/customXsn"/>
  </ds:schemaRefs>
</ds:datastoreItem>
</file>

<file path=customXml/itemProps3.xml><?xml version="1.0" encoding="utf-8"?>
<ds:datastoreItem xmlns:ds="http://schemas.openxmlformats.org/officeDocument/2006/customXml" ds:itemID="{680FD8B1-53FF-4C34-B465-78FD982950D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schemas.microsoft.com/sharepoint/v3"/>
    <ds:schemaRef ds:uri="9fd47c19-1c4a-4d7d-b342-c10cef269344"/>
    <ds:schemaRef ds:uri="http://www.w3.org/XML/1998/namespace"/>
    <ds:schemaRef ds:uri="http://purl.org/dc/dcmitype/"/>
  </ds:schemaRefs>
</ds:datastoreItem>
</file>

<file path=customXml/itemProps4.xml><?xml version="1.0" encoding="utf-8"?>
<ds:datastoreItem xmlns:ds="http://schemas.openxmlformats.org/officeDocument/2006/customXml" ds:itemID="{7DB14FC6-18F5-4EBB-AFB5-76C6C96FF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B750391-4C73-432A-AB88-00D640106016}">
  <ds:schemaRefs>
    <ds:schemaRef ds:uri="http://schemas.microsoft.com/sharepoint/v3/contenttype/forms"/>
  </ds:schemaRefs>
</ds:datastoreItem>
</file>

<file path=customXml/itemProps6.xml><?xml version="1.0" encoding="utf-8"?>
<ds:datastoreItem xmlns:ds="http://schemas.openxmlformats.org/officeDocument/2006/customXml" ds:itemID="{D8B7089E-D2EE-4138-9A33-8CEB9BB9BDA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23093</Words>
  <Characters>131635</Characters>
  <Application>Microsoft Office Word</Application>
  <DocSecurity>0</DocSecurity>
  <Lines>1096</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Zanrosso (DELWP)</dc:creator>
  <cp:keywords/>
  <dc:description/>
  <cp:lastModifiedBy>Penelope R Jordan (DELWP)</cp:lastModifiedBy>
  <cp:revision>2</cp:revision>
  <dcterms:created xsi:type="dcterms:W3CDTF">2020-03-29T23:29:00Z</dcterms:created>
  <dcterms:modified xsi:type="dcterms:W3CDTF">2020-03-29T23:29:00Z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0x0101002517F445A0F35E449C98AAD631F2B0386000BF9FDAF71FE12C4CA6EB66F3EAF59B97</vt:lpwstr>
  </property>
  <property fmtid="{D5CDD505-2E9C-101B-9397-08002B2CF9AE}" pid="3" name="Section">
    <vt:i4>7</vt:i4>
  </property>
  <property fmtid="{D5CDD505-2E9C-101B-9397-08002B2CF9AE}" pid="4" name="Agency">
    <vt:i4>1</vt:i4>
  </property>
  <property fmtid="{D5CDD505-2E9C-101B-9397-08002B2CF9AE}" pid="5" name="Branch">
    <vt:i4>8</vt:i4>
  </property>
  <property fmtid="{D5CDD505-2E9C-101B-9397-08002B2CF9AE}" pid="6" name="_dlc_DocIdItemGuid">
    <vt:lpwstr>01643498-0055-4cfe-9a2e-867a606195e7</vt:lpwstr>
  </property>
  <property fmtid="{D5CDD505-2E9C-101B-9397-08002B2CF9AE}" pid="7" name="Division">
    <vt:i4>9</vt:i4>
  </property>
  <property fmtid="{D5CDD505-2E9C-101B-9397-08002B2CF9AE}" pid="8" name="Dissemination Limiting Marker">
    <vt:i4>2</vt:i4>
  </property>
  <property fmtid="{D5CDD505-2E9C-101B-9397-08002B2CF9AE}" pid="9" name="Group1">
    <vt:i4>10</vt:i4>
  </property>
  <property fmtid="{D5CDD505-2E9C-101B-9397-08002B2CF9AE}" pid="10" name="Security Classification">
    <vt:i4>3</vt:i4>
  </property>
</Properties>
</file>