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EB90" w14:textId="1AF7735D" w:rsidR="00534811" w:rsidRPr="00534811" w:rsidRDefault="00363757" w:rsidP="00534811">
      <w:pPr>
        <w:pStyle w:val="Title"/>
        <w:rPr>
          <w:lang w:val="en-GB"/>
        </w:rPr>
      </w:pPr>
      <w:r>
        <w:rPr>
          <w:lang w:val="en-GB"/>
        </w:rPr>
        <w:t>FORESTRY TRANSITION PROGRAM</w:t>
      </w:r>
    </w:p>
    <w:p w14:paraId="131CC1CB" w14:textId="3EDE3576" w:rsidR="00534811" w:rsidRDefault="00534811" w:rsidP="00534811">
      <w:pPr>
        <w:pStyle w:val="Subtitle"/>
      </w:pPr>
      <w:r>
        <w:t>Victorian Timber Innovation Grants Program Round Two</w:t>
      </w:r>
    </w:p>
    <w:p w14:paraId="3DDF6E2D" w14:textId="3637378B" w:rsidR="005D50C3" w:rsidRDefault="00534811" w:rsidP="00534811">
      <w:pPr>
        <w:spacing w:line="260" w:lineRule="atLeast"/>
      </w:pPr>
      <w:r>
        <w:t xml:space="preserve">Application guidelines </w:t>
      </w:r>
      <w:r>
        <w:br/>
      </w:r>
      <w:r w:rsidR="00BD19E9">
        <w:t xml:space="preserve">JULY </w:t>
      </w:r>
      <w:r w:rsidR="00072083">
        <w:t>2023</w:t>
      </w:r>
    </w:p>
    <w:p w14:paraId="5B5B689B" w14:textId="20CF2E2F" w:rsidR="00236728" w:rsidRDefault="00236728" w:rsidP="0056605B">
      <w:pPr>
        <w:spacing w:after="480" w:line="260" w:lineRule="atLeast"/>
      </w:pPr>
      <w:r>
        <w:rPr>
          <w:noProof/>
        </w:rPr>
        <w:drawing>
          <wp:inline distT="0" distB="0" distL="0" distR="0" wp14:anchorId="472B979E" wp14:editId="5B298614">
            <wp:extent cx="939800" cy="533400"/>
            <wp:effectExtent l="0" t="0" r="0" b="0"/>
            <wp:docPr id="1" name="Picture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 State Government logo"/>
                    <pic:cNvPicPr/>
                  </pic:nvPicPr>
                  <pic:blipFill>
                    <a:blip r:embed="rId11"/>
                    <a:stretch>
                      <a:fillRect/>
                    </a:stretch>
                  </pic:blipFill>
                  <pic:spPr>
                    <a:xfrm>
                      <a:off x="0" y="0"/>
                      <a:ext cx="939800" cy="533400"/>
                    </a:xfrm>
                    <a:prstGeom prst="rect">
                      <a:avLst/>
                    </a:prstGeom>
                  </pic:spPr>
                </pic:pic>
              </a:graphicData>
            </a:graphic>
          </wp:inline>
        </w:drawing>
      </w:r>
    </w:p>
    <w:p w14:paraId="7473FFBC" w14:textId="36B17D16" w:rsidR="0056605B" w:rsidRPr="00803C7F" w:rsidRDefault="0056605B" w:rsidP="00803C7F">
      <w:pPr>
        <w:pStyle w:val="TOC1"/>
      </w:pPr>
      <w:r>
        <w:fldChar w:fldCharType="begin"/>
      </w:r>
      <w:r>
        <w:instrText xml:space="preserve"> TOC \o "1-1" \h \z \t "Heading 2,2,Heading 2 numbered,2" </w:instrText>
      </w:r>
      <w:r>
        <w:fldChar w:fldCharType="separate"/>
      </w:r>
      <w:hyperlink w:anchor="_Toc117178491" w:history="1">
        <w:r w:rsidRPr="00803C7F">
          <w:rPr>
            <w:rStyle w:val="Hyperlink"/>
            <w:color w:val="auto"/>
            <w:u w:val="none"/>
          </w:rPr>
          <w:t>1</w:t>
        </w:r>
        <w:r w:rsidRPr="00803C7F">
          <w:tab/>
        </w:r>
        <w:r w:rsidRPr="00803C7F">
          <w:rPr>
            <w:rStyle w:val="Hyperlink"/>
            <w:color w:val="auto"/>
            <w:u w:val="none"/>
          </w:rPr>
          <w:t>Background</w:t>
        </w:r>
        <w:r w:rsidRPr="00803C7F">
          <w:rPr>
            <w:webHidden/>
          </w:rPr>
          <w:tab/>
        </w:r>
        <w:r w:rsidRPr="00803C7F">
          <w:rPr>
            <w:webHidden/>
          </w:rPr>
          <w:fldChar w:fldCharType="begin"/>
        </w:r>
        <w:r w:rsidRPr="00803C7F">
          <w:rPr>
            <w:webHidden/>
          </w:rPr>
          <w:instrText xml:space="preserve"> PAGEREF _Toc117178491 \h </w:instrText>
        </w:r>
        <w:r w:rsidRPr="00803C7F">
          <w:rPr>
            <w:webHidden/>
          </w:rPr>
        </w:r>
        <w:r w:rsidRPr="00803C7F">
          <w:rPr>
            <w:webHidden/>
          </w:rPr>
          <w:fldChar w:fldCharType="separate"/>
        </w:r>
        <w:r w:rsidRPr="00803C7F">
          <w:rPr>
            <w:webHidden/>
          </w:rPr>
          <w:t>1</w:t>
        </w:r>
        <w:r w:rsidRPr="00803C7F">
          <w:rPr>
            <w:webHidden/>
          </w:rPr>
          <w:fldChar w:fldCharType="end"/>
        </w:r>
      </w:hyperlink>
    </w:p>
    <w:p w14:paraId="2126C084" w14:textId="51C7E9CD" w:rsidR="0056605B" w:rsidRDefault="000446CB" w:rsidP="00803C7F">
      <w:pPr>
        <w:pStyle w:val="TOC1"/>
        <w:rPr>
          <w:rFonts w:asciiTheme="minorHAnsi" w:eastAsiaTheme="minorEastAsia" w:hAnsiTheme="minorHAnsi" w:cstheme="minorBidi"/>
          <w:sz w:val="24"/>
          <w:szCs w:val="24"/>
          <w:lang w:eastAsia="en-GB"/>
        </w:rPr>
      </w:pPr>
      <w:hyperlink w:anchor="_Toc117178492" w:history="1">
        <w:r w:rsidR="0056605B" w:rsidRPr="005073CA">
          <w:rPr>
            <w:rStyle w:val="Hyperlink"/>
          </w:rPr>
          <w:t>2</w:t>
        </w:r>
        <w:r w:rsidR="0056605B">
          <w:rPr>
            <w:rFonts w:asciiTheme="minorHAnsi" w:eastAsiaTheme="minorEastAsia" w:hAnsiTheme="minorHAnsi" w:cstheme="minorBidi"/>
            <w:sz w:val="24"/>
            <w:szCs w:val="24"/>
            <w:lang w:eastAsia="en-GB"/>
          </w:rPr>
          <w:tab/>
        </w:r>
        <w:r w:rsidR="0056605B" w:rsidRPr="005073CA">
          <w:rPr>
            <w:rStyle w:val="Hyperlink"/>
          </w:rPr>
          <w:t>Round two grants</w:t>
        </w:r>
        <w:r w:rsidR="0056605B">
          <w:rPr>
            <w:webHidden/>
          </w:rPr>
          <w:tab/>
        </w:r>
        <w:r w:rsidR="0056605B">
          <w:rPr>
            <w:webHidden/>
          </w:rPr>
          <w:fldChar w:fldCharType="begin"/>
        </w:r>
        <w:r w:rsidR="0056605B">
          <w:rPr>
            <w:webHidden/>
          </w:rPr>
          <w:instrText xml:space="preserve"> PAGEREF _Toc117178492 \h </w:instrText>
        </w:r>
        <w:r w:rsidR="0056605B">
          <w:rPr>
            <w:webHidden/>
          </w:rPr>
        </w:r>
        <w:r w:rsidR="0056605B">
          <w:rPr>
            <w:webHidden/>
          </w:rPr>
          <w:fldChar w:fldCharType="separate"/>
        </w:r>
        <w:r w:rsidR="0056605B">
          <w:rPr>
            <w:webHidden/>
          </w:rPr>
          <w:t>2</w:t>
        </w:r>
        <w:r w:rsidR="0056605B">
          <w:rPr>
            <w:webHidden/>
          </w:rPr>
          <w:fldChar w:fldCharType="end"/>
        </w:r>
      </w:hyperlink>
    </w:p>
    <w:p w14:paraId="66B44D1C" w14:textId="758DBF25" w:rsidR="0056605B" w:rsidRDefault="000446CB" w:rsidP="00B02C06">
      <w:pPr>
        <w:pStyle w:val="TOC2"/>
        <w:rPr>
          <w:rFonts w:asciiTheme="minorHAnsi" w:eastAsiaTheme="minorEastAsia" w:hAnsiTheme="minorHAnsi" w:cstheme="minorBidi"/>
          <w:noProof/>
          <w:sz w:val="24"/>
          <w:szCs w:val="24"/>
          <w:lang w:eastAsia="en-GB"/>
        </w:rPr>
      </w:pPr>
      <w:hyperlink w:anchor="_Toc117178493" w:history="1">
        <w:r w:rsidR="0056605B" w:rsidRPr="005073CA">
          <w:rPr>
            <w:rStyle w:val="Hyperlink"/>
            <w:noProof/>
          </w:rPr>
          <w:t>2.1</w:t>
        </w:r>
        <w:r w:rsidR="0056605B">
          <w:rPr>
            <w:rFonts w:asciiTheme="minorHAnsi" w:eastAsiaTheme="minorEastAsia" w:hAnsiTheme="minorHAnsi" w:cstheme="minorBidi"/>
            <w:noProof/>
            <w:sz w:val="24"/>
            <w:szCs w:val="24"/>
            <w:lang w:eastAsia="en-GB"/>
          </w:rPr>
          <w:tab/>
        </w:r>
        <w:r w:rsidR="0056605B" w:rsidRPr="005073CA">
          <w:rPr>
            <w:rStyle w:val="Hyperlink"/>
            <w:noProof/>
          </w:rPr>
          <w:t>Description and objectives</w:t>
        </w:r>
        <w:r w:rsidR="0056605B">
          <w:rPr>
            <w:noProof/>
            <w:webHidden/>
          </w:rPr>
          <w:tab/>
        </w:r>
        <w:r w:rsidR="0056605B">
          <w:rPr>
            <w:noProof/>
            <w:webHidden/>
          </w:rPr>
          <w:fldChar w:fldCharType="begin"/>
        </w:r>
        <w:r w:rsidR="0056605B">
          <w:rPr>
            <w:noProof/>
            <w:webHidden/>
          </w:rPr>
          <w:instrText xml:space="preserve"> PAGEREF _Toc117178493 \h </w:instrText>
        </w:r>
        <w:r w:rsidR="0056605B">
          <w:rPr>
            <w:noProof/>
            <w:webHidden/>
          </w:rPr>
        </w:r>
        <w:r w:rsidR="0056605B">
          <w:rPr>
            <w:noProof/>
            <w:webHidden/>
          </w:rPr>
          <w:fldChar w:fldCharType="separate"/>
        </w:r>
        <w:r w:rsidR="0056605B">
          <w:rPr>
            <w:noProof/>
            <w:webHidden/>
          </w:rPr>
          <w:t>2</w:t>
        </w:r>
        <w:r w:rsidR="0056605B">
          <w:rPr>
            <w:noProof/>
            <w:webHidden/>
          </w:rPr>
          <w:fldChar w:fldCharType="end"/>
        </w:r>
      </w:hyperlink>
    </w:p>
    <w:p w14:paraId="2DFF1E1D" w14:textId="62BA25E6" w:rsidR="0056605B" w:rsidRDefault="000446CB" w:rsidP="00B02C06">
      <w:pPr>
        <w:pStyle w:val="TOC2"/>
        <w:rPr>
          <w:rFonts w:asciiTheme="minorHAnsi" w:eastAsiaTheme="minorEastAsia" w:hAnsiTheme="minorHAnsi" w:cstheme="minorBidi"/>
          <w:noProof/>
          <w:sz w:val="24"/>
          <w:szCs w:val="24"/>
          <w:lang w:eastAsia="en-GB"/>
        </w:rPr>
      </w:pPr>
      <w:hyperlink w:anchor="_Toc117178494" w:history="1">
        <w:r w:rsidR="0056605B" w:rsidRPr="005073CA">
          <w:rPr>
            <w:rStyle w:val="Hyperlink"/>
            <w:noProof/>
          </w:rPr>
          <w:t>2.2</w:t>
        </w:r>
        <w:r w:rsidR="0056605B">
          <w:rPr>
            <w:rFonts w:asciiTheme="minorHAnsi" w:eastAsiaTheme="minorEastAsia" w:hAnsiTheme="minorHAnsi" w:cstheme="minorBidi"/>
            <w:noProof/>
            <w:sz w:val="24"/>
            <w:szCs w:val="24"/>
            <w:lang w:eastAsia="en-GB"/>
          </w:rPr>
          <w:tab/>
        </w:r>
        <w:r w:rsidR="0056605B" w:rsidRPr="005073CA">
          <w:rPr>
            <w:rStyle w:val="Hyperlink"/>
            <w:noProof/>
          </w:rPr>
          <w:t>Funding assistance</w:t>
        </w:r>
        <w:r w:rsidR="0056605B">
          <w:rPr>
            <w:noProof/>
            <w:webHidden/>
          </w:rPr>
          <w:tab/>
        </w:r>
        <w:r w:rsidR="0056605B">
          <w:rPr>
            <w:noProof/>
            <w:webHidden/>
          </w:rPr>
          <w:fldChar w:fldCharType="begin"/>
        </w:r>
        <w:r w:rsidR="0056605B">
          <w:rPr>
            <w:noProof/>
            <w:webHidden/>
          </w:rPr>
          <w:instrText xml:space="preserve"> PAGEREF _Toc117178494 \h </w:instrText>
        </w:r>
        <w:r w:rsidR="0056605B">
          <w:rPr>
            <w:noProof/>
            <w:webHidden/>
          </w:rPr>
        </w:r>
        <w:r w:rsidR="0056605B">
          <w:rPr>
            <w:noProof/>
            <w:webHidden/>
          </w:rPr>
          <w:fldChar w:fldCharType="separate"/>
        </w:r>
        <w:r w:rsidR="0056605B">
          <w:rPr>
            <w:noProof/>
            <w:webHidden/>
          </w:rPr>
          <w:t>2</w:t>
        </w:r>
        <w:r w:rsidR="0056605B">
          <w:rPr>
            <w:noProof/>
            <w:webHidden/>
          </w:rPr>
          <w:fldChar w:fldCharType="end"/>
        </w:r>
      </w:hyperlink>
    </w:p>
    <w:p w14:paraId="2F330A70" w14:textId="378735D6" w:rsidR="0056605B" w:rsidRDefault="000446CB" w:rsidP="00B02C06">
      <w:pPr>
        <w:pStyle w:val="TOC2"/>
        <w:rPr>
          <w:rFonts w:asciiTheme="minorHAnsi" w:eastAsiaTheme="minorEastAsia" w:hAnsiTheme="minorHAnsi" w:cstheme="minorBidi"/>
          <w:noProof/>
          <w:sz w:val="24"/>
          <w:szCs w:val="24"/>
          <w:lang w:eastAsia="en-GB"/>
        </w:rPr>
      </w:pPr>
      <w:hyperlink w:anchor="_Toc117178495" w:history="1">
        <w:r w:rsidR="0056605B" w:rsidRPr="005073CA">
          <w:rPr>
            <w:rStyle w:val="Hyperlink"/>
            <w:noProof/>
          </w:rPr>
          <w:t>2.3</w:t>
        </w:r>
        <w:r w:rsidR="0056605B">
          <w:rPr>
            <w:rFonts w:asciiTheme="minorHAnsi" w:eastAsiaTheme="minorEastAsia" w:hAnsiTheme="minorHAnsi" w:cstheme="minorBidi"/>
            <w:noProof/>
            <w:sz w:val="24"/>
            <w:szCs w:val="24"/>
            <w:lang w:eastAsia="en-GB"/>
          </w:rPr>
          <w:tab/>
        </w:r>
        <w:r w:rsidR="0056605B" w:rsidRPr="005073CA">
          <w:rPr>
            <w:rStyle w:val="Hyperlink"/>
            <w:noProof/>
          </w:rPr>
          <w:t>In-kind co-contribution</w:t>
        </w:r>
        <w:r w:rsidR="0056605B">
          <w:rPr>
            <w:noProof/>
            <w:webHidden/>
          </w:rPr>
          <w:tab/>
        </w:r>
        <w:r w:rsidR="0056605B">
          <w:rPr>
            <w:noProof/>
            <w:webHidden/>
          </w:rPr>
          <w:fldChar w:fldCharType="begin"/>
        </w:r>
        <w:r w:rsidR="0056605B">
          <w:rPr>
            <w:noProof/>
            <w:webHidden/>
          </w:rPr>
          <w:instrText xml:space="preserve"> PAGEREF _Toc117178495 \h </w:instrText>
        </w:r>
        <w:r w:rsidR="0056605B">
          <w:rPr>
            <w:noProof/>
            <w:webHidden/>
          </w:rPr>
        </w:r>
        <w:r w:rsidR="0056605B">
          <w:rPr>
            <w:noProof/>
            <w:webHidden/>
          </w:rPr>
          <w:fldChar w:fldCharType="separate"/>
        </w:r>
        <w:r w:rsidR="0056605B">
          <w:rPr>
            <w:noProof/>
            <w:webHidden/>
          </w:rPr>
          <w:t>3</w:t>
        </w:r>
        <w:r w:rsidR="0056605B">
          <w:rPr>
            <w:noProof/>
            <w:webHidden/>
          </w:rPr>
          <w:fldChar w:fldCharType="end"/>
        </w:r>
      </w:hyperlink>
    </w:p>
    <w:p w14:paraId="5424449A" w14:textId="5B8FFB18" w:rsidR="0056605B" w:rsidRDefault="000446CB" w:rsidP="00B02C06">
      <w:pPr>
        <w:pStyle w:val="TOC2"/>
        <w:rPr>
          <w:rFonts w:asciiTheme="minorHAnsi" w:eastAsiaTheme="minorEastAsia" w:hAnsiTheme="minorHAnsi" w:cstheme="minorBidi"/>
          <w:noProof/>
          <w:sz w:val="24"/>
          <w:szCs w:val="24"/>
          <w:lang w:eastAsia="en-GB"/>
        </w:rPr>
      </w:pPr>
      <w:hyperlink w:anchor="_Toc117178496" w:history="1">
        <w:r w:rsidR="0056605B" w:rsidRPr="005073CA">
          <w:rPr>
            <w:rStyle w:val="Hyperlink"/>
            <w:noProof/>
          </w:rPr>
          <w:t>2.4</w:t>
        </w:r>
        <w:r w:rsidR="0056605B">
          <w:rPr>
            <w:rFonts w:asciiTheme="minorHAnsi" w:eastAsiaTheme="minorEastAsia" w:hAnsiTheme="minorHAnsi" w:cstheme="minorBidi"/>
            <w:noProof/>
            <w:sz w:val="24"/>
            <w:szCs w:val="24"/>
            <w:lang w:eastAsia="en-GB"/>
          </w:rPr>
          <w:tab/>
        </w:r>
        <w:r w:rsidR="0056605B" w:rsidRPr="005073CA">
          <w:rPr>
            <w:rStyle w:val="Hyperlink"/>
            <w:noProof/>
          </w:rPr>
          <w:t>Who can apply?</w:t>
        </w:r>
        <w:r w:rsidR="0056605B">
          <w:rPr>
            <w:noProof/>
            <w:webHidden/>
          </w:rPr>
          <w:tab/>
        </w:r>
        <w:r w:rsidR="0056605B">
          <w:rPr>
            <w:noProof/>
            <w:webHidden/>
          </w:rPr>
          <w:fldChar w:fldCharType="begin"/>
        </w:r>
        <w:r w:rsidR="0056605B">
          <w:rPr>
            <w:noProof/>
            <w:webHidden/>
          </w:rPr>
          <w:instrText xml:space="preserve"> PAGEREF _Toc117178496 \h </w:instrText>
        </w:r>
        <w:r w:rsidR="0056605B">
          <w:rPr>
            <w:noProof/>
            <w:webHidden/>
          </w:rPr>
        </w:r>
        <w:r w:rsidR="0056605B">
          <w:rPr>
            <w:noProof/>
            <w:webHidden/>
          </w:rPr>
          <w:fldChar w:fldCharType="separate"/>
        </w:r>
        <w:r w:rsidR="0056605B">
          <w:rPr>
            <w:noProof/>
            <w:webHidden/>
          </w:rPr>
          <w:t>4</w:t>
        </w:r>
        <w:r w:rsidR="0056605B">
          <w:rPr>
            <w:noProof/>
            <w:webHidden/>
          </w:rPr>
          <w:fldChar w:fldCharType="end"/>
        </w:r>
      </w:hyperlink>
    </w:p>
    <w:p w14:paraId="0E68A097" w14:textId="28B8C148" w:rsidR="0056605B" w:rsidRDefault="000446CB" w:rsidP="00B02C06">
      <w:pPr>
        <w:pStyle w:val="TOC2"/>
        <w:rPr>
          <w:rFonts w:asciiTheme="minorHAnsi" w:eastAsiaTheme="minorEastAsia" w:hAnsiTheme="minorHAnsi" w:cstheme="minorBidi"/>
          <w:noProof/>
          <w:sz w:val="24"/>
          <w:szCs w:val="24"/>
          <w:lang w:eastAsia="en-GB"/>
        </w:rPr>
      </w:pPr>
      <w:hyperlink w:anchor="_Toc117178497" w:history="1">
        <w:r w:rsidR="0056605B" w:rsidRPr="005073CA">
          <w:rPr>
            <w:rStyle w:val="Hyperlink"/>
            <w:noProof/>
          </w:rPr>
          <w:t>2.5</w:t>
        </w:r>
        <w:r w:rsidR="0056605B">
          <w:rPr>
            <w:rFonts w:asciiTheme="minorHAnsi" w:eastAsiaTheme="minorEastAsia" w:hAnsiTheme="minorHAnsi" w:cstheme="minorBidi"/>
            <w:noProof/>
            <w:sz w:val="24"/>
            <w:szCs w:val="24"/>
            <w:lang w:eastAsia="en-GB"/>
          </w:rPr>
          <w:tab/>
        </w:r>
        <w:r w:rsidR="0056605B" w:rsidRPr="005073CA">
          <w:rPr>
            <w:rStyle w:val="Hyperlink"/>
            <w:noProof/>
          </w:rPr>
          <w:t>Eligible project activities</w:t>
        </w:r>
        <w:r w:rsidR="0056605B">
          <w:rPr>
            <w:noProof/>
            <w:webHidden/>
          </w:rPr>
          <w:tab/>
        </w:r>
        <w:r w:rsidR="0056605B">
          <w:rPr>
            <w:noProof/>
            <w:webHidden/>
          </w:rPr>
          <w:fldChar w:fldCharType="begin"/>
        </w:r>
        <w:r w:rsidR="0056605B">
          <w:rPr>
            <w:noProof/>
            <w:webHidden/>
          </w:rPr>
          <w:instrText xml:space="preserve"> PAGEREF _Toc117178497 \h </w:instrText>
        </w:r>
        <w:r w:rsidR="0056605B">
          <w:rPr>
            <w:noProof/>
            <w:webHidden/>
          </w:rPr>
        </w:r>
        <w:r w:rsidR="0056605B">
          <w:rPr>
            <w:noProof/>
            <w:webHidden/>
          </w:rPr>
          <w:fldChar w:fldCharType="separate"/>
        </w:r>
        <w:r w:rsidR="0056605B">
          <w:rPr>
            <w:noProof/>
            <w:webHidden/>
          </w:rPr>
          <w:t>4</w:t>
        </w:r>
        <w:r w:rsidR="0056605B">
          <w:rPr>
            <w:noProof/>
            <w:webHidden/>
          </w:rPr>
          <w:fldChar w:fldCharType="end"/>
        </w:r>
      </w:hyperlink>
    </w:p>
    <w:p w14:paraId="5EE56FC2" w14:textId="5CAB5BA7" w:rsidR="0056605B" w:rsidRDefault="000446CB" w:rsidP="00803C7F">
      <w:pPr>
        <w:pStyle w:val="TOC1"/>
        <w:rPr>
          <w:rFonts w:asciiTheme="minorHAnsi" w:eastAsiaTheme="minorEastAsia" w:hAnsiTheme="minorHAnsi" w:cstheme="minorBidi"/>
          <w:sz w:val="24"/>
          <w:szCs w:val="24"/>
          <w:lang w:eastAsia="en-GB"/>
        </w:rPr>
      </w:pPr>
      <w:hyperlink w:anchor="_Toc117178498" w:history="1">
        <w:r w:rsidR="0056605B" w:rsidRPr="005073CA">
          <w:rPr>
            <w:rStyle w:val="Hyperlink"/>
          </w:rPr>
          <w:t>3</w:t>
        </w:r>
        <w:r w:rsidR="0056605B">
          <w:rPr>
            <w:rFonts w:asciiTheme="minorHAnsi" w:eastAsiaTheme="minorEastAsia" w:hAnsiTheme="minorHAnsi" w:cstheme="minorBidi"/>
            <w:sz w:val="24"/>
            <w:szCs w:val="24"/>
            <w:lang w:eastAsia="en-GB"/>
          </w:rPr>
          <w:tab/>
        </w:r>
        <w:r w:rsidR="0056605B" w:rsidRPr="005073CA">
          <w:rPr>
            <w:rStyle w:val="Hyperlink"/>
          </w:rPr>
          <w:t>Fund details</w:t>
        </w:r>
        <w:r w:rsidR="0056605B">
          <w:rPr>
            <w:webHidden/>
          </w:rPr>
          <w:tab/>
        </w:r>
        <w:r w:rsidR="0056605B">
          <w:rPr>
            <w:webHidden/>
          </w:rPr>
          <w:fldChar w:fldCharType="begin"/>
        </w:r>
        <w:r w:rsidR="0056605B">
          <w:rPr>
            <w:webHidden/>
          </w:rPr>
          <w:instrText xml:space="preserve"> PAGEREF _Toc117178498 \h </w:instrText>
        </w:r>
        <w:r w:rsidR="0056605B">
          <w:rPr>
            <w:webHidden/>
          </w:rPr>
        </w:r>
        <w:r w:rsidR="0056605B">
          <w:rPr>
            <w:webHidden/>
          </w:rPr>
          <w:fldChar w:fldCharType="separate"/>
        </w:r>
        <w:r w:rsidR="0056605B">
          <w:rPr>
            <w:webHidden/>
          </w:rPr>
          <w:t>5</w:t>
        </w:r>
        <w:r w:rsidR="0056605B">
          <w:rPr>
            <w:webHidden/>
          </w:rPr>
          <w:fldChar w:fldCharType="end"/>
        </w:r>
      </w:hyperlink>
    </w:p>
    <w:p w14:paraId="22FD5A71" w14:textId="0E38A8CE" w:rsidR="0056605B" w:rsidRDefault="000446CB" w:rsidP="00B02C06">
      <w:pPr>
        <w:pStyle w:val="TOC2"/>
        <w:rPr>
          <w:rFonts w:asciiTheme="minorHAnsi" w:eastAsiaTheme="minorEastAsia" w:hAnsiTheme="minorHAnsi" w:cstheme="minorBidi"/>
          <w:noProof/>
          <w:sz w:val="24"/>
          <w:szCs w:val="24"/>
          <w:lang w:eastAsia="en-GB"/>
        </w:rPr>
      </w:pPr>
      <w:hyperlink w:anchor="_Toc117178499" w:history="1">
        <w:r w:rsidR="0056605B" w:rsidRPr="005073CA">
          <w:rPr>
            <w:rStyle w:val="Hyperlink"/>
            <w:noProof/>
          </w:rPr>
          <w:t>3.1</w:t>
        </w:r>
        <w:r w:rsidR="0056605B">
          <w:rPr>
            <w:rFonts w:asciiTheme="minorHAnsi" w:eastAsiaTheme="minorEastAsia" w:hAnsiTheme="minorHAnsi" w:cstheme="minorBidi"/>
            <w:noProof/>
            <w:sz w:val="24"/>
            <w:szCs w:val="24"/>
            <w:lang w:eastAsia="en-GB"/>
          </w:rPr>
          <w:tab/>
        </w:r>
        <w:r w:rsidR="0056605B" w:rsidRPr="005073CA">
          <w:rPr>
            <w:rStyle w:val="Hyperlink"/>
            <w:noProof/>
          </w:rPr>
          <w:t>Duration of the funded project</w:t>
        </w:r>
        <w:r w:rsidR="0056605B">
          <w:rPr>
            <w:noProof/>
            <w:webHidden/>
          </w:rPr>
          <w:tab/>
        </w:r>
        <w:r w:rsidR="0056605B">
          <w:rPr>
            <w:noProof/>
            <w:webHidden/>
          </w:rPr>
          <w:fldChar w:fldCharType="begin"/>
        </w:r>
        <w:r w:rsidR="0056605B">
          <w:rPr>
            <w:noProof/>
            <w:webHidden/>
          </w:rPr>
          <w:instrText xml:space="preserve"> PAGEREF _Toc117178499 \h </w:instrText>
        </w:r>
        <w:r w:rsidR="0056605B">
          <w:rPr>
            <w:noProof/>
            <w:webHidden/>
          </w:rPr>
        </w:r>
        <w:r w:rsidR="0056605B">
          <w:rPr>
            <w:noProof/>
            <w:webHidden/>
          </w:rPr>
          <w:fldChar w:fldCharType="separate"/>
        </w:r>
        <w:r w:rsidR="0056605B">
          <w:rPr>
            <w:noProof/>
            <w:webHidden/>
          </w:rPr>
          <w:t>5</w:t>
        </w:r>
        <w:r w:rsidR="0056605B">
          <w:rPr>
            <w:noProof/>
            <w:webHidden/>
          </w:rPr>
          <w:fldChar w:fldCharType="end"/>
        </w:r>
      </w:hyperlink>
    </w:p>
    <w:p w14:paraId="6C836947" w14:textId="3755B8DD" w:rsidR="0056605B" w:rsidRDefault="000446CB" w:rsidP="00B02C06">
      <w:pPr>
        <w:pStyle w:val="TOC2"/>
        <w:rPr>
          <w:rFonts w:asciiTheme="minorHAnsi" w:eastAsiaTheme="minorEastAsia" w:hAnsiTheme="minorHAnsi" w:cstheme="minorBidi"/>
          <w:noProof/>
          <w:sz w:val="24"/>
          <w:szCs w:val="24"/>
          <w:lang w:eastAsia="en-GB"/>
        </w:rPr>
      </w:pPr>
      <w:hyperlink w:anchor="_Toc117178500" w:history="1">
        <w:r w:rsidR="0056605B" w:rsidRPr="005073CA">
          <w:rPr>
            <w:rStyle w:val="Hyperlink"/>
            <w:noProof/>
          </w:rPr>
          <w:t>3.2</w:t>
        </w:r>
        <w:r w:rsidR="0056605B">
          <w:rPr>
            <w:rFonts w:asciiTheme="minorHAnsi" w:eastAsiaTheme="minorEastAsia" w:hAnsiTheme="minorHAnsi" w:cstheme="minorBidi"/>
            <w:noProof/>
            <w:sz w:val="24"/>
            <w:szCs w:val="24"/>
            <w:lang w:eastAsia="en-GB"/>
          </w:rPr>
          <w:tab/>
        </w:r>
        <w:r w:rsidR="0056605B" w:rsidRPr="005073CA">
          <w:rPr>
            <w:rStyle w:val="Hyperlink"/>
            <w:noProof/>
          </w:rPr>
          <w:t>Conditions of applying</w:t>
        </w:r>
        <w:r w:rsidR="0056605B">
          <w:rPr>
            <w:noProof/>
            <w:webHidden/>
          </w:rPr>
          <w:tab/>
        </w:r>
        <w:r w:rsidR="0056605B">
          <w:rPr>
            <w:noProof/>
            <w:webHidden/>
          </w:rPr>
          <w:fldChar w:fldCharType="begin"/>
        </w:r>
        <w:r w:rsidR="0056605B">
          <w:rPr>
            <w:noProof/>
            <w:webHidden/>
          </w:rPr>
          <w:instrText xml:space="preserve"> PAGEREF _Toc117178500 \h </w:instrText>
        </w:r>
        <w:r w:rsidR="0056605B">
          <w:rPr>
            <w:noProof/>
            <w:webHidden/>
          </w:rPr>
        </w:r>
        <w:r w:rsidR="0056605B">
          <w:rPr>
            <w:noProof/>
            <w:webHidden/>
          </w:rPr>
          <w:fldChar w:fldCharType="separate"/>
        </w:r>
        <w:r w:rsidR="0056605B">
          <w:rPr>
            <w:noProof/>
            <w:webHidden/>
          </w:rPr>
          <w:t>6</w:t>
        </w:r>
        <w:r w:rsidR="0056605B">
          <w:rPr>
            <w:noProof/>
            <w:webHidden/>
          </w:rPr>
          <w:fldChar w:fldCharType="end"/>
        </w:r>
      </w:hyperlink>
    </w:p>
    <w:p w14:paraId="086ACCE5" w14:textId="7A1970F4" w:rsidR="0056605B" w:rsidRDefault="000446CB" w:rsidP="00B02C06">
      <w:pPr>
        <w:pStyle w:val="TOC2"/>
        <w:rPr>
          <w:rFonts w:asciiTheme="minorHAnsi" w:eastAsiaTheme="minorEastAsia" w:hAnsiTheme="minorHAnsi" w:cstheme="minorBidi"/>
          <w:noProof/>
          <w:sz w:val="24"/>
          <w:szCs w:val="24"/>
          <w:lang w:eastAsia="en-GB"/>
        </w:rPr>
      </w:pPr>
      <w:hyperlink w:anchor="_Toc117178501" w:history="1">
        <w:r w:rsidR="0056605B" w:rsidRPr="005073CA">
          <w:rPr>
            <w:rStyle w:val="Hyperlink"/>
            <w:noProof/>
          </w:rPr>
          <w:t>3.3</w:t>
        </w:r>
        <w:r w:rsidR="0056605B">
          <w:rPr>
            <w:rFonts w:asciiTheme="minorHAnsi" w:eastAsiaTheme="minorEastAsia" w:hAnsiTheme="minorHAnsi" w:cstheme="minorBidi"/>
            <w:noProof/>
            <w:sz w:val="24"/>
            <w:szCs w:val="24"/>
            <w:lang w:eastAsia="en-GB"/>
          </w:rPr>
          <w:tab/>
        </w:r>
        <w:r w:rsidR="0056605B" w:rsidRPr="005073CA">
          <w:rPr>
            <w:rStyle w:val="Hyperlink"/>
            <w:noProof/>
          </w:rPr>
          <w:t>Local Jobs First Policy</w:t>
        </w:r>
        <w:r w:rsidR="0056605B">
          <w:rPr>
            <w:noProof/>
            <w:webHidden/>
          </w:rPr>
          <w:tab/>
        </w:r>
        <w:r w:rsidR="0056605B">
          <w:rPr>
            <w:noProof/>
            <w:webHidden/>
          </w:rPr>
          <w:fldChar w:fldCharType="begin"/>
        </w:r>
        <w:r w:rsidR="0056605B">
          <w:rPr>
            <w:noProof/>
            <w:webHidden/>
          </w:rPr>
          <w:instrText xml:space="preserve"> PAGEREF _Toc117178501 \h </w:instrText>
        </w:r>
        <w:r w:rsidR="0056605B">
          <w:rPr>
            <w:noProof/>
            <w:webHidden/>
          </w:rPr>
        </w:r>
        <w:r w:rsidR="0056605B">
          <w:rPr>
            <w:noProof/>
            <w:webHidden/>
          </w:rPr>
          <w:fldChar w:fldCharType="separate"/>
        </w:r>
        <w:r w:rsidR="0056605B">
          <w:rPr>
            <w:noProof/>
            <w:webHidden/>
          </w:rPr>
          <w:t>6</w:t>
        </w:r>
        <w:r w:rsidR="0056605B">
          <w:rPr>
            <w:noProof/>
            <w:webHidden/>
          </w:rPr>
          <w:fldChar w:fldCharType="end"/>
        </w:r>
      </w:hyperlink>
    </w:p>
    <w:p w14:paraId="044329AA" w14:textId="15AA8EDF" w:rsidR="0056605B" w:rsidRDefault="000446CB" w:rsidP="00B02C06">
      <w:pPr>
        <w:pStyle w:val="TOC2"/>
        <w:rPr>
          <w:rFonts w:asciiTheme="minorHAnsi" w:eastAsiaTheme="minorEastAsia" w:hAnsiTheme="minorHAnsi" w:cstheme="minorBidi"/>
          <w:noProof/>
          <w:sz w:val="24"/>
          <w:szCs w:val="24"/>
          <w:lang w:eastAsia="en-GB"/>
        </w:rPr>
      </w:pPr>
      <w:hyperlink w:anchor="_Toc117178502" w:history="1">
        <w:r w:rsidR="0056605B" w:rsidRPr="005073CA">
          <w:rPr>
            <w:rStyle w:val="Hyperlink"/>
            <w:noProof/>
          </w:rPr>
          <w:t>3.4</w:t>
        </w:r>
        <w:r w:rsidR="0056605B">
          <w:rPr>
            <w:rFonts w:asciiTheme="minorHAnsi" w:eastAsiaTheme="minorEastAsia" w:hAnsiTheme="minorHAnsi" w:cstheme="minorBidi"/>
            <w:noProof/>
            <w:sz w:val="24"/>
            <w:szCs w:val="24"/>
            <w:lang w:eastAsia="en-GB"/>
          </w:rPr>
          <w:tab/>
        </w:r>
        <w:r w:rsidR="0056605B" w:rsidRPr="005073CA">
          <w:rPr>
            <w:rStyle w:val="Hyperlink"/>
            <w:noProof/>
          </w:rPr>
          <w:t>Fair Jobs Code</w:t>
        </w:r>
        <w:r w:rsidR="0056605B">
          <w:rPr>
            <w:noProof/>
            <w:webHidden/>
          </w:rPr>
          <w:tab/>
        </w:r>
        <w:r w:rsidR="0056605B">
          <w:rPr>
            <w:noProof/>
            <w:webHidden/>
          </w:rPr>
          <w:fldChar w:fldCharType="begin"/>
        </w:r>
        <w:r w:rsidR="0056605B">
          <w:rPr>
            <w:noProof/>
            <w:webHidden/>
          </w:rPr>
          <w:instrText xml:space="preserve"> PAGEREF _Toc117178502 \h </w:instrText>
        </w:r>
        <w:r w:rsidR="0056605B">
          <w:rPr>
            <w:noProof/>
            <w:webHidden/>
          </w:rPr>
        </w:r>
        <w:r w:rsidR="0056605B">
          <w:rPr>
            <w:noProof/>
            <w:webHidden/>
          </w:rPr>
          <w:fldChar w:fldCharType="separate"/>
        </w:r>
        <w:r w:rsidR="0056605B">
          <w:rPr>
            <w:noProof/>
            <w:webHidden/>
          </w:rPr>
          <w:t>6</w:t>
        </w:r>
        <w:r w:rsidR="0056605B">
          <w:rPr>
            <w:noProof/>
            <w:webHidden/>
          </w:rPr>
          <w:fldChar w:fldCharType="end"/>
        </w:r>
      </w:hyperlink>
    </w:p>
    <w:p w14:paraId="1FA20247" w14:textId="698A725E" w:rsidR="0056605B" w:rsidRDefault="000446CB" w:rsidP="00803C7F">
      <w:pPr>
        <w:pStyle w:val="TOC1"/>
        <w:rPr>
          <w:rFonts w:asciiTheme="minorHAnsi" w:eastAsiaTheme="minorEastAsia" w:hAnsiTheme="minorHAnsi" w:cstheme="minorBidi"/>
          <w:sz w:val="24"/>
          <w:szCs w:val="24"/>
          <w:lang w:eastAsia="en-GB"/>
        </w:rPr>
      </w:pPr>
      <w:hyperlink w:anchor="_Toc117178503" w:history="1">
        <w:r w:rsidR="0056605B" w:rsidRPr="005073CA">
          <w:rPr>
            <w:rStyle w:val="Hyperlink"/>
          </w:rPr>
          <w:t>4</w:t>
        </w:r>
        <w:r w:rsidR="0056605B">
          <w:rPr>
            <w:rFonts w:asciiTheme="minorHAnsi" w:eastAsiaTheme="minorEastAsia" w:hAnsiTheme="minorHAnsi" w:cstheme="minorBidi"/>
            <w:sz w:val="24"/>
            <w:szCs w:val="24"/>
            <w:lang w:eastAsia="en-GB"/>
          </w:rPr>
          <w:tab/>
        </w:r>
        <w:r w:rsidR="0056605B" w:rsidRPr="005073CA">
          <w:rPr>
            <w:rStyle w:val="Hyperlink"/>
          </w:rPr>
          <w:t>Application and assessment process</w:t>
        </w:r>
        <w:r w:rsidR="0056605B">
          <w:rPr>
            <w:webHidden/>
          </w:rPr>
          <w:tab/>
        </w:r>
        <w:r w:rsidR="0056605B">
          <w:rPr>
            <w:webHidden/>
          </w:rPr>
          <w:fldChar w:fldCharType="begin"/>
        </w:r>
        <w:r w:rsidR="0056605B">
          <w:rPr>
            <w:webHidden/>
          </w:rPr>
          <w:instrText xml:space="preserve"> PAGEREF _Toc117178503 \h </w:instrText>
        </w:r>
        <w:r w:rsidR="0056605B">
          <w:rPr>
            <w:webHidden/>
          </w:rPr>
        </w:r>
        <w:r w:rsidR="0056605B">
          <w:rPr>
            <w:webHidden/>
          </w:rPr>
          <w:fldChar w:fldCharType="separate"/>
        </w:r>
        <w:r w:rsidR="0056605B">
          <w:rPr>
            <w:webHidden/>
          </w:rPr>
          <w:t>6</w:t>
        </w:r>
        <w:r w:rsidR="0056605B">
          <w:rPr>
            <w:webHidden/>
          </w:rPr>
          <w:fldChar w:fldCharType="end"/>
        </w:r>
      </w:hyperlink>
    </w:p>
    <w:p w14:paraId="253E1504" w14:textId="51879847" w:rsidR="0056605B" w:rsidRDefault="000446CB" w:rsidP="00B02C06">
      <w:pPr>
        <w:pStyle w:val="TOC2"/>
        <w:rPr>
          <w:rFonts w:asciiTheme="minorHAnsi" w:eastAsiaTheme="minorEastAsia" w:hAnsiTheme="minorHAnsi" w:cstheme="minorBidi"/>
          <w:noProof/>
          <w:sz w:val="24"/>
          <w:szCs w:val="24"/>
          <w:lang w:eastAsia="en-GB"/>
        </w:rPr>
      </w:pPr>
      <w:hyperlink w:anchor="_Toc117178504" w:history="1">
        <w:r w:rsidR="0056605B" w:rsidRPr="005073CA">
          <w:rPr>
            <w:rStyle w:val="Hyperlink"/>
            <w:noProof/>
          </w:rPr>
          <w:t>4.1</w:t>
        </w:r>
        <w:r w:rsidR="0056605B">
          <w:rPr>
            <w:rFonts w:asciiTheme="minorHAnsi" w:eastAsiaTheme="minorEastAsia" w:hAnsiTheme="minorHAnsi" w:cstheme="minorBidi"/>
            <w:noProof/>
            <w:sz w:val="24"/>
            <w:szCs w:val="24"/>
            <w:lang w:eastAsia="en-GB"/>
          </w:rPr>
          <w:tab/>
        </w:r>
        <w:r w:rsidR="0056605B" w:rsidRPr="005073CA">
          <w:rPr>
            <w:rStyle w:val="Hyperlink"/>
            <w:noProof/>
          </w:rPr>
          <w:t>Expression of Interest opening and</w:t>
        </w:r>
        <w:r w:rsidR="0056605B" w:rsidRPr="005073CA">
          <w:rPr>
            <w:rStyle w:val="Hyperlink"/>
            <w:rFonts w:ascii="Cambria" w:hAnsi="Cambria" w:cs="Cambria"/>
            <w:noProof/>
          </w:rPr>
          <w:t> </w:t>
        </w:r>
        <w:r w:rsidR="0056605B" w:rsidRPr="005073CA">
          <w:rPr>
            <w:rStyle w:val="Hyperlink"/>
            <w:noProof/>
          </w:rPr>
          <w:t>closing dates</w:t>
        </w:r>
        <w:r w:rsidR="0056605B">
          <w:rPr>
            <w:noProof/>
            <w:webHidden/>
          </w:rPr>
          <w:tab/>
        </w:r>
        <w:r w:rsidR="0056605B">
          <w:rPr>
            <w:noProof/>
            <w:webHidden/>
          </w:rPr>
          <w:fldChar w:fldCharType="begin"/>
        </w:r>
        <w:r w:rsidR="0056605B">
          <w:rPr>
            <w:noProof/>
            <w:webHidden/>
          </w:rPr>
          <w:instrText xml:space="preserve"> PAGEREF _Toc117178504 \h </w:instrText>
        </w:r>
        <w:r w:rsidR="0056605B">
          <w:rPr>
            <w:noProof/>
            <w:webHidden/>
          </w:rPr>
        </w:r>
        <w:r w:rsidR="0056605B">
          <w:rPr>
            <w:noProof/>
            <w:webHidden/>
          </w:rPr>
          <w:fldChar w:fldCharType="separate"/>
        </w:r>
        <w:r w:rsidR="0056605B">
          <w:rPr>
            <w:noProof/>
            <w:webHidden/>
          </w:rPr>
          <w:t>6</w:t>
        </w:r>
        <w:r w:rsidR="0056605B">
          <w:rPr>
            <w:noProof/>
            <w:webHidden/>
          </w:rPr>
          <w:fldChar w:fldCharType="end"/>
        </w:r>
      </w:hyperlink>
    </w:p>
    <w:p w14:paraId="59B90F45" w14:textId="79F7CB35" w:rsidR="0056605B" w:rsidRDefault="000446CB" w:rsidP="00B02C06">
      <w:pPr>
        <w:pStyle w:val="TOC2"/>
        <w:rPr>
          <w:rFonts w:asciiTheme="minorHAnsi" w:eastAsiaTheme="minorEastAsia" w:hAnsiTheme="minorHAnsi" w:cstheme="minorBidi"/>
          <w:noProof/>
          <w:sz w:val="24"/>
          <w:szCs w:val="24"/>
          <w:lang w:eastAsia="en-GB"/>
        </w:rPr>
      </w:pPr>
      <w:hyperlink w:anchor="_Toc117178505" w:history="1">
        <w:r w:rsidR="0056605B" w:rsidRPr="005073CA">
          <w:rPr>
            <w:rStyle w:val="Hyperlink"/>
            <w:noProof/>
          </w:rPr>
          <w:t>4.2</w:t>
        </w:r>
        <w:r w:rsidR="0056605B">
          <w:rPr>
            <w:rFonts w:asciiTheme="minorHAnsi" w:eastAsiaTheme="minorEastAsia" w:hAnsiTheme="minorHAnsi" w:cstheme="minorBidi"/>
            <w:noProof/>
            <w:sz w:val="24"/>
            <w:szCs w:val="24"/>
            <w:lang w:eastAsia="en-GB"/>
          </w:rPr>
          <w:tab/>
        </w:r>
        <w:r w:rsidR="0056605B" w:rsidRPr="005073CA">
          <w:rPr>
            <w:rStyle w:val="Hyperlink"/>
            <w:noProof/>
          </w:rPr>
          <w:t>Application process</w:t>
        </w:r>
        <w:r w:rsidR="0056605B">
          <w:rPr>
            <w:noProof/>
            <w:webHidden/>
          </w:rPr>
          <w:tab/>
        </w:r>
        <w:r w:rsidR="0056605B">
          <w:rPr>
            <w:noProof/>
            <w:webHidden/>
          </w:rPr>
          <w:fldChar w:fldCharType="begin"/>
        </w:r>
        <w:r w:rsidR="0056605B">
          <w:rPr>
            <w:noProof/>
            <w:webHidden/>
          </w:rPr>
          <w:instrText xml:space="preserve"> PAGEREF _Toc117178505 \h </w:instrText>
        </w:r>
        <w:r w:rsidR="0056605B">
          <w:rPr>
            <w:noProof/>
            <w:webHidden/>
          </w:rPr>
        </w:r>
        <w:r w:rsidR="0056605B">
          <w:rPr>
            <w:noProof/>
            <w:webHidden/>
          </w:rPr>
          <w:fldChar w:fldCharType="separate"/>
        </w:r>
        <w:r w:rsidR="0056605B">
          <w:rPr>
            <w:noProof/>
            <w:webHidden/>
          </w:rPr>
          <w:t>6</w:t>
        </w:r>
        <w:r w:rsidR="0056605B">
          <w:rPr>
            <w:noProof/>
            <w:webHidden/>
          </w:rPr>
          <w:fldChar w:fldCharType="end"/>
        </w:r>
      </w:hyperlink>
    </w:p>
    <w:p w14:paraId="2B8BBB96" w14:textId="7D92390A" w:rsidR="0056605B" w:rsidRDefault="000446CB" w:rsidP="00B02C06">
      <w:pPr>
        <w:pStyle w:val="TOC2"/>
        <w:rPr>
          <w:rFonts w:asciiTheme="minorHAnsi" w:eastAsiaTheme="minorEastAsia" w:hAnsiTheme="minorHAnsi" w:cstheme="minorBidi"/>
          <w:noProof/>
          <w:sz w:val="24"/>
          <w:szCs w:val="24"/>
          <w:lang w:eastAsia="en-GB"/>
        </w:rPr>
      </w:pPr>
      <w:hyperlink w:anchor="_Toc117178506" w:history="1">
        <w:r w:rsidR="0056605B" w:rsidRPr="005073CA">
          <w:rPr>
            <w:rStyle w:val="Hyperlink"/>
            <w:noProof/>
          </w:rPr>
          <w:t>4.3</w:t>
        </w:r>
        <w:r w:rsidR="0056605B">
          <w:rPr>
            <w:rFonts w:asciiTheme="minorHAnsi" w:eastAsiaTheme="minorEastAsia" w:hAnsiTheme="minorHAnsi" w:cstheme="minorBidi"/>
            <w:noProof/>
            <w:sz w:val="24"/>
            <w:szCs w:val="24"/>
            <w:lang w:eastAsia="en-GB"/>
          </w:rPr>
          <w:tab/>
        </w:r>
        <w:r w:rsidR="0056605B" w:rsidRPr="005073CA">
          <w:rPr>
            <w:rStyle w:val="Hyperlink"/>
            <w:noProof/>
          </w:rPr>
          <w:t>Assessment process</w:t>
        </w:r>
        <w:r w:rsidR="0056605B">
          <w:rPr>
            <w:noProof/>
            <w:webHidden/>
          </w:rPr>
          <w:tab/>
        </w:r>
        <w:r w:rsidR="0056605B">
          <w:rPr>
            <w:noProof/>
            <w:webHidden/>
          </w:rPr>
          <w:fldChar w:fldCharType="begin"/>
        </w:r>
        <w:r w:rsidR="0056605B">
          <w:rPr>
            <w:noProof/>
            <w:webHidden/>
          </w:rPr>
          <w:instrText xml:space="preserve"> PAGEREF _Toc117178506 \h </w:instrText>
        </w:r>
        <w:r w:rsidR="0056605B">
          <w:rPr>
            <w:noProof/>
            <w:webHidden/>
          </w:rPr>
        </w:r>
        <w:r w:rsidR="0056605B">
          <w:rPr>
            <w:noProof/>
            <w:webHidden/>
          </w:rPr>
          <w:fldChar w:fldCharType="separate"/>
        </w:r>
        <w:r w:rsidR="0056605B">
          <w:rPr>
            <w:noProof/>
            <w:webHidden/>
          </w:rPr>
          <w:t>7</w:t>
        </w:r>
        <w:r w:rsidR="0056605B">
          <w:rPr>
            <w:noProof/>
            <w:webHidden/>
          </w:rPr>
          <w:fldChar w:fldCharType="end"/>
        </w:r>
      </w:hyperlink>
    </w:p>
    <w:p w14:paraId="2AA82416" w14:textId="24342F00" w:rsidR="0056605B" w:rsidRDefault="000446CB" w:rsidP="00B02C06">
      <w:pPr>
        <w:pStyle w:val="TOC2"/>
        <w:rPr>
          <w:rFonts w:asciiTheme="minorHAnsi" w:eastAsiaTheme="minorEastAsia" w:hAnsiTheme="minorHAnsi" w:cstheme="minorBidi"/>
          <w:noProof/>
          <w:sz w:val="24"/>
          <w:szCs w:val="24"/>
          <w:lang w:eastAsia="en-GB"/>
        </w:rPr>
      </w:pPr>
      <w:hyperlink w:anchor="_Toc117178507" w:history="1">
        <w:r w:rsidR="0056605B" w:rsidRPr="005073CA">
          <w:rPr>
            <w:rStyle w:val="Hyperlink"/>
            <w:noProof/>
          </w:rPr>
          <w:t>4.4</w:t>
        </w:r>
        <w:r w:rsidR="0056605B">
          <w:rPr>
            <w:rFonts w:asciiTheme="minorHAnsi" w:eastAsiaTheme="minorEastAsia" w:hAnsiTheme="minorHAnsi" w:cstheme="minorBidi"/>
            <w:noProof/>
            <w:sz w:val="24"/>
            <w:szCs w:val="24"/>
            <w:lang w:eastAsia="en-GB"/>
          </w:rPr>
          <w:tab/>
        </w:r>
        <w:r w:rsidR="0056605B" w:rsidRPr="005073CA">
          <w:rPr>
            <w:rStyle w:val="Hyperlink"/>
            <w:noProof/>
          </w:rPr>
          <w:t>Due diligence</w:t>
        </w:r>
        <w:r w:rsidR="0056605B">
          <w:rPr>
            <w:noProof/>
            <w:webHidden/>
          </w:rPr>
          <w:tab/>
        </w:r>
        <w:r w:rsidR="0056605B">
          <w:rPr>
            <w:noProof/>
            <w:webHidden/>
          </w:rPr>
          <w:fldChar w:fldCharType="begin"/>
        </w:r>
        <w:r w:rsidR="0056605B">
          <w:rPr>
            <w:noProof/>
            <w:webHidden/>
          </w:rPr>
          <w:instrText xml:space="preserve"> PAGEREF _Toc117178507 \h </w:instrText>
        </w:r>
        <w:r w:rsidR="0056605B">
          <w:rPr>
            <w:noProof/>
            <w:webHidden/>
          </w:rPr>
        </w:r>
        <w:r w:rsidR="0056605B">
          <w:rPr>
            <w:noProof/>
            <w:webHidden/>
          </w:rPr>
          <w:fldChar w:fldCharType="separate"/>
        </w:r>
        <w:r w:rsidR="0056605B">
          <w:rPr>
            <w:noProof/>
            <w:webHidden/>
          </w:rPr>
          <w:t>8</w:t>
        </w:r>
        <w:r w:rsidR="0056605B">
          <w:rPr>
            <w:noProof/>
            <w:webHidden/>
          </w:rPr>
          <w:fldChar w:fldCharType="end"/>
        </w:r>
      </w:hyperlink>
    </w:p>
    <w:p w14:paraId="0F7D3B7C" w14:textId="42744040" w:rsidR="0056605B" w:rsidRDefault="000446CB" w:rsidP="00B02C06">
      <w:pPr>
        <w:pStyle w:val="TOC2"/>
        <w:rPr>
          <w:rFonts w:asciiTheme="minorHAnsi" w:eastAsiaTheme="minorEastAsia" w:hAnsiTheme="minorHAnsi" w:cstheme="minorBidi"/>
          <w:noProof/>
          <w:sz w:val="24"/>
          <w:szCs w:val="24"/>
          <w:lang w:eastAsia="en-GB"/>
        </w:rPr>
      </w:pPr>
      <w:hyperlink w:anchor="_Toc117178508" w:history="1">
        <w:r w:rsidR="0056605B" w:rsidRPr="005073CA">
          <w:rPr>
            <w:rStyle w:val="Hyperlink"/>
            <w:noProof/>
          </w:rPr>
          <w:t>4.5</w:t>
        </w:r>
        <w:r w:rsidR="0056605B">
          <w:rPr>
            <w:rFonts w:asciiTheme="minorHAnsi" w:eastAsiaTheme="minorEastAsia" w:hAnsiTheme="minorHAnsi" w:cstheme="minorBidi"/>
            <w:noProof/>
            <w:sz w:val="24"/>
            <w:szCs w:val="24"/>
            <w:lang w:eastAsia="en-GB"/>
          </w:rPr>
          <w:tab/>
        </w:r>
        <w:r w:rsidR="0056605B" w:rsidRPr="005073CA">
          <w:rPr>
            <w:rStyle w:val="Hyperlink"/>
            <w:noProof/>
          </w:rPr>
          <w:t>Grant agreement</w:t>
        </w:r>
        <w:r w:rsidR="0056605B">
          <w:rPr>
            <w:noProof/>
            <w:webHidden/>
          </w:rPr>
          <w:tab/>
        </w:r>
        <w:r w:rsidR="0056605B">
          <w:rPr>
            <w:noProof/>
            <w:webHidden/>
          </w:rPr>
          <w:fldChar w:fldCharType="begin"/>
        </w:r>
        <w:r w:rsidR="0056605B">
          <w:rPr>
            <w:noProof/>
            <w:webHidden/>
          </w:rPr>
          <w:instrText xml:space="preserve"> PAGEREF _Toc117178508 \h </w:instrText>
        </w:r>
        <w:r w:rsidR="0056605B">
          <w:rPr>
            <w:noProof/>
            <w:webHidden/>
          </w:rPr>
        </w:r>
        <w:r w:rsidR="0056605B">
          <w:rPr>
            <w:noProof/>
            <w:webHidden/>
          </w:rPr>
          <w:fldChar w:fldCharType="separate"/>
        </w:r>
        <w:r w:rsidR="0056605B">
          <w:rPr>
            <w:noProof/>
            <w:webHidden/>
          </w:rPr>
          <w:t>9</w:t>
        </w:r>
        <w:r w:rsidR="0056605B">
          <w:rPr>
            <w:noProof/>
            <w:webHidden/>
          </w:rPr>
          <w:fldChar w:fldCharType="end"/>
        </w:r>
      </w:hyperlink>
    </w:p>
    <w:p w14:paraId="525FAF34" w14:textId="6F19290A" w:rsidR="0056605B" w:rsidRDefault="000446CB" w:rsidP="00803C7F">
      <w:pPr>
        <w:pStyle w:val="TOC1"/>
        <w:rPr>
          <w:rFonts w:asciiTheme="minorHAnsi" w:eastAsiaTheme="minorEastAsia" w:hAnsiTheme="minorHAnsi" w:cstheme="minorBidi"/>
          <w:sz w:val="24"/>
          <w:szCs w:val="24"/>
          <w:lang w:eastAsia="en-GB"/>
        </w:rPr>
      </w:pPr>
      <w:hyperlink w:anchor="_Toc117178509" w:history="1">
        <w:r w:rsidR="0056605B" w:rsidRPr="005073CA">
          <w:rPr>
            <w:rStyle w:val="Hyperlink"/>
          </w:rPr>
          <w:t>5</w:t>
        </w:r>
        <w:r w:rsidR="0056605B">
          <w:rPr>
            <w:rFonts w:asciiTheme="minorHAnsi" w:eastAsiaTheme="minorEastAsia" w:hAnsiTheme="minorHAnsi" w:cstheme="minorBidi"/>
            <w:sz w:val="24"/>
            <w:szCs w:val="24"/>
            <w:lang w:eastAsia="en-GB"/>
          </w:rPr>
          <w:tab/>
        </w:r>
        <w:r w:rsidR="0056605B" w:rsidRPr="005073CA">
          <w:rPr>
            <w:rStyle w:val="Hyperlink"/>
          </w:rPr>
          <w:t>Compliance and governance</w:t>
        </w:r>
        <w:r w:rsidR="0056605B">
          <w:rPr>
            <w:webHidden/>
          </w:rPr>
          <w:tab/>
        </w:r>
        <w:r w:rsidR="0056605B">
          <w:rPr>
            <w:webHidden/>
          </w:rPr>
          <w:fldChar w:fldCharType="begin"/>
        </w:r>
        <w:r w:rsidR="0056605B">
          <w:rPr>
            <w:webHidden/>
          </w:rPr>
          <w:instrText xml:space="preserve"> PAGEREF _Toc117178509 \h </w:instrText>
        </w:r>
        <w:r w:rsidR="0056605B">
          <w:rPr>
            <w:webHidden/>
          </w:rPr>
        </w:r>
        <w:r w:rsidR="0056605B">
          <w:rPr>
            <w:webHidden/>
          </w:rPr>
          <w:fldChar w:fldCharType="separate"/>
        </w:r>
        <w:r w:rsidR="0056605B">
          <w:rPr>
            <w:webHidden/>
          </w:rPr>
          <w:t>10</w:t>
        </w:r>
        <w:r w:rsidR="0056605B">
          <w:rPr>
            <w:webHidden/>
          </w:rPr>
          <w:fldChar w:fldCharType="end"/>
        </w:r>
      </w:hyperlink>
    </w:p>
    <w:p w14:paraId="3BD14FB5" w14:textId="2902566A" w:rsidR="0056605B" w:rsidRDefault="000446CB" w:rsidP="00B02C06">
      <w:pPr>
        <w:pStyle w:val="TOC2"/>
        <w:rPr>
          <w:rFonts w:asciiTheme="minorHAnsi" w:eastAsiaTheme="minorEastAsia" w:hAnsiTheme="minorHAnsi" w:cstheme="minorBidi"/>
          <w:noProof/>
          <w:sz w:val="24"/>
          <w:szCs w:val="24"/>
          <w:lang w:eastAsia="en-GB"/>
        </w:rPr>
      </w:pPr>
      <w:hyperlink w:anchor="_Toc117178510" w:history="1">
        <w:r w:rsidR="0056605B" w:rsidRPr="005073CA">
          <w:rPr>
            <w:rStyle w:val="Hyperlink"/>
            <w:noProof/>
          </w:rPr>
          <w:t>5.1</w:t>
        </w:r>
        <w:r w:rsidR="0056605B">
          <w:rPr>
            <w:rFonts w:asciiTheme="minorHAnsi" w:eastAsiaTheme="minorEastAsia" w:hAnsiTheme="minorHAnsi" w:cstheme="minorBidi"/>
            <w:noProof/>
            <w:sz w:val="24"/>
            <w:szCs w:val="24"/>
            <w:lang w:eastAsia="en-GB"/>
          </w:rPr>
          <w:tab/>
        </w:r>
        <w:r w:rsidR="0056605B" w:rsidRPr="005073CA">
          <w:rPr>
            <w:rStyle w:val="Hyperlink"/>
            <w:noProof/>
          </w:rPr>
          <w:t>Information only</w:t>
        </w:r>
        <w:r w:rsidR="0056605B">
          <w:rPr>
            <w:noProof/>
            <w:webHidden/>
          </w:rPr>
          <w:tab/>
        </w:r>
        <w:r w:rsidR="0056605B">
          <w:rPr>
            <w:noProof/>
            <w:webHidden/>
          </w:rPr>
          <w:fldChar w:fldCharType="begin"/>
        </w:r>
        <w:r w:rsidR="0056605B">
          <w:rPr>
            <w:noProof/>
            <w:webHidden/>
          </w:rPr>
          <w:instrText xml:space="preserve"> PAGEREF _Toc117178510 \h </w:instrText>
        </w:r>
        <w:r w:rsidR="0056605B">
          <w:rPr>
            <w:noProof/>
            <w:webHidden/>
          </w:rPr>
        </w:r>
        <w:r w:rsidR="0056605B">
          <w:rPr>
            <w:noProof/>
            <w:webHidden/>
          </w:rPr>
          <w:fldChar w:fldCharType="separate"/>
        </w:r>
        <w:r w:rsidR="0056605B">
          <w:rPr>
            <w:noProof/>
            <w:webHidden/>
          </w:rPr>
          <w:t>10</w:t>
        </w:r>
        <w:r w:rsidR="0056605B">
          <w:rPr>
            <w:noProof/>
            <w:webHidden/>
          </w:rPr>
          <w:fldChar w:fldCharType="end"/>
        </w:r>
      </w:hyperlink>
    </w:p>
    <w:p w14:paraId="67EBA938" w14:textId="70C7DB10" w:rsidR="0056605B" w:rsidRDefault="000446CB" w:rsidP="00B02C06">
      <w:pPr>
        <w:pStyle w:val="TOC2"/>
        <w:rPr>
          <w:rFonts w:asciiTheme="minorHAnsi" w:eastAsiaTheme="minorEastAsia" w:hAnsiTheme="minorHAnsi" w:cstheme="minorBidi"/>
          <w:noProof/>
          <w:sz w:val="24"/>
          <w:szCs w:val="24"/>
          <w:lang w:eastAsia="en-GB"/>
        </w:rPr>
      </w:pPr>
      <w:hyperlink w:anchor="_Toc117178511" w:history="1">
        <w:r w:rsidR="0056605B" w:rsidRPr="005073CA">
          <w:rPr>
            <w:rStyle w:val="Hyperlink"/>
            <w:noProof/>
          </w:rPr>
          <w:t>5.2</w:t>
        </w:r>
        <w:r w:rsidR="0056605B">
          <w:rPr>
            <w:rFonts w:asciiTheme="minorHAnsi" w:eastAsiaTheme="minorEastAsia" w:hAnsiTheme="minorHAnsi" w:cstheme="minorBidi"/>
            <w:noProof/>
            <w:sz w:val="24"/>
            <w:szCs w:val="24"/>
            <w:lang w:eastAsia="en-GB"/>
          </w:rPr>
          <w:tab/>
        </w:r>
        <w:r w:rsidR="0056605B" w:rsidRPr="005073CA">
          <w:rPr>
            <w:rStyle w:val="Hyperlink"/>
            <w:noProof/>
          </w:rPr>
          <w:t>Project costing treatment of GST</w:t>
        </w:r>
        <w:r w:rsidR="0056605B">
          <w:rPr>
            <w:noProof/>
            <w:webHidden/>
          </w:rPr>
          <w:tab/>
        </w:r>
        <w:r w:rsidR="0056605B">
          <w:rPr>
            <w:noProof/>
            <w:webHidden/>
          </w:rPr>
          <w:fldChar w:fldCharType="begin"/>
        </w:r>
        <w:r w:rsidR="0056605B">
          <w:rPr>
            <w:noProof/>
            <w:webHidden/>
          </w:rPr>
          <w:instrText xml:space="preserve"> PAGEREF _Toc117178511 \h </w:instrText>
        </w:r>
        <w:r w:rsidR="0056605B">
          <w:rPr>
            <w:noProof/>
            <w:webHidden/>
          </w:rPr>
        </w:r>
        <w:r w:rsidR="0056605B">
          <w:rPr>
            <w:noProof/>
            <w:webHidden/>
          </w:rPr>
          <w:fldChar w:fldCharType="separate"/>
        </w:r>
        <w:r w:rsidR="0056605B">
          <w:rPr>
            <w:noProof/>
            <w:webHidden/>
          </w:rPr>
          <w:t>10</w:t>
        </w:r>
        <w:r w:rsidR="0056605B">
          <w:rPr>
            <w:noProof/>
            <w:webHidden/>
          </w:rPr>
          <w:fldChar w:fldCharType="end"/>
        </w:r>
      </w:hyperlink>
    </w:p>
    <w:p w14:paraId="56C7BAB6" w14:textId="5F14F285" w:rsidR="0056605B" w:rsidRDefault="000446CB" w:rsidP="00803C7F">
      <w:pPr>
        <w:pStyle w:val="TOC1"/>
        <w:rPr>
          <w:rFonts w:asciiTheme="minorHAnsi" w:eastAsiaTheme="minorEastAsia" w:hAnsiTheme="minorHAnsi" w:cstheme="minorBidi"/>
          <w:sz w:val="24"/>
          <w:szCs w:val="24"/>
          <w:lang w:eastAsia="en-GB"/>
        </w:rPr>
      </w:pPr>
      <w:hyperlink w:anchor="_Toc117178512" w:history="1">
        <w:r w:rsidR="0056605B" w:rsidRPr="005073CA">
          <w:rPr>
            <w:rStyle w:val="Hyperlink"/>
          </w:rPr>
          <w:t>6</w:t>
        </w:r>
        <w:r w:rsidR="0056605B">
          <w:rPr>
            <w:rFonts w:asciiTheme="minorHAnsi" w:eastAsiaTheme="minorEastAsia" w:hAnsiTheme="minorHAnsi" w:cstheme="minorBidi"/>
            <w:sz w:val="24"/>
            <w:szCs w:val="24"/>
            <w:lang w:eastAsia="en-GB"/>
          </w:rPr>
          <w:tab/>
        </w:r>
        <w:r w:rsidR="0056605B" w:rsidRPr="005073CA">
          <w:rPr>
            <w:rStyle w:val="Hyperlink"/>
          </w:rPr>
          <w:t>Monitoring, evaluation and reporting</w:t>
        </w:r>
        <w:r w:rsidR="0056605B">
          <w:rPr>
            <w:webHidden/>
          </w:rPr>
          <w:tab/>
        </w:r>
        <w:r w:rsidR="0056605B">
          <w:rPr>
            <w:webHidden/>
          </w:rPr>
          <w:fldChar w:fldCharType="begin"/>
        </w:r>
        <w:r w:rsidR="0056605B">
          <w:rPr>
            <w:webHidden/>
          </w:rPr>
          <w:instrText xml:space="preserve"> PAGEREF _Toc117178512 \h </w:instrText>
        </w:r>
        <w:r w:rsidR="0056605B">
          <w:rPr>
            <w:webHidden/>
          </w:rPr>
        </w:r>
        <w:r w:rsidR="0056605B">
          <w:rPr>
            <w:webHidden/>
          </w:rPr>
          <w:fldChar w:fldCharType="separate"/>
        </w:r>
        <w:r w:rsidR="0056605B">
          <w:rPr>
            <w:webHidden/>
          </w:rPr>
          <w:t>10</w:t>
        </w:r>
        <w:r w:rsidR="0056605B">
          <w:rPr>
            <w:webHidden/>
          </w:rPr>
          <w:fldChar w:fldCharType="end"/>
        </w:r>
      </w:hyperlink>
    </w:p>
    <w:p w14:paraId="4752AB23" w14:textId="72D288D2" w:rsidR="0056605B" w:rsidRDefault="000446CB" w:rsidP="00803C7F">
      <w:pPr>
        <w:pStyle w:val="TOC1"/>
        <w:rPr>
          <w:rFonts w:asciiTheme="minorHAnsi" w:eastAsiaTheme="minorEastAsia" w:hAnsiTheme="minorHAnsi" w:cstheme="minorBidi"/>
          <w:sz w:val="24"/>
          <w:szCs w:val="24"/>
          <w:lang w:eastAsia="en-GB"/>
        </w:rPr>
      </w:pPr>
      <w:hyperlink w:anchor="_Toc117178513" w:history="1">
        <w:r w:rsidR="0056605B" w:rsidRPr="005073CA">
          <w:rPr>
            <w:rStyle w:val="Hyperlink"/>
          </w:rPr>
          <w:t>7</w:t>
        </w:r>
        <w:r w:rsidR="0056605B">
          <w:rPr>
            <w:rFonts w:asciiTheme="minorHAnsi" w:eastAsiaTheme="minorEastAsia" w:hAnsiTheme="minorHAnsi" w:cstheme="minorBidi"/>
            <w:sz w:val="24"/>
            <w:szCs w:val="24"/>
            <w:lang w:eastAsia="en-GB"/>
          </w:rPr>
          <w:tab/>
        </w:r>
        <w:r w:rsidR="0056605B" w:rsidRPr="005073CA">
          <w:rPr>
            <w:rStyle w:val="Hyperlink"/>
          </w:rPr>
          <w:t>Acknowledgement</w:t>
        </w:r>
        <w:r w:rsidR="0056605B">
          <w:rPr>
            <w:webHidden/>
          </w:rPr>
          <w:tab/>
        </w:r>
        <w:r w:rsidR="0056605B">
          <w:rPr>
            <w:webHidden/>
          </w:rPr>
          <w:fldChar w:fldCharType="begin"/>
        </w:r>
        <w:r w:rsidR="0056605B">
          <w:rPr>
            <w:webHidden/>
          </w:rPr>
          <w:instrText xml:space="preserve"> PAGEREF _Toc117178513 \h </w:instrText>
        </w:r>
        <w:r w:rsidR="0056605B">
          <w:rPr>
            <w:webHidden/>
          </w:rPr>
        </w:r>
        <w:r w:rsidR="0056605B">
          <w:rPr>
            <w:webHidden/>
          </w:rPr>
          <w:fldChar w:fldCharType="separate"/>
        </w:r>
        <w:r w:rsidR="0056605B">
          <w:rPr>
            <w:webHidden/>
          </w:rPr>
          <w:t>10</w:t>
        </w:r>
        <w:r w:rsidR="0056605B">
          <w:rPr>
            <w:webHidden/>
          </w:rPr>
          <w:fldChar w:fldCharType="end"/>
        </w:r>
      </w:hyperlink>
    </w:p>
    <w:p w14:paraId="497C4172" w14:textId="563F9593" w:rsidR="0056605B" w:rsidRDefault="000446CB" w:rsidP="00803C7F">
      <w:pPr>
        <w:pStyle w:val="TOC1"/>
        <w:rPr>
          <w:rFonts w:asciiTheme="minorHAnsi" w:eastAsiaTheme="minorEastAsia" w:hAnsiTheme="minorHAnsi" w:cstheme="minorBidi"/>
          <w:sz w:val="24"/>
          <w:szCs w:val="24"/>
          <w:lang w:eastAsia="en-GB"/>
        </w:rPr>
      </w:pPr>
      <w:hyperlink w:anchor="_Toc117178514" w:history="1">
        <w:r w:rsidR="0056605B" w:rsidRPr="005073CA">
          <w:rPr>
            <w:rStyle w:val="Hyperlink"/>
          </w:rPr>
          <w:t>8</w:t>
        </w:r>
        <w:r w:rsidR="0056605B">
          <w:rPr>
            <w:rFonts w:asciiTheme="minorHAnsi" w:eastAsiaTheme="minorEastAsia" w:hAnsiTheme="minorHAnsi" w:cstheme="minorBidi"/>
            <w:sz w:val="24"/>
            <w:szCs w:val="24"/>
            <w:lang w:eastAsia="en-GB"/>
          </w:rPr>
          <w:tab/>
        </w:r>
        <w:r w:rsidR="0056605B" w:rsidRPr="005073CA">
          <w:rPr>
            <w:rStyle w:val="Hyperlink"/>
          </w:rPr>
          <w:t>Further support</w:t>
        </w:r>
        <w:r w:rsidR="0056605B">
          <w:rPr>
            <w:webHidden/>
          </w:rPr>
          <w:tab/>
        </w:r>
        <w:r w:rsidR="0056605B">
          <w:rPr>
            <w:webHidden/>
          </w:rPr>
          <w:fldChar w:fldCharType="begin"/>
        </w:r>
        <w:r w:rsidR="0056605B">
          <w:rPr>
            <w:webHidden/>
          </w:rPr>
          <w:instrText xml:space="preserve"> PAGEREF _Toc117178514 \h </w:instrText>
        </w:r>
        <w:r w:rsidR="0056605B">
          <w:rPr>
            <w:webHidden/>
          </w:rPr>
        </w:r>
        <w:r w:rsidR="0056605B">
          <w:rPr>
            <w:webHidden/>
          </w:rPr>
          <w:fldChar w:fldCharType="separate"/>
        </w:r>
        <w:r w:rsidR="0056605B">
          <w:rPr>
            <w:webHidden/>
          </w:rPr>
          <w:t>11</w:t>
        </w:r>
        <w:r w:rsidR="0056605B">
          <w:rPr>
            <w:webHidden/>
          </w:rPr>
          <w:fldChar w:fldCharType="end"/>
        </w:r>
      </w:hyperlink>
    </w:p>
    <w:p w14:paraId="3EE78330" w14:textId="6FEA5B5D" w:rsidR="0056605B" w:rsidRDefault="000446CB" w:rsidP="00803C7F">
      <w:pPr>
        <w:pStyle w:val="TOC1"/>
        <w:rPr>
          <w:rFonts w:asciiTheme="minorHAnsi" w:eastAsiaTheme="minorEastAsia" w:hAnsiTheme="minorHAnsi" w:cstheme="minorBidi"/>
          <w:sz w:val="24"/>
          <w:szCs w:val="24"/>
          <w:lang w:eastAsia="en-GB"/>
        </w:rPr>
      </w:pPr>
      <w:hyperlink w:anchor="_Toc117178515" w:history="1">
        <w:r w:rsidR="0056605B" w:rsidRPr="005073CA">
          <w:rPr>
            <w:rStyle w:val="Hyperlink"/>
          </w:rPr>
          <w:t>9</w:t>
        </w:r>
        <w:r w:rsidR="0056605B">
          <w:rPr>
            <w:rFonts w:asciiTheme="minorHAnsi" w:eastAsiaTheme="minorEastAsia" w:hAnsiTheme="minorHAnsi" w:cstheme="minorBidi"/>
            <w:sz w:val="24"/>
            <w:szCs w:val="24"/>
            <w:lang w:eastAsia="en-GB"/>
          </w:rPr>
          <w:tab/>
        </w:r>
        <w:r w:rsidR="0056605B" w:rsidRPr="005073CA">
          <w:rPr>
            <w:rStyle w:val="Hyperlink"/>
          </w:rPr>
          <w:t>Privacy</w:t>
        </w:r>
        <w:r w:rsidR="0056605B">
          <w:rPr>
            <w:webHidden/>
          </w:rPr>
          <w:tab/>
        </w:r>
        <w:r w:rsidR="0056605B">
          <w:rPr>
            <w:webHidden/>
          </w:rPr>
          <w:fldChar w:fldCharType="begin"/>
        </w:r>
        <w:r w:rsidR="0056605B">
          <w:rPr>
            <w:webHidden/>
          </w:rPr>
          <w:instrText xml:space="preserve"> PAGEREF _Toc117178515 \h </w:instrText>
        </w:r>
        <w:r w:rsidR="0056605B">
          <w:rPr>
            <w:webHidden/>
          </w:rPr>
        </w:r>
        <w:r w:rsidR="0056605B">
          <w:rPr>
            <w:webHidden/>
          </w:rPr>
          <w:fldChar w:fldCharType="separate"/>
        </w:r>
        <w:r w:rsidR="0056605B">
          <w:rPr>
            <w:webHidden/>
          </w:rPr>
          <w:t>11</w:t>
        </w:r>
        <w:r w:rsidR="0056605B">
          <w:rPr>
            <w:webHidden/>
          </w:rPr>
          <w:fldChar w:fldCharType="end"/>
        </w:r>
      </w:hyperlink>
    </w:p>
    <w:p w14:paraId="52A09AEF" w14:textId="04C0144C" w:rsidR="0056605B" w:rsidRDefault="000446CB" w:rsidP="00803C7F">
      <w:pPr>
        <w:pStyle w:val="TOC1"/>
        <w:rPr>
          <w:rFonts w:asciiTheme="minorHAnsi" w:eastAsiaTheme="minorEastAsia" w:hAnsiTheme="minorHAnsi" w:cstheme="minorBidi"/>
          <w:sz w:val="24"/>
          <w:szCs w:val="24"/>
          <w:lang w:eastAsia="en-GB"/>
        </w:rPr>
      </w:pPr>
      <w:hyperlink w:anchor="_Toc117178516" w:history="1">
        <w:r w:rsidR="0056605B" w:rsidRPr="005073CA">
          <w:rPr>
            <w:rStyle w:val="Hyperlink"/>
          </w:rPr>
          <w:t>10</w:t>
        </w:r>
        <w:r w:rsidR="0056605B">
          <w:rPr>
            <w:rFonts w:asciiTheme="minorHAnsi" w:eastAsiaTheme="minorEastAsia" w:hAnsiTheme="minorHAnsi" w:cstheme="minorBidi"/>
            <w:sz w:val="24"/>
            <w:szCs w:val="24"/>
            <w:lang w:eastAsia="en-GB"/>
          </w:rPr>
          <w:tab/>
        </w:r>
        <w:r w:rsidR="0056605B" w:rsidRPr="005073CA">
          <w:rPr>
            <w:rStyle w:val="Hyperlink"/>
          </w:rPr>
          <w:t>Step-by step application and grant process guide</w:t>
        </w:r>
        <w:r w:rsidR="0056605B">
          <w:rPr>
            <w:webHidden/>
          </w:rPr>
          <w:tab/>
        </w:r>
        <w:r w:rsidR="0056605B">
          <w:rPr>
            <w:webHidden/>
          </w:rPr>
          <w:fldChar w:fldCharType="begin"/>
        </w:r>
        <w:r w:rsidR="0056605B">
          <w:rPr>
            <w:webHidden/>
          </w:rPr>
          <w:instrText xml:space="preserve"> PAGEREF _Toc117178516 \h </w:instrText>
        </w:r>
        <w:r w:rsidR="0056605B">
          <w:rPr>
            <w:webHidden/>
          </w:rPr>
        </w:r>
        <w:r w:rsidR="0056605B">
          <w:rPr>
            <w:webHidden/>
          </w:rPr>
          <w:fldChar w:fldCharType="separate"/>
        </w:r>
        <w:r w:rsidR="0056605B">
          <w:rPr>
            <w:webHidden/>
          </w:rPr>
          <w:t>12</w:t>
        </w:r>
        <w:r w:rsidR="0056605B">
          <w:rPr>
            <w:webHidden/>
          </w:rPr>
          <w:fldChar w:fldCharType="end"/>
        </w:r>
      </w:hyperlink>
    </w:p>
    <w:p w14:paraId="76649C23" w14:textId="0370E3C5" w:rsidR="0056605B" w:rsidRDefault="000446CB" w:rsidP="00803C7F">
      <w:pPr>
        <w:pStyle w:val="TOC1"/>
        <w:rPr>
          <w:rFonts w:asciiTheme="minorHAnsi" w:eastAsiaTheme="minorEastAsia" w:hAnsiTheme="minorHAnsi" w:cstheme="minorBidi"/>
          <w:sz w:val="24"/>
          <w:szCs w:val="24"/>
          <w:lang w:eastAsia="en-GB"/>
        </w:rPr>
      </w:pPr>
      <w:hyperlink w:anchor="_Toc117178517" w:history="1">
        <w:r w:rsidR="0056605B" w:rsidRPr="005073CA">
          <w:rPr>
            <w:rStyle w:val="Hyperlink"/>
          </w:rPr>
          <w:t>11</w:t>
        </w:r>
        <w:r w:rsidR="0056605B">
          <w:rPr>
            <w:rFonts w:asciiTheme="minorHAnsi" w:eastAsiaTheme="minorEastAsia" w:hAnsiTheme="minorHAnsi" w:cstheme="minorBidi"/>
            <w:sz w:val="24"/>
            <w:szCs w:val="24"/>
            <w:lang w:eastAsia="en-GB"/>
          </w:rPr>
          <w:tab/>
        </w:r>
        <w:r w:rsidR="0056605B" w:rsidRPr="005073CA">
          <w:rPr>
            <w:rStyle w:val="Hyperlink"/>
            <w:spacing w:val="-4"/>
          </w:rPr>
          <w:t xml:space="preserve">Other </w:t>
        </w:r>
        <w:r w:rsidR="00363757">
          <w:rPr>
            <w:rStyle w:val="Hyperlink"/>
            <w:spacing w:val="-4"/>
          </w:rPr>
          <w:t>Forestry Transition Program</w:t>
        </w:r>
        <w:r w:rsidR="0056605B" w:rsidRPr="005073CA">
          <w:rPr>
            <w:rStyle w:val="Hyperlink"/>
            <w:spacing w:val="-4"/>
          </w:rPr>
          <w:t xml:space="preserve"> worker, business and community support</w:t>
        </w:r>
        <w:r w:rsidR="0056605B">
          <w:rPr>
            <w:webHidden/>
          </w:rPr>
          <w:tab/>
        </w:r>
        <w:r w:rsidR="0056605B">
          <w:rPr>
            <w:webHidden/>
          </w:rPr>
          <w:fldChar w:fldCharType="begin"/>
        </w:r>
        <w:r w:rsidR="0056605B">
          <w:rPr>
            <w:webHidden/>
          </w:rPr>
          <w:instrText xml:space="preserve"> PAGEREF _Toc117178517 \h </w:instrText>
        </w:r>
        <w:r w:rsidR="0056605B">
          <w:rPr>
            <w:webHidden/>
          </w:rPr>
        </w:r>
        <w:r w:rsidR="0056605B">
          <w:rPr>
            <w:webHidden/>
          </w:rPr>
          <w:fldChar w:fldCharType="separate"/>
        </w:r>
        <w:r w:rsidR="0056605B">
          <w:rPr>
            <w:webHidden/>
          </w:rPr>
          <w:t>12</w:t>
        </w:r>
        <w:r w:rsidR="0056605B">
          <w:rPr>
            <w:webHidden/>
          </w:rPr>
          <w:fldChar w:fldCharType="end"/>
        </w:r>
      </w:hyperlink>
    </w:p>
    <w:p w14:paraId="77B1EB49" w14:textId="0CC6D857" w:rsidR="0056605B" w:rsidRDefault="0056605B" w:rsidP="00534811">
      <w:pPr>
        <w:spacing w:line="260" w:lineRule="atLeast"/>
      </w:pPr>
      <w:r>
        <w:fldChar w:fldCharType="end"/>
      </w:r>
    </w:p>
    <w:p w14:paraId="2D186CAA" w14:textId="599A604A" w:rsidR="007842BC" w:rsidRDefault="00534811" w:rsidP="00534811">
      <w:pPr>
        <w:pStyle w:val="Heading1"/>
      </w:pPr>
      <w:bookmarkStart w:id="0" w:name="_Toc117178491"/>
      <w:r>
        <w:t>Background</w:t>
      </w:r>
      <w:bookmarkEnd w:id="0"/>
    </w:p>
    <w:p w14:paraId="4C88C952" w14:textId="637EF96A" w:rsidR="00A568B2" w:rsidRDefault="00B5588D" w:rsidP="00534811">
      <w:r w:rsidRPr="00B5588D">
        <w:t>The Forestry Transition Program is providing support for </w:t>
      </w:r>
      <w:hyperlink r:id="rId12" w:history="1">
        <w:r w:rsidRPr="00B5588D">
          <w:t>workers</w:t>
        </w:r>
      </w:hyperlink>
      <w:r w:rsidRPr="00B5588D">
        <w:t>, </w:t>
      </w:r>
      <w:hyperlink r:id="rId13" w:history="1">
        <w:r w:rsidRPr="00B5588D">
          <w:t>businesses </w:t>
        </w:r>
      </w:hyperlink>
      <w:r w:rsidRPr="00B5588D">
        <w:t>and </w:t>
      </w:r>
      <w:hyperlink r:id="rId14" w:history="1">
        <w:r w:rsidRPr="00B5588D">
          <w:t>communities</w:t>
        </w:r>
      </w:hyperlink>
      <w:r w:rsidRPr="00B5588D">
        <w:t> to transition ahead of commercial native timber harvesting ending by January 2024.</w:t>
      </w:r>
    </w:p>
    <w:p w14:paraId="4D39CDE8" w14:textId="6D1D2256" w:rsidR="005621AC" w:rsidRDefault="005A2747" w:rsidP="00534811">
      <w:r>
        <w:lastRenderedPageBreak/>
        <w:t>The</w:t>
      </w:r>
      <w:r w:rsidR="004E5079">
        <w:rPr>
          <w:color w:val="000000"/>
        </w:rPr>
        <w:t xml:space="preserve"> Government’s total support for the forestry transition is now more than $875 million, including existing worker support services and investments to support the transition to plantation timber.</w:t>
      </w:r>
    </w:p>
    <w:p w14:paraId="4759EE79" w14:textId="630C5077" w:rsidR="007842BC" w:rsidRDefault="00534811" w:rsidP="00534811">
      <w:r>
        <w:t xml:space="preserve">The Victorian Timber Innovation Grants Program </w:t>
      </w:r>
      <w:r>
        <w:rPr>
          <w:spacing w:val="-2"/>
        </w:rPr>
        <w:t>supports the timber industry by working with</w:t>
      </w:r>
      <w:r>
        <w:t xml:space="preserve"> businesses directly affected by the </w:t>
      </w:r>
      <w:r w:rsidR="00363757">
        <w:t>Forestry Transition Program</w:t>
      </w:r>
      <w:r>
        <w:t xml:space="preserve"> to</w:t>
      </w:r>
      <w:r>
        <w:rPr>
          <w:rFonts w:ascii="Cambria" w:hAnsi="Cambria" w:cs="Cambria"/>
        </w:rPr>
        <w:t> </w:t>
      </w:r>
      <w:r>
        <w:t>explore, invest and implement opportunities to</w:t>
      </w:r>
      <w:r>
        <w:rPr>
          <w:rFonts w:ascii="Cambria" w:hAnsi="Cambria" w:cs="Cambria"/>
        </w:rPr>
        <w:t> </w:t>
      </w:r>
      <w:r>
        <w:rPr>
          <w:spacing w:val="2"/>
        </w:rPr>
        <w:t xml:space="preserve">support their transition. Following the successful delivery </w:t>
      </w:r>
      <w:r>
        <w:t>of Round One of the program, additional funding has been made available for Round Two.</w:t>
      </w:r>
    </w:p>
    <w:p w14:paraId="601E7863" w14:textId="341B6485" w:rsidR="007842BC" w:rsidRDefault="00534811" w:rsidP="00534811">
      <w:pPr>
        <w:pStyle w:val="Heading1"/>
      </w:pPr>
      <w:bookmarkStart w:id="1" w:name="_Toc117178492"/>
      <w:r>
        <w:t>Round two grants</w:t>
      </w:r>
      <w:bookmarkEnd w:id="1"/>
    </w:p>
    <w:p w14:paraId="0BFD6567" w14:textId="7323E8F7" w:rsidR="007842BC" w:rsidRDefault="00534811" w:rsidP="00534811">
      <w:pPr>
        <w:pStyle w:val="Heading2"/>
      </w:pPr>
      <w:bookmarkStart w:id="2" w:name="_Toc117178493"/>
      <w:r>
        <w:t>Description and objectives</w:t>
      </w:r>
      <w:bookmarkEnd w:id="2"/>
    </w:p>
    <w:p w14:paraId="1327E86D" w14:textId="33C9B50D" w:rsidR="007842BC" w:rsidRDefault="00534811" w:rsidP="00534811">
      <w:r>
        <w:t xml:space="preserve">The Victorian Government has committed </w:t>
      </w:r>
      <w:r w:rsidRPr="001A6050">
        <w:t>$25</w:t>
      </w:r>
      <w:r>
        <w:t>million to</w:t>
      </w:r>
      <w:r>
        <w:rPr>
          <w:rFonts w:ascii="Cambria" w:hAnsi="Cambria" w:cs="Cambria"/>
        </w:rPr>
        <w:t> </w:t>
      </w:r>
      <w:r>
        <w:t>the Timber Innovation Grant Program (2021</w:t>
      </w:r>
      <w:r w:rsidRPr="00572747">
        <w:rPr>
          <w:rFonts w:ascii="Cambria Math" w:hAnsi="Cambria Math" w:cs="Cambria Math"/>
        </w:rPr>
        <w:t>‑</w:t>
      </w:r>
      <w:r w:rsidR="00444EFC" w:rsidRPr="00572747">
        <w:t>202</w:t>
      </w:r>
      <w:r w:rsidR="00830EC6" w:rsidRPr="00572747">
        <w:t>5</w:t>
      </w:r>
      <w:r>
        <w:t xml:space="preserve"> to</w:t>
      </w:r>
      <w:r>
        <w:rPr>
          <w:rFonts w:ascii="Cambria" w:hAnsi="Cambria" w:cs="Cambria"/>
        </w:rPr>
        <w:t> </w:t>
      </w:r>
      <w:r>
        <w:t>support native timber businesses to</w:t>
      </w:r>
      <w:r>
        <w:rPr>
          <w:rFonts w:ascii="Cambria" w:hAnsi="Cambria" w:cs="Cambria"/>
        </w:rPr>
        <w:t> </w:t>
      </w:r>
      <w:r>
        <w:t>innovate and develop new ways of working using plantation</w:t>
      </w:r>
      <w:r>
        <w:rPr>
          <w:rFonts w:ascii="Cambria Math" w:hAnsi="Cambria Math" w:cs="Cambria Math"/>
        </w:rPr>
        <w:t>‑</w:t>
      </w:r>
      <w:r>
        <w:t>grown timber or other fibres and diversify their business.</w:t>
      </w:r>
    </w:p>
    <w:p w14:paraId="7D0C666D" w14:textId="30357235" w:rsidR="007842BC" w:rsidRDefault="00534811" w:rsidP="00534811">
      <w:pPr>
        <w:keepNext/>
        <w:spacing w:after="120"/>
      </w:pPr>
      <w:r>
        <w:t>The Victorian Timber Innovation Grants Program Round</w:t>
      </w:r>
      <w:r>
        <w:rPr>
          <w:rFonts w:ascii="Cambria" w:hAnsi="Cambria" w:cs="Cambria"/>
        </w:rPr>
        <w:t> </w:t>
      </w:r>
      <w:r>
        <w:t xml:space="preserve">Two (2) (the Program) will use a two-stage application and selection process: </w:t>
      </w:r>
    </w:p>
    <w:p w14:paraId="5FC252B7" w14:textId="77777777" w:rsidR="007842BC" w:rsidRDefault="00534811" w:rsidP="00534811">
      <w:pPr>
        <w:pStyle w:val="Bullet"/>
      </w:pPr>
      <w:r w:rsidRPr="00534811">
        <w:rPr>
          <w:rStyle w:val="BOLD"/>
          <w:b/>
          <w:bCs/>
        </w:rPr>
        <w:t>Stage one</w:t>
      </w:r>
      <w:r>
        <w:t> </w:t>
      </w:r>
      <w:r>
        <w:t>Expression of Interest (EOI)</w:t>
      </w:r>
    </w:p>
    <w:p w14:paraId="3CEC1EB5" w14:textId="77777777" w:rsidR="007842BC" w:rsidRDefault="00534811" w:rsidP="00534811">
      <w:pPr>
        <w:pStyle w:val="Bulletlast"/>
      </w:pPr>
      <w:r w:rsidRPr="00534811">
        <w:rPr>
          <w:rStyle w:val="BOLD"/>
          <w:rFonts w:ascii="Arial" w:hAnsi="Arial" w:cs="Arial"/>
          <w:b/>
          <w:bCs/>
        </w:rPr>
        <w:t>Stage</w:t>
      </w:r>
      <w:r w:rsidRPr="00534811">
        <w:rPr>
          <w:rStyle w:val="BOLD"/>
          <w:b/>
          <w:bCs/>
        </w:rPr>
        <w:t xml:space="preserve"> two</w:t>
      </w:r>
      <w:r>
        <w:t> </w:t>
      </w:r>
      <w:r>
        <w:t>Grant Application</w:t>
      </w:r>
    </w:p>
    <w:p w14:paraId="4962D2A1" w14:textId="07FC7BC4" w:rsidR="007842BC" w:rsidRDefault="00534811" w:rsidP="00534811">
      <w:pPr>
        <w:pStyle w:val="Normalbeforebullet"/>
      </w:pPr>
      <w:r>
        <w:t xml:space="preserve">The objective of the Program is to assist businesses directly affected by the </w:t>
      </w:r>
      <w:r w:rsidR="00363757">
        <w:t xml:space="preserve">Forestry Transition </w:t>
      </w:r>
      <w:r w:rsidR="006B2D28">
        <w:t>Program to</w:t>
      </w:r>
      <w:r>
        <w:rPr>
          <w:rFonts w:ascii="Cambria" w:hAnsi="Cambria" w:cs="Cambria"/>
        </w:rPr>
        <w:t> </w:t>
      </w:r>
      <w:r>
        <w:t>explore, invest and implement opportunities to</w:t>
      </w:r>
      <w:r>
        <w:rPr>
          <w:rFonts w:ascii="Cambria" w:hAnsi="Cambria" w:cs="Cambria"/>
        </w:rPr>
        <w:t> </w:t>
      </w:r>
      <w:r>
        <w:t>transition away from a sole reliance on</w:t>
      </w:r>
      <w:r>
        <w:rPr>
          <w:rFonts w:ascii="Cambria" w:hAnsi="Cambria" w:cs="Cambria"/>
        </w:rPr>
        <w:t> </w:t>
      </w:r>
      <w:r>
        <w:t>native timber. The Program is</w:t>
      </w:r>
      <w:r>
        <w:rPr>
          <w:rFonts w:ascii="Cambria" w:hAnsi="Cambria" w:cs="Cambria"/>
        </w:rPr>
        <w:t> </w:t>
      </w:r>
      <w:r>
        <w:t>intended to support Victorian forestry</w:t>
      </w:r>
      <w:r>
        <w:rPr>
          <w:rFonts w:ascii="Cambria" w:hAnsi="Cambria" w:cs="Cambria"/>
        </w:rPr>
        <w:t> </w:t>
      </w:r>
      <w:r>
        <w:t>businesses:</w:t>
      </w:r>
    </w:p>
    <w:p w14:paraId="6F375243" w14:textId="77777777" w:rsidR="007842BC" w:rsidRDefault="00534811" w:rsidP="00534811">
      <w:pPr>
        <w:pStyle w:val="Bullet"/>
      </w:pPr>
      <w:r>
        <w:t>explore, investigate, and implement business transition opportunities</w:t>
      </w:r>
    </w:p>
    <w:p w14:paraId="385BC422" w14:textId="77777777" w:rsidR="007842BC" w:rsidRDefault="00534811" w:rsidP="00534811">
      <w:pPr>
        <w:pStyle w:val="Bullet"/>
      </w:pPr>
      <w:r>
        <w:t>undertake capital investment in business transition</w:t>
      </w:r>
      <w:r>
        <w:rPr>
          <w:rFonts w:ascii="Cambria" w:hAnsi="Cambria" w:cs="Cambria"/>
        </w:rPr>
        <w:t> </w:t>
      </w:r>
      <w:r>
        <w:t>projects</w:t>
      </w:r>
    </w:p>
    <w:p w14:paraId="3380267E" w14:textId="0789AD22" w:rsidR="007842BC" w:rsidRDefault="00534811" w:rsidP="00534811">
      <w:pPr>
        <w:pStyle w:val="Bullet"/>
      </w:pPr>
      <w:r>
        <w:t>diversify and reorientate core business activities to support alternative employment opportunities</w:t>
      </w:r>
    </w:p>
    <w:p w14:paraId="565176F4" w14:textId="77777777" w:rsidR="007842BC" w:rsidRDefault="00534811" w:rsidP="00534811">
      <w:pPr>
        <w:pStyle w:val="Bullet"/>
      </w:pPr>
      <w:r>
        <w:t>develop and implement downstream manufacturing opportunities using alternative fibre</w:t>
      </w:r>
    </w:p>
    <w:p w14:paraId="4918835E" w14:textId="77777777" w:rsidR="007842BC" w:rsidRDefault="00534811" w:rsidP="00534811">
      <w:pPr>
        <w:pStyle w:val="Bulletlast"/>
      </w:pPr>
      <w:r>
        <w:t xml:space="preserve">invest in new opportunities to process or manufacture using plantation timber feedstock </w:t>
      </w:r>
      <w:r>
        <w:br/>
        <w:t>and/or alternative fibre.</w:t>
      </w:r>
    </w:p>
    <w:p w14:paraId="4C74912D" w14:textId="77777777" w:rsidR="007842BC" w:rsidRDefault="00534811" w:rsidP="00534811">
      <w:r>
        <w:rPr>
          <w:spacing w:val="-3"/>
        </w:rPr>
        <w:t>Further rounds of the Program will be released in the future.</w:t>
      </w:r>
      <w:r>
        <w:rPr>
          <w:rFonts w:ascii="VIC" w:hAnsi="VIC" w:cs="VIC"/>
          <w:b/>
          <w:bCs/>
          <w:spacing w:val="-3"/>
        </w:rPr>
        <w:t xml:space="preserve"> </w:t>
      </w:r>
    </w:p>
    <w:p w14:paraId="2EF257FF" w14:textId="5F48F522" w:rsidR="007842BC" w:rsidRDefault="00534811" w:rsidP="00534811">
      <w:pPr>
        <w:pStyle w:val="Heading2"/>
      </w:pPr>
      <w:bookmarkStart w:id="3" w:name="_Toc117178494"/>
      <w:r>
        <w:t>Funding assistance</w:t>
      </w:r>
      <w:bookmarkEnd w:id="3"/>
    </w:p>
    <w:p w14:paraId="222693A7" w14:textId="13512A22" w:rsidR="007842BC" w:rsidRDefault="00534811" w:rsidP="00534811">
      <w:pPr>
        <w:keepNext/>
      </w:pPr>
      <w:r>
        <w:t>The Program will provide grants of up to $</w:t>
      </w:r>
      <w:r w:rsidRPr="00BD19E9">
        <w:t>1 million</w:t>
      </w:r>
      <w:r>
        <w:t>.</w:t>
      </w:r>
    </w:p>
    <w:p w14:paraId="5B4C1A61" w14:textId="2EF96E12" w:rsidR="006A4246" w:rsidRDefault="00534811" w:rsidP="00534811">
      <w:r>
        <w:rPr>
          <w:spacing w:val="-4"/>
        </w:rPr>
        <w:t>Grants over $</w:t>
      </w:r>
      <w:r w:rsidRPr="00E502F8">
        <w:rPr>
          <w:spacing w:val="-4"/>
        </w:rPr>
        <w:t>1 million</w:t>
      </w:r>
      <w:r>
        <w:rPr>
          <w:spacing w:val="-4"/>
        </w:rPr>
        <w:t xml:space="preserve"> </w:t>
      </w:r>
      <w:r w:rsidR="00CF2C76">
        <w:rPr>
          <w:spacing w:val="-4"/>
        </w:rPr>
        <w:t xml:space="preserve">will be considered on a </w:t>
      </w:r>
      <w:r w:rsidR="00361E2C">
        <w:rPr>
          <w:spacing w:val="-4"/>
        </w:rPr>
        <w:t xml:space="preserve">case by case basis and will </w:t>
      </w:r>
      <w:r w:rsidR="00D03A30">
        <w:rPr>
          <w:spacing w:val="-4"/>
        </w:rPr>
        <w:t xml:space="preserve">take into consideration </w:t>
      </w:r>
      <w:r w:rsidR="00B35234">
        <w:rPr>
          <w:spacing w:val="-4"/>
        </w:rPr>
        <w:t xml:space="preserve">the co-contribution and </w:t>
      </w:r>
      <w:r w:rsidR="00926B9B">
        <w:t>p</w:t>
      </w:r>
      <w:r w:rsidR="006A4246">
        <w:t>revious grants received</w:t>
      </w:r>
      <w:r w:rsidR="000F5CB4">
        <w:t xml:space="preserve"> by an applicant,</w:t>
      </w:r>
      <w:r w:rsidR="006A4246">
        <w:t xml:space="preserve"> through </w:t>
      </w:r>
      <w:r w:rsidR="00BD1921">
        <w:t xml:space="preserve">earlier rounds of the </w:t>
      </w:r>
      <w:r w:rsidR="00DB125B">
        <w:t xml:space="preserve">Victorian </w:t>
      </w:r>
      <w:r w:rsidR="00BD1921">
        <w:t xml:space="preserve">Timber Innovation Fund </w:t>
      </w:r>
    </w:p>
    <w:p w14:paraId="0958B870" w14:textId="77777777" w:rsidR="007842BC" w:rsidRDefault="00534811" w:rsidP="00534811">
      <w:pPr>
        <w:pStyle w:val="Heading3"/>
      </w:pPr>
      <w:r>
        <w:t>Co-contribution requirements</w:t>
      </w:r>
    </w:p>
    <w:p w14:paraId="2BA84481" w14:textId="77777777" w:rsidR="007842BC" w:rsidRDefault="00534811" w:rsidP="00534811">
      <w:r>
        <w:rPr>
          <w:spacing w:val="-2"/>
        </w:rPr>
        <w:t xml:space="preserve">The Program requires a co-contribution by the applicant, cash and/or in-kind resources as outlined below: </w:t>
      </w:r>
    </w:p>
    <w:p w14:paraId="7158DBF5" w14:textId="77777777" w:rsidR="007842BC" w:rsidRDefault="00534811" w:rsidP="00534811">
      <w:r>
        <w:t>Maximum funding ratios are:</w:t>
      </w:r>
    </w:p>
    <w:tbl>
      <w:tblPr>
        <w:tblStyle w:val="TableGrid"/>
        <w:tblW w:w="0" w:type="auto"/>
        <w:tblLayout w:type="fixed"/>
        <w:tblLook w:val="0020" w:firstRow="1" w:lastRow="0" w:firstColumn="0" w:lastColumn="0" w:noHBand="0" w:noVBand="0"/>
      </w:tblPr>
      <w:tblGrid>
        <w:gridCol w:w="1838"/>
        <w:gridCol w:w="1559"/>
        <w:gridCol w:w="1701"/>
        <w:gridCol w:w="1843"/>
      </w:tblGrid>
      <w:tr w:rsidR="00534811" w14:paraId="57CCE9F5" w14:textId="01C755C5" w:rsidTr="00534811">
        <w:trPr>
          <w:trHeight w:val="81"/>
        </w:trPr>
        <w:tc>
          <w:tcPr>
            <w:tcW w:w="1838" w:type="dxa"/>
          </w:tcPr>
          <w:p w14:paraId="78FB30B3" w14:textId="4185DD8C" w:rsidR="007842BC" w:rsidRDefault="00534811" w:rsidP="00534811">
            <w:pPr>
              <w:pStyle w:val="TableHeading"/>
            </w:pPr>
            <w:r>
              <w:lastRenderedPageBreak/>
              <w:t>Co-contribution ratio (DJPR: Business)</w:t>
            </w:r>
          </w:p>
        </w:tc>
        <w:tc>
          <w:tcPr>
            <w:tcW w:w="1559" w:type="dxa"/>
          </w:tcPr>
          <w:p w14:paraId="5788360B" w14:textId="47911B73" w:rsidR="007842BC" w:rsidRDefault="00534811" w:rsidP="00534811">
            <w:pPr>
              <w:pStyle w:val="TableHeading"/>
            </w:pPr>
            <w:r>
              <w:t>Total project value</w:t>
            </w:r>
            <w:r>
              <w:rPr>
                <w:rFonts w:ascii="MS Mincho" w:hAnsi="MS Mincho" w:cs="MS Mincho" w:hint="eastAsia"/>
              </w:rPr>
              <w:t> </w:t>
            </w:r>
            <w:r>
              <w:t>($)</w:t>
            </w:r>
          </w:p>
        </w:tc>
        <w:tc>
          <w:tcPr>
            <w:tcW w:w="1701" w:type="dxa"/>
          </w:tcPr>
          <w:p w14:paraId="1F8E16F2" w14:textId="24D6F195" w:rsidR="007842BC" w:rsidRDefault="00534811" w:rsidP="00534811">
            <w:pPr>
              <w:pStyle w:val="TableHeading"/>
            </w:pPr>
            <w:r>
              <w:t>Contribution amount</w:t>
            </w:r>
            <w:r>
              <w:rPr>
                <w:rFonts w:ascii="MS Mincho" w:hAnsi="MS Mincho" w:cs="MS Mincho" w:hint="eastAsia"/>
              </w:rPr>
              <w:t> </w:t>
            </w:r>
            <w:r>
              <w:br/>
              <w:t>(up to $)</w:t>
            </w:r>
          </w:p>
        </w:tc>
        <w:tc>
          <w:tcPr>
            <w:tcW w:w="1843" w:type="dxa"/>
          </w:tcPr>
          <w:p w14:paraId="2912F850" w14:textId="16CE4204" w:rsidR="007842BC" w:rsidRDefault="00534811" w:rsidP="00534811">
            <w:pPr>
              <w:pStyle w:val="TableHeading"/>
            </w:pPr>
            <w:r>
              <w:t>Contribution source</w:t>
            </w:r>
          </w:p>
        </w:tc>
      </w:tr>
      <w:tr w:rsidR="00F0006C" w:rsidRPr="00534811" w14:paraId="027DCA25" w14:textId="77777777" w:rsidTr="00442A48">
        <w:trPr>
          <w:trHeight w:val="227"/>
        </w:trPr>
        <w:tc>
          <w:tcPr>
            <w:tcW w:w="1838" w:type="dxa"/>
            <w:vAlign w:val="center"/>
          </w:tcPr>
          <w:p w14:paraId="202A0090" w14:textId="2E65817D" w:rsidR="00F0006C" w:rsidRPr="00534811" w:rsidRDefault="00F0006C" w:rsidP="00581453">
            <w:pPr>
              <w:pStyle w:val="TableCopy"/>
            </w:pPr>
            <w:r>
              <w:t>N/A</w:t>
            </w:r>
          </w:p>
        </w:tc>
        <w:tc>
          <w:tcPr>
            <w:tcW w:w="1559" w:type="dxa"/>
          </w:tcPr>
          <w:p w14:paraId="06646829" w14:textId="67F8295A" w:rsidR="00F0006C" w:rsidRPr="00534811" w:rsidRDefault="00C769FA" w:rsidP="00534811">
            <w:pPr>
              <w:pStyle w:val="TableCopy"/>
            </w:pPr>
            <w:r>
              <w:t xml:space="preserve">Up to </w:t>
            </w:r>
            <w:r w:rsidR="00F0006C">
              <w:t>$250,000</w:t>
            </w:r>
          </w:p>
        </w:tc>
        <w:tc>
          <w:tcPr>
            <w:tcW w:w="1701" w:type="dxa"/>
          </w:tcPr>
          <w:p w14:paraId="54FCAA2F" w14:textId="70C1F57E" w:rsidR="00F0006C" w:rsidRPr="00534811" w:rsidRDefault="00F0006C" w:rsidP="00534811">
            <w:pPr>
              <w:pStyle w:val="TableCopy"/>
            </w:pPr>
            <w:r>
              <w:t>$250,000</w:t>
            </w:r>
          </w:p>
        </w:tc>
        <w:tc>
          <w:tcPr>
            <w:tcW w:w="1843" w:type="dxa"/>
          </w:tcPr>
          <w:p w14:paraId="7C19BD3D" w14:textId="42EF06BB" w:rsidR="00F0006C" w:rsidRPr="00534811" w:rsidDel="008374E6" w:rsidRDefault="00F0006C" w:rsidP="00534811">
            <w:pPr>
              <w:pStyle w:val="TableCopy"/>
            </w:pPr>
            <w:r>
              <w:t>DEECA grant</w:t>
            </w:r>
          </w:p>
        </w:tc>
      </w:tr>
      <w:tr w:rsidR="00442A48" w:rsidRPr="00534811" w14:paraId="580DA896" w14:textId="77777777" w:rsidTr="00442A48">
        <w:trPr>
          <w:trHeight w:val="227"/>
        </w:trPr>
        <w:tc>
          <w:tcPr>
            <w:tcW w:w="1838" w:type="dxa"/>
            <w:vMerge w:val="restart"/>
            <w:vAlign w:val="center"/>
          </w:tcPr>
          <w:p w14:paraId="1CAA3B13" w14:textId="49DDF78C" w:rsidR="00442A48" w:rsidRPr="00534811" w:rsidRDefault="00442A48" w:rsidP="00581453">
            <w:pPr>
              <w:pStyle w:val="TableCopy"/>
            </w:pPr>
            <w:r w:rsidRPr="00534811">
              <w:t>2:1</w:t>
            </w:r>
          </w:p>
        </w:tc>
        <w:tc>
          <w:tcPr>
            <w:tcW w:w="1559" w:type="dxa"/>
          </w:tcPr>
          <w:p w14:paraId="49A9118E" w14:textId="0535C916" w:rsidR="00442A48" w:rsidRPr="00534811" w:rsidRDefault="00442A48" w:rsidP="00534811">
            <w:pPr>
              <w:pStyle w:val="TableCopy"/>
            </w:pPr>
            <w:r w:rsidRPr="00534811">
              <w:t>$</w:t>
            </w:r>
            <w:r>
              <w:t>250,001</w:t>
            </w:r>
            <w:r w:rsidRPr="00534811">
              <w:t>–$500,000</w:t>
            </w:r>
          </w:p>
        </w:tc>
        <w:tc>
          <w:tcPr>
            <w:tcW w:w="1701" w:type="dxa"/>
          </w:tcPr>
          <w:p w14:paraId="761363A0" w14:textId="321BB6A9" w:rsidR="00442A48" w:rsidRPr="00534811" w:rsidRDefault="00442A48" w:rsidP="00534811">
            <w:pPr>
              <w:pStyle w:val="TableCopy"/>
            </w:pPr>
            <w:r w:rsidRPr="00534811">
              <w:t>$333,333</w:t>
            </w:r>
          </w:p>
        </w:tc>
        <w:tc>
          <w:tcPr>
            <w:tcW w:w="1843" w:type="dxa"/>
          </w:tcPr>
          <w:p w14:paraId="60E1F8AB" w14:textId="7B700284" w:rsidR="00442A48" w:rsidRPr="00534811" w:rsidRDefault="00442A48" w:rsidP="00534811">
            <w:pPr>
              <w:pStyle w:val="TableCopy"/>
            </w:pPr>
            <w:r w:rsidRPr="00534811">
              <w:t>D</w:t>
            </w:r>
            <w:r>
              <w:t>EECA</w:t>
            </w:r>
            <w:r w:rsidRPr="00534811">
              <w:t xml:space="preserve"> grant</w:t>
            </w:r>
          </w:p>
        </w:tc>
      </w:tr>
      <w:tr w:rsidR="00442A48" w:rsidRPr="00534811" w14:paraId="6CF3AB7D" w14:textId="77777777" w:rsidTr="00442A48">
        <w:trPr>
          <w:trHeight w:val="227"/>
        </w:trPr>
        <w:tc>
          <w:tcPr>
            <w:tcW w:w="1838" w:type="dxa"/>
            <w:vMerge/>
            <w:vAlign w:val="center"/>
          </w:tcPr>
          <w:p w14:paraId="1F0974FC" w14:textId="25264A48" w:rsidR="00442A48" w:rsidRPr="00534811" w:rsidRDefault="00442A48" w:rsidP="00581453">
            <w:pPr>
              <w:pStyle w:val="TableCopy"/>
            </w:pPr>
          </w:p>
        </w:tc>
        <w:tc>
          <w:tcPr>
            <w:tcW w:w="1559" w:type="dxa"/>
          </w:tcPr>
          <w:p w14:paraId="48D9B001" w14:textId="131D84A2" w:rsidR="00442A48" w:rsidRPr="00534811" w:rsidRDefault="00442A48" w:rsidP="00534811">
            <w:pPr>
              <w:pStyle w:val="TableCopy"/>
            </w:pPr>
            <w:r w:rsidRPr="00534811">
              <w:t>$</w:t>
            </w:r>
            <w:r>
              <w:t>250,001</w:t>
            </w:r>
            <w:r w:rsidRPr="00534811">
              <w:t>–$500,000</w:t>
            </w:r>
          </w:p>
        </w:tc>
        <w:tc>
          <w:tcPr>
            <w:tcW w:w="1701" w:type="dxa"/>
          </w:tcPr>
          <w:p w14:paraId="6241E2A3" w14:textId="1228EBC6" w:rsidR="00442A48" w:rsidRPr="00534811" w:rsidRDefault="00442A48" w:rsidP="00534811">
            <w:pPr>
              <w:pStyle w:val="TableCopy"/>
            </w:pPr>
            <w:r w:rsidRPr="00534811">
              <w:t>$125,000</w:t>
            </w:r>
          </w:p>
        </w:tc>
        <w:tc>
          <w:tcPr>
            <w:tcW w:w="1843" w:type="dxa"/>
          </w:tcPr>
          <w:p w14:paraId="14A083F9" w14:textId="76C8D88F" w:rsidR="00442A48" w:rsidRPr="00534811" w:rsidRDefault="00442A48" w:rsidP="00534811">
            <w:pPr>
              <w:pStyle w:val="TableCopy"/>
            </w:pPr>
            <w:r w:rsidRPr="00534811">
              <w:t>Business cash contribution</w:t>
            </w:r>
          </w:p>
        </w:tc>
      </w:tr>
      <w:tr w:rsidR="00442A48" w:rsidRPr="00534811" w14:paraId="21AFFACB" w14:textId="77777777" w:rsidTr="00442A48">
        <w:trPr>
          <w:trHeight w:val="337"/>
        </w:trPr>
        <w:tc>
          <w:tcPr>
            <w:tcW w:w="1838" w:type="dxa"/>
            <w:vMerge/>
            <w:vAlign w:val="center"/>
          </w:tcPr>
          <w:p w14:paraId="5B06D7EA" w14:textId="516AD878" w:rsidR="00442A48" w:rsidRPr="00534811" w:rsidRDefault="00442A48" w:rsidP="00581453">
            <w:pPr>
              <w:pStyle w:val="TableCopy"/>
            </w:pPr>
          </w:p>
        </w:tc>
        <w:tc>
          <w:tcPr>
            <w:tcW w:w="1559" w:type="dxa"/>
          </w:tcPr>
          <w:p w14:paraId="30960F70" w14:textId="6E75E5EF" w:rsidR="00442A48" w:rsidRPr="00534811" w:rsidRDefault="00442A48" w:rsidP="00534811">
            <w:pPr>
              <w:pStyle w:val="TableCopy"/>
            </w:pPr>
            <w:r w:rsidRPr="00534811">
              <w:t>$</w:t>
            </w:r>
            <w:r>
              <w:t>250,001</w:t>
            </w:r>
            <w:r w:rsidRPr="00534811">
              <w:t>–$500,000</w:t>
            </w:r>
          </w:p>
        </w:tc>
        <w:tc>
          <w:tcPr>
            <w:tcW w:w="1701" w:type="dxa"/>
          </w:tcPr>
          <w:p w14:paraId="07DB16F4" w14:textId="60699E9E" w:rsidR="00442A48" w:rsidRPr="00534811" w:rsidRDefault="00442A48" w:rsidP="00534811">
            <w:pPr>
              <w:pStyle w:val="TableCopy"/>
            </w:pPr>
            <w:r w:rsidRPr="00534811">
              <w:t>$41,667</w:t>
            </w:r>
          </w:p>
        </w:tc>
        <w:tc>
          <w:tcPr>
            <w:tcW w:w="1843" w:type="dxa"/>
          </w:tcPr>
          <w:p w14:paraId="7B0C4B41" w14:textId="7ED58559" w:rsidR="00442A48" w:rsidRPr="00534811" w:rsidRDefault="00442A48" w:rsidP="00534811">
            <w:pPr>
              <w:pStyle w:val="TableCopy"/>
            </w:pPr>
            <w:r w:rsidRPr="00534811">
              <w:t>Business in-kind contribution</w:t>
            </w:r>
          </w:p>
        </w:tc>
      </w:tr>
      <w:tr w:rsidR="00442A48" w:rsidRPr="00534811" w14:paraId="6BC443CC" w14:textId="77777777" w:rsidTr="00442A48">
        <w:trPr>
          <w:trHeight w:val="227"/>
        </w:trPr>
        <w:tc>
          <w:tcPr>
            <w:tcW w:w="1838" w:type="dxa"/>
            <w:vMerge w:val="restart"/>
            <w:vAlign w:val="center"/>
          </w:tcPr>
          <w:p w14:paraId="77351316" w14:textId="0D4F9A3A" w:rsidR="00442A48" w:rsidRPr="00534811" w:rsidRDefault="00442A48" w:rsidP="00581453">
            <w:pPr>
              <w:pStyle w:val="TableCopy"/>
            </w:pPr>
            <w:r w:rsidRPr="00534811">
              <w:t>1:1</w:t>
            </w:r>
          </w:p>
        </w:tc>
        <w:tc>
          <w:tcPr>
            <w:tcW w:w="1559" w:type="dxa"/>
          </w:tcPr>
          <w:p w14:paraId="4A2A2EEC" w14:textId="36CC70D7" w:rsidR="00442A48" w:rsidRPr="00534811" w:rsidRDefault="00442A48" w:rsidP="00534811">
            <w:pPr>
              <w:pStyle w:val="TableCopy"/>
            </w:pPr>
            <w:r w:rsidRPr="00534811">
              <w:t>$500,001–$1,000,000</w:t>
            </w:r>
          </w:p>
        </w:tc>
        <w:tc>
          <w:tcPr>
            <w:tcW w:w="1701" w:type="dxa"/>
          </w:tcPr>
          <w:p w14:paraId="4F56FE5B" w14:textId="51DA17B6" w:rsidR="00442A48" w:rsidRPr="00534811" w:rsidRDefault="00442A48" w:rsidP="00534811">
            <w:pPr>
              <w:pStyle w:val="TableCopy"/>
            </w:pPr>
            <w:r w:rsidRPr="00534811">
              <w:t>$500,000</w:t>
            </w:r>
          </w:p>
        </w:tc>
        <w:tc>
          <w:tcPr>
            <w:tcW w:w="1843" w:type="dxa"/>
          </w:tcPr>
          <w:p w14:paraId="5768D51B" w14:textId="3C02ECAC" w:rsidR="00442A48" w:rsidRPr="00534811" w:rsidRDefault="00442A48" w:rsidP="00534811">
            <w:pPr>
              <w:pStyle w:val="TableCopy"/>
            </w:pPr>
            <w:r w:rsidRPr="00534811">
              <w:t>D</w:t>
            </w:r>
            <w:r>
              <w:t>EECA</w:t>
            </w:r>
            <w:r w:rsidRPr="00534811">
              <w:t xml:space="preserve"> grant</w:t>
            </w:r>
          </w:p>
        </w:tc>
      </w:tr>
      <w:tr w:rsidR="00442A48" w:rsidRPr="00534811" w14:paraId="319F15FB" w14:textId="77777777" w:rsidTr="00534811">
        <w:trPr>
          <w:trHeight w:val="227"/>
        </w:trPr>
        <w:tc>
          <w:tcPr>
            <w:tcW w:w="1838" w:type="dxa"/>
            <w:vMerge/>
          </w:tcPr>
          <w:p w14:paraId="6369E4E4" w14:textId="350AA6FF" w:rsidR="00442A48" w:rsidRPr="00534811" w:rsidRDefault="00442A48" w:rsidP="00534811">
            <w:pPr>
              <w:pStyle w:val="TableCopy"/>
            </w:pPr>
          </w:p>
        </w:tc>
        <w:tc>
          <w:tcPr>
            <w:tcW w:w="1559" w:type="dxa"/>
          </w:tcPr>
          <w:p w14:paraId="707EDB5D" w14:textId="750BB0E6" w:rsidR="00442A48" w:rsidRPr="00534811" w:rsidRDefault="00442A48" w:rsidP="00534811">
            <w:pPr>
              <w:pStyle w:val="TableCopy"/>
            </w:pPr>
            <w:r w:rsidRPr="00534811">
              <w:t>$500,001–$1,000,000</w:t>
            </w:r>
          </w:p>
        </w:tc>
        <w:tc>
          <w:tcPr>
            <w:tcW w:w="1701" w:type="dxa"/>
          </w:tcPr>
          <w:p w14:paraId="4DB26523" w14:textId="3EEBBF03" w:rsidR="00442A48" w:rsidRPr="00534811" w:rsidRDefault="00442A48" w:rsidP="00534811">
            <w:pPr>
              <w:pStyle w:val="TableCopy"/>
            </w:pPr>
            <w:r w:rsidRPr="00534811">
              <w:t>$375,000</w:t>
            </w:r>
          </w:p>
        </w:tc>
        <w:tc>
          <w:tcPr>
            <w:tcW w:w="1843" w:type="dxa"/>
          </w:tcPr>
          <w:p w14:paraId="4FDECE59" w14:textId="31D12100" w:rsidR="00442A48" w:rsidRPr="00534811" w:rsidRDefault="00442A48" w:rsidP="00534811">
            <w:pPr>
              <w:pStyle w:val="TableCopy"/>
            </w:pPr>
            <w:r w:rsidRPr="00534811">
              <w:t>Business cash contribution</w:t>
            </w:r>
          </w:p>
        </w:tc>
      </w:tr>
      <w:tr w:rsidR="00442A48" w:rsidRPr="00534811" w14:paraId="204E2100" w14:textId="77777777" w:rsidTr="00534811">
        <w:trPr>
          <w:trHeight w:val="337"/>
        </w:trPr>
        <w:tc>
          <w:tcPr>
            <w:tcW w:w="1838" w:type="dxa"/>
            <w:vMerge/>
          </w:tcPr>
          <w:p w14:paraId="3F1B1C5E" w14:textId="7686579E" w:rsidR="00442A48" w:rsidRPr="00534811" w:rsidRDefault="00442A48" w:rsidP="00534811">
            <w:pPr>
              <w:pStyle w:val="TableCopy"/>
            </w:pPr>
          </w:p>
        </w:tc>
        <w:tc>
          <w:tcPr>
            <w:tcW w:w="1559" w:type="dxa"/>
          </w:tcPr>
          <w:p w14:paraId="0E1C285B" w14:textId="6BD90BB0" w:rsidR="00442A48" w:rsidRPr="00534811" w:rsidRDefault="00442A48" w:rsidP="00534811">
            <w:pPr>
              <w:pStyle w:val="TableCopy"/>
            </w:pPr>
            <w:r w:rsidRPr="00534811">
              <w:t>$500,001–$1,000,000</w:t>
            </w:r>
          </w:p>
        </w:tc>
        <w:tc>
          <w:tcPr>
            <w:tcW w:w="1701" w:type="dxa"/>
          </w:tcPr>
          <w:p w14:paraId="6944D53E" w14:textId="14E68DC2" w:rsidR="00442A48" w:rsidRPr="00534811" w:rsidRDefault="00442A48" w:rsidP="00534811">
            <w:pPr>
              <w:pStyle w:val="TableCopy"/>
            </w:pPr>
            <w:r w:rsidRPr="00534811">
              <w:t>$125,000</w:t>
            </w:r>
          </w:p>
        </w:tc>
        <w:tc>
          <w:tcPr>
            <w:tcW w:w="1843" w:type="dxa"/>
          </w:tcPr>
          <w:p w14:paraId="10B58F7B" w14:textId="5F09C565" w:rsidR="00442A48" w:rsidRPr="00534811" w:rsidRDefault="00442A48" w:rsidP="00534811">
            <w:pPr>
              <w:pStyle w:val="TableCopy"/>
            </w:pPr>
            <w:r w:rsidRPr="00534811">
              <w:t>Business in-kind contribution</w:t>
            </w:r>
          </w:p>
        </w:tc>
      </w:tr>
    </w:tbl>
    <w:p w14:paraId="6FBF5684" w14:textId="456B0031" w:rsidR="00442A48" w:rsidRPr="00442A48" w:rsidRDefault="00442A48" w:rsidP="00442A48">
      <w:pPr>
        <w:rPr>
          <w:sz w:val="16"/>
          <w:szCs w:val="22"/>
        </w:rPr>
      </w:pPr>
      <w:bookmarkStart w:id="4" w:name="_Toc117178495"/>
      <w:r w:rsidRPr="00442A48">
        <w:rPr>
          <w:sz w:val="16"/>
          <w:szCs w:val="22"/>
        </w:rPr>
        <w:t>Projects above $250,000 will require a financial co</w:t>
      </w:r>
      <w:r w:rsidRPr="00442A48">
        <w:rPr>
          <w:rFonts w:ascii="Cambria Math" w:hAnsi="Cambria Math" w:cs="Cambria Math"/>
          <w:sz w:val="16"/>
          <w:szCs w:val="22"/>
        </w:rPr>
        <w:t>‑</w:t>
      </w:r>
      <w:r w:rsidRPr="00442A48">
        <w:rPr>
          <w:sz w:val="16"/>
          <w:szCs w:val="22"/>
        </w:rPr>
        <w:t>contribution and may include a maximum in-kind contribution of 25% of the total business contribution.</w:t>
      </w:r>
    </w:p>
    <w:p w14:paraId="137EE06C" w14:textId="04A602A0" w:rsidR="007842BC" w:rsidRDefault="00534811" w:rsidP="00534811">
      <w:pPr>
        <w:pStyle w:val="Heading2"/>
      </w:pPr>
      <w:r>
        <w:t>In-kind co-contribution</w:t>
      </w:r>
      <w:bookmarkEnd w:id="4"/>
    </w:p>
    <w:p w14:paraId="05743CF2" w14:textId="7517DC9F" w:rsidR="007842BC" w:rsidRDefault="00534811" w:rsidP="00534811">
      <w:r>
        <w:t xml:space="preserve">An in-kind contribution is a contribution of a good or service other than cash. </w:t>
      </w:r>
    </w:p>
    <w:p w14:paraId="5752BBBF" w14:textId="213CEAC5" w:rsidR="007842BC" w:rsidRDefault="00534811" w:rsidP="00534811">
      <w:r>
        <w:t>In determining the State Government’s funding level, the total cash and in-kind contribution will be taken into consideration.</w:t>
      </w:r>
    </w:p>
    <w:p w14:paraId="1BF97232" w14:textId="77777777" w:rsidR="007842BC" w:rsidRDefault="00534811" w:rsidP="00534811">
      <w:r>
        <w:t>Applicants will be required to outline the in-kind contribution as part of the application. If successful in</w:t>
      </w:r>
      <w:r>
        <w:rPr>
          <w:rFonts w:ascii="Cambria" w:hAnsi="Cambria" w:cs="Cambria"/>
        </w:rPr>
        <w:t> </w:t>
      </w:r>
      <w:r>
        <w:t>obtaining a grant, applicants will need to submit written records of the in-kind contributions relating to</w:t>
      </w:r>
      <w:r>
        <w:rPr>
          <w:rFonts w:ascii="Cambria" w:hAnsi="Cambria" w:cs="Cambria"/>
        </w:rPr>
        <w:t> </w:t>
      </w:r>
      <w:r>
        <w:t>the project.</w:t>
      </w:r>
    </w:p>
    <w:p w14:paraId="4B9E998B" w14:textId="7BFF4054" w:rsidR="007842BC" w:rsidRDefault="00534811" w:rsidP="00534811">
      <w:r>
        <w:t xml:space="preserve">The in-kind contribution will be capped at </w:t>
      </w:r>
      <w:r w:rsidRPr="008216CA">
        <w:t>25%</w:t>
      </w:r>
      <w:r>
        <w:t xml:space="preserve"> of the business’s contribution.</w:t>
      </w:r>
    </w:p>
    <w:p w14:paraId="1E7537E0" w14:textId="77777777" w:rsidR="007842BC" w:rsidRDefault="00534811" w:rsidP="00534811">
      <w:r>
        <w:t>The types of in-kind contributions are capped at the following rates:</w:t>
      </w:r>
    </w:p>
    <w:p w14:paraId="18BB88C7" w14:textId="48A686AE" w:rsidR="00534811" w:rsidRPr="00534811" w:rsidRDefault="00534811" w:rsidP="00534811">
      <w:pPr>
        <w:pStyle w:val="TableTitle"/>
      </w:pPr>
      <w:r w:rsidRPr="00534811">
        <w:t>In-kind contribution considerations</w:t>
      </w:r>
    </w:p>
    <w:tbl>
      <w:tblPr>
        <w:tblStyle w:val="TableGrid"/>
        <w:tblW w:w="0" w:type="auto"/>
        <w:tblLayout w:type="fixed"/>
        <w:tblLook w:val="0020" w:firstRow="1" w:lastRow="0" w:firstColumn="0" w:lastColumn="0" w:noHBand="0" w:noVBand="0"/>
      </w:tblPr>
      <w:tblGrid>
        <w:gridCol w:w="3114"/>
        <w:gridCol w:w="3544"/>
      </w:tblGrid>
      <w:tr w:rsidR="00534811" w:rsidRPr="00534811" w14:paraId="02B476F1" w14:textId="77777777" w:rsidTr="00534811">
        <w:trPr>
          <w:trHeight w:val="373"/>
        </w:trPr>
        <w:tc>
          <w:tcPr>
            <w:tcW w:w="3114" w:type="dxa"/>
          </w:tcPr>
          <w:p w14:paraId="1A58CD42" w14:textId="77777777" w:rsidR="007842BC" w:rsidRPr="00534811" w:rsidRDefault="00534811" w:rsidP="00534811">
            <w:pPr>
              <w:pStyle w:val="TableHeading"/>
            </w:pPr>
            <w:r w:rsidRPr="00534811">
              <w:rPr>
                <w:rStyle w:val="BOLD"/>
                <w:rFonts w:ascii="Arial" w:hAnsi="Arial" w:cs="Arial"/>
              </w:rPr>
              <w:t>In-kind contribution type</w:t>
            </w:r>
          </w:p>
        </w:tc>
        <w:tc>
          <w:tcPr>
            <w:tcW w:w="3544" w:type="dxa"/>
          </w:tcPr>
          <w:p w14:paraId="5BC72A73" w14:textId="345EA233" w:rsidR="007842BC" w:rsidRPr="00534811" w:rsidRDefault="007842BC" w:rsidP="00534811">
            <w:pPr>
              <w:pStyle w:val="TableHeading"/>
              <w:jc w:val="right"/>
            </w:pPr>
          </w:p>
        </w:tc>
      </w:tr>
      <w:tr w:rsidR="00534811" w:rsidRPr="00534811" w14:paraId="49FB6D72" w14:textId="77777777" w:rsidTr="00534811">
        <w:trPr>
          <w:trHeight w:val="342"/>
        </w:trPr>
        <w:tc>
          <w:tcPr>
            <w:tcW w:w="3114" w:type="dxa"/>
          </w:tcPr>
          <w:p w14:paraId="6043A403" w14:textId="77777777" w:rsidR="007842BC" w:rsidRPr="00534811" w:rsidRDefault="00534811" w:rsidP="00534811">
            <w:pPr>
              <w:pStyle w:val="TableCopy"/>
            </w:pPr>
            <w:r w:rsidRPr="00534811">
              <w:t>Professional Labour</w:t>
            </w:r>
          </w:p>
        </w:tc>
        <w:tc>
          <w:tcPr>
            <w:tcW w:w="3544" w:type="dxa"/>
          </w:tcPr>
          <w:p w14:paraId="1DF7E43B" w14:textId="77777777" w:rsidR="007842BC" w:rsidRPr="00534811" w:rsidRDefault="00534811" w:rsidP="00534811">
            <w:pPr>
              <w:pStyle w:val="TableCopy"/>
              <w:jc w:val="right"/>
            </w:pPr>
            <w:r w:rsidRPr="00534811">
              <w:t>$70-$150 per hour</w:t>
            </w:r>
          </w:p>
        </w:tc>
      </w:tr>
      <w:tr w:rsidR="00534811" w:rsidRPr="00534811" w14:paraId="501BE57D" w14:textId="77777777" w:rsidTr="00534811">
        <w:trPr>
          <w:trHeight w:val="403"/>
        </w:trPr>
        <w:tc>
          <w:tcPr>
            <w:tcW w:w="3114" w:type="dxa"/>
          </w:tcPr>
          <w:p w14:paraId="4DA2893A" w14:textId="77777777" w:rsidR="007842BC" w:rsidRPr="00534811" w:rsidRDefault="00534811" w:rsidP="00534811">
            <w:pPr>
              <w:pStyle w:val="TableCopy"/>
            </w:pPr>
            <w:r w:rsidRPr="00534811">
              <w:t>Skilled Labour</w:t>
            </w:r>
          </w:p>
        </w:tc>
        <w:tc>
          <w:tcPr>
            <w:tcW w:w="3544" w:type="dxa"/>
          </w:tcPr>
          <w:p w14:paraId="6F77559A" w14:textId="77777777" w:rsidR="007842BC" w:rsidRPr="00534811" w:rsidRDefault="00534811" w:rsidP="00534811">
            <w:pPr>
              <w:pStyle w:val="TableCopy"/>
              <w:jc w:val="right"/>
            </w:pPr>
            <w:r w:rsidRPr="00534811">
              <w:t>$35-$70 per hour</w:t>
            </w:r>
          </w:p>
        </w:tc>
      </w:tr>
      <w:tr w:rsidR="00534811" w:rsidRPr="00534811" w14:paraId="3FD00EBF" w14:textId="77777777" w:rsidTr="00534811">
        <w:trPr>
          <w:trHeight w:val="381"/>
        </w:trPr>
        <w:tc>
          <w:tcPr>
            <w:tcW w:w="3114" w:type="dxa"/>
          </w:tcPr>
          <w:p w14:paraId="593FBFA7" w14:textId="77777777" w:rsidR="007842BC" w:rsidRPr="00534811" w:rsidRDefault="00534811" w:rsidP="00534811">
            <w:pPr>
              <w:pStyle w:val="TableCopy"/>
            </w:pPr>
            <w:r w:rsidRPr="00534811">
              <w:t>Unskilled Labour</w:t>
            </w:r>
          </w:p>
        </w:tc>
        <w:tc>
          <w:tcPr>
            <w:tcW w:w="3544" w:type="dxa"/>
          </w:tcPr>
          <w:p w14:paraId="7DA8624D" w14:textId="77777777" w:rsidR="007842BC" w:rsidRPr="00534811" w:rsidRDefault="00534811" w:rsidP="00534811">
            <w:pPr>
              <w:pStyle w:val="TableCopy"/>
              <w:jc w:val="right"/>
            </w:pPr>
            <w:r w:rsidRPr="00534811">
              <w:t>$20-$35 per hour</w:t>
            </w:r>
          </w:p>
        </w:tc>
      </w:tr>
      <w:tr w:rsidR="00534811" w:rsidRPr="00534811" w14:paraId="5D9CE861" w14:textId="77777777" w:rsidTr="00534811">
        <w:trPr>
          <w:trHeight w:val="387"/>
        </w:trPr>
        <w:tc>
          <w:tcPr>
            <w:tcW w:w="3114" w:type="dxa"/>
          </w:tcPr>
          <w:p w14:paraId="2BD28915" w14:textId="77777777" w:rsidR="007842BC" w:rsidRPr="00534811" w:rsidRDefault="00534811" w:rsidP="00534811">
            <w:pPr>
              <w:pStyle w:val="TableCopy"/>
            </w:pPr>
            <w:r w:rsidRPr="00534811">
              <w:t>Equipment Costs</w:t>
            </w:r>
          </w:p>
        </w:tc>
        <w:tc>
          <w:tcPr>
            <w:tcW w:w="3544" w:type="dxa"/>
          </w:tcPr>
          <w:p w14:paraId="46E1C059" w14:textId="77777777" w:rsidR="007842BC" w:rsidRPr="00534811" w:rsidRDefault="00534811" w:rsidP="00534811">
            <w:pPr>
              <w:pStyle w:val="TableCopy"/>
              <w:jc w:val="right"/>
            </w:pPr>
            <w:r w:rsidRPr="00534811">
              <w:t>Standard Commercial Rates apply</w:t>
            </w:r>
          </w:p>
        </w:tc>
      </w:tr>
    </w:tbl>
    <w:p w14:paraId="678BA71B" w14:textId="77777777" w:rsidR="007842BC" w:rsidRDefault="007842BC" w:rsidP="00534811"/>
    <w:p w14:paraId="739696CA" w14:textId="2D8146E9" w:rsidR="007842BC" w:rsidRDefault="00534811" w:rsidP="00534811">
      <w:r>
        <w:lastRenderedPageBreak/>
        <w:t xml:space="preserve">Applicants are encouraged to speak with a </w:t>
      </w:r>
      <w:r w:rsidR="00CD1B5C">
        <w:t>Forestry</w:t>
      </w:r>
      <w:r w:rsidR="00AA67FC">
        <w:t xml:space="preserve"> Transition</w:t>
      </w:r>
      <w:r w:rsidR="007377F8">
        <w:t xml:space="preserve"> Program</w:t>
      </w:r>
      <w:r w:rsidR="00CD1B5C">
        <w:t xml:space="preserve"> </w:t>
      </w:r>
      <w:r>
        <w:t>representative to discuss eligible in-kind contributions.</w:t>
      </w:r>
    </w:p>
    <w:p w14:paraId="3C3E983F" w14:textId="048E820E" w:rsidR="007842BC" w:rsidRDefault="00534811" w:rsidP="00534811">
      <w:pPr>
        <w:pStyle w:val="Heading2"/>
      </w:pPr>
      <w:bookmarkStart w:id="5" w:name="_Toc117178496"/>
      <w:r>
        <w:t>Who can apply?</w:t>
      </w:r>
      <w:bookmarkEnd w:id="5"/>
    </w:p>
    <w:p w14:paraId="48636F8B" w14:textId="77777777" w:rsidR="007842BC" w:rsidRDefault="00534811" w:rsidP="00534811">
      <w:r>
        <w:t>Applications for a Victorian Timber Innovation Grants Program grant are invited from businesses that either:</w:t>
      </w:r>
    </w:p>
    <w:p w14:paraId="29BB0C5A" w14:textId="77777777" w:rsidR="007842BC" w:rsidRDefault="00534811" w:rsidP="00534811">
      <w:pPr>
        <w:pStyle w:val="Bullet"/>
      </w:pPr>
      <w:r>
        <w:rPr>
          <w:spacing w:val="-2"/>
        </w:rPr>
        <w:t>hold a current VicForests Timber Sale Agreement; or</w:t>
      </w:r>
    </w:p>
    <w:p w14:paraId="07D59EE8" w14:textId="77777777" w:rsidR="007842BC" w:rsidRDefault="00534811" w:rsidP="00534811">
      <w:pPr>
        <w:pStyle w:val="Bullet"/>
      </w:pPr>
      <w:r>
        <w:t>hold a Forest Produce Licence issued by VicForests; or</w:t>
      </w:r>
    </w:p>
    <w:p w14:paraId="293DE554" w14:textId="77777777" w:rsidR="007842BC" w:rsidRDefault="00534811" w:rsidP="00534811">
      <w:pPr>
        <w:pStyle w:val="Bullet"/>
      </w:pPr>
      <w:r>
        <w:t xml:space="preserve">are a timber harvest and / or haulage business with a current VicForests contract or agreement; or </w:t>
      </w:r>
    </w:p>
    <w:p w14:paraId="46938016" w14:textId="6A200FC7" w:rsidR="007842BC" w:rsidRPr="00534811" w:rsidRDefault="00534811" w:rsidP="00534811">
      <w:pPr>
        <w:pStyle w:val="Bullet"/>
      </w:pPr>
      <w:r>
        <w:t>are a current harvest and/or haulage sub-contractor to</w:t>
      </w:r>
      <w:r>
        <w:rPr>
          <w:rFonts w:ascii="Cambria" w:hAnsi="Cambria" w:cs="Cambria"/>
        </w:rPr>
        <w:t> </w:t>
      </w:r>
      <w:r>
        <w:t>a</w:t>
      </w:r>
      <w:r>
        <w:rPr>
          <w:rFonts w:ascii="Cambria" w:hAnsi="Cambria" w:cs="Cambria"/>
        </w:rPr>
        <w:t> </w:t>
      </w:r>
      <w:r>
        <w:t>business with a current VicForests harvest and/or haulage contract with at least 70 per cent of</w:t>
      </w:r>
      <w:r>
        <w:rPr>
          <w:rFonts w:ascii="Cambria" w:hAnsi="Cambria" w:cs="Cambria"/>
        </w:rPr>
        <w:t> </w:t>
      </w:r>
      <w:r>
        <w:t>its annual revenue derived from the business with the VicForests contract, based on the 2020-21 financial year</w:t>
      </w:r>
      <w:r>
        <w:rPr>
          <w:vertAlign w:val="superscript"/>
        </w:rPr>
        <w:t>1</w:t>
      </w:r>
    </w:p>
    <w:p w14:paraId="23A5AB27" w14:textId="77777777" w:rsidR="007842BC" w:rsidRPr="00534811" w:rsidRDefault="00534811" w:rsidP="00534811">
      <w:pPr>
        <w:pStyle w:val="Bullet"/>
      </w:pPr>
      <w:r>
        <w:t>a seed collector with a contract with VicForests with at least 70 per cent of its annual revenue derived from the VicForests contract, based on the 2020-21 financial year</w:t>
      </w:r>
      <w:r>
        <w:rPr>
          <w:vertAlign w:val="superscript"/>
        </w:rPr>
        <w:footnoteReference w:id="2"/>
      </w:r>
    </w:p>
    <w:p w14:paraId="25A3C4DF" w14:textId="77777777" w:rsidR="007842BC" w:rsidRDefault="00534811" w:rsidP="00534811">
      <w:pPr>
        <w:pStyle w:val="Bullet"/>
      </w:pPr>
      <w:r>
        <w:t>have an Australian Business Number (ABN)</w:t>
      </w:r>
    </w:p>
    <w:p w14:paraId="16C4605A" w14:textId="77777777" w:rsidR="007842BC" w:rsidRDefault="00534811" w:rsidP="00534811">
      <w:pPr>
        <w:pStyle w:val="Bullet"/>
      </w:pPr>
      <w:r>
        <w:t xml:space="preserve">conduct business operations within Victoria </w:t>
      </w:r>
    </w:p>
    <w:p w14:paraId="54051FCA" w14:textId="046CE8EC" w:rsidR="007842BC" w:rsidRDefault="00534811" w:rsidP="00534811">
      <w:pPr>
        <w:pStyle w:val="Bulletlast"/>
      </w:pPr>
      <w:r>
        <w:t xml:space="preserve">meet all the industrial relations obligations as an employer in accordance with the National Employment Standards under the </w:t>
      </w:r>
      <w:r w:rsidRPr="00534811">
        <w:rPr>
          <w:rStyle w:val="ITALIC"/>
          <w:rFonts w:cstheme="minorHAnsi"/>
        </w:rPr>
        <w:t>Fair Work Act 2009</w:t>
      </w:r>
      <w:r>
        <w:t xml:space="preserve"> (Cth).</w:t>
      </w:r>
    </w:p>
    <w:p w14:paraId="63A1758D" w14:textId="3CEE93F7" w:rsidR="007842BC" w:rsidRPr="00534811" w:rsidRDefault="00534811" w:rsidP="00534811">
      <w:pPr>
        <w:rPr>
          <w:rFonts w:asciiTheme="minorHAnsi" w:hAnsiTheme="minorHAnsi" w:cstheme="minorHAnsi"/>
        </w:rPr>
      </w:pPr>
      <w:r w:rsidRPr="00534811">
        <w:rPr>
          <w:rFonts w:asciiTheme="minorHAnsi" w:hAnsiTheme="minorHAnsi" w:cstheme="minorHAnsi"/>
        </w:rPr>
        <w:t xml:space="preserve">Sawmill businesses participating in the </w:t>
      </w:r>
      <w:r w:rsidR="00363757">
        <w:rPr>
          <w:rStyle w:val="BOLD"/>
          <w:rFonts w:asciiTheme="minorHAnsi" w:hAnsiTheme="minorHAnsi" w:cstheme="minorHAnsi"/>
        </w:rPr>
        <w:t>Forestry Transition Program</w:t>
      </w:r>
      <w:r w:rsidRPr="00534811">
        <w:rPr>
          <w:rStyle w:val="BOLD"/>
          <w:rFonts w:asciiTheme="minorHAnsi" w:hAnsiTheme="minorHAnsi" w:cstheme="minorHAnsi"/>
        </w:rPr>
        <w:t xml:space="preserve"> Opt-Out Scheme</w:t>
      </w:r>
      <w:r w:rsidRPr="00534811">
        <w:rPr>
          <w:rFonts w:asciiTheme="minorHAnsi" w:hAnsiTheme="minorHAnsi" w:cstheme="minorHAnsi"/>
        </w:rPr>
        <w:t xml:space="preserve"> are eligible to submit an application to the Victorian Timber Innovation Grants Program.</w:t>
      </w:r>
    </w:p>
    <w:p w14:paraId="44279503" w14:textId="27AF4432" w:rsidR="007842BC" w:rsidRDefault="00534811" w:rsidP="00534811">
      <w:r>
        <w:t xml:space="preserve">Applicants are encouraged to speak with a </w:t>
      </w:r>
      <w:r w:rsidR="00363757">
        <w:t>Forestry Transition Program</w:t>
      </w:r>
      <w:r>
        <w:t xml:space="preserve"> representative to discuss their eligibility.</w:t>
      </w:r>
    </w:p>
    <w:p w14:paraId="50F48307" w14:textId="2D19168D" w:rsidR="007842BC" w:rsidRDefault="00534811" w:rsidP="00534811">
      <w:pPr>
        <w:pStyle w:val="Heading2"/>
      </w:pPr>
      <w:bookmarkStart w:id="6" w:name="_Toc117178497"/>
      <w:r>
        <w:t>Eligible project activities</w:t>
      </w:r>
      <w:bookmarkEnd w:id="6"/>
    </w:p>
    <w:p w14:paraId="4F537B6F" w14:textId="77777777" w:rsidR="007842BC" w:rsidRDefault="00534811" w:rsidP="00534811">
      <w:pPr>
        <w:pStyle w:val="Normalbeforebullet"/>
      </w:pPr>
      <w:r>
        <w:t>Activities funded under the Victorian Timber Innovation Grants Program can include (but are not limited to):</w:t>
      </w:r>
    </w:p>
    <w:p w14:paraId="50B32DA3" w14:textId="77777777" w:rsidR="007842BC" w:rsidRDefault="00534811" w:rsidP="00534811">
      <w:pPr>
        <w:pStyle w:val="Bullet"/>
      </w:pPr>
      <w:r>
        <w:rPr>
          <w:spacing w:val="-2"/>
        </w:rPr>
        <w:t>implementing new processes, products or innovation opportunities identified from projects funded through a Victorian Timber Innovation Fund Round One</w:t>
      </w:r>
      <w:r>
        <w:rPr>
          <w:rFonts w:ascii="Cambria" w:hAnsi="Cambria" w:cs="Cambria"/>
          <w:spacing w:val="-2"/>
        </w:rPr>
        <w:t> </w:t>
      </w:r>
      <w:r>
        <w:rPr>
          <w:spacing w:val="-2"/>
        </w:rPr>
        <w:t>grant</w:t>
      </w:r>
    </w:p>
    <w:p w14:paraId="04EA97AA" w14:textId="77777777" w:rsidR="007842BC" w:rsidRDefault="00534811" w:rsidP="00534811">
      <w:pPr>
        <w:pStyle w:val="Bullet"/>
      </w:pPr>
      <w:r>
        <w:t>investigating and implementing the use of alternative timber supplies supporting transition away from native timber</w:t>
      </w:r>
    </w:p>
    <w:p w14:paraId="36C9193E" w14:textId="77777777" w:rsidR="007842BC" w:rsidRDefault="00534811" w:rsidP="00534811">
      <w:pPr>
        <w:pStyle w:val="Bullet"/>
      </w:pPr>
      <w:r>
        <w:t xml:space="preserve">undertaking feasibility studies </w:t>
      </w:r>
    </w:p>
    <w:p w14:paraId="5BDA3A1C" w14:textId="0094917B" w:rsidR="007842BC" w:rsidRDefault="00534811" w:rsidP="00534811">
      <w:pPr>
        <w:pStyle w:val="Bullet"/>
      </w:pPr>
      <w:r>
        <w:t>engaging consultants or research expertise to support transition opportunities</w:t>
      </w:r>
    </w:p>
    <w:p w14:paraId="5DF4352A" w14:textId="77777777" w:rsidR="007842BC" w:rsidRDefault="00534811" w:rsidP="00534811">
      <w:pPr>
        <w:pStyle w:val="Bullet"/>
      </w:pPr>
      <w:r>
        <w:t>investing in new product streams and technologies</w:t>
      </w:r>
    </w:p>
    <w:p w14:paraId="7CA862CC" w14:textId="77777777" w:rsidR="007842BC" w:rsidRDefault="00534811" w:rsidP="00534811">
      <w:pPr>
        <w:pStyle w:val="Bullet"/>
      </w:pPr>
      <w:r>
        <w:t>designing and developing new products</w:t>
      </w:r>
    </w:p>
    <w:p w14:paraId="62E32471" w14:textId="7D9643F9" w:rsidR="007842BC" w:rsidRDefault="00534811" w:rsidP="00534811">
      <w:pPr>
        <w:pStyle w:val="Bullet"/>
      </w:pPr>
      <w:r>
        <w:t>investing in new processes or improving existing processes to facilitate the use of alternative timber or fibre</w:t>
      </w:r>
    </w:p>
    <w:p w14:paraId="3EF9F877" w14:textId="77777777" w:rsidR="007842BC" w:rsidRDefault="00534811" w:rsidP="00534811">
      <w:pPr>
        <w:pStyle w:val="Bulletlast"/>
      </w:pPr>
      <w:r>
        <w:t xml:space="preserve">diversifying business activities to support the redeployment of skills and equipment. </w:t>
      </w:r>
    </w:p>
    <w:p w14:paraId="16BDB8E9" w14:textId="77777777" w:rsidR="007842BC" w:rsidRDefault="00534811" w:rsidP="00534811">
      <w:r>
        <w:lastRenderedPageBreak/>
        <w:t>Other activities or projects not listed above may still be</w:t>
      </w:r>
      <w:r>
        <w:rPr>
          <w:rFonts w:ascii="Cambria" w:hAnsi="Cambria" w:cs="Cambria"/>
        </w:rPr>
        <w:t> </w:t>
      </w:r>
      <w:r>
        <w:t>eligible, provided they strongly align with the program</w:t>
      </w:r>
      <w:r>
        <w:rPr>
          <w:rFonts w:ascii="Cambria" w:hAnsi="Cambria" w:cs="Cambria"/>
        </w:rPr>
        <w:t> </w:t>
      </w:r>
      <w:r>
        <w:t>objectives.</w:t>
      </w:r>
    </w:p>
    <w:p w14:paraId="076B87A8" w14:textId="77777777" w:rsidR="007842BC" w:rsidRDefault="00534811" w:rsidP="00534811">
      <w:pPr>
        <w:pStyle w:val="Normalbeforebullet"/>
      </w:pPr>
      <w:r>
        <w:t xml:space="preserve">The following activities will generally </w:t>
      </w:r>
      <w:r>
        <w:rPr>
          <w:rStyle w:val="BOLD"/>
        </w:rPr>
        <w:t>not</w:t>
      </w:r>
      <w:r>
        <w:t xml:space="preserve"> be considered </w:t>
      </w:r>
      <w:r>
        <w:rPr>
          <w:spacing w:val="-2"/>
        </w:rPr>
        <w:t>for a Victorian Timber Innovation Grants Program grant:</w:t>
      </w:r>
    </w:p>
    <w:p w14:paraId="433FF6AC" w14:textId="77777777" w:rsidR="007842BC" w:rsidRDefault="00534811" w:rsidP="00534811">
      <w:pPr>
        <w:pStyle w:val="Bullet"/>
      </w:pPr>
      <w:r>
        <w:t>event sponsorship</w:t>
      </w:r>
    </w:p>
    <w:p w14:paraId="07E6F8A2" w14:textId="3D909CE7" w:rsidR="007842BC" w:rsidRDefault="00534811" w:rsidP="00534811">
      <w:pPr>
        <w:pStyle w:val="Bullet"/>
      </w:pPr>
      <w:r>
        <w:t xml:space="preserve">requests for retrospective funding, where projects have commenced (i.e., equipment </w:t>
      </w:r>
      <w:r>
        <w:rPr>
          <w:spacing w:val="-3"/>
        </w:rPr>
        <w:t xml:space="preserve">purchased, contracts entered into, or construction </w:t>
      </w:r>
      <w:r>
        <w:t>has begun) or have been completed prior to receiving funding approval</w:t>
      </w:r>
    </w:p>
    <w:p w14:paraId="42DD11A7" w14:textId="6FE01658" w:rsidR="007842BC" w:rsidRDefault="00534811" w:rsidP="00534811">
      <w:pPr>
        <w:pStyle w:val="Bullet"/>
      </w:pPr>
      <w:r>
        <w:t>private sector projects undertaken as a result of a government contract</w:t>
      </w:r>
    </w:p>
    <w:p w14:paraId="35FB135A" w14:textId="77777777" w:rsidR="007842BC" w:rsidRDefault="00534811" w:rsidP="00534811">
      <w:pPr>
        <w:pStyle w:val="Bullet"/>
      </w:pPr>
      <w:r>
        <w:rPr>
          <w:spacing w:val="-3"/>
        </w:rPr>
        <w:t>projects where funding is normally provided by other state, Commonwealth, or local government sources</w:t>
      </w:r>
    </w:p>
    <w:p w14:paraId="7C223BCF" w14:textId="02C6124D" w:rsidR="007842BC" w:rsidRDefault="00534811" w:rsidP="00534811">
      <w:pPr>
        <w:pStyle w:val="Bullet"/>
      </w:pPr>
      <w:r>
        <w:t>projects requiring ongoing funding from the Victorian Government when completed</w:t>
      </w:r>
    </w:p>
    <w:p w14:paraId="485D656A" w14:textId="77777777" w:rsidR="007842BC" w:rsidRDefault="00534811" w:rsidP="00534811">
      <w:pPr>
        <w:pStyle w:val="Bullet"/>
      </w:pPr>
      <w:r>
        <w:t>ongoing operating costs or salary subsidies</w:t>
      </w:r>
    </w:p>
    <w:p w14:paraId="42087F08" w14:textId="77777777" w:rsidR="007842BC" w:rsidRDefault="00534811" w:rsidP="00534811">
      <w:pPr>
        <w:pStyle w:val="Bullet"/>
      </w:pPr>
      <w:r>
        <w:t>costs to meet regulatory requirements</w:t>
      </w:r>
    </w:p>
    <w:p w14:paraId="5AFE227B" w14:textId="77777777" w:rsidR="007842BC" w:rsidRDefault="00534811" w:rsidP="00534811">
      <w:pPr>
        <w:pStyle w:val="Bullet"/>
      </w:pPr>
      <w:r>
        <w:t>purchase of vehicles</w:t>
      </w:r>
    </w:p>
    <w:p w14:paraId="627DBAF3" w14:textId="77777777" w:rsidR="007842BC" w:rsidRDefault="00534811" w:rsidP="00534811">
      <w:pPr>
        <w:pStyle w:val="Bullet"/>
      </w:pPr>
      <w:r>
        <w:t>purchase of property</w:t>
      </w:r>
    </w:p>
    <w:p w14:paraId="0C79D632" w14:textId="03B8CFD8" w:rsidR="007842BC" w:rsidRDefault="00534811" w:rsidP="00534811">
      <w:pPr>
        <w:pStyle w:val="Bulletlast"/>
      </w:pPr>
      <w:r>
        <w:t>telecommunication service improvements and access road upgrades.</w:t>
      </w:r>
    </w:p>
    <w:p w14:paraId="391AEE71" w14:textId="3F9F1C0E" w:rsidR="007842BC" w:rsidRDefault="00534811" w:rsidP="00534811">
      <w:r>
        <w:t xml:space="preserve">Applicants are encouraged to speak with a </w:t>
      </w:r>
      <w:r w:rsidR="00363757">
        <w:t>Forestry Transition Program</w:t>
      </w:r>
      <w:r>
        <w:rPr>
          <w:spacing w:val="-2"/>
        </w:rPr>
        <w:t xml:space="preserve"> representative to discuss their eligible project activities.</w:t>
      </w:r>
    </w:p>
    <w:p w14:paraId="29DC2A64" w14:textId="49DEDF02" w:rsidR="007842BC" w:rsidRDefault="00534811" w:rsidP="00534811">
      <w:pPr>
        <w:pStyle w:val="Heading1"/>
      </w:pPr>
      <w:bookmarkStart w:id="7" w:name="_Toc117178498"/>
      <w:r>
        <w:t>Fund details</w:t>
      </w:r>
      <w:bookmarkEnd w:id="7"/>
    </w:p>
    <w:p w14:paraId="7E53068E" w14:textId="77777777" w:rsidR="007842BC" w:rsidRDefault="00534811" w:rsidP="00534811">
      <w:r>
        <w:t>The Victorian Timber Innovation Grants Program is a contestable fund. Applications to the Program can be</w:t>
      </w:r>
      <w:r>
        <w:rPr>
          <w:rFonts w:ascii="Cambria" w:hAnsi="Cambria" w:cs="Cambria"/>
        </w:rPr>
        <w:t> </w:t>
      </w:r>
      <w:r>
        <w:t>made</w:t>
      </w:r>
      <w:r>
        <w:rPr>
          <w:rFonts w:ascii="Cambria" w:hAnsi="Cambria" w:cs="Cambria"/>
        </w:rPr>
        <w:t> </w:t>
      </w:r>
      <w:r>
        <w:t>at anytime between the Program’s opening and closing dates.</w:t>
      </w:r>
    </w:p>
    <w:p w14:paraId="522F79AF" w14:textId="2A07B979" w:rsidR="007842BC" w:rsidRDefault="00534811" w:rsidP="00534811">
      <w:pPr>
        <w:pStyle w:val="Heading2"/>
      </w:pPr>
      <w:bookmarkStart w:id="8" w:name="_Toc117178499"/>
      <w:r>
        <w:t>Duration of the funded project</w:t>
      </w:r>
      <w:bookmarkEnd w:id="8"/>
    </w:p>
    <w:p w14:paraId="025C1169" w14:textId="56041170" w:rsidR="007842BC" w:rsidRDefault="00534811" w:rsidP="00534811">
      <w:r>
        <w:rPr>
          <w:spacing w:val="-3"/>
        </w:rPr>
        <w:t>A project funded by the Program must be completed within two years unless otherwise agreed with the Department of</w:t>
      </w:r>
      <w:r>
        <w:rPr>
          <w:rFonts w:ascii="Cambria" w:hAnsi="Cambria" w:cs="Cambria"/>
          <w:spacing w:val="-3"/>
        </w:rPr>
        <w:t> </w:t>
      </w:r>
      <w:r w:rsidR="006D5D13">
        <w:rPr>
          <w:spacing w:val="-3"/>
        </w:rPr>
        <w:t xml:space="preserve">Energy, Environment and Climate Action </w:t>
      </w:r>
      <w:r>
        <w:rPr>
          <w:spacing w:val="-3"/>
        </w:rPr>
        <w:t xml:space="preserve">(the Department). </w:t>
      </w:r>
    </w:p>
    <w:p w14:paraId="21148CAA" w14:textId="77777777" w:rsidR="007842BC" w:rsidRDefault="00534811" w:rsidP="00534811">
      <w:r>
        <w:rPr>
          <w:spacing w:val="-2"/>
        </w:rPr>
        <w:t>The completion of the project within the timeframe will be</w:t>
      </w:r>
      <w:r>
        <w:rPr>
          <w:rFonts w:ascii="Cambria" w:hAnsi="Cambria" w:cs="Cambria"/>
          <w:spacing w:val="-2"/>
        </w:rPr>
        <w:t> </w:t>
      </w:r>
      <w:r>
        <w:rPr>
          <w:spacing w:val="-2"/>
        </w:rPr>
        <w:t>a legally binding commitment in the grant agreement.</w:t>
      </w:r>
    </w:p>
    <w:p w14:paraId="2C650CFC" w14:textId="122075D3" w:rsidR="007842BC" w:rsidRDefault="00534811" w:rsidP="00534811">
      <w:pPr>
        <w:pStyle w:val="Heading2"/>
      </w:pPr>
      <w:bookmarkStart w:id="9" w:name="_Toc117178500"/>
      <w:r>
        <w:t>Conditions of applying</w:t>
      </w:r>
      <w:bookmarkEnd w:id="9"/>
    </w:p>
    <w:p w14:paraId="3BAFE502" w14:textId="77777777" w:rsidR="007842BC" w:rsidRDefault="00534811" w:rsidP="00534811">
      <w:r>
        <w:rPr>
          <w:spacing w:val="-2"/>
        </w:rPr>
        <w:t xml:space="preserve">These guidelines and any discussions you may have with </w:t>
      </w:r>
      <w:r>
        <w:t>a representative of the Department are for information only and do not constitute advice.</w:t>
      </w:r>
    </w:p>
    <w:p w14:paraId="65F13FD0" w14:textId="77777777" w:rsidR="007842BC" w:rsidRDefault="00534811" w:rsidP="00534811">
      <w:pPr>
        <w:rPr>
          <w:spacing w:val="-3"/>
        </w:rPr>
      </w:pPr>
      <w:r>
        <w:rPr>
          <w:spacing w:val="-3"/>
        </w:rPr>
        <w:t>Applicants should seek independent advice before making an application or entering into a grant agreement.</w:t>
      </w:r>
    </w:p>
    <w:p w14:paraId="7329F057" w14:textId="77777777" w:rsidR="007842BC" w:rsidRDefault="00534811" w:rsidP="00534811">
      <w:r>
        <w:t>Applications are made at the cost of the applicant.</w:t>
      </w:r>
    </w:p>
    <w:p w14:paraId="2AF63B62" w14:textId="06947FE3" w:rsidR="007842BC" w:rsidRDefault="00534811" w:rsidP="00534811">
      <w:r>
        <w:t xml:space="preserve">The department makes no representation that a grant of funds will be made to any applicant and reserves the right to make no funds available under the Victorian Timber Innovation Grants Program. </w:t>
      </w:r>
    </w:p>
    <w:p w14:paraId="67E83C5E" w14:textId="13AFC7E9" w:rsidR="006C5A66" w:rsidRDefault="006C5A66" w:rsidP="006C5A66">
      <w:pPr>
        <w:pStyle w:val="Heading2"/>
      </w:pPr>
      <w:bookmarkStart w:id="10" w:name="_Toc117178501"/>
      <w:r>
        <w:lastRenderedPageBreak/>
        <w:t>Local Jobs First Policy</w:t>
      </w:r>
      <w:bookmarkEnd w:id="10"/>
    </w:p>
    <w:p w14:paraId="5360D1B7" w14:textId="0B546593" w:rsidR="006C5A66" w:rsidRDefault="006C5A66" w:rsidP="006C5A66">
      <w:r>
        <w:t xml:space="preserve">Projects with a grant amount of $1 million or more are required to meet the Local Jobs First Policy requirements: </w:t>
      </w:r>
      <w:hyperlink r:id="rId15" w:history="1">
        <w:r w:rsidR="00812CC1" w:rsidRPr="00414AF4">
          <w:rPr>
            <w:rStyle w:val="Hyperlink"/>
          </w:rPr>
          <w:t>localjobsfirst.vic.gov.au/</w:t>
        </w:r>
      </w:hyperlink>
      <w:r>
        <w:t>.</w:t>
      </w:r>
    </w:p>
    <w:p w14:paraId="445A4514" w14:textId="66A6AA5A" w:rsidR="006C5A66" w:rsidRDefault="006C5A66" w:rsidP="006C5A66">
      <w:pPr>
        <w:pStyle w:val="Heading2"/>
      </w:pPr>
      <w:bookmarkStart w:id="11" w:name="_Toc117178502"/>
      <w:r>
        <w:t>Fair Jobs Code</w:t>
      </w:r>
      <w:bookmarkEnd w:id="11"/>
    </w:p>
    <w:p w14:paraId="5618E3CF" w14:textId="751DD30C" w:rsidR="006C5A66" w:rsidRDefault="006C5A66" w:rsidP="006C5A66">
      <w:r>
        <w:t xml:space="preserve">The Victorian Government’s Fair Jobs Code </w:t>
      </w:r>
      <w:r w:rsidR="00A216CD">
        <w:t xml:space="preserve">came </w:t>
      </w:r>
      <w:r>
        <w:t xml:space="preserve"> into effect on 1 December 2022.</w:t>
      </w:r>
    </w:p>
    <w:p w14:paraId="13E86A59" w14:textId="77777777" w:rsidR="006C5A66" w:rsidRDefault="006C5A66" w:rsidP="006C5A66">
      <w:r>
        <w:t>The Fair Jobs Code allows the Victorian Government to use its purchasing power to promote secure employment and fair labour standards and to ensure compliance with employment, workplace and industrial laws.</w:t>
      </w:r>
    </w:p>
    <w:p w14:paraId="09FAE117" w14:textId="092A8BA5" w:rsidR="006C5A66" w:rsidRDefault="006C5A66" w:rsidP="006C5A66">
      <w:r>
        <w:t xml:space="preserve">Grants of $500,000 and over (excluding GST) may need to comply with the Code – for more information please go to </w:t>
      </w:r>
      <w:hyperlink r:id="rId16" w:history="1">
        <w:r w:rsidRPr="006C5A66">
          <w:rPr>
            <w:rStyle w:val="Hyperlink"/>
          </w:rPr>
          <w:t>buyingfor.vic.gov.au/</w:t>
        </w:r>
      </w:hyperlink>
    </w:p>
    <w:p w14:paraId="4350E928" w14:textId="4187B36A" w:rsidR="007842BC" w:rsidRDefault="00534811" w:rsidP="00534811">
      <w:pPr>
        <w:pStyle w:val="Heading1"/>
      </w:pPr>
      <w:bookmarkStart w:id="12" w:name="_Toc117178503"/>
      <w:r>
        <w:t>Application and assessment process</w:t>
      </w:r>
      <w:bookmarkEnd w:id="12"/>
    </w:p>
    <w:p w14:paraId="120D731C" w14:textId="49D6E24D" w:rsidR="007842BC" w:rsidRDefault="00534811" w:rsidP="00534811">
      <w:pPr>
        <w:pStyle w:val="Heading2"/>
      </w:pPr>
      <w:bookmarkStart w:id="13" w:name="_Toc117178504"/>
      <w:r>
        <w:t>Expression of Interest opening and</w:t>
      </w:r>
      <w:r>
        <w:rPr>
          <w:rFonts w:ascii="Cambria" w:hAnsi="Cambria" w:cs="Cambria"/>
        </w:rPr>
        <w:t> </w:t>
      </w:r>
      <w:r>
        <w:t>closing dates</w:t>
      </w:r>
      <w:bookmarkEnd w:id="13"/>
    </w:p>
    <w:p w14:paraId="2905A8E7" w14:textId="652E5AA3" w:rsidR="007842BC" w:rsidRPr="00E8358C" w:rsidRDefault="00534811" w:rsidP="00534811">
      <w:pPr>
        <w:rPr>
          <w:rFonts w:asciiTheme="minorHAnsi" w:hAnsiTheme="minorHAnsi" w:cstheme="minorHAnsi"/>
        </w:rPr>
      </w:pPr>
      <w:r w:rsidRPr="00E8358C">
        <w:rPr>
          <w:rFonts w:asciiTheme="minorHAnsi" w:hAnsiTheme="minorHAnsi" w:cstheme="minorHAnsi"/>
        </w:rPr>
        <w:t>Expression of Interest for the Program open</w:t>
      </w:r>
      <w:r w:rsidR="00A216CD">
        <w:rPr>
          <w:rFonts w:asciiTheme="minorHAnsi" w:hAnsiTheme="minorHAnsi" w:cstheme="minorHAnsi"/>
        </w:rPr>
        <w:t>ed</w:t>
      </w:r>
      <w:r w:rsidRPr="00E8358C">
        <w:rPr>
          <w:rFonts w:asciiTheme="minorHAnsi" w:hAnsiTheme="minorHAnsi" w:cstheme="minorHAnsi"/>
        </w:rPr>
        <w:t xml:space="preserve"> on </w:t>
      </w:r>
      <w:r w:rsidR="00854004" w:rsidRPr="00E8358C">
        <w:rPr>
          <w:rFonts w:asciiTheme="minorHAnsi" w:hAnsiTheme="minorHAnsi" w:cstheme="minorHAnsi"/>
          <w:b/>
          <w:bCs/>
        </w:rPr>
        <w:t>2</w:t>
      </w:r>
      <w:r w:rsidR="002C08A8">
        <w:rPr>
          <w:rFonts w:asciiTheme="minorHAnsi" w:hAnsiTheme="minorHAnsi" w:cstheme="minorHAnsi"/>
          <w:b/>
          <w:bCs/>
        </w:rPr>
        <w:t>5</w:t>
      </w:r>
      <w:r w:rsidRPr="00E8358C">
        <w:rPr>
          <w:rFonts w:asciiTheme="minorHAnsi" w:hAnsiTheme="minorHAnsi" w:cstheme="minorHAnsi"/>
          <w:b/>
          <w:bCs/>
        </w:rPr>
        <w:t> October 2022</w:t>
      </w:r>
      <w:r w:rsidRPr="00E8358C">
        <w:rPr>
          <w:rFonts w:asciiTheme="minorHAnsi" w:hAnsiTheme="minorHAnsi" w:cstheme="minorHAnsi"/>
        </w:rPr>
        <w:t xml:space="preserve"> and will close on</w:t>
      </w:r>
      <w:r w:rsidR="00FF1A55">
        <w:rPr>
          <w:rFonts w:asciiTheme="minorHAnsi" w:hAnsiTheme="minorHAnsi" w:cstheme="minorHAnsi"/>
          <w:b/>
          <w:bCs/>
        </w:rPr>
        <w:t xml:space="preserve"> </w:t>
      </w:r>
      <w:r w:rsidR="00E02DC1">
        <w:rPr>
          <w:rFonts w:asciiTheme="minorHAnsi" w:hAnsiTheme="minorHAnsi" w:cstheme="minorHAnsi"/>
          <w:b/>
          <w:bCs/>
        </w:rPr>
        <w:t xml:space="preserve">31 August </w:t>
      </w:r>
      <w:r w:rsidR="00DC3E7A">
        <w:rPr>
          <w:rFonts w:asciiTheme="minorHAnsi" w:hAnsiTheme="minorHAnsi" w:cstheme="minorHAnsi"/>
          <w:b/>
          <w:bCs/>
        </w:rPr>
        <w:t>2023</w:t>
      </w:r>
      <w:r w:rsidRPr="00E8358C">
        <w:rPr>
          <w:rFonts w:asciiTheme="minorHAnsi" w:hAnsiTheme="minorHAnsi" w:cstheme="minorHAnsi"/>
        </w:rPr>
        <w:t>, unless funds are fully expended prior to this date. Applications may be submitted at any time between the opening and closing dates. Applications submitted outside of these dates will not be considered.</w:t>
      </w:r>
    </w:p>
    <w:p w14:paraId="592D7471" w14:textId="3981AE85" w:rsidR="007842BC" w:rsidRDefault="00534811" w:rsidP="00534811">
      <w:pPr>
        <w:pStyle w:val="Heading2"/>
      </w:pPr>
      <w:bookmarkStart w:id="14" w:name="_Toc117178505"/>
      <w:r>
        <w:t>Application process</w:t>
      </w:r>
      <w:bookmarkEnd w:id="14"/>
    </w:p>
    <w:p w14:paraId="3FD8FAAD" w14:textId="3F10F96F" w:rsidR="007842BC" w:rsidRPr="00534811" w:rsidRDefault="00534811" w:rsidP="00534811">
      <w:r w:rsidRPr="00534811">
        <w:t>To ensure the suitability of projects, all applicants will need to undertake the following process.</w:t>
      </w:r>
    </w:p>
    <w:p w14:paraId="0215A0B5" w14:textId="77777777" w:rsidR="007842BC" w:rsidRDefault="00534811" w:rsidP="00534811">
      <w:pPr>
        <w:pStyle w:val="Heading3"/>
      </w:pPr>
      <w:r>
        <w:t>Step 1: Prior to submitting an Expression of</w:t>
      </w:r>
      <w:r>
        <w:rPr>
          <w:rFonts w:ascii="Cambria" w:hAnsi="Cambria" w:cs="Cambria"/>
        </w:rPr>
        <w:t> </w:t>
      </w:r>
      <w:r>
        <w:t>Interest</w:t>
      </w:r>
    </w:p>
    <w:p w14:paraId="12C2FBC6" w14:textId="77777777" w:rsidR="007842BC" w:rsidRDefault="00534811" w:rsidP="00534811">
      <w:pPr>
        <w:pStyle w:val="Normalbeforebullet"/>
      </w:pPr>
      <w:r>
        <w:t>Prior to submitting an Expression of Interest form, applicants are advised to:</w:t>
      </w:r>
    </w:p>
    <w:p w14:paraId="5D41A15D" w14:textId="77777777" w:rsidR="007842BC" w:rsidRDefault="00534811" w:rsidP="00E8358C">
      <w:pPr>
        <w:pStyle w:val="Bullet"/>
        <w:keepNext/>
      </w:pPr>
      <w:r>
        <w:t>read these guidelines to establish eligibility</w:t>
      </w:r>
    </w:p>
    <w:p w14:paraId="39D853BD" w14:textId="5130D1CA" w:rsidR="007842BC" w:rsidRPr="00534811" w:rsidRDefault="00534811" w:rsidP="00534811">
      <w:pPr>
        <w:pStyle w:val="Bulletlast"/>
      </w:pPr>
      <w:r>
        <w:t xml:space="preserve">discuss the proposed project with a </w:t>
      </w:r>
      <w:r w:rsidR="00363757">
        <w:t>Forestry Transition Program</w:t>
      </w:r>
      <w:r>
        <w:t xml:space="preserve"> representative on P: </w:t>
      </w:r>
      <w:r>
        <w:rPr>
          <w:rStyle w:val="Hyperlink"/>
        </w:rPr>
        <w:t xml:space="preserve">1800 318 182 </w:t>
      </w:r>
      <w:r>
        <w:t xml:space="preserve">or E: </w:t>
      </w:r>
      <w:hyperlink r:id="rId17" w:history="1">
        <w:r w:rsidR="007D1C51" w:rsidRPr="007D1C51">
          <w:rPr>
            <w:rStyle w:val="Hyperlink"/>
          </w:rPr>
          <w:t>forestrytransition@djpr.vic.gov.au</w:t>
        </w:r>
      </w:hyperlink>
    </w:p>
    <w:p w14:paraId="204A835E" w14:textId="268897E7" w:rsidR="007842BC" w:rsidRDefault="00534811" w:rsidP="00534811">
      <w:pPr>
        <w:pStyle w:val="Heading3"/>
      </w:pPr>
      <w:r>
        <w:t>Step 2: Submit an Expression of Interest form</w:t>
      </w:r>
    </w:p>
    <w:p w14:paraId="659E7035" w14:textId="58ED1B0E" w:rsidR="007842BC" w:rsidRDefault="00534811" w:rsidP="00534811">
      <w:pPr>
        <w:rPr>
          <w:rStyle w:val="Hyperlink"/>
        </w:rPr>
      </w:pPr>
      <w:r>
        <w:t xml:space="preserve">Applicants are to complete an Expression of Interest form including a short description of the project, its </w:t>
      </w:r>
      <w:r>
        <w:rPr>
          <w:spacing w:val="-3"/>
        </w:rPr>
        <w:t>ability to support the business to transition away from a dependence on native timber supply and outcomes and</w:t>
      </w:r>
      <w:r>
        <w:t xml:space="preserve"> benefits of the project. The Expression of Interest form and instructions can be found at </w:t>
      </w:r>
      <w:hyperlink r:id="rId18" w:history="1">
        <w:r>
          <w:rPr>
            <w:rStyle w:val="Hyperlink"/>
          </w:rPr>
          <w:t>dj</w:t>
        </w:r>
        <w:r w:rsidR="00BC25B1">
          <w:rPr>
            <w:rStyle w:val="Hyperlink"/>
          </w:rPr>
          <w:t>sir</w:t>
        </w:r>
        <w:r>
          <w:rPr>
            <w:rStyle w:val="Hyperlink"/>
          </w:rPr>
          <w:t>.vic.gov.au/forestry</w:t>
        </w:r>
      </w:hyperlink>
    </w:p>
    <w:p w14:paraId="0A4390E7" w14:textId="77777777" w:rsidR="007842BC" w:rsidRDefault="00534811" w:rsidP="00534811">
      <w:r>
        <w:t xml:space="preserve">All Expressions of Interest will be evaluated by a Departmental assessment panel against the eligibility criteria listed in 2.4 and the program objectives. </w:t>
      </w:r>
      <w:r>
        <w:rPr>
          <w:spacing w:val="-3"/>
        </w:rPr>
        <w:t>Applicants should note that projects may not proceed to</w:t>
      </w:r>
      <w:r>
        <w:t xml:space="preserve"> the application and assessment process where </w:t>
      </w:r>
      <w:r>
        <w:rPr>
          <w:spacing w:val="-3"/>
        </w:rPr>
        <w:t xml:space="preserve">the project does not meet the objectives of the Program. </w:t>
      </w:r>
    </w:p>
    <w:p w14:paraId="5D1A93C1" w14:textId="11F037EA" w:rsidR="007842BC" w:rsidRDefault="00534811" w:rsidP="00534811">
      <w:pPr>
        <w:pStyle w:val="Heading3"/>
      </w:pPr>
      <w:r>
        <w:lastRenderedPageBreak/>
        <w:t>Step 3: Prepare an application</w:t>
      </w:r>
    </w:p>
    <w:p w14:paraId="5FA348E6" w14:textId="1B33DEC6" w:rsidR="007842BC" w:rsidRDefault="00534811" w:rsidP="00534811">
      <w:r>
        <w:t xml:space="preserve">If successful in the Expression of Interest stage, a </w:t>
      </w:r>
      <w:r w:rsidR="00363757">
        <w:t>Forestry Transition Program</w:t>
      </w:r>
      <w:r>
        <w:t xml:space="preserve"> representative will email the application form link directly to the applicant.</w:t>
      </w:r>
    </w:p>
    <w:p w14:paraId="16308E14" w14:textId="77777777" w:rsidR="007842BC" w:rsidRDefault="00534811" w:rsidP="00534811">
      <w:r>
        <w:t>Applicants have 90 days from the date of invitation to</w:t>
      </w:r>
      <w:r>
        <w:rPr>
          <w:rFonts w:ascii="Cambria" w:hAnsi="Cambria" w:cs="Cambria"/>
        </w:rPr>
        <w:t> </w:t>
      </w:r>
      <w:r>
        <w:t>apply, prepare and submit an application to</w:t>
      </w:r>
      <w:r>
        <w:rPr>
          <w:rFonts w:ascii="Cambria" w:hAnsi="Cambria" w:cs="Cambria"/>
        </w:rPr>
        <w:t> </w:t>
      </w:r>
      <w:r>
        <w:t xml:space="preserve">Victorian Timber Innovation Grants Program. </w:t>
      </w:r>
    </w:p>
    <w:p w14:paraId="5FC745AB" w14:textId="08497AEC" w:rsidR="007842BC" w:rsidRPr="00534811" w:rsidRDefault="00534811" w:rsidP="00534811">
      <w:pPr>
        <w:rPr>
          <w:spacing w:val="-2"/>
        </w:rPr>
      </w:pPr>
      <w:r w:rsidRPr="00534811">
        <w:rPr>
          <w:spacing w:val="-2"/>
        </w:rPr>
        <w:t>Additional documentation to support the project such as previous research, feasibility studies, business cases, business plans, business transition plans, business diagnostic plans, project plans, project budgets, costs benefit analysis or letters of support should be attached to the application.</w:t>
      </w:r>
    </w:p>
    <w:p w14:paraId="7C7BFA88" w14:textId="4E525F5A" w:rsidR="007842BC" w:rsidRDefault="00534811" w:rsidP="00534811">
      <w:pPr>
        <w:pStyle w:val="Heading2"/>
      </w:pPr>
      <w:bookmarkStart w:id="15" w:name="_Toc117178506"/>
      <w:r>
        <w:t>Assessment process</w:t>
      </w:r>
      <w:bookmarkEnd w:id="15"/>
    </w:p>
    <w:p w14:paraId="3B473F00" w14:textId="77777777" w:rsidR="007842BC" w:rsidRDefault="00534811" w:rsidP="00534811">
      <w:r>
        <w:rPr>
          <w:spacing w:val="-3"/>
        </w:rPr>
        <w:t xml:space="preserve">All eligible applications will be evaluated by an assessment </w:t>
      </w:r>
      <w:r>
        <w:t>panel who will make recommendations to the Minister for Agriculture and any other relevant ministers for final consideration.</w:t>
      </w:r>
    </w:p>
    <w:p w14:paraId="3748A5C3" w14:textId="77777777" w:rsidR="007842BC" w:rsidRDefault="00534811" w:rsidP="00534811">
      <w:pPr>
        <w:pStyle w:val="Normalbeforebullet"/>
      </w:pPr>
      <w:r>
        <w:t>Applications for the Victorian Timber Innovation Grants Program will be assessed against the following criteria:</w:t>
      </w:r>
    </w:p>
    <w:tbl>
      <w:tblPr>
        <w:tblStyle w:val="TableGrid"/>
        <w:tblW w:w="9668" w:type="dxa"/>
        <w:tblLayout w:type="fixed"/>
        <w:tblLook w:val="0020" w:firstRow="1" w:lastRow="0" w:firstColumn="0" w:lastColumn="0" w:noHBand="0" w:noVBand="0"/>
      </w:tblPr>
      <w:tblGrid>
        <w:gridCol w:w="8359"/>
        <w:gridCol w:w="1309"/>
      </w:tblGrid>
      <w:tr w:rsidR="007842BC" w14:paraId="7F85656B" w14:textId="77777777" w:rsidTr="00534811">
        <w:trPr>
          <w:cantSplit/>
          <w:tblHeader/>
        </w:trPr>
        <w:tc>
          <w:tcPr>
            <w:tcW w:w="8359" w:type="dxa"/>
          </w:tcPr>
          <w:p w14:paraId="790BFD9B" w14:textId="77777777" w:rsidR="007842BC" w:rsidRDefault="00534811" w:rsidP="00534811">
            <w:pPr>
              <w:pStyle w:val="TableHeading"/>
            </w:pPr>
            <w:r>
              <w:t>Assessment criteria</w:t>
            </w:r>
          </w:p>
        </w:tc>
        <w:tc>
          <w:tcPr>
            <w:tcW w:w="1309" w:type="dxa"/>
          </w:tcPr>
          <w:p w14:paraId="5C0D265B" w14:textId="77777777" w:rsidR="007842BC" w:rsidRDefault="00534811" w:rsidP="00534811">
            <w:pPr>
              <w:pStyle w:val="TableHeading"/>
              <w:jc w:val="center"/>
            </w:pPr>
            <w:r>
              <w:t>Weighting</w:t>
            </w:r>
          </w:p>
        </w:tc>
      </w:tr>
      <w:tr w:rsidR="007842BC" w14:paraId="46FF3747" w14:textId="77777777" w:rsidTr="00534811">
        <w:trPr>
          <w:cantSplit/>
        </w:trPr>
        <w:tc>
          <w:tcPr>
            <w:tcW w:w="8359" w:type="dxa"/>
          </w:tcPr>
          <w:p w14:paraId="3B90BD72" w14:textId="77777777" w:rsidR="007842BC" w:rsidRDefault="00534811" w:rsidP="00534811">
            <w:pPr>
              <w:pStyle w:val="Heading3"/>
              <w:keepNext w:val="0"/>
              <w:spacing w:line="240" w:lineRule="auto"/>
              <w:outlineLvl w:val="2"/>
            </w:pPr>
            <w:r>
              <w:t>1. Project aims</w:t>
            </w:r>
          </w:p>
          <w:p w14:paraId="3AC096C1" w14:textId="77777777" w:rsidR="007842BC" w:rsidRDefault="00534811" w:rsidP="00534811">
            <w:pPr>
              <w:pStyle w:val="Bullet"/>
              <w:numPr>
                <w:ilvl w:val="0"/>
                <w:numId w:val="0"/>
              </w:numPr>
              <w:spacing w:after="60" w:line="240" w:lineRule="auto"/>
            </w:pPr>
            <w:r>
              <w:rPr>
                <w:rFonts w:ascii="VIC" w:hAnsi="VIC" w:cs="VIC"/>
                <w:b/>
                <w:bCs/>
              </w:rPr>
              <w:t>Assessed on:</w:t>
            </w:r>
          </w:p>
          <w:p w14:paraId="096449E0" w14:textId="43F5557F" w:rsidR="007842BC" w:rsidRPr="00534811" w:rsidRDefault="00534811" w:rsidP="00534811">
            <w:pPr>
              <w:pStyle w:val="TableBullet"/>
              <w:spacing w:line="240" w:lineRule="auto"/>
            </w:pPr>
            <w:r>
              <w:t xml:space="preserve">the ability of the proposed project to support the business transition away from </w:t>
            </w:r>
            <w:r w:rsidRPr="00534811">
              <w:t>dependence on native timber supply</w:t>
            </w:r>
          </w:p>
          <w:p w14:paraId="6772CF18" w14:textId="77777777" w:rsidR="007842BC" w:rsidRDefault="00534811" w:rsidP="00534811">
            <w:pPr>
              <w:pStyle w:val="TableBullet"/>
              <w:spacing w:line="240" w:lineRule="auto"/>
            </w:pPr>
            <w:r w:rsidRPr="00534811">
              <w:t>the extent to which</w:t>
            </w:r>
            <w:r>
              <w:t xml:space="preserve"> the project addresses the program objectives as outlined in section 2.1.</w:t>
            </w:r>
          </w:p>
          <w:p w14:paraId="3A7FB8D1" w14:textId="77777777" w:rsidR="007842BC" w:rsidRDefault="00534811" w:rsidP="00534811">
            <w:pPr>
              <w:pStyle w:val="Bullet"/>
              <w:numPr>
                <w:ilvl w:val="0"/>
                <w:numId w:val="0"/>
              </w:numPr>
              <w:spacing w:before="120" w:after="60" w:line="240" w:lineRule="auto"/>
            </w:pPr>
            <w:r>
              <w:rPr>
                <w:rFonts w:ascii="VIC" w:hAnsi="VIC" w:cs="VIC"/>
                <w:b/>
                <w:bCs/>
              </w:rPr>
              <w:t>Threshold requirements</w:t>
            </w:r>
          </w:p>
          <w:p w14:paraId="50E1EF62" w14:textId="0D52241C" w:rsidR="007842BC" w:rsidRDefault="00534811" w:rsidP="00534811">
            <w:pPr>
              <w:pStyle w:val="TableBullet"/>
              <w:spacing w:line="240" w:lineRule="auto"/>
            </w:pPr>
            <w:r>
              <w:t xml:space="preserve">the project is reasonably well outlined, scoped and shows how it will support the business to transition away from native timber supply. </w:t>
            </w:r>
          </w:p>
          <w:p w14:paraId="06A96B0E" w14:textId="233FF142" w:rsidR="007842BC" w:rsidRDefault="00534811" w:rsidP="00534811">
            <w:pPr>
              <w:pStyle w:val="TableBullet"/>
              <w:spacing w:line="240" w:lineRule="auto"/>
            </w:pPr>
            <w:r>
              <w:t>the project aligns with an appropriate business transition plan which identifies the applicants’ capabilities, options and strategies for transition.</w:t>
            </w:r>
          </w:p>
        </w:tc>
        <w:tc>
          <w:tcPr>
            <w:tcW w:w="1309" w:type="dxa"/>
          </w:tcPr>
          <w:p w14:paraId="2C7CB381" w14:textId="77777777" w:rsidR="007842BC" w:rsidRPr="00534811" w:rsidRDefault="00534811" w:rsidP="00534811">
            <w:pPr>
              <w:pStyle w:val="TableCopy"/>
              <w:spacing w:line="240" w:lineRule="auto"/>
              <w:jc w:val="center"/>
            </w:pPr>
            <w:r w:rsidRPr="00534811">
              <w:t>40%</w:t>
            </w:r>
          </w:p>
        </w:tc>
      </w:tr>
      <w:tr w:rsidR="007842BC" w14:paraId="63D49F75" w14:textId="77777777" w:rsidTr="00534811">
        <w:trPr>
          <w:cantSplit/>
        </w:trPr>
        <w:tc>
          <w:tcPr>
            <w:tcW w:w="8359" w:type="dxa"/>
          </w:tcPr>
          <w:p w14:paraId="47F86959" w14:textId="77777777" w:rsidR="007842BC" w:rsidRDefault="00534811" w:rsidP="00534811">
            <w:pPr>
              <w:pStyle w:val="Heading3"/>
              <w:keepNext w:val="0"/>
              <w:spacing w:line="240" w:lineRule="auto"/>
              <w:outlineLvl w:val="2"/>
            </w:pPr>
            <w:r>
              <w:lastRenderedPageBreak/>
              <w:t xml:space="preserve">2. Project impact </w:t>
            </w:r>
          </w:p>
          <w:p w14:paraId="1FEE4AE8" w14:textId="77777777" w:rsidR="007842BC" w:rsidRDefault="00534811" w:rsidP="00534811">
            <w:pPr>
              <w:pStyle w:val="Bullet"/>
              <w:numPr>
                <w:ilvl w:val="0"/>
                <w:numId w:val="0"/>
              </w:numPr>
              <w:spacing w:after="60" w:line="240" w:lineRule="auto"/>
            </w:pPr>
            <w:r>
              <w:rPr>
                <w:rFonts w:ascii="VIC" w:hAnsi="VIC" w:cs="VIC"/>
                <w:b/>
                <w:bCs/>
              </w:rPr>
              <w:t>Assessed on:</w:t>
            </w:r>
          </w:p>
          <w:p w14:paraId="13BC7C60" w14:textId="105C12C1" w:rsidR="007842BC" w:rsidRDefault="00534811" w:rsidP="00534811">
            <w:pPr>
              <w:pStyle w:val="TableBullet"/>
              <w:spacing w:line="240" w:lineRule="auto"/>
            </w:pPr>
            <w:r>
              <w:t>the extent to which the proposed project has the potential to deliver positive outcomes for the business and community:</w:t>
            </w:r>
          </w:p>
          <w:p w14:paraId="40FC3D66" w14:textId="77777777" w:rsidR="007842BC" w:rsidRDefault="00534811" w:rsidP="00534811">
            <w:pPr>
              <w:pStyle w:val="Bullet2"/>
              <w:spacing w:line="240" w:lineRule="auto"/>
            </w:pPr>
            <w:r>
              <w:t>supports transition from native timber supply</w:t>
            </w:r>
          </w:p>
          <w:p w14:paraId="27CC59AF" w14:textId="77777777" w:rsidR="007842BC" w:rsidRDefault="00534811" w:rsidP="00534811">
            <w:pPr>
              <w:pStyle w:val="Bullet2"/>
              <w:spacing w:line="240" w:lineRule="auto"/>
            </w:pPr>
            <w:r>
              <w:t>includes productivity benefits</w:t>
            </w:r>
          </w:p>
          <w:p w14:paraId="65994A11" w14:textId="77777777" w:rsidR="007842BC" w:rsidRDefault="00534811" w:rsidP="00534811">
            <w:pPr>
              <w:pStyle w:val="Bullet2"/>
              <w:spacing w:line="240" w:lineRule="auto"/>
            </w:pPr>
            <w:r>
              <w:t>development of new products</w:t>
            </w:r>
          </w:p>
          <w:p w14:paraId="44BB508F" w14:textId="77777777" w:rsidR="007842BC" w:rsidRDefault="00534811" w:rsidP="00534811">
            <w:pPr>
              <w:pStyle w:val="Bullet2"/>
              <w:spacing w:line="240" w:lineRule="auto"/>
            </w:pPr>
            <w:r>
              <w:t>creates access to new markets</w:t>
            </w:r>
          </w:p>
          <w:p w14:paraId="7B62338C" w14:textId="77777777" w:rsidR="007842BC" w:rsidRDefault="00534811" w:rsidP="00534811">
            <w:pPr>
              <w:pStyle w:val="Bullet2"/>
              <w:spacing w:line="240" w:lineRule="auto"/>
            </w:pPr>
            <w:r>
              <w:t>provides economic benefits to the local community.</w:t>
            </w:r>
          </w:p>
          <w:p w14:paraId="01607ACC" w14:textId="77777777" w:rsidR="007842BC" w:rsidRPr="00534811" w:rsidRDefault="00534811" w:rsidP="00534811">
            <w:pPr>
              <w:pStyle w:val="Bullet"/>
              <w:numPr>
                <w:ilvl w:val="0"/>
                <w:numId w:val="0"/>
              </w:numPr>
              <w:spacing w:before="120" w:after="60" w:line="240" w:lineRule="auto"/>
              <w:rPr>
                <w:rFonts w:ascii="VIC" w:hAnsi="VIC" w:cs="VIC"/>
                <w:b/>
                <w:bCs/>
              </w:rPr>
            </w:pPr>
            <w:r>
              <w:rPr>
                <w:rFonts w:ascii="VIC" w:hAnsi="VIC" w:cs="VIC"/>
                <w:b/>
                <w:bCs/>
              </w:rPr>
              <w:t>Threshold requirements</w:t>
            </w:r>
          </w:p>
          <w:p w14:paraId="6D539E2D" w14:textId="6C912864" w:rsidR="007842BC" w:rsidRDefault="00534811" w:rsidP="00534811">
            <w:pPr>
              <w:pStyle w:val="TableBullet"/>
              <w:spacing w:line="240" w:lineRule="auto"/>
            </w:pPr>
            <w:r>
              <w:t xml:space="preserve">the project identifies </w:t>
            </w:r>
            <w:r w:rsidR="007C1ED6">
              <w:t xml:space="preserve">the </w:t>
            </w:r>
            <w:r>
              <w:t xml:space="preserve">business </w:t>
            </w:r>
            <w:r w:rsidR="00B36705">
              <w:t xml:space="preserve">transition </w:t>
            </w:r>
            <w:r w:rsidR="007C1ED6">
              <w:t xml:space="preserve">strategy </w:t>
            </w:r>
            <w:r w:rsidR="008E438A">
              <w:t>away from a reliance on native timber supply.</w:t>
            </w:r>
            <w:r w:rsidR="00B36705">
              <w:t xml:space="preserve"> </w:t>
            </w:r>
          </w:p>
          <w:p w14:paraId="3BE81BC9" w14:textId="77580A61" w:rsidR="007842BC" w:rsidRDefault="007842BC" w:rsidP="00534811">
            <w:pPr>
              <w:pStyle w:val="TableBullet"/>
              <w:spacing w:line="240" w:lineRule="auto"/>
            </w:pPr>
          </w:p>
        </w:tc>
        <w:tc>
          <w:tcPr>
            <w:tcW w:w="1309" w:type="dxa"/>
          </w:tcPr>
          <w:p w14:paraId="527EC190" w14:textId="77777777" w:rsidR="007842BC" w:rsidRPr="00534811" w:rsidRDefault="00534811" w:rsidP="00534811">
            <w:pPr>
              <w:pStyle w:val="TableCopy"/>
              <w:spacing w:line="240" w:lineRule="auto"/>
              <w:jc w:val="center"/>
            </w:pPr>
            <w:r w:rsidRPr="00534811">
              <w:t>40%</w:t>
            </w:r>
          </w:p>
        </w:tc>
      </w:tr>
      <w:tr w:rsidR="007842BC" w14:paraId="049F12E1" w14:textId="77777777" w:rsidTr="00534811">
        <w:trPr>
          <w:cantSplit/>
        </w:trPr>
        <w:tc>
          <w:tcPr>
            <w:tcW w:w="8359" w:type="dxa"/>
          </w:tcPr>
          <w:p w14:paraId="6EF625CA" w14:textId="77777777" w:rsidR="007842BC" w:rsidRDefault="00534811" w:rsidP="00534811">
            <w:pPr>
              <w:pStyle w:val="Heading3"/>
              <w:outlineLvl w:val="2"/>
            </w:pPr>
            <w:r>
              <w:t xml:space="preserve">3. Organisational capability and capacity </w:t>
            </w:r>
          </w:p>
          <w:p w14:paraId="7414B1DD" w14:textId="77777777" w:rsidR="007842BC" w:rsidRDefault="00534811" w:rsidP="00534811">
            <w:pPr>
              <w:pStyle w:val="Bullet"/>
              <w:numPr>
                <w:ilvl w:val="0"/>
                <w:numId w:val="0"/>
              </w:numPr>
            </w:pPr>
            <w:r>
              <w:rPr>
                <w:rFonts w:ascii="VIC" w:hAnsi="VIC" w:cs="VIC"/>
                <w:b/>
                <w:bCs/>
              </w:rPr>
              <w:t>Assessed on:</w:t>
            </w:r>
          </w:p>
          <w:p w14:paraId="58F8524F" w14:textId="17C64CAC" w:rsidR="007842BC" w:rsidRPr="00534811" w:rsidRDefault="00534811" w:rsidP="00534811">
            <w:pPr>
              <w:pStyle w:val="TableBullet"/>
            </w:pPr>
            <w:r>
              <w:t xml:space="preserve">the extent to which the </w:t>
            </w:r>
            <w:r w:rsidRPr="00534811">
              <w:t>business is financially viable</w:t>
            </w:r>
          </w:p>
          <w:p w14:paraId="497A979C" w14:textId="215B4E8F" w:rsidR="007842BC" w:rsidRPr="00534811" w:rsidRDefault="00534811" w:rsidP="00534811">
            <w:pPr>
              <w:pStyle w:val="TableBullet"/>
            </w:pPr>
            <w:r w:rsidRPr="00534811">
              <w:t>the extent to which the business has the required resources and skills to manage and implement the project, including a budget</w:t>
            </w:r>
          </w:p>
          <w:p w14:paraId="7F171F9F" w14:textId="77777777" w:rsidR="007842BC" w:rsidRPr="00534811" w:rsidRDefault="00534811" w:rsidP="00534811">
            <w:pPr>
              <w:pStyle w:val="TableBullet"/>
            </w:pPr>
            <w:r w:rsidRPr="00534811">
              <w:t xml:space="preserve">the applicant’s history in meeting contractual obligations with the State </w:t>
            </w:r>
          </w:p>
          <w:p w14:paraId="352522CE" w14:textId="77777777" w:rsidR="007842BC" w:rsidRDefault="00534811" w:rsidP="00534811">
            <w:pPr>
              <w:pStyle w:val="TableBullet"/>
            </w:pPr>
            <w:r w:rsidRPr="00534811">
              <w:t>the level of co-contribution (</w:t>
            </w:r>
            <w:r>
              <w:t>financial and in-kind contribution) that will be provided by the business.</w:t>
            </w:r>
          </w:p>
          <w:p w14:paraId="6CB4FF0B" w14:textId="77777777" w:rsidR="007842BC" w:rsidRPr="00534811" w:rsidRDefault="00534811" w:rsidP="00534811">
            <w:pPr>
              <w:pStyle w:val="Bullet"/>
              <w:numPr>
                <w:ilvl w:val="0"/>
                <w:numId w:val="0"/>
              </w:numPr>
              <w:spacing w:before="120" w:after="60"/>
              <w:rPr>
                <w:rFonts w:ascii="VIC" w:hAnsi="VIC" w:cs="VIC"/>
                <w:b/>
                <w:bCs/>
              </w:rPr>
            </w:pPr>
            <w:r>
              <w:rPr>
                <w:rFonts w:ascii="VIC" w:hAnsi="VIC" w:cs="VIC"/>
                <w:b/>
                <w:bCs/>
              </w:rPr>
              <w:t>Threshold requirements</w:t>
            </w:r>
          </w:p>
          <w:p w14:paraId="76A92A66" w14:textId="77777777" w:rsidR="007842BC" w:rsidRDefault="00534811" w:rsidP="00534811">
            <w:pPr>
              <w:pStyle w:val="TableBullet"/>
            </w:pPr>
            <w:r>
              <w:t>meets the Department’s financial risk assessment</w:t>
            </w:r>
          </w:p>
          <w:p w14:paraId="52CC905A" w14:textId="77777777" w:rsidR="007842BC" w:rsidRDefault="00534811" w:rsidP="00534811">
            <w:pPr>
              <w:pStyle w:val="TableBullet"/>
            </w:pPr>
            <w:r>
              <w:t>the application includes a project plan outlining the key project people, budget and other resources required and a timeline</w:t>
            </w:r>
          </w:p>
          <w:p w14:paraId="0CCAABEF" w14:textId="77777777" w:rsidR="007842BC" w:rsidRDefault="00534811" w:rsidP="00534811">
            <w:pPr>
              <w:pStyle w:val="TableBullet"/>
            </w:pPr>
            <w:r>
              <w:t>the applicant has met past contractual obligations with the State</w:t>
            </w:r>
          </w:p>
          <w:p w14:paraId="56329E21" w14:textId="77777777" w:rsidR="007842BC" w:rsidRDefault="00534811" w:rsidP="00534811">
            <w:pPr>
              <w:pStyle w:val="TableBullet"/>
            </w:pPr>
            <w:r>
              <w:t>the application includes the relevant co-contribution level as outlined in Table 2.2.</w:t>
            </w:r>
          </w:p>
        </w:tc>
        <w:tc>
          <w:tcPr>
            <w:tcW w:w="1309" w:type="dxa"/>
          </w:tcPr>
          <w:p w14:paraId="6EE93B91" w14:textId="77777777" w:rsidR="007842BC" w:rsidRPr="00534811" w:rsidRDefault="00534811" w:rsidP="00534811">
            <w:pPr>
              <w:pStyle w:val="TableCopy"/>
              <w:jc w:val="center"/>
            </w:pPr>
            <w:r>
              <w:t>20%</w:t>
            </w:r>
          </w:p>
        </w:tc>
      </w:tr>
    </w:tbl>
    <w:p w14:paraId="65A3F61C" w14:textId="77777777" w:rsidR="007842BC" w:rsidRDefault="007842BC" w:rsidP="00534811">
      <w:pPr>
        <w:spacing w:after="0"/>
      </w:pPr>
    </w:p>
    <w:p w14:paraId="5E258F19" w14:textId="3E1AF02F" w:rsidR="007842BC" w:rsidRDefault="00534811" w:rsidP="00534811">
      <w:pPr>
        <w:pStyle w:val="Heading2"/>
      </w:pPr>
      <w:bookmarkStart w:id="16" w:name="_Toc117178507"/>
      <w:r>
        <w:t>Due diligence</w:t>
      </w:r>
      <w:bookmarkEnd w:id="16"/>
    </w:p>
    <w:p w14:paraId="61EFA6BE" w14:textId="42C3560F" w:rsidR="007842BC" w:rsidRDefault="00534811" w:rsidP="00534811">
      <w:r>
        <w:t>A financial risk assessment will be required for grants greater than $50,000. Applicants will be required to</w:t>
      </w:r>
      <w:r>
        <w:rPr>
          <w:rFonts w:ascii="Cambria" w:hAnsi="Cambria" w:cs="Cambria"/>
        </w:rPr>
        <w:t> </w:t>
      </w:r>
      <w:r>
        <w:rPr>
          <w:spacing w:val="-2"/>
        </w:rPr>
        <w:t>submit their past three years’, Australian Taxation Office</w:t>
      </w:r>
      <w:r>
        <w:rPr>
          <w:rFonts w:ascii="Cambria" w:hAnsi="Cambria" w:cs="Cambria"/>
          <w:spacing w:val="-2"/>
        </w:rPr>
        <w:t> </w:t>
      </w:r>
      <w:r>
        <w:t>compliance reports (balance sheet and profit and</w:t>
      </w:r>
      <w:r>
        <w:rPr>
          <w:rFonts w:ascii="Cambria" w:hAnsi="Cambria" w:cs="Cambria"/>
        </w:rPr>
        <w:t> </w:t>
      </w:r>
      <w:r>
        <w:t>loss statements).</w:t>
      </w:r>
    </w:p>
    <w:p w14:paraId="41DCC01C" w14:textId="77777777" w:rsidR="007842BC" w:rsidRDefault="00534811" w:rsidP="00534811">
      <w:r>
        <w:rPr>
          <w:spacing w:val="-3"/>
        </w:rPr>
        <w:t xml:space="preserve">Where the latest financial report is more than six months old, up-to-date management or interim accounts (profit </w:t>
      </w:r>
      <w:r>
        <w:t>and loss and balance sheet) will be requested.</w:t>
      </w:r>
    </w:p>
    <w:p w14:paraId="4CC2BA07" w14:textId="3C4AF20A" w:rsidR="007842BC" w:rsidRDefault="00534811" w:rsidP="00534811">
      <w:pPr>
        <w:pStyle w:val="Heading2"/>
      </w:pPr>
      <w:bookmarkStart w:id="17" w:name="_Toc117178508"/>
      <w:r>
        <w:lastRenderedPageBreak/>
        <w:t>Grant agreement</w:t>
      </w:r>
      <w:bookmarkEnd w:id="17"/>
    </w:p>
    <w:p w14:paraId="65677FCC" w14:textId="77777777" w:rsidR="007842BC" w:rsidRDefault="00534811" w:rsidP="00534811">
      <w:pPr>
        <w:pStyle w:val="Heading3"/>
      </w:pPr>
      <w:r>
        <w:t>Approval</w:t>
      </w:r>
    </w:p>
    <w:p w14:paraId="4E9EAC78" w14:textId="22343E87" w:rsidR="007842BC" w:rsidRDefault="00534811" w:rsidP="00534811">
      <w:r>
        <w:t xml:space="preserve">The Department will make every effort to advise the applicant of the outcome of their Victorian Timber Innovation Grants Program application within twelve </w:t>
      </w:r>
      <w:r>
        <w:rPr>
          <w:spacing w:val="-3"/>
        </w:rPr>
        <w:t>(12) weeks from the time the application was submitted.</w:t>
      </w:r>
    </w:p>
    <w:p w14:paraId="384B5EFF" w14:textId="0CCD8F19" w:rsidR="007842BC" w:rsidRDefault="00534811" w:rsidP="00534811">
      <w:r>
        <w:t xml:space="preserve">All applicants will receive a letter confirming the </w:t>
      </w:r>
      <w:r>
        <w:rPr>
          <w:spacing w:val="-2"/>
        </w:rPr>
        <w:t xml:space="preserve">outcome of the application. Feedback will be provided </w:t>
      </w:r>
      <w:r>
        <w:t>to the unsuccessful applicants by the Department.</w:t>
      </w:r>
    </w:p>
    <w:p w14:paraId="3E882997" w14:textId="77777777" w:rsidR="007842BC" w:rsidRDefault="00534811" w:rsidP="00534811">
      <w:pPr>
        <w:pStyle w:val="Heading3"/>
      </w:pPr>
      <w:r>
        <w:t>Grant agreement</w:t>
      </w:r>
    </w:p>
    <w:p w14:paraId="08B04E3D" w14:textId="77777777" w:rsidR="007842BC" w:rsidRDefault="00534811" w:rsidP="00534811">
      <w:r>
        <w:t>Successful applicants will be issued with a non-binding letter of offer that remains valid for 30 days.</w:t>
      </w:r>
    </w:p>
    <w:p w14:paraId="6EB63F77" w14:textId="77777777" w:rsidR="007842BC" w:rsidRDefault="00534811" w:rsidP="00534811">
      <w:r>
        <w:rPr>
          <w:spacing w:val="-2"/>
        </w:rPr>
        <w:t xml:space="preserve">If the applicant signs the letter of offer, the Department will prepare a grant agreement that can then be signed </w:t>
      </w:r>
      <w:r>
        <w:t>by both parties.</w:t>
      </w:r>
    </w:p>
    <w:p w14:paraId="03A32AD6" w14:textId="77777777" w:rsidR="007842BC" w:rsidRDefault="00534811" w:rsidP="00534811">
      <w:pPr>
        <w:pStyle w:val="Normalbeforebullet"/>
      </w:pPr>
      <w:r>
        <w:t>The grant agreement:</w:t>
      </w:r>
    </w:p>
    <w:p w14:paraId="25AF080B" w14:textId="6A17DF83" w:rsidR="007842BC" w:rsidRDefault="00534811" w:rsidP="00534811">
      <w:pPr>
        <w:pStyle w:val="Bullet"/>
      </w:pPr>
      <w:r>
        <w:t>describes the purpose for which the funding must be used</w:t>
      </w:r>
    </w:p>
    <w:p w14:paraId="46D45F98" w14:textId="77777777" w:rsidR="007842BC" w:rsidRDefault="00534811" w:rsidP="00534811">
      <w:pPr>
        <w:pStyle w:val="Bullet"/>
      </w:pPr>
      <w:r>
        <w:t>sets out any requirements or conditions that must be met prior to the payment of a grant instalment</w:t>
      </w:r>
    </w:p>
    <w:p w14:paraId="5C641CA3" w14:textId="77777777" w:rsidR="007842BC" w:rsidRDefault="00534811" w:rsidP="00534811">
      <w:pPr>
        <w:pStyle w:val="Bullet"/>
      </w:pPr>
      <w:r>
        <w:t>outlines agreed milestones and project outcomes that must be achieved before payment of a grant instalment</w:t>
      </w:r>
    </w:p>
    <w:p w14:paraId="07AB91EE" w14:textId="77777777" w:rsidR="007842BC" w:rsidRDefault="00534811" w:rsidP="00534811">
      <w:pPr>
        <w:pStyle w:val="Bullet"/>
      </w:pPr>
      <w:r>
        <w:t xml:space="preserve">is a legally enforceable document that clearly set </w:t>
      </w:r>
      <w:r>
        <w:rPr>
          <w:spacing w:val="-2"/>
        </w:rPr>
        <w:t>out the obligations of both parties. It aims to protect the Victorian Government’s interests and ensure the</w:t>
      </w:r>
      <w:r>
        <w:t xml:space="preserve"> efficient and effective use of public money</w:t>
      </w:r>
    </w:p>
    <w:p w14:paraId="5C09FC79" w14:textId="77777777" w:rsidR="007842BC" w:rsidRDefault="00534811" w:rsidP="00534811">
      <w:pPr>
        <w:pStyle w:val="Bulletlast"/>
      </w:pPr>
      <w:r>
        <w:t xml:space="preserve">ensures there is appropriate recognition of Victorian Government support in project-related publications, media releases and promotional </w:t>
      </w:r>
      <w:r w:rsidRPr="00534811">
        <w:t>material</w:t>
      </w:r>
      <w:r>
        <w:t>.</w:t>
      </w:r>
    </w:p>
    <w:p w14:paraId="0627A3D3" w14:textId="77777777" w:rsidR="007842BC" w:rsidRDefault="00534811" w:rsidP="00534811">
      <w:r>
        <w:rPr>
          <w:spacing w:val="2"/>
        </w:rPr>
        <w:t xml:space="preserve">Grant agreements can only be signed by a person </w:t>
      </w:r>
      <w:r>
        <w:rPr>
          <w:spacing w:val="-3"/>
        </w:rPr>
        <w:t xml:space="preserve">authorised by the businesses to enter into an agreement. </w:t>
      </w:r>
    </w:p>
    <w:p w14:paraId="39C47E6A" w14:textId="5D04356C" w:rsidR="007842BC" w:rsidRDefault="00534811" w:rsidP="00534811">
      <w:r>
        <w:rPr>
          <w:spacing w:val="-3"/>
        </w:rPr>
        <w:t>Successful applicants must execute a grant agreement</w:t>
      </w:r>
      <w:r>
        <w:t xml:space="preserve"> and commence the project within three months from the date of the funding offer. If a project does not commence within this timeframe the grant will be reviewed by the department.</w:t>
      </w:r>
    </w:p>
    <w:p w14:paraId="42327B27" w14:textId="05825145" w:rsidR="007842BC" w:rsidRDefault="00534811" w:rsidP="00534811">
      <w:r>
        <w:t>Once the grant agreement has been signed, the applicant will be required to actively manage and deliver the project and provide accurate progress reports to the department. During a project, the Department may conduct site visits as necessary.</w:t>
      </w:r>
    </w:p>
    <w:p w14:paraId="25AB6E6C" w14:textId="77777777" w:rsidR="007842BC" w:rsidRDefault="00534811" w:rsidP="00534811">
      <w:r>
        <w:t>Details of the project will remain confidential until the project is formally announced by the Victorian</w:t>
      </w:r>
      <w:r>
        <w:rPr>
          <w:rFonts w:ascii="Cambria" w:hAnsi="Cambria" w:cs="Cambria"/>
        </w:rPr>
        <w:t> </w:t>
      </w:r>
      <w:r>
        <w:t>Government.</w:t>
      </w:r>
    </w:p>
    <w:p w14:paraId="3CB7E440" w14:textId="65E9FD80" w:rsidR="007842BC" w:rsidRDefault="00534811" w:rsidP="00534811">
      <w:pPr>
        <w:pStyle w:val="Heading1"/>
      </w:pPr>
      <w:bookmarkStart w:id="18" w:name="_Toc117178509"/>
      <w:r>
        <w:lastRenderedPageBreak/>
        <w:t>Compliance and governance</w:t>
      </w:r>
      <w:bookmarkEnd w:id="18"/>
    </w:p>
    <w:p w14:paraId="75BC3BDF" w14:textId="59FCC324" w:rsidR="007842BC" w:rsidRDefault="00534811" w:rsidP="00534811">
      <w:pPr>
        <w:pStyle w:val="Heading2"/>
      </w:pPr>
      <w:bookmarkStart w:id="19" w:name="_Toc117178510"/>
      <w:r>
        <w:t>Information only</w:t>
      </w:r>
      <w:bookmarkEnd w:id="19"/>
    </w:p>
    <w:p w14:paraId="5151C4EF" w14:textId="50D7255A" w:rsidR="007842BC" w:rsidRDefault="00534811" w:rsidP="00534811">
      <w:pPr>
        <w:keepNext/>
      </w:pPr>
      <w:r>
        <w:t xml:space="preserve">The Department reserves the right to make changes to these guidelines as required. </w:t>
      </w:r>
    </w:p>
    <w:p w14:paraId="48FCE675" w14:textId="47E176DD" w:rsidR="007842BC" w:rsidRDefault="00534811" w:rsidP="00534811">
      <w:r>
        <w:t xml:space="preserve">Any changes to the guidelines will not affect the eligibility of the applicants and applications made prior to the date of publication of any update. </w:t>
      </w:r>
    </w:p>
    <w:p w14:paraId="682EF6E9" w14:textId="24370348" w:rsidR="007842BC" w:rsidRDefault="00534811" w:rsidP="00534811">
      <w:pPr>
        <w:pStyle w:val="Heading2"/>
      </w:pPr>
      <w:bookmarkStart w:id="20" w:name="_Toc117178511"/>
      <w:r>
        <w:t>Project costing treatment of GST</w:t>
      </w:r>
      <w:bookmarkEnd w:id="20"/>
    </w:p>
    <w:p w14:paraId="6CC3275A" w14:textId="1F31F238" w:rsidR="007842BC" w:rsidRDefault="00534811" w:rsidP="00534811">
      <w:r>
        <w:t>Applicants should note that all project costs included in the application must be exclusive of GST.</w:t>
      </w:r>
    </w:p>
    <w:p w14:paraId="15C99851" w14:textId="5A2613BA" w:rsidR="007842BC" w:rsidRDefault="00534811" w:rsidP="00534811">
      <w:r>
        <w:t xml:space="preserve">Applicants must have an Australian Business Number </w:t>
      </w:r>
      <w:r>
        <w:rPr>
          <w:spacing w:val="-3"/>
        </w:rPr>
        <w:t>(ABN) and be registered for GST or provide written advice from the Australian Taxation Office that no withholding tax is required to be withheld from the grant payment.</w:t>
      </w:r>
    </w:p>
    <w:p w14:paraId="7B850512" w14:textId="4BEE371A" w:rsidR="007842BC" w:rsidRDefault="00534811" w:rsidP="00534811">
      <w:pPr>
        <w:pStyle w:val="Heading1"/>
      </w:pPr>
      <w:bookmarkStart w:id="21" w:name="_Toc117178512"/>
      <w:r>
        <w:t>Monitoring, evaluation and reporting</w:t>
      </w:r>
      <w:bookmarkEnd w:id="21"/>
    </w:p>
    <w:p w14:paraId="392072F5" w14:textId="77777777" w:rsidR="007842BC" w:rsidRDefault="00534811" w:rsidP="00534811">
      <w:r>
        <w:rPr>
          <w:spacing w:val="-2"/>
        </w:rPr>
        <w:t xml:space="preserve">Successful applicants will be required to cooperate with </w:t>
      </w:r>
      <w:r>
        <w:t xml:space="preserve">an evaluation which is undertaken by the Department during and/or after completion of the project. </w:t>
      </w:r>
    </w:p>
    <w:p w14:paraId="2CE6FEBE" w14:textId="0CC4C082" w:rsidR="007842BC" w:rsidRDefault="00534811" w:rsidP="00534811">
      <w:r>
        <w:rPr>
          <w:spacing w:val="-2"/>
        </w:rPr>
        <w:t>After completion of the project, applicants must submit annual evaluation reports to the Department that assess the project’s success in meeting its stated objectives, outputs and outcomes. Depending on the significance of the project, these evaluation reports may be required to be submitted for up to three years following completion of the funded project.</w:t>
      </w:r>
    </w:p>
    <w:p w14:paraId="34C77B6B" w14:textId="7319E974" w:rsidR="007842BC" w:rsidRDefault="00534811" w:rsidP="00534811">
      <w:r>
        <w:t xml:space="preserve">The Department reports on grants and programs it administers. The reporting includes the identity of </w:t>
      </w:r>
      <w:r>
        <w:rPr>
          <w:spacing w:val="-3"/>
        </w:rPr>
        <w:t xml:space="preserve">successful applicants and projects and where applicable, </w:t>
      </w:r>
      <w:r>
        <w:rPr>
          <w:spacing w:val="-2"/>
        </w:rPr>
        <w:t xml:space="preserve">deviates from or expectations to the assessment and approvals processes set out in these guidelines. </w:t>
      </w:r>
    </w:p>
    <w:p w14:paraId="63D67AC8" w14:textId="1FA996ED" w:rsidR="007842BC" w:rsidRDefault="00534811" w:rsidP="00534811">
      <w:pPr>
        <w:pStyle w:val="Heading1"/>
      </w:pPr>
      <w:bookmarkStart w:id="22" w:name="_Toc117178513"/>
      <w:r>
        <w:t>Acknowledgement</w:t>
      </w:r>
      <w:bookmarkEnd w:id="22"/>
    </w:p>
    <w:p w14:paraId="36312C5D" w14:textId="7371058D" w:rsidR="007842BC" w:rsidRDefault="00534811" w:rsidP="00534811">
      <w:r>
        <w:rPr>
          <w:spacing w:val="-3"/>
        </w:rPr>
        <w:t xml:space="preserve">Successful applicants must liaise with the Department to coordinate any events or announcements related to </w:t>
      </w:r>
      <w:r>
        <w:rPr>
          <w:spacing w:val="-2"/>
        </w:rPr>
        <w:t xml:space="preserve">the activity. Successful applicants may be required to </w:t>
      </w:r>
      <w:r>
        <w:t>contribute information on activity outcomes for the state to use in communications materials.</w:t>
      </w:r>
    </w:p>
    <w:p w14:paraId="1AFE661C" w14:textId="51FC98CF" w:rsidR="007842BC" w:rsidRDefault="00534811" w:rsidP="00534811">
      <w:pPr>
        <w:pStyle w:val="Heading1"/>
      </w:pPr>
      <w:bookmarkStart w:id="23" w:name="_Toc117178514"/>
      <w:r>
        <w:t>Further support</w:t>
      </w:r>
      <w:bookmarkEnd w:id="23"/>
    </w:p>
    <w:p w14:paraId="2CA00F5F" w14:textId="77777777" w:rsidR="007842BC" w:rsidRDefault="00534811" w:rsidP="00534811">
      <w:r>
        <w:rPr>
          <w:spacing w:val="-3"/>
        </w:rPr>
        <w:t xml:space="preserve">A representative of the Department will be available to </w:t>
      </w:r>
      <w:r>
        <w:t xml:space="preserve">provide additional support to applicants particularly to </w:t>
      </w:r>
      <w:r>
        <w:rPr>
          <w:spacing w:val="-2"/>
        </w:rPr>
        <w:t>identify specific requirements and broader opportunities</w:t>
      </w:r>
      <w:r>
        <w:t xml:space="preserve"> for each participant business.</w:t>
      </w:r>
    </w:p>
    <w:p w14:paraId="137A8921" w14:textId="7B94EB7C" w:rsidR="007842BC" w:rsidRDefault="00534811" w:rsidP="00534811">
      <w:pPr>
        <w:rPr>
          <w:spacing w:val="-3"/>
        </w:rPr>
      </w:pPr>
      <w:r>
        <w:rPr>
          <w:spacing w:val="-3"/>
        </w:rPr>
        <w:t xml:space="preserve">A </w:t>
      </w:r>
      <w:r w:rsidR="00363757">
        <w:rPr>
          <w:spacing w:val="-3"/>
        </w:rPr>
        <w:t>Forestry Transition Program</w:t>
      </w:r>
      <w:r>
        <w:rPr>
          <w:spacing w:val="-3"/>
        </w:rPr>
        <w:t xml:space="preserve"> representative will help determine </w:t>
      </w:r>
      <w:r>
        <w:t xml:space="preserve">the project’s eligibility before an Expression of Interest </w:t>
      </w:r>
      <w:r>
        <w:rPr>
          <w:spacing w:val="-3"/>
        </w:rPr>
        <w:t xml:space="preserve">form is completed. Applicants requiring further information should contact a </w:t>
      </w:r>
      <w:r w:rsidR="00363757">
        <w:rPr>
          <w:spacing w:val="-3"/>
        </w:rPr>
        <w:t>Forestry Transition Program</w:t>
      </w:r>
      <w:r>
        <w:rPr>
          <w:spacing w:val="-3"/>
        </w:rPr>
        <w:t xml:space="preserve"> representative on P: </w:t>
      </w:r>
      <w:r>
        <w:rPr>
          <w:rStyle w:val="Hyperlink"/>
          <w:spacing w:val="-3"/>
        </w:rPr>
        <w:t>1800 318 182</w:t>
      </w:r>
      <w:r>
        <w:rPr>
          <w:spacing w:val="-3"/>
        </w:rPr>
        <w:t xml:space="preserve"> or E: </w:t>
      </w:r>
      <w:hyperlink r:id="rId19" w:history="1">
        <w:r w:rsidR="007D1C51" w:rsidRPr="007D7A72">
          <w:rPr>
            <w:rStyle w:val="Hyperlink"/>
            <w:spacing w:val="-3"/>
          </w:rPr>
          <w:t>forestrytransition@djpr.vic.gov.au</w:t>
        </w:r>
      </w:hyperlink>
      <w:r>
        <w:rPr>
          <w:spacing w:val="-3"/>
        </w:rPr>
        <w:t xml:space="preserve"> for further details.</w:t>
      </w:r>
    </w:p>
    <w:p w14:paraId="09C498DF" w14:textId="030BEF45" w:rsidR="007842BC" w:rsidRDefault="00534811" w:rsidP="00534811">
      <w:pPr>
        <w:pStyle w:val="Heading1"/>
      </w:pPr>
      <w:bookmarkStart w:id="24" w:name="_Toc117178515"/>
      <w:r>
        <w:lastRenderedPageBreak/>
        <w:t>Privacy</w:t>
      </w:r>
      <w:bookmarkEnd w:id="24"/>
    </w:p>
    <w:p w14:paraId="562949C0" w14:textId="77777777" w:rsidR="007842BC" w:rsidRDefault="00534811" w:rsidP="00534811">
      <w:r>
        <w:t>Any personal information about the applicant or a third party in the Application will be collected by the Department for the purpose of grant administration.</w:t>
      </w:r>
    </w:p>
    <w:p w14:paraId="08FF2112" w14:textId="1B1AE2B9" w:rsidR="007842BC" w:rsidRDefault="00534811" w:rsidP="00534811">
      <w:r>
        <w:t xml:space="preserve">If personal information about third parties is included in the application, the applicant must ensure that those third parties are aware of the contents of this privacy statement and the contents of the Department of </w:t>
      </w:r>
      <w:r w:rsidR="006D5D13">
        <w:t>Energy, Environment and Climate Action</w:t>
      </w:r>
      <w:r w:rsidR="00E662AA">
        <w:t xml:space="preserve"> </w:t>
      </w:r>
      <w:r>
        <w:t>Privacy Policy available from the Privacy Officer (details below).</w:t>
      </w:r>
    </w:p>
    <w:p w14:paraId="3EA46C9B" w14:textId="77777777" w:rsidR="007842BC" w:rsidRPr="00534811" w:rsidRDefault="00534811" w:rsidP="00534811">
      <w:pPr>
        <w:rPr>
          <w:rFonts w:asciiTheme="minorHAnsi" w:hAnsiTheme="minorHAnsi" w:cstheme="minorHAnsi"/>
          <w:spacing w:val="-3"/>
        </w:rPr>
      </w:pPr>
      <w:r w:rsidRPr="00534811">
        <w:rPr>
          <w:rFonts w:asciiTheme="minorHAnsi" w:hAnsiTheme="minorHAnsi" w:cstheme="minorHAnsi"/>
          <w:spacing w:val="-3"/>
        </w:rPr>
        <w:t xml:space="preserve">Any personal information about the applicant or a third party in correspondence will be collected, held, managed, </w:t>
      </w:r>
      <w:r w:rsidRPr="00534811">
        <w:rPr>
          <w:rFonts w:asciiTheme="minorHAnsi" w:hAnsiTheme="minorHAnsi" w:cstheme="minorHAnsi"/>
        </w:rPr>
        <w:t xml:space="preserve">used, disclosed or transferred in accordance with the </w:t>
      </w:r>
      <w:r w:rsidRPr="00534811">
        <w:rPr>
          <w:rFonts w:asciiTheme="minorHAnsi" w:hAnsiTheme="minorHAnsi" w:cstheme="minorHAnsi"/>
          <w:spacing w:val="-3"/>
        </w:rPr>
        <w:t xml:space="preserve">provisions of the </w:t>
      </w:r>
      <w:r w:rsidRPr="00534811">
        <w:rPr>
          <w:rStyle w:val="ITALIC"/>
          <w:rFonts w:cstheme="minorHAnsi"/>
          <w:spacing w:val="-3"/>
        </w:rPr>
        <w:t>Privacy and Data Protection Act 2014</w:t>
      </w:r>
      <w:r w:rsidRPr="00534811">
        <w:rPr>
          <w:rFonts w:asciiTheme="minorHAnsi" w:hAnsiTheme="minorHAnsi" w:cstheme="minorHAnsi"/>
          <w:spacing w:val="-3"/>
        </w:rPr>
        <w:t xml:space="preserve"> (Vic), </w:t>
      </w:r>
      <w:r w:rsidRPr="00534811">
        <w:rPr>
          <w:rStyle w:val="ITALIC"/>
          <w:rFonts w:cstheme="minorHAnsi"/>
          <w:spacing w:val="-3"/>
        </w:rPr>
        <w:t>Health Records Act 2001</w:t>
      </w:r>
      <w:r w:rsidRPr="00534811">
        <w:rPr>
          <w:rFonts w:asciiTheme="minorHAnsi" w:hAnsiTheme="minorHAnsi" w:cstheme="minorHAnsi"/>
          <w:spacing w:val="-3"/>
        </w:rPr>
        <w:t xml:space="preserve"> (Vic) and other applicable laws.</w:t>
      </w:r>
    </w:p>
    <w:p w14:paraId="44E75192" w14:textId="7178822F" w:rsidR="007842BC" w:rsidRPr="00534811" w:rsidRDefault="00534811" w:rsidP="00534811">
      <w:pPr>
        <w:rPr>
          <w:rFonts w:asciiTheme="minorHAnsi" w:hAnsiTheme="minorHAnsi" w:cstheme="minorHAnsi"/>
        </w:rPr>
      </w:pPr>
      <w:r w:rsidRPr="00534811">
        <w:rPr>
          <w:rFonts w:asciiTheme="minorHAnsi" w:hAnsiTheme="minorHAnsi" w:cstheme="minorHAnsi"/>
        </w:rPr>
        <w:t xml:space="preserve">In order to seek documents held by the Department you may submit an FOI request under the </w:t>
      </w:r>
      <w:r w:rsidRPr="00534811">
        <w:rPr>
          <w:rFonts w:asciiTheme="minorHAnsi" w:hAnsiTheme="minorHAnsi" w:cstheme="minorHAnsi"/>
          <w:i/>
          <w:iCs/>
        </w:rPr>
        <w:t>Freedom of Information Act 1982</w:t>
      </w:r>
      <w:r w:rsidRPr="00534811">
        <w:rPr>
          <w:rFonts w:asciiTheme="minorHAnsi" w:hAnsiTheme="minorHAnsi" w:cstheme="minorHAnsi"/>
        </w:rPr>
        <w:t xml:space="preserve"> to the FOI Manager, Department of </w:t>
      </w:r>
      <w:r w:rsidR="00E662AA" w:rsidRPr="24CFAEE7">
        <w:rPr>
          <w:rFonts w:asciiTheme="minorHAnsi" w:hAnsiTheme="minorHAnsi" w:cstheme="minorBidi"/>
        </w:rPr>
        <w:t>Energy, Environment and Climate Action</w:t>
      </w:r>
      <w:r w:rsidR="00E662AA" w:rsidRPr="00534811" w:rsidDel="006D5D13">
        <w:rPr>
          <w:rFonts w:asciiTheme="minorHAnsi" w:hAnsiTheme="minorHAnsi" w:cstheme="minorHAnsi"/>
        </w:rPr>
        <w:t xml:space="preserve"> </w:t>
      </w:r>
      <w:r w:rsidR="006D5D13" w:rsidRPr="006D5D13">
        <w:rPr>
          <w:spacing w:val="-3"/>
        </w:rPr>
        <w:t xml:space="preserve"> </w:t>
      </w:r>
      <w:r w:rsidRPr="00534811">
        <w:rPr>
          <w:rFonts w:asciiTheme="minorHAnsi" w:hAnsiTheme="minorHAnsi" w:cstheme="minorHAnsi"/>
        </w:rPr>
        <w:t>.</w:t>
      </w:r>
    </w:p>
    <w:p w14:paraId="5F3E2766" w14:textId="739ED215" w:rsidR="009B1171" w:rsidRDefault="00534811" w:rsidP="00534811">
      <w:pPr>
        <w:pStyle w:val="Normalbeforebullet"/>
      </w:pPr>
      <w:r>
        <w:t xml:space="preserve">The Department is committed to protecting the privacy </w:t>
      </w:r>
      <w:r>
        <w:rPr>
          <w:spacing w:val="-2"/>
        </w:rPr>
        <w:t xml:space="preserve">of personal information. The Department’s privacy policy </w:t>
      </w:r>
      <w:r>
        <w:t>is available from:</w:t>
      </w:r>
    </w:p>
    <w:p w14:paraId="34285938" w14:textId="757AF7A2" w:rsidR="00DF3880" w:rsidRDefault="00DF3880" w:rsidP="00DF3880">
      <w:r>
        <w:t>Department of Energy, Environment and Climate Action</w:t>
      </w:r>
      <w:r>
        <w:br/>
        <w:t xml:space="preserve">PO </w:t>
      </w:r>
      <w:r w:rsidR="00DB3C76">
        <w:t>B</w:t>
      </w:r>
      <w:r>
        <w:t>ox 500</w:t>
      </w:r>
      <w:r>
        <w:br/>
        <w:t>East Melbourne, VIC 3002, AUS</w:t>
      </w:r>
    </w:p>
    <w:p w14:paraId="0AF377FD" w14:textId="2E1F5638" w:rsidR="00DF3880" w:rsidRDefault="00DF3880" w:rsidP="00DF3880">
      <w:r w:rsidRPr="24CFAEE7">
        <w:rPr>
          <w:rFonts w:ascii="VIC" w:hAnsi="VIC" w:cs="VIC"/>
          <w:b/>
          <w:bCs/>
        </w:rPr>
        <w:t>Email:</w:t>
      </w:r>
      <w:r w:rsidR="00BA5E09">
        <w:t xml:space="preserve"> foi.unit</w:t>
      </w:r>
      <w:r>
        <w:t>@deeca.vic.gov.au</w:t>
      </w:r>
    </w:p>
    <w:p w14:paraId="05CAE75B" w14:textId="5AA40C8D" w:rsidR="007842BC" w:rsidRDefault="00534811" w:rsidP="00534811">
      <w:pPr>
        <w:pStyle w:val="Normalbeforebullet"/>
      </w:pPr>
      <w:r>
        <w:t>Enquiries about access to information about you held by the Department should be directed to:</w:t>
      </w:r>
    </w:p>
    <w:p w14:paraId="541A48A7" w14:textId="77777777" w:rsidR="007842BC" w:rsidRDefault="00534811" w:rsidP="00534811">
      <w:pPr>
        <w:pStyle w:val="Heading3"/>
      </w:pPr>
      <w:r>
        <w:t>Freedom of Information Manager</w:t>
      </w:r>
    </w:p>
    <w:p w14:paraId="67B33272" w14:textId="6108B7D7" w:rsidR="00254377" w:rsidRDefault="00254377" w:rsidP="00254377">
      <w:r>
        <w:t>Department of Energy, Environment and Climate Action</w:t>
      </w:r>
      <w:r>
        <w:br/>
        <w:t xml:space="preserve">PO </w:t>
      </w:r>
      <w:r w:rsidR="00DB3C76">
        <w:t>B</w:t>
      </w:r>
      <w:r>
        <w:t>ox 500</w:t>
      </w:r>
      <w:r>
        <w:br/>
        <w:t>East Melbourne, VIC 3002, AUS</w:t>
      </w:r>
    </w:p>
    <w:p w14:paraId="60A339FF" w14:textId="77777777" w:rsidR="00254377" w:rsidRDefault="00254377" w:rsidP="00254377">
      <w:r w:rsidRPr="24CFAEE7">
        <w:rPr>
          <w:rFonts w:ascii="VIC" w:hAnsi="VIC" w:cs="VIC"/>
          <w:b/>
          <w:bCs/>
        </w:rPr>
        <w:t>Email:</w:t>
      </w:r>
      <w:r>
        <w:t xml:space="preserve"> foi.unit@deeca.vic.gov.au</w:t>
      </w:r>
    </w:p>
    <w:p w14:paraId="1812C331" w14:textId="77777777" w:rsidR="00DF3880" w:rsidRDefault="00DF3880" w:rsidP="00534811">
      <w:pPr>
        <w:rPr>
          <w:rStyle w:val="Hyperlink"/>
        </w:rPr>
      </w:pPr>
    </w:p>
    <w:p w14:paraId="12C5ACEA" w14:textId="7D87110A" w:rsidR="003F7F11" w:rsidRPr="00534811" w:rsidRDefault="00534811" w:rsidP="003F7F11">
      <w:pPr>
        <w:rPr>
          <w:rFonts w:asciiTheme="minorHAnsi" w:hAnsiTheme="minorHAnsi" w:cstheme="minorBidi"/>
        </w:rPr>
      </w:pPr>
      <w:r w:rsidRPr="00534811">
        <w:rPr>
          <w:rFonts w:asciiTheme="minorHAnsi" w:hAnsiTheme="minorHAnsi" w:cstheme="minorHAnsi"/>
        </w:rPr>
        <w:t xml:space="preserve">In order to seek documents held by the Department you may submit an FOI request under the </w:t>
      </w:r>
      <w:r w:rsidRPr="00534811">
        <w:rPr>
          <w:rFonts w:asciiTheme="minorHAnsi" w:hAnsiTheme="minorHAnsi" w:cstheme="minorHAnsi"/>
          <w:i/>
          <w:iCs/>
        </w:rPr>
        <w:t>Freedom of Information Act 1982</w:t>
      </w:r>
      <w:r w:rsidRPr="00534811">
        <w:rPr>
          <w:rFonts w:asciiTheme="minorHAnsi" w:hAnsiTheme="minorHAnsi" w:cstheme="minorHAnsi"/>
        </w:rPr>
        <w:t xml:space="preserve"> to the FOI Manager, Department of</w:t>
      </w:r>
      <w:r w:rsidR="003F7F11" w:rsidRPr="003F7F11">
        <w:rPr>
          <w:rFonts w:asciiTheme="minorHAnsi" w:hAnsiTheme="minorHAnsi" w:cstheme="minorBidi"/>
        </w:rPr>
        <w:t xml:space="preserve"> </w:t>
      </w:r>
      <w:r w:rsidR="003F7F11" w:rsidRPr="24CFAEE7">
        <w:rPr>
          <w:rFonts w:asciiTheme="minorHAnsi" w:hAnsiTheme="minorHAnsi" w:cstheme="minorBidi"/>
        </w:rPr>
        <w:t>Energy, Environment and Climate Action</w:t>
      </w:r>
    </w:p>
    <w:p w14:paraId="33DC10F3" w14:textId="57BAE261" w:rsidR="007842BC" w:rsidRDefault="00534811" w:rsidP="00534811">
      <w:pPr>
        <w:pStyle w:val="Heading1"/>
      </w:pPr>
      <w:bookmarkStart w:id="25" w:name="_Toc117178516"/>
      <w:r>
        <w:t>Step-by step application and grant process guide</w:t>
      </w:r>
      <w:bookmarkEnd w:id="25"/>
    </w:p>
    <w:p w14:paraId="7F884991" w14:textId="77777777" w:rsidR="00534811" w:rsidRPr="00534811" w:rsidRDefault="00534811" w:rsidP="00534811">
      <w:pPr>
        <w:pStyle w:val="Bullet"/>
      </w:pPr>
      <w:r w:rsidRPr="00534811">
        <w:rPr>
          <w:lang w:val="en-GB"/>
        </w:rPr>
        <w:t>Read the Program Guidelines to establish eligibility</w:t>
      </w:r>
    </w:p>
    <w:p w14:paraId="2A7B46A0" w14:textId="4F3FF27A" w:rsidR="00534811" w:rsidRPr="00534811" w:rsidRDefault="00534811" w:rsidP="00534811">
      <w:pPr>
        <w:pStyle w:val="Bullet"/>
      </w:pPr>
      <w:r w:rsidRPr="00534811">
        <w:rPr>
          <w:lang w:val="en-GB"/>
        </w:rPr>
        <w:t xml:space="preserve">Discuss the proposed project with your </w:t>
      </w:r>
      <w:r w:rsidR="00363757">
        <w:rPr>
          <w:lang w:val="en-GB"/>
        </w:rPr>
        <w:t>Forestry Transition Program</w:t>
      </w:r>
      <w:r w:rsidRPr="00534811">
        <w:rPr>
          <w:lang w:val="en-GB"/>
        </w:rPr>
        <w:t xml:space="preserve"> representative</w:t>
      </w:r>
    </w:p>
    <w:p w14:paraId="565120D8" w14:textId="77777777" w:rsidR="00534811" w:rsidRPr="00534811" w:rsidRDefault="00534811" w:rsidP="00534811">
      <w:pPr>
        <w:pStyle w:val="Bullet"/>
      </w:pPr>
      <w:r w:rsidRPr="00534811">
        <w:rPr>
          <w:lang w:val="en-GB"/>
        </w:rPr>
        <w:t xml:space="preserve">Complete </w:t>
      </w:r>
      <w:hyperlink r:id="rId20" w:anchor="no-back-button" w:history="1">
        <w:r w:rsidRPr="00534811">
          <w:rPr>
            <w:rStyle w:val="Hyperlink"/>
          </w:rPr>
          <w:t>Expression of Interest Form</w:t>
        </w:r>
      </w:hyperlink>
    </w:p>
    <w:p w14:paraId="0165EB92" w14:textId="77777777" w:rsidR="00534811" w:rsidRPr="00534811" w:rsidRDefault="00534811" w:rsidP="00534811">
      <w:pPr>
        <w:pStyle w:val="Bullet"/>
      </w:pPr>
      <w:r w:rsidRPr="00534811">
        <w:rPr>
          <w:lang w:val="en-GB"/>
        </w:rPr>
        <w:t>Department will advise EoI outcome (successful/unsuccessful)</w:t>
      </w:r>
    </w:p>
    <w:p w14:paraId="3E0ADF22" w14:textId="77777777" w:rsidR="00534811" w:rsidRPr="00534811" w:rsidRDefault="00534811" w:rsidP="00534811">
      <w:pPr>
        <w:pStyle w:val="Bullet"/>
      </w:pPr>
      <w:r w:rsidRPr="00534811">
        <w:rPr>
          <w:lang w:val="en-GB"/>
        </w:rPr>
        <w:t>Submit an application</w:t>
      </w:r>
    </w:p>
    <w:p w14:paraId="421F03CE" w14:textId="77777777" w:rsidR="00534811" w:rsidRPr="00534811" w:rsidRDefault="00534811" w:rsidP="00534811">
      <w:pPr>
        <w:pStyle w:val="Bullet"/>
      </w:pPr>
      <w:r w:rsidRPr="00534811">
        <w:rPr>
          <w:lang w:val="en-GB"/>
        </w:rPr>
        <w:t>Assessment of application</w:t>
      </w:r>
    </w:p>
    <w:p w14:paraId="3AE1BCB8" w14:textId="0FFE6FD5" w:rsidR="00534811" w:rsidRPr="00534811" w:rsidRDefault="00534811" w:rsidP="00534811">
      <w:pPr>
        <w:pStyle w:val="Bullet"/>
      </w:pPr>
      <w:r w:rsidRPr="00534811">
        <w:t>The Department advises the Applicant of the outcome of the application</w:t>
      </w:r>
    </w:p>
    <w:p w14:paraId="0111B23E" w14:textId="77777777" w:rsidR="00534811" w:rsidRPr="00534811" w:rsidRDefault="00534811" w:rsidP="00534811">
      <w:pPr>
        <w:pStyle w:val="Bullet"/>
      </w:pPr>
      <w:r w:rsidRPr="00534811">
        <w:lastRenderedPageBreak/>
        <w:t>Successful applicant receives a letter of offer</w:t>
      </w:r>
    </w:p>
    <w:p w14:paraId="1EEFAE5F" w14:textId="77777777" w:rsidR="00534811" w:rsidRPr="00534811" w:rsidRDefault="00534811" w:rsidP="00534811">
      <w:pPr>
        <w:pStyle w:val="Bullet"/>
      </w:pPr>
      <w:r w:rsidRPr="00534811">
        <w:t>Successful applicant signs and returns the letter of offer</w:t>
      </w:r>
    </w:p>
    <w:p w14:paraId="6C012EAE" w14:textId="2F14E591" w:rsidR="00534811" w:rsidRPr="00534811" w:rsidRDefault="00534811" w:rsidP="00534811">
      <w:pPr>
        <w:pStyle w:val="Bullet"/>
      </w:pPr>
      <w:r w:rsidRPr="00534811">
        <w:t>Department issues a grant agreement to the successful applicant</w:t>
      </w:r>
    </w:p>
    <w:p w14:paraId="0468A916" w14:textId="4FB7C570" w:rsidR="00534811" w:rsidRPr="00534811" w:rsidRDefault="00534811" w:rsidP="00534811">
      <w:pPr>
        <w:pStyle w:val="Bullet"/>
      </w:pPr>
      <w:r w:rsidRPr="00534811">
        <w:t>Successful applicant signs and returns the grant agreement to the Department</w:t>
      </w:r>
    </w:p>
    <w:p w14:paraId="3E2B6106" w14:textId="77777777" w:rsidR="00534811" w:rsidRPr="00534811" w:rsidRDefault="00534811" w:rsidP="00534811">
      <w:pPr>
        <w:pStyle w:val="Bullet"/>
      </w:pPr>
      <w:r w:rsidRPr="00534811">
        <w:t>Department issues the grant</w:t>
      </w:r>
    </w:p>
    <w:p w14:paraId="2135E737" w14:textId="77777777" w:rsidR="00534811" w:rsidRPr="00534811" w:rsidRDefault="00534811" w:rsidP="00534811">
      <w:pPr>
        <w:pStyle w:val="Bullet"/>
      </w:pPr>
      <w:r w:rsidRPr="00534811">
        <w:t>Project commences</w:t>
      </w:r>
    </w:p>
    <w:p w14:paraId="2BF40020" w14:textId="581E4AC1" w:rsidR="00534811" w:rsidRPr="00534811" w:rsidRDefault="00534811" w:rsidP="00534811">
      <w:pPr>
        <w:pStyle w:val="Bullet"/>
      </w:pPr>
      <w:r w:rsidRPr="00534811">
        <w:rPr>
          <w:lang w:val="en-GB"/>
        </w:rPr>
        <w:t>Payments are made on evidence the milestones are met</w:t>
      </w:r>
    </w:p>
    <w:p w14:paraId="4AB5889E" w14:textId="1D26ABA0" w:rsidR="00534811" w:rsidRPr="00534811" w:rsidRDefault="00534811" w:rsidP="00534811">
      <w:pPr>
        <w:pStyle w:val="Bullet"/>
      </w:pPr>
      <w:r w:rsidRPr="00534811">
        <w:rPr>
          <w:lang w:val="en-GB"/>
        </w:rPr>
        <w:t>Post Completion Evaluation Report</w:t>
      </w:r>
    </w:p>
    <w:p w14:paraId="1E3E833F" w14:textId="63461EF7" w:rsidR="007842BC" w:rsidRDefault="00534811" w:rsidP="00534811">
      <w:pPr>
        <w:pStyle w:val="Heading1"/>
      </w:pPr>
      <w:bookmarkStart w:id="26" w:name="_Toc117178517"/>
      <w:r>
        <w:rPr>
          <w:spacing w:val="-4"/>
        </w:rPr>
        <w:t xml:space="preserve">Other </w:t>
      </w:r>
      <w:r w:rsidR="00363757">
        <w:rPr>
          <w:spacing w:val="-4"/>
        </w:rPr>
        <w:t>Forestry Transition Program</w:t>
      </w:r>
      <w:r>
        <w:rPr>
          <w:spacing w:val="-4"/>
        </w:rPr>
        <w:t xml:space="preserve"> worker, business and community support</w:t>
      </w:r>
      <w:bookmarkEnd w:id="26"/>
    </w:p>
    <w:p w14:paraId="5F3DD8BC" w14:textId="52405E84" w:rsidR="007842BC" w:rsidRDefault="00534811" w:rsidP="00534811">
      <w:r>
        <w:t xml:space="preserve">The </w:t>
      </w:r>
      <w:hyperlink r:id="rId21" w:history="1">
        <w:r w:rsidR="00363757">
          <w:rPr>
            <w:rStyle w:val="Hyperlink"/>
          </w:rPr>
          <w:t>Forestry Transition Program</w:t>
        </w:r>
      </w:hyperlink>
      <w:r>
        <w:t xml:space="preserve"> includes a variety of </w:t>
      </w:r>
      <w:r>
        <w:rPr>
          <w:spacing w:val="-3"/>
        </w:rPr>
        <w:t>assistance for affected timber businesses, workers and communities that may be available to applicants eligible</w:t>
      </w:r>
      <w:r>
        <w:t xml:space="preserve"> for the Victorian Timber Innovation Grants Program.</w:t>
      </w:r>
    </w:p>
    <w:p w14:paraId="25A4B86B" w14:textId="0A76D38F" w:rsidR="002939EE" w:rsidRDefault="002939EE" w:rsidP="00534811">
      <w:r>
        <w:t>D</w:t>
      </w:r>
      <w:r w:rsidR="00276D1F">
        <w:t xml:space="preserve">epartment of </w:t>
      </w:r>
      <w:r w:rsidR="004A1AF6">
        <w:t>Energy, Environment and Climate Change</w:t>
      </w:r>
    </w:p>
    <w:p w14:paraId="27D57709" w14:textId="6FA299DA" w:rsidR="007842BC" w:rsidRDefault="00534811" w:rsidP="00534811">
      <w:pPr>
        <w:rPr>
          <w:rStyle w:val="Hyperlink"/>
          <w:color w:val="000000"/>
        </w:rPr>
      </w:pPr>
      <w:r>
        <w:t>1 Spring Street Melbourne Victoria 3000</w:t>
      </w:r>
      <w:r>
        <w:br/>
        <w:t>Telephone: 1800 318 182</w:t>
      </w:r>
      <w:r>
        <w:br/>
        <w:t xml:space="preserve">Email: </w:t>
      </w:r>
      <w:hyperlink r:id="rId22" w:history="1">
        <w:r w:rsidR="00442A48" w:rsidRPr="007D7A72">
          <w:rPr>
            <w:rStyle w:val="Hyperlink"/>
            <w:spacing w:val="-3"/>
          </w:rPr>
          <w:t>forestrytransition@djpr.vic.gov.au</w:t>
        </w:r>
      </w:hyperlink>
    </w:p>
    <w:p w14:paraId="091671EB" w14:textId="7B4FEBD6" w:rsidR="004A1AF6" w:rsidRDefault="00534811" w:rsidP="004A1AF6">
      <w:r>
        <w:t xml:space="preserve">© Copyright State of Victoria, Department of </w:t>
      </w:r>
      <w:r w:rsidR="004A1AF6">
        <w:t>Energy, Environment and Climate Change 2023</w:t>
      </w:r>
    </w:p>
    <w:p w14:paraId="43445BE7" w14:textId="673C3B18" w:rsidR="007842BC" w:rsidRDefault="006D5D13" w:rsidP="00534811">
      <w:r>
        <w:t>Energy, Environment and Climate Action</w:t>
      </w:r>
    </w:p>
    <w:p w14:paraId="30867945" w14:textId="77777777" w:rsidR="007842BC" w:rsidRDefault="00534811" w:rsidP="00534811">
      <w:r>
        <w:t>Except for any logos, emblems, trademarks, artwork and photography this document is made available under the terms of the Creative Commons Attribution 3.0 Australia license.</w:t>
      </w:r>
    </w:p>
    <w:p w14:paraId="31E7296E" w14:textId="77777777" w:rsidR="007842BC" w:rsidRDefault="00534811" w:rsidP="00534811">
      <w:r>
        <w:t>P: 1800 318 182</w:t>
      </w:r>
    </w:p>
    <w:p w14:paraId="0C2D20E1" w14:textId="18DCF003" w:rsidR="007842BC" w:rsidRDefault="00534811" w:rsidP="00534811">
      <w:pPr>
        <w:rPr>
          <w:rStyle w:val="Hyperlink"/>
          <w:spacing w:val="-1"/>
          <w:sz w:val="18"/>
          <w:szCs w:val="18"/>
        </w:rPr>
      </w:pPr>
      <w:r>
        <w:t xml:space="preserve">E: </w:t>
      </w:r>
      <w:hyperlink r:id="rId23" w:history="1">
        <w:r w:rsidR="00442A48" w:rsidRPr="007D7A72">
          <w:rPr>
            <w:rStyle w:val="Hyperlink"/>
            <w:spacing w:val="-3"/>
          </w:rPr>
          <w:t>forestrytransition@djpr.vic.gov.au</w:t>
        </w:r>
      </w:hyperlink>
    </w:p>
    <w:p w14:paraId="3A5308E4" w14:textId="77777777" w:rsidR="007842BC" w:rsidRDefault="00534811" w:rsidP="00534811">
      <w:r>
        <w:t xml:space="preserve">W: </w:t>
      </w:r>
      <w:hyperlink r:id="rId24" w:history="1">
        <w:r w:rsidRPr="00534811">
          <w:rPr>
            <w:rStyle w:val="Hyperlink"/>
          </w:rPr>
          <w:t>vic.gov.au/forestry</w:t>
        </w:r>
      </w:hyperlink>
    </w:p>
    <w:sectPr w:rsidR="007842BC" w:rsidSect="005D50C3">
      <w:headerReference w:type="default" r:id="rId25"/>
      <w:footerReference w:type="default" r:id="rId26"/>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0034" w14:textId="77777777" w:rsidR="00BE72D5" w:rsidRDefault="00BE72D5">
      <w:pPr>
        <w:spacing w:after="0" w:line="240" w:lineRule="auto"/>
      </w:pPr>
      <w:r>
        <w:separator/>
      </w:r>
    </w:p>
  </w:endnote>
  <w:endnote w:type="continuationSeparator" w:id="0">
    <w:p w14:paraId="6BDB6EE5" w14:textId="77777777" w:rsidR="00BE72D5" w:rsidRDefault="00BE72D5">
      <w:pPr>
        <w:spacing w:after="0" w:line="240" w:lineRule="auto"/>
      </w:pPr>
      <w:r>
        <w:continuationSeparator/>
      </w:r>
    </w:p>
  </w:endnote>
  <w:endnote w:type="continuationNotice" w:id="1">
    <w:p w14:paraId="40FD3472" w14:textId="77777777" w:rsidR="00BE72D5" w:rsidRDefault="00BE7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VIC Medium">
    <w:panose1 w:val="000006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VIC Medium Italic">
    <w:panose1 w:val="000006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Light Italic">
    <w:panose1 w:val="000004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D34B" w14:textId="0FD1063F" w:rsidR="00B20D74" w:rsidRDefault="00311BC9">
    <w:pPr>
      <w:pStyle w:val="Footer"/>
    </w:pPr>
    <w:r>
      <w:rPr>
        <w:noProof/>
      </w:rPr>
      <mc:AlternateContent>
        <mc:Choice Requires="wps">
          <w:drawing>
            <wp:anchor distT="0" distB="0" distL="114300" distR="114300" simplePos="0" relativeHeight="251657216" behindDoc="0" locked="0" layoutInCell="0" allowOverlap="1" wp14:anchorId="74641AE4" wp14:editId="1975EB66">
              <wp:simplePos x="0" y="0"/>
              <wp:positionH relativeFrom="page">
                <wp:posOffset>0</wp:posOffset>
              </wp:positionH>
              <wp:positionV relativeFrom="page">
                <wp:posOffset>10249535</wp:posOffset>
              </wp:positionV>
              <wp:extent cx="7560310" cy="252095"/>
              <wp:effectExtent l="0" t="0" r="0" b="14605"/>
              <wp:wrapNone/>
              <wp:docPr id="4" name="MSIPCM7bb44f068f9d8658c97ba3ab" descr="{&quot;HashCode&quot;:-11458044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483E48" w14:textId="4224B661" w:rsidR="00311BC9" w:rsidRPr="003A6AEB" w:rsidRDefault="003A6AEB" w:rsidP="003A6AEB">
                          <w:pPr>
                            <w:spacing w:after="0"/>
                            <w:jc w:val="center"/>
                            <w:rPr>
                              <w:color w:val="000000"/>
                              <w:sz w:val="24"/>
                            </w:rPr>
                          </w:pPr>
                          <w:r w:rsidRPr="003A6AEB">
                            <w:rPr>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641AE4" id="_x0000_t202" coordsize="21600,21600" o:spt="202" path="m,l,21600r21600,l21600,xe">
              <v:stroke joinstyle="miter"/>
              <v:path gradientshapeok="t" o:connecttype="rect"/>
            </v:shapetype>
            <v:shape id="MSIPCM7bb44f068f9d8658c97ba3ab" o:spid="_x0000_s1027" type="#_x0000_t202" alt="{&quot;HashCode&quot;:-1145804495,&quot;Height&quot;:841.0,&quot;Width&quot;:595.0,&quot;Placement&quot;:&quot;Footer&quot;,&quot;Index&quot;:&quot;Primary&quot;,&quot;Section&quot;:1,&quot;Top&quot;:0.0,&quot;Left&quot;:0.0}" style="position:absolute;margin-left:0;margin-top:807.05pt;width:595.3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Dk/GAPfAAAACwEAAA8AAABkcnMvZG93bnJldi54bWxMj81OwzAQhO9IvIO1SNyo&#10;EyhRG+JUCMQFCSEK4ryJNz9NvI5it03eHudEjzszmv0m202mFycaXWtZQbyKQBCXVrdcK/j5frvb&#10;gHAeWWNvmRTM5GCXX19lmGp75i867X0tQgm7FBU03g+plK5syKBb2YE4eJUdDfpwjrXUI55Duenl&#10;fRQl0mDL4UODA700VHb7o1Gw/twWlTx05vAxv89z21W/r0Wl1O3N9PwEwtPk/8Ow4Ad0yANTYY+s&#10;negVhCE+qEm8jkEsfryNEhDFoj0+bEDmmbzckP8BAAD//wMAUEsBAi0AFAAGAAgAAAAhALaDOJL+&#10;AAAA4QEAABMAAAAAAAAAAAAAAAAAAAAAAFtDb250ZW50X1R5cGVzXS54bWxQSwECLQAUAAYACAAA&#10;ACEAOP0h/9YAAACUAQAACwAAAAAAAAAAAAAAAAAvAQAAX3JlbHMvLnJlbHNQSwECLQAUAAYACAAA&#10;ACEA2y0qhBYCAAArBAAADgAAAAAAAAAAAAAAAAAuAgAAZHJzL2Uyb0RvYy54bWxQSwECLQAUAAYA&#10;CAAAACEAOT8YA98AAAALAQAADwAAAAAAAAAAAAAAAABwBAAAZHJzL2Rvd25yZXYueG1sUEsFBgAA&#10;AAAEAAQA8wAAAHwFAAAAAA==&#10;" o:allowincell="f" filled="f" stroked="f" strokeweight=".5pt">
              <v:textbox inset=",0,,0">
                <w:txbxContent>
                  <w:p w14:paraId="10483E48" w14:textId="4224B661" w:rsidR="00311BC9" w:rsidRPr="003A6AEB" w:rsidRDefault="003A6AEB" w:rsidP="003A6AEB">
                    <w:pPr>
                      <w:spacing w:after="0"/>
                      <w:jc w:val="center"/>
                      <w:rPr>
                        <w:color w:val="000000"/>
                        <w:sz w:val="24"/>
                      </w:rPr>
                    </w:pPr>
                    <w:r w:rsidRPr="003A6AEB">
                      <w:rPr>
                        <w:color w:val="000000"/>
                        <w:sz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7056" w14:textId="77777777" w:rsidR="00BE72D5" w:rsidRDefault="00BE72D5">
      <w:pPr>
        <w:spacing w:after="0" w:line="240" w:lineRule="auto"/>
      </w:pPr>
      <w:r>
        <w:separator/>
      </w:r>
    </w:p>
  </w:footnote>
  <w:footnote w:type="continuationSeparator" w:id="0">
    <w:p w14:paraId="6109890F" w14:textId="77777777" w:rsidR="00BE72D5" w:rsidRDefault="00BE72D5">
      <w:pPr>
        <w:spacing w:after="0" w:line="240" w:lineRule="auto"/>
      </w:pPr>
      <w:r>
        <w:continuationSeparator/>
      </w:r>
    </w:p>
  </w:footnote>
  <w:footnote w:type="continuationNotice" w:id="1">
    <w:p w14:paraId="1EC3505E" w14:textId="77777777" w:rsidR="00BE72D5" w:rsidRDefault="00BE72D5">
      <w:pPr>
        <w:spacing w:after="0" w:line="240" w:lineRule="auto"/>
      </w:pPr>
    </w:p>
  </w:footnote>
  <w:footnote w:id="2">
    <w:p w14:paraId="5E067E77" w14:textId="2C48655B" w:rsidR="007842BC" w:rsidRDefault="00534811" w:rsidP="00534811">
      <w:pPr>
        <w:pStyle w:val="FOOTNOTE"/>
      </w:pPr>
      <w:r>
        <w:rPr>
          <w:vertAlign w:val="superscript"/>
        </w:rPr>
        <w:footnoteRef/>
      </w:r>
      <w:r>
        <w:t>.</w:t>
      </w:r>
      <w:r>
        <w:tab/>
        <w:t>Applicants may be required to provide evidence that confirms their revenue 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FF7D" w14:textId="53C6D5A8" w:rsidR="00B20D74" w:rsidRDefault="00311BC9">
    <w:pPr>
      <w:pStyle w:val="Header"/>
    </w:pPr>
    <w:r>
      <w:rPr>
        <w:noProof/>
      </w:rPr>
      <mc:AlternateContent>
        <mc:Choice Requires="wps">
          <w:drawing>
            <wp:anchor distT="0" distB="0" distL="114300" distR="114300" simplePos="0" relativeHeight="251661312" behindDoc="0" locked="0" layoutInCell="0" allowOverlap="1" wp14:anchorId="65668C9C" wp14:editId="7CA22B65">
              <wp:simplePos x="0" y="0"/>
              <wp:positionH relativeFrom="page">
                <wp:posOffset>0</wp:posOffset>
              </wp:positionH>
              <wp:positionV relativeFrom="page">
                <wp:posOffset>190500</wp:posOffset>
              </wp:positionV>
              <wp:extent cx="7560310" cy="252095"/>
              <wp:effectExtent l="0" t="0" r="0" b="14605"/>
              <wp:wrapNone/>
              <wp:docPr id="5" name="MSIPCM1dad42858731c7a0de25fb67" descr="{&quot;HashCode&quot;:-11699420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00491D" w14:textId="50AE169A" w:rsidR="00311BC9" w:rsidRPr="003A6AEB" w:rsidRDefault="003A6AEB" w:rsidP="003A6AEB">
                          <w:pPr>
                            <w:spacing w:after="0"/>
                            <w:jc w:val="center"/>
                            <w:rPr>
                              <w:color w:val="000000"/>
                              <w:sz w:val="24"/>
                            </w:rPr>
                          </w:pPr>
                          <w:r w:rsidRPr="003A6AEB">
                            <w:rPr>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5668C9C" id="_x0000_t202" coordsize="21600,21600" o:spt="202" path="m,l,21600r21600,l21600,xe">
              <v:stroke joinstyle="miter"/>
              <v:path gradientshapeok="t" o:connecttype="rect"/>
            </v:shapetype>
            <v:shape id="MSIPCM1dad42858731c7a0de25fb67" o:spid="_x0000_s1026" type="#_x0000_t202" alt="{&quot;HashCode&quot;:-1169942064,&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300491D" w14:textId="50AE169A" w:rsidR="00311BC9" w:rsidRPr="003A6AEB" w:rsidRDefault="003A6AEB" w:rsidP="003A6AEB">
                    <w:pPr>
                      <w:spacing w:after="0"/>
                      <w:jc w:val="center"/>
                      <w:rPr>
                        <w:color w:val="000000"/>
                        <w:sz w:val="24"/>
                      </w:rPr>
                    </w:pPr>
                    <w:r w:rsidRPr="003A6AEB">
                      <w:rPr>
                        <w:color w:val="000000"/>
                        <w:sz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2B9"/>
    <w:multiLevelType w:val="multilevel"/>
    <w:tmpl w:val="08090025"/>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542351"/>
    <w:multiLevelType w:val="multilevel"/>
    <w:tmpl w:val="86ACD880"/>
    <w:styleLink w:val="CurrentList5"/>
    <w:lvl w:ilvl="0">
      <w:start w:val="1"/>
      <w:numFmt w:val="decimal"/>
      <w:lvlText w:val="%1"/>
      <w:lvlJc w:val="left"/>
      <w:pPr>
        <w:tabs>
          <w:tab w:val="num" w:pos="737"/>
        </w:tabs>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95D71EC"/>
    <w:multiLevelType w:val="hybridMultilevel"/>
    <w:tmpl w:val="9C3633AE"/>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681DBA"/>
    <w:multiLevelType w:val="multilevel"/>
    <w:tmpl w:val="F7CABFB2"/>
    <w:styleLink w:val="CurrentList6"/>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E980BC3"/>
    <w:multiLevelType w:val="multilevel"/>
    <w:tmpl w:val="67FED95A"/>
    <w:styleLink w:val="CurrentList2"/>
    <w:lvl w:ilvl="0">
      <w:start w:val="1"/>
      <w:numFmt w:val="decimal"/>
      <w:lvlText w:val="%1"/>
      <w:lvlJc w:val="left"/>
      <w:pPr>
        <w:tabs>
          <w:tab w:val="num" w:pos="851"/>
        </w:tabs>
        <w:ind w:left="851" w:hanging="85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6BE277B"/>
    <w:multiLevelType w:val="hybridMultilevel"/>
    <w:tmpl w:val="DE2CE8BC"/>
    <w:lvl w:ilvl="0" w:tplc="1F14A0C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C6C9F"/>
    <w:multiLevelType w:val="multilevel"/>
    <w:tmpl w:val="F7CABFB2"/>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2CF6C8A"/>
    <w:multiLevelType w:val="hybridMultilevel"/>
    <w:tmpl w:val="E9424870"/>
    <w:lvl w:ilvl="0" w:tplc="68A05D72">
      <w:start w:val="1"/>
      <w:numFmt w:val="decimal"/>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A71CE6"/>
    <w:multiLevelType w:val="multilevel"/>
    <w:tmpl w:val="4844C064"/>
    <w:styleLink w:val="CurrentList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27018"/>
    <w:multiLevelType w:val="hybridMultilevel"/>
    <w:tmpl w:val="D83868C0"/>
    <w:lvl w:ilvl="0" w:tplc="255821DE">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12" w15:restartNumberingAfterBreak="0">
    <w:nsid w:val="7CA35238"/>
    <w:multiLevelType w:val="multilevel"/>
    <w:tmpl w:val="4844C064"/>
    <w:styleLink w:val="CurrentList3"/>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60028740">
    <w:abstractNumId w:val="10"/>
  </w:num>
  <w:num w:numId="2" w16cid:durableId="1384862303">
    <w:abstractNumId w:val="9"/>
  </w:num>
  <w:num w:numId="3" w16cid:durableId="1522739935">
    <w:abstractNumId w:val="10"/>
  </w:num>
  <w:num w:numId="4" w16cid:durableId="1820073968">
    <w:abstractNumId w:val="2"/>
  </w:num>
  <w:num w:numId="5" w16cid:durableId="1816289819">
    <w:abstractNumId w:val="7"/>
  </w:num>
  <w:num w:numId="6" w16cid:durableId="2094741792">
    <w:abstractNumId w:val="11"/>
  </w:num>
  <w:num w:numId="7" w16cid:durableId="881406028">
    <w:abstractNumId w:val="5"/>
  </w:num>
  <w:num w:numId="8" w16cid:durableId="421144335">
    <w:abstractNumId w:val="6"/>
  </w:num>
  <w:num w:numId="9" w16cid:durableId="775178311">
    <w:abstractNumId w:val="0"/>
  </w:num>
  <w:num w:numId="10" w16cid:durableId="1514951843">
    <w:abstractNumId w:val="4"/>
  </w:num>
  <w:num w:numId="11" w16cid:durableId="1991247270">
    <w:abstractNumId w:val="12"/>
  </w:num>
  <w:num w:numId="12" w16cid:durableId="1243177201">
    <w:abstractNumId w:val="10"/>
  </w:num>
  <w:num w:numId="13" w16cid:durableId="1572080326">
    <w:abstractNumId w:val="10"/>
  </w:num>
  <w:num w:numId="14" w16cid:durableId="1587298917">
    <w:abstractNumId w:val="8"/>
  </w:num>
  <w:num w:numId="15" w16cid:durableId="508639445">
    <w:abstractNumId w:val="1"/>
  </w:num>
  <w:num w:numId="16" w16cid:durableId="375616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FD"/>
    <w:rsid w:val="00007D54"/>
    <w:rsid w:val="00014C99"/>
    <w:rsid w:val="0002396B"/>
    <w:rsid w:val="00024209"/>
    <w:rsid w:val="00025F87"/>
    <w:rsid w:val="00035AB3"/>
    <w:rsid w:val="00041AEB"/>
    <w:rsid w:val="000446CB"/>
    <w:rsid w:val="0006774D"/>
    <w:rsid w:val="00072083"/>
    <w:rsid w:val="00073038"/>
    <w:rsid w:val="000766EF"/>
    <w:rsid w:val="00077442"/>
    <w:rsid w:val="000E1BF9"/>
    <w:rsid w:val="000F5CB4"/>
    <w:rsid w:val="00104058"/>
    <w:rsid w:val="00112C46"/>
    <w:rsid w:val="00114B50"/>
    <w:rsid w:val="00137A98"/>
    <w:rsid w:val="00140B7D"/>
    <w:rsid w:val="001620CD"/>
    <w:rsid w:val="00173DEB"/>
    <w:rsid w:val="00185B3F"/>
    <w:rsid w:val="001A5B79"/>
    <w:rsid w:val="001A6050"/>
    <w:rsid w:val="001B0203"/>
    <w:rsid w:val="001B2141"/>
    <w:rsid w:val="001D310B"/>
    <w:rsid w:val="00211132"/>
    <w:rsid w:val="00220E4B"/>
    <w:rsid w:val="00223621"/>
    <w:rsid w:val="0023060A"/>
    <w:rsid w:val="00236728"/>
    <w:rsid w:val="00243487"/>
    <w:rsid w:val="00244AB4"/>
    <w:rsid w:val="002521DE"/>
    <w:rsid w:val="00254377"/>
    <w:rsid w:val="0026336A"/>
    <w:rsid w:val="00276D1F"/>
    <w:rsid w:val="0028485C"/>
    <w:rsid w:val="00285D0F"/>
    <w:rsid w:val="002939EE"/>
    <w:rsid w:val="00297B87"/>
    <w:rsid w:val="002B18E3"/>
    <w:rsid w:val="002B304C"/>
    <w:rsid w:val="002C08A8"/>
    <w:rsid w:val="002D47F9"/>
    <w:rsid w:val="00311BC9"/>
    <w:rsid w:val="00313D25"/>
    <w:rsid w:val="00361E2C"/>
    <w:rsid w:val="00363757"/>
    <w:rsid w:val="00367582"/>
    <w:rsid w:val="00383F68"/>
    <w:rsid w:val="003A6AEB"/>
    <w:rsid w:val="003E3E32"/>
    <w:rsid w:val="003E7DD3"/>
    <w:rsid w:val="003F7F11"/>
    <w:rsid w:val="00411509"/>
    <w:rsid w:val="00423F32"/>
    <w:rsid w:val="0043136C"/>
    <w:rsid w:val="00442A48"/>
    <w:rsid w:val="00444EFC"/>
    <w:rsid w:val="00476825"/>
    <w:rsid w:val="00495644"/>
    <w:rsid w:val="00497179"/>
    <w:rsid w:val="004A1AF6"/>
    <w:rsid w:val="004B6F13"/>
    <w:rsid w:val="004E2D1D"/>
    <w:rsid w:val="004E5079"/>
    <w:rsid w:val="004F51B3"/>
    <w:rsid w:val="00514EBA"/>
    <w:rsid w:val="00534811"/>
    <w:rsid w:val="005621AC"/>
    <w:rsid w:val="0056605B"/>
    <w:rsid w:val="00572747"/>
    <w:rsid w:val="005741DF"/>
    <w:rsid w:val="005812F2"/>
    <w:rsid w:val="00581453"/>
    <w:rsid w:val="00586D48"/>
    <w:rsid w:val="005A2747"/>
    <w:rsid w:val="005B08A2"/>
    <w:rsid w:val="005C0B5D"/>
    <w:rsid w:val="005C7797"/>
    <w:rsid w:val="005D50C3"/>
    <w:rsid w:val="005F738B"/>
    <w:rsid w:val="006068A5"/>
    <w:rsid w:val="00654BC2"/>
    <w:rsid w:val="00666BC9"/>
    <w:rsid w:val="00684D4E"/>
    <w:rsid w:val="006A4246"/>
    <w:rsid w:val="006B2D28"/>
    <w:rsid w:val="006C5A66"/>
    <w:rsid w:val="006D5D13"/>
    <w:rsid w:val="006E343E"/>
    <w:rsid w:val="006F11AC"/>
    <w:rsid w:val="00701F60"/>
    <w:rsid w:val="00702903"/>
    <w:rsid w:val="0071282D"/>
    <w:rsid w:val="00736756"/>
    <w:rsid w:val="007377F8"/>
    <w:rsid w:val="00745FA3"/>
    <w:rsid w:val="00767021"/>
    <w:rsid w:val="00771CB9"/>
    <w:rsid w:val="007842BC"/>
    <w:rsid w:val="00794255"/>
    <w:rsid w:val="00794DE0"/>
    <w:rsid w:val="007B1145"/>
    <w:rsid w:val="007B177A"/>
    <w:rsid w:val="007B2344"/>
    <w:rsid w:val="007C1ED6"/>
    <w:rsid w:val="007C6DE6"/>
    <w:rsid w:val="007C7B9F"/>
    <w:rsid w:val="007D1C51"/>
    <w:rsid w:val="007F7188"/>
    <w:rsid w:val="00803C7F"/>
    <w:rsid w:val="00806251"/>
    <w:rsid w:val="00806745"/>
    <w:rsid w:val="0080787D"/>
    <w:rsid w:val="00812CC1"/>
    <w:rsid w:val="008216CA"/>
    <w:rsid w:val="0082201C"/>
    <w:rsid w:val="00830EC6"/>
    <w:rsid w:val="008374E6"/>
    <w:rsid w:val="008475BB"/>
    <w:rsid w:val="008506FF"/>
    <w:rsid w:val="00854004"/>
    <w:rsid w:val="00881C79"/>
    <w:rsid w:val="008A0590"/>
    <w:rsid w:val="008D4787"/>
    <w:rsid w:val="008E438A"/>
    <w:rsid w:val="00926B9B"/>
    <w:rsid w:val="009342FE"/>
    <w:rsid w:val="00935B86"/>
    <w:rsid w:val="0093751E"/>
    <w:rsid w:val="00951767"/>
    <w:rsid w:val="0097495B"/>
    <w:rsid w:val="00986434"/>
    <w:rsid w:val="009923E4"/>
    <w:rsid w:val="009965CE"/>
    <w:rsid w:val="009967DB"/>
    <w:rsid w:val="009A3D73"/>
    <w:rsid w:val="009B1171"/>
    <w:rsid w:val="009C2793"/>
    <w:rsid w:val="009C720E"/>
    <w:rsid w:val="009D5C28"/>
    <w:rsid w:val="009D69B6"/>
    <w:rsid w:val="009E64A6"/>
    <w:rsid w:val="009F3A4F"/>
    <w:rsid w:val="00A216CD"/>
    <w:rsid w:val="00A568B2"/>
    <w:rsid w:val="00A91FFA"/>
    <w:rsid w:val="00AA67FC"/>
    <w:rsid w:val="00AD113E"/>
    <w:rsid w:val="00B02C06"/>
    <w:rsid w:val="00B20D74"/>
    <w:rsid w:val="00B35234"/>
    <w:rsid w:val="00B36705"/>
    <w:rsid w:val="00B44E63"/>
    <w:rsid w:val="00B5588D"/>
    <w:rsid w:val="00BA5E09"/>
    <w:rsid w:val="00BB7A12"/>
    <w:rsid w:val="00BC25B1"/>
    <w:rsid w:val="00BD1921"/>
    <w:rsid w:val="00BD19E9"/>
    <w:rsid w:val="00BE5916"/>
    <w:rsid w:val="00BE72D5"/>
    <w:rsid w:val="00C000D7"/>
    <w:rsid w:val="00C56C9D"/>
    <w:rsid w:val="00C63232"/>
    <w:rsid w:val="00C769FA"/>
    <w:rsid w:val="00C7771E"/>
    <w:rsid w:val="00C91393"/>
    <w:rsid w:val="00C92B80"/>
    <w:rsid w:val="00CA19FD"/>
    <w:rsid w:val="00CC1349"/>
    <w:rsid w:val="00CD1B5C"/>
    <w:rsid w:val="00CE5CFC"/>
    <w:rsid w:val="00CF2C76"/>
    <w:rsid w:val="00D03A30"/>
    <w:rsid w:val="00D10B73"/>
    <w:rsid w:val="00D162EC"/>
    <w:rsid w:val="00D306AB"/>
    <w:rsid w:val="00D4134E"/>
    <w:rsid w:val="00D50628"/>
    <w:rsid w:val="00D57233"/>
    <w:rsid w:val="00D80730"/>
    <w:rsid w:val="00D80751"/>
    <w:rsid w:val="00D84114"/>
    <w:rsid w:val="00D91C6F"/>
    <w:rsid w:val="00DB125B"/>
    <w:rsid w:val="00DB3B3B"/>
    <w:rsid w:val="00DB3C76"/>
    <w:rsid w:val="00DC3E7A"/>
    <w:rsid w:val="00DC5CD6"/>
    <w:rsid w:val="00DF3880"/>
    <w:rsid w:val="00E02DC1"/>
    <w:rsid w:val="00E12760"/>
    <w:rsid w:val="00E3443B"/>
    <w:rsid w:val="00E35923"/>
    <w:rsid w:val="00E502F8"/>
    <w:rsid w:val="00E6527A"/>
    <w:rsid w:val="00E662AA"/>
    <w:rsid w:val="00E8358C"/>
    <w:rsid w:val="00E85857"/>
    <w:rsid w:val="00EC5D4E"/>
    <w:rsid w:val="00ED1D44"/>
    <w:rsid w:val="00ED42CE"/>
    <w:rsid w:val="00EF3BC0"/>
    <w:rsid w:val="00F0006C"/>
    <w:rsid w:val="00F04988"/>
    <w:rsid w:val="00F10897"/>
    <w:rsid w:val="00F1378F"/>
    <w:rsid w:val="00F1757F"/>
    <w:rsid w:val="00F32279"/>
    <w:rsid w:val="00F4607A"/>
    <w:rsid w:val="00F50DCD"/>
    <w:rsid w:val="00F56007"/>
    <w:rsid w:val="00F734B6"/>
    <w:rsid w:val="00FA6858"/>
    <w:rsid w:val="00FB5291"/>
    <w:rsid w:val="00FC54A0"/>
    <w:rsid w:val="00FE0634"/>
    <w:rsid w:val="00FF1A55"/>
    <w:rsid w:val="094478DA"/>
    <w:rsid w:val="19E8EA58"/>
    <w:rsid w:val="1A2A976B"/>
    <w:rsid w:val="20D1CCD1"/>
    <w:rsid w:val="61D641B6"/>
    <w:rsid w:val="7873B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8A47D5"/>
  <w14:defaultImageDpi w14:val="0"/>
  <w15:docId w15:val="{EA988DA8-A535-401B-9062-BE0E0497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11"/>
    <w:pPr>
      <w:suppressAutoHyphens/>
      <w:spacing w:after="200" w:line="240" w:lineRule="atLeast"/>
    </w:pPr>
    <w:rPr>
      <w:rFonts w:ascii="Arial" w:eastAsia="MS Mincho" w:hAnsi="Arial" w:cs="Arial"/>
      <w:sz w:val="22"/>
      <w:szCs w:val="32"/>
      <w:lang w:eastAsia="en-US"/>
    </w:rPr>
  </w:style>
  <w:style w:type="paragraph" w:styleId="Heading1">
    <w:name w:val="heading 1"/>
    <w:basedOn w:val="Normal"/>
    <w:next w:val="Normal"/>
    <w:link w:val="Heading1Char"/>
    <w:uiPriority w:val="9"/>
    <w:qFormat/>
    <w:rsid w:val="00534811"/>
    <w:pPr>
      <w:keepNext/>
      <w:keepLines/>
      <w:numPr>
        <w:numId w:val="8"/>
      </w:numPr>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534811"/>
    <w:pPr>
      <w:keepNext/>
      <w:keepLines/>
      <w:numPr>
        <w:ilvl w:val="1"/>
        <w:numId w:val="8"/>
      </w:numPr>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534811"/>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534811"/>
    <w:pPr>
      <w:keepNext/>
      <w:keepLines/>
      <w:numPr>
        <w:ilvl w:val="3"/>
        <w:numId w:val="8"/>
      </w:numPr>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534811"/>
    <w:pPr>
      <w:numPr>
        <w:ilvl w:val="4"/>
        <w:numId w:val="8"/>
      </w:numPr>
      <w:spacing w:before="240" w:after="60"/>
      <w:outlineLvl w:val="4"/>
    </w:pPr>
    <w:rPr>
      <w:rFonts w:cs="Times New Roman"/>
      <w:b/>
      <w:bCs/>
      <w:iCs/>
      <w:szCs w:val="26"/>
    </w:rPr>
  </w:style>
  <w:style w:type="paragraph" w:styleId="Heading6">
    <w:name w:val="heading 6"/>
    <w:basedOn w:val="Normal"/>
    <w:next w:val="Normal"/>
    <w:link w:val="Heading6Char"/>
    <w:uiPriority w:val="9"/>
    <w:unhideWhenUsed/>
    <w:qFormat/>
    <w:rsid w:val="00534811"/>
    <w:pPr>
      <w:numPr>
        <w:ilvl w:val="5"/>
        <w:numId w:val="8"/>
      </w:numPr>
      <w:spacing w:before="240" w:after="60"/>
      <w:outlineLvl w:val="5"/>
    </w:pPr>
    <w:rPr>
      <w:rFonts w:eastAsia="Times New Roman" w:cs="Times New Roman"/>
      <w:b/>
      <w:bCs/>
      <w:sz w:val="18"/>
      <w:szCs w:val="22"/>
    </w:rPr>
  </w:style>
  <w:style w:type="paragraph" w:styleId="Heading7">
    <w:name w:val="heading 7"/>
    <w:basedOn w:val="Normal"/>
    <w:next w:val="Normal"/>
    <w:link w:val="Heading7Char"/>
    <w:uiPriority w:val="9"/>
    <w:semiHidden/>
    <w:unhideWhenUsed/>
    <w:qFormat/>
    <w:rsid w:val="00534811"/>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3481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481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H1">
    <w:name w:val="H1"/>
    <w:basedOn w:val="NoParagraphStyle"/>
    <w:uiPriority w:val="99"/>
    <w:pPr>
      <w:suppressAutoHyphens/>
      <w:spacing w:before="454" w:after="227" w:line="400" w:lineRule="atLeast"/>
    </w:pPr>
    <w:rPr>
      <w:rFonts w:ascii="VIC Medium" w:hAnsi="VIC Medium" w:cs="VIC Medium"/>
      <w:color w:val="007B4B"/>
      <w:spacing w:val="-2"/>
      <w:sz w:val="36"/>
      <w:szCs w:val="36"/>
      <w:lang w:val="en-GB"/>
    </w:rPr>
  </w:style>
  <w:style w:type="paragraph" w:customStyle="1" w:styleId="INTRO">
    <w:name w:val="INTRO"/>
    <w:basedOn w:val="NoParagraphStyle"/>
    <w:uiPriority w:val="99"/>
    <w:pPr>
      <w:suppressAutoHyphens/>
      <w:spacing w:after="85" w:line="280" w:lineRule="atLeast"/>
    </w:pPr>
    <w:rPr>
      <w:rFonts w:ascii="VIC Light" w:hAnsi="VIC Light" w:cs="VIC Light"/>
      <w:color w:val="007B4B"/>
      <w:lang w:val="en-GB"/>
    </w:rPr>
  </w:style>
  <w:style w:type="paragraph" w:customStyle="1" w:styleId="BODY">
    <w:name w:val="BODY"/>
    <w:basedOn w:val="Normal"/>
    <w:uiPriority w:val="99"/>
    <w:rsid w:val="00702903"/>
    <w:pPr>
      <w:autoSpaceDE w:val="0"/>
      <w:autoSpaceDN w:val="0"/>
      <w:adjustRightInd w:val="0"/>
      <w:spacing w:after="113"/>
      <w:textAlignment w:val="center"/>
    </w:pPr>
    <w:rPr>
      <w:rFonts w:ascii="VIC Medium Italic" w:hAnsi="VIC Medium Italic" w:cs="VIC Medium Italic"/>
      <w:color w:val="000000"/>
      <w:szCs w:val="20"/>
      <w:lang w:val="en-GB" w:eastAsia="en-GB"/>
    </w:rPr>
  </w:style>
  <w:style w:type="paragraph" w:customStyle="1" w:styleId="H2">
    <w:name w:val="H2"/>
    <w:basedOn w:val="NoParagraphStyle"/>
    <w:uiPriority w:val="99"/>
    <w:pPr>
      <w:tabs>
        <w:tab w:val="left" w:pos="454"/>
      </w:tabs>
      <w:suppressAutoHyphens/>
      <w:spacing w:before="170" w:after="170" w:line="280" w:lineRule="atLeast"/>
    </w:pPr>
    <w:rPr>
      <w:rFonts w:ascii="VIC Medium" w:hAnsi="VIC Medium" w:cs="VIC Medium"/>
      <w:color w:val="78BE20"/>
      <w:lang w:val="en-GB"/>
    </w:rPr>
  </w:style>
  <w:style w:type="paragraph" w:customStyle="1" w:styleId="BULLETL1">
    <w:name w:val="BULLET L1"/>
    <w:basedOn w:val="BODY"/>
    <w:uiPriority w:val="99"/>
    <w:pPr>
      <w:ind w:left="340" w:hanging="340"/>
    </w:pPr>
  </w:style>
  <w:style w:type="paragraph" w:customStyle="1" w:styleId="BULLETL1last">
    <w:name w:val="BULLET L1 last"/>
    <w:basedOn w:val="BULLETL1"/>
    <w:uiPriority w:val="99"/>
    <w:pPr>
      <w:spacing w:after="170"/>
    </w:pPr>
  </w:style>
  <w:style w:type="paragraph" w:customStyle="1" w:styleId="H3">
    <w:name w:val="H3"/>
    <w:basedOn w:val="NoParagraphStyle"/>
    <w:uiPriority w:val="99"/>
    <w:pPr>
      <w:suppressAutoHyphens/>
      <w:spacing w:before="170" w:after="113" w:line="220" w:lineRule="atLeast"/>
    </w:pPr>
    <w:rPr>
      <w:rFonts w:ascii="VIC" w:hAnsi="VIC" w:cs="VIC"/>
      <w:b/>
      <w:bCs/>
      <w:spacing w:val="-1"/>
      <w:sz w:val="20"/>
      <w:szCs w:val="20"/>
      <w:lang w:val="en-GB"/>
    </w:rPr>
  </w:style>
  <w:style w:type="paragraph" w:customStyle="1" w:styleId="BACKCOVERCONTACTS">
    <w:name w:val="BACK COVER CONTACTS"/>
    <w:basedOn w:val="NoParagraphStyle"/>
    <w:uiPriority w:val="99"/>
    <w:pPr>
      <w:suppressAutoHyphens/>
      <w:spacing w:after="170" w:line="240" w:lineRule="atLeast"/>
    </w:pPr>
    <w:rPr>
      <w:rFonts w:ascii="VIC Light" w:hAnsi="VIC Light" w:cs="VIC Light"/>
      <w:spacing w:val="-1"/>
      <w:sz w:val="18"/>
      <w:szCs w:val="18"/>
      <w:lang w:val="en-GB"/>
    </w:rPr>
  </w:style>
  <w:style w:type="paragraph" w:customStyle="1" w:styleId="FOOTNOTE">
    <w:name w:val="FOOTNOTE"/>
    <w:basedOn w:val="BODY"/>
    <w:uiPriority w:val="99"/>
    <w:rsid w:val="00534811"/>
    <w:pPr>
      <w:spacing w:after="40" w:line="200" w:lineRule="atLeast"/>
      <w:ind w:left="340" w:hanging="340"/>
    </w:pPr>
    <w:rPr>
      <w:rFonts w:asciiTheme="minorHAnsi" w:hAnsiTheme="minorHAnsi"/>
      <w:sz w:val="16"/>
      <w:szCs w:val="16"/>
    </w:rPr>
  </w:style>
  <w:style w:type="paragraph" w:customStyle="1" w:styleId="BULLETL1Table">
    <w:name w:val="BULLET L1 (Table)"/>
    <w:basedOn w:val="BODY"/>
    <w:uiPriority w:val="99"/>
    <w:pPr>
      <w:ind w:left="142" w:hanging="142"/>
    </w:pPr>
  </w:style>
  <w:style w:type="paragraph" w:customStyle="1" w:styleId="BULLETL2Table">
    <w:name w:val="BULLET L2 (Table)"/>
    <w:basedOn w:val="NoParagraphStyle"/>
    <w:uiPriority w:val="99"/>
    <w:pPr>
      <w:suppressAutoHyphens/>
      <w:spacing w:after="57" w:line="220" w:lineRule="atLeast"/>
      <w:ind w:left="397" w:hanging="227"/>
    </w:pPr>
    <w:rPr>
      <w:rFonts w:ascii="VIC Light" w:hAnsi="VIC Light" w:cs="VIC Light"/>
      <w:sz w:val="16"/>
      <w:szCs w:val="16"/>
      <w:lang w:val="en-GB"/>
    </w:rPr>
  </w:style>
  <w:style w:type="character" w:customStyle="1" w:styleId="BOLD">
    <w:name w:val="BOLD"/>
    <w:uiPriority w:val="99"/>
    <w:rPr>
      <w:rFonts w:ascii="VIC Medium" w:hAnsi="VIC Medium" w:cs="VIC Medium"/>
    </w:rPr>
  </w:style>
  <w:style w:type="character" w:customStyle="1" w:styleId="ITALIC">
    <w:name w:val="ITALIC"/>
    <w:uiPriority w:val="99"/>
    <w:rsid w:val="002B18E3"/>
    <w:rPr>
      <w:rFonts w:asciiTheme="minorHAnsi" w:hAnsiTheme="minorHAnsi" w:cs="VIC Light Italic"/>
      <w:i/>
      <w:iCs/>
    </w:rPr>
  </w:style>
  <w:style w:type="character" w:styleId="Hyperlink">
    <w:name w:val="Hyperlink"/>
    <w:uiPriority w:val="99"/>
    <w:unhideWhenUsed/>
    <w:rsid w:val="00702903"/>
    <w:rPr>
      <w:rFonts w:ascii="Arial" w:hAnsi="Arial"/>
      <w:color w:val="0000FF"/>
      <w:u w:val="single"/>
    </w:rPr>
  </w:style>
  <w:style w:type="paragraph" w:styleId="BodyText">
    <w:name w:val="Body Text"/>
    <w:basedOn w:val="Normal"/>
    <w:link w:val="BodyTextChar"/>
    <w:uiPriority w:val="99"/>
    <w:unhideWhenUsed/>
    <w:rsid w:val="00702903"/>
    <w:pPr>
      <w:spacing w:after="120"/>
    </w:pPr>
  </w:style>
  <w:style w:type="character" w:customStyle="1" w:styleId="BodyTextChar">
    <w:name w:val="Body Text Char"/>
    <w:link w:val="BodyText"/>
    <w:uiPriority w:val="99"/>
    <w:rsid w:val="00702903"/>
    <w:rPr>
      <w:rFonts w:ascii="Arial" w:eastAsia="MS Mincho" w:hAnsi="Arial" w:cs="Arial"/>
      <w:sz w:val="22"/>
      <w:szCs w:val="32"/>
      <w:lang w:eastAsia="en-US"/>
    </w:rPr>
  </w:style>
  <w:style w:type="paragraph" w:styleId="BodyTextIndent">
    <w:name w:val="Body Text Indent"/>
    <w:basedOn w:val="Normal"/>
    <w:link w:val="BodyTextIndentChar"/>
    <w:uiPriority w:val="99"/>
    <w:semiHidden/>
    <w:unhideWhenUsed/>
    <w:rsid w:val="00702903"/>
    <w:pPr>
      <w:spacing w:after="120"/>
      <w:ind w:left="283"/>
    </w:pPr>
  </w:style>
  <w:style w:type="character" w:customStyle="1" w:styleId="BodyTextIndentChar">
    <w:name w:val="Body Text Indent Char"/>
    <w:link w:val="BodyTextIndent"/>
    <w:uiPriority w:val="99"/>
    <w:semiHidden/>
    <w:rsid w:val="00702903"/>
    <w:rPr>
      <w:rFonts w:ascii="Arial" w:eastAsia="MS Mincho" w:hAnsi="Arial" w:cs="Arial"/>
      <w:sz w:val="22"/>
      <w:szCs w:val="32"/>
      <w:lang w:eastAsia="en-US"/>
    </w:rPr>
  </w:style>
  <w:style w:type="character" w:styleId="BookTitle">
    <w:name w:val="Book Title"/>
    <w:uiPriority w:val="33"/>
    <w:qFormat/>
    <w:rsid w:val="00702903"/>
    <w:rPr>
      <w:rFonts w:ascii="Arial" w:hAnsi="Arial"/>
      <w:b/>
      <w:bCs/>
      <w:i/>
      <w:iCs/>
      <w:spacing w:val="5"/>
    </w:rPr>
  </w:style>
  <w:style w:type="paragraph" w:customStyle="1" w:styleId="Bullet">
    <w:name w:val="Bullet"/>
    <w:basedOn w:val="Normal"/>
    <w:qFormat/>
    <w:rsid w:val="00702903"/>
    <w:pPr>
      <w:numPr>
        <w:numId w:val="3"/>
      </w:numPr>
      <w:spacing w:after="120"/>
    </w:pPr>
  </w:style>
  <w:style w:type="paragraph" w:customStyle="1" w:styleId="Bullet2">
    <w:name w:val="Bullet 2"/>
    <w:basedOn w:val="Bullet"/>
    <w:qFormat/>
    <w:rsid w:val="00702903"/>
    <w:pPr>
      <w:numPr>
        <w:numId w:val="2"/>
      </w:numPr>
    </w:pPr>
  </w:style>
  <w:style w:type="paragraph" w:customStyle="1" w:styleId="Bulletlast">
    <w:name w:val="Bullet last"/>
    <w:basedOn w:val="Bullet"/>
    <w:qFormat/>
    <w:rsid w:val="00702903"/>
    <w:pPr>
      <w:spacing w:after="200"/>
    </w:pPr>
  </w:style>
  <w:style w:type="paragraph" w:customStyle="1" w:styleId="Default">
    <w:name w:val="Default"/>
    <w:rsid w:val="00702903"/>
    <w:pPr>
      <w:autoSpaceDE w:val="0"/>
      <w:autoSpaceDN w:val="0"/>
      <w:adjustRightInd w:val="0"/>
    </w:pPr>
    <w:rPr>
      <w:rFonts w:ascii="Arial" w:eastAsiaTheme="minorHAnsi" w:hAnsi="Arial" w:cs="Arial"/>
      <w:color w:val="000000"/>
      <w:lang w:eastAsia="en-US"/>
    </w:rPr>
  </w:style>
  <w:style w:type="character" w:styleId="Emphasis">
    <w:name w:val="Emphasis"/>
    <w:uiPriority w:val="20"/>
    <w:qFormat/>
    <w:rsid w:val="00702903"/>
    <w:rPr>
      <w:rFonts w:ascii="Arial" w:hAnsi="Arial"/>
      <w:i/>
      <w:iCs/>
    </w:rPr>
  </w:style>
  <w:style w:type="character" w:styleId="FollowedHyperlink">
    <w:name w:val="FollowedHyperlink"/>
    <w:uiPriority w:val="99"/>
    <w:semiHidden/>
    <w:unhideWhenUsed/>
    <w:rsid w:val="00702903"/>
    <w:rPr>
      <w:color w:val="800080"/>
      <w:u w:val="single"/>
    </w:rPr>
  </w:style>
  <w:style w:type="paragraph" w:styleId="Footer">
    <w:name w:val="footer"/>
    <w:basedOn w:val="Normal"/>
    <w:link w:val="FooterChar"/>
    <w:uiPriority w:val="99"/>
    <w:unhideWhenUsed/>
    <w:rsid w:val="00702903"/>
    <w:pPr>
      <w:tabs>
        <w:tab w:val="center" w:pos="4320"/>
        <w:tab w:val="right" w:pos="9639"/>
      </w:tabs>
      <w:spacing w:after="0" w:line="200" w:lineRule="atLeast"/>
    </w:pPr>
    <w:rPr>
      <w:sz w:val="16"/>
    </w:rPr>
  </w:style>
  <w:style w:type="character" w:customStyle="1" w:styleId="FooterChar">
    <w:name w:val="Footer Char"/>
    <w:link w:val="Footer"/>
    <w:uiPriority w:val="99"/>
    <w:rsid w:val="00702903"/>
    <w:rPr>
      <w:rFonts w:ascii="Arial" w:eastAsia="MS Mincho" w:hAnsi="Arial" w:cs="Arial"/>
      <w:sz w:val="16"/>
      <w:szCs w:val="32"/>
      <w:lang w:eastAsia="en-US"/>
    </w:rPr>
  </w:style>
  <w:style w:type="character" w:styleId="FootnoteReference">
    <w:name w:val="footnote reference"/>
    <w:uiPriority w:val="99"/>
    <w:unhideWhenUsed/>
    <w:rsid w:val="00702903"/>
    <w:rPr>
      <w:rFonts w:ascii="Arial" w:hAnsi="Arial"/>
      <w:vertAlign w:val="superscript"/>
    </w:rPr>
  </w:style>
  <w:style w:type="paragraph" w:styleId="FootnoteText">
    <w:name w:val="footnote text"/>
    <w:basedOn w:val="Normal"/>
    <w:link w:val="FootnoteTextChar"/>
    <w:uiPriority w:val="99"/>
    <w:unhideWhenUsed/>
    <w:rsid w:val="00702903"/>
    <w:rPr>
      <w:sz w:val="16"/>
    </w:rPr>
  </w:style>
  <w:style w:type="character" w:customStyle="1" w:styleId="FootnoteTextChar">
    <w:name w:val="Footnote Text Char"/>
    <w:link w:val="FootnoteText"/>
    <w:uiPriority w:val="99"/>
    <w:rsid w:val="00702903"/>
    <w:rPr>
      <w:rFonts w:ascii="Arial" w:eastAsia="MS Mincho" w:hAnsi="Arial" w:cs="Arial"/>
      <w:sz w:val="16"/>
      <w:szCs w:val="32"/>
      <w:lang w:eastAsia="en-US"/>
    </w:rPr>
  </w:style>
  <w:style w:type="paragraph" w:styleId="Header">
    <w:name w:val="header"/>
    <w:basedOn w:val="Normal"/>
    <w:link w:val="HeaderChar"/>
    <w:uiPriority w:val="99"/>
    <w:unhideWhenUsed/>
    <w:rsid w:val="00702903"/>
    <w:pPr>
      <w:tabs>
        <w:tab w:val="center" w:pos="4320"/>
        <w:tab w:val="right" w:pos="8640"/>
      </w:tabs>
    </w:pPr>
  </w:style>
  <w:style w:type="character" w:customStyle="1" w:styleId="HeaderChar">
    <w:name w:val="Header Char"/>
    <w:link w:val="Header"/>
    <w:uiPriority w:val="99"/>
    <w:rsid w:val="00702903"/>
    <w:rPr>
      <w:rFonts w:ascii="Arial" w:eastAsia="MS Mincho" w:hAnsi="Arial" w:cs="Arial"/>
      <w:sz w:val="22"/>
      <w:szCs w:val="32"/>
      <w:lang w:eastAsia="en-US"/>
    </w:rPr>
  </w:style>
  <w:style w:type="character" w:customStyle="1" w:styleId="Heading1Char">
    <w:name w:val="Heading 1 Char"/>
    <w:link w:val="Heading1"/>
    <w:uiPriority w:val="9"/>
    <w:rsid w:val="00534811"/>
    <w:rPr>
      <w:rFonts w:ascii="Arial" w:eastAsia="MS Gothic" w:hAnsi="Arial" w:cs="Times New Roman"/>
      <w:b/>
      <w:bCs/>
      <w:sz w:val="36"/>
      <w:szCs w:val="32"/>
      <w:lang w:eastAsia="en-US"/>
    </w:rPr>
  </w:style>
  <w:style w:type="character" w:customStyle="1" w:styleId="Heading2Char">
    <w:name w:val="Heading 2 Char"/>
    <w:link w:val="Heading2"/>
    <w:uiPriority w:val="9"/>
    <w:rsid w:val="00702903"/>
    <w:rPr>
      <w:rFonts w:ascii="Arial" w:eastAsia="MS Gothic" w:hAnsi="Arial" w:cs="Times New Roman"/>
      <w:b/>
      <w:bCs/>
      <w:sz w:val="32"/>
      <w:szCs w:val="26"/>
      <w:lang w:eastAsia="en-US"/>
    </w:rPr>
  </w:style>
  <w:style w:type="paragraph" w:customStyle="1" w:styleId="Heading2numbered">
    <w:name w:val="Heading 2 numbered"/>
    <w:basedOn w:val="Heading2"/>
    <w:qFormat/>
    <w:rsid w:val="00702903"/>
    <w:pPr>
      <w:numPr>
        <w:ilvl w:val="0"/>
        <w:numId w:val="4"/>
      </w:numPr>
    </w:pPr>
  </w:style>
  <w:style w:type="character" w:customStyle="1" w:styleId="Heading3Char">
    <w:name w:val="Heading 3 Char"/>
    <w:link w:val="Heading3"/>
    <w:uiPriority w:val="9"/>
    <w:rsid w:val="00534811"/>
    <w:rPr>
      <w:rFonts w:ascii="Arial" w:eastAsia="MS Gothic" w:hAnsi="Arial" w:cs="Arial"/>
      <w:b/>
      <w:bCs/>
      <w:sz w:val="28"/>
      <w:szCs w:val="32"/>
      <w:lang w:eastAsia="en-US"/>
    </w:rPr>
  </w:style>
  <w:style w:type="character" w:customStyle="1" w:styleId="Heading4Char">
    <w:name w:val="Heading 4 Char"/>
    <w:link w:val="Heading4"/>
    <w:uiPriority w:val="9"/>
    <w:rsid w:val="00702903"/>
    <w:rPr>
      <w:rFonts w:ascii="Arial" w:eastAsia="MS Gothic" w:hAnsi="Arial" w:cs="Arial"/>
      <w:b/>
      <w:bCs/>
      <w:iCs/>
      <w:szCs w:val="32"/>
      <w:lang w:eastAsia="en-US"/>
    </w:rPr>
  </w:style>
  <w:style w:type="character" w:customStyle="1" w:styleId="Heading5Char">
    <w:name w:val="Heading 5 Char"/>
    <w:link w:val="Heading5"/>
    <w:uiPriority w:val="9"/>
    <w:rsid w:val="00702903"/>
    <w:rPr>
      <w:rFonts w:ascii="Arial" w:eastAsia="MS Mincho" w:hAnsi="Arial" w:cs="Times New Roman"/>
      <w:b/>
      <w:bCs/>
      <w:iCs/>
      <w:sz w:val="22"/>
      <w:szCs w:val="26"/>
      <w:lang w:eastAsia="en-US"/>
    </w:rPr>
  </w:style>
  <w:style w:type="character" w:customStyle="1" w:styleId="Heading6Char">
    <w:name w:val="Heading 6 Char"/>
    <w:link w:val="Heading6"/>
    <w:uiPriority w:val="9"/>
    <w:rsid w:val="00702903"/>
    <w:rPr>
      <w:rFonts w:ascii="Arial" w:eastAsia="Times New Roman" w:hAnsi="Arial" w:cs="Times New Roman"/>
      <w:b/>
      <w:bCs/>
      <w:sz w:val="18"/>
      <w:szCs w:val="22"/>
      <w:lang w:eastAsia="en-US"/>
    </w:rPr>
  </w:style>
  <w:style w:type="character" w:styleId="IntenseEmphasis">
    <w:name w:val="Intense Emphasis"/>
    <w:uiPriority w:val="21"/>
    <w:qFormat/>
    <w:rsid w:val="00702903"/>
    <w:rPr>
      <w:rFonts w:ascii="Arial" w:hAnsi="Arial"/>
      <w:i/>
      <w:iCs/>
      <w:color w:val="5B9BD5"/>
    </w:rPr>
  </w:style>
  <w:style w:type="character" w:styleId="IntenseReference">
    <w:name w:val="Intense Reference"/>
    <w:uiPriority w:val="32"/>
    <w:qFormat/>
    <w:rsid w:val="00702903"/>
    <w:rPr>
      <w:rFonts w:ascii="Arial" w:hAnsi="Arial"/>
      <w:b/>
      <w:bCs/>
      <w:smallCaps/>
      <w:color w:val="5B9BD5"/>
      <w:spacing w:val="5"/>
    </w:rPr>
  </w:style>
  <w:style w:type="paragraph" w:styleId="ListParagraph">
    <w:name w:val="List Paragraph"/>
    <w:basedOn w:val="Normal"/>
    <w:uiPriority w:val="34"/>
    <w:qFormat/>
    <w:rsid w:val="00702903"/>
    <w:pPr>
      <w:numPr>
        <w:numId w:val="6"/>
      </w:numPr>
      <w:tabs>
        <w:tab w:val="left" w:pos="2180"/>
        <w:tab w:val="left" w:pos="2181"/>
      </w:tabs>
      <w:spacing w:after="120"/>
    </w:pPr>
    <w:rPr>
      <w:rFonts w:eastAsia="Times New Roman"/>
      <w:color w:val="383834"/>
      <w:lang w:eastAsia="en-GB"/>
    </w:rPr>
  </w:style>
  <w:style w:type="paragraph" w:styleId="NormalWeb">
    <w:name w:val="Normal (Web)"/>
    <w:basedOn w:val="Normal"/>
    <w:uiPriority w:val="99"/>
    <w:semiHidden/>
    <w:unhideWhenUsed/>
    <w:rsid w:val="00702903"/>
    <w:pPr>
      <w:spacing w:before="100" w:beforeAutospacing="1" w:after="100" w:afterAutospacing="1"/>
    </w:pPr>
    <w:rPr>
      <w:rFonts w:ascii="Times New Roman" w:eastAsia="Times New Roman" w:hAnsi="Times New Roman" w:cs="Times New Roman"/>
      <w:sz w:val="24"/>
      <w:lang w:eastAsia="en-GB"/>
    </w:rPr>
  </w:style>
  <w:style w:type="character" w:styleId="PageNumber">
    <w:name w:val="page number"/>
    <w:uiPriority w:val="99"/>
    <w:semiHidden/>
    <w:unhideWhenUsed/>
    <w:rsid w:val="00702903"/>
  </w:style>
  <w:style w:type="character" w:styleId="Strong">
    <w:name w:val="Strong"/>
    <w:uiPriority w:val="22"/>
    <w:qFormat/>
    <w:rsid w:val="00702903"/>
    <w:rPr>
      <w:rFonts w:ascii="Arial" w:hAnsi="Arial"/>
      <w:b/>
      <w:bCs/>
    </w:rPr>
  </w:style>
  <w:style w:type="paragraph" w:styleId="Subtitle">
    <w:name w:val="Subtitle"/>
    <w:basedOn w:val="Normal"/>
    <w:next w:val="Normal"/>
    <w:link w:val="SubtitleChar"/>
    <w:uiPriority w:val="11"/>
    <w:qFormat/>
    <w:rsid w:val="00702903"/>
    <w:pPr>
      <w:spacing w:after="360"/>
      <w:outlineLvl w:val="1"/>
    </w:pPr>
    <w:rPr>
      <w:rFonts w:eastAsia="Times New Roman" w:cs="Times New Roman"/>
      <w:b/>
      <w:bCs/>
      <w:sz w:val="24"/>
    </w:rPr>
  </w:style>
  <w:style w:type="character" w:customStyle="1" w:styleId="SubtitleChar">
    <w:name w:val="Subtitle Char"/>
    <w:link w:val="Subtitle"/>
    <w:uiPriority w:val="11"/>
    <w:rsid w:val="00702903"/>
    <w:rPr>
      <w:rFonts w:ascii="Arial" w:eastAsia="Times New Roman" w:hAnsi="Arial" w:cs="Times New Roman"/>
      <w:b/>
      <w:bCs/>
      <w:szCs w:val="32"/>
      <w:lang w:eastAsia="en-US"/>
    </w:rPr>
  </w:style>
  <w:style w:type="character" w:styleId="SubtleEmphasis">
    <w:name w:val="Subtle Emphasis"/>
    <w:uiPriority w:val="19"/>
    <w:qFormat/>
    <w:rsid w:val="00702903"/>
    <w:rPr>
      <w:rFonts w:ascii="Arial" w:hAnsi="Arial"/>
      <w:i/>
      <w:iCs/>
      <w:color w:val="404040"/>
    </w:rPr>
  </w:style>
  <w:style w:type="character" w:styleId="SubtleReference">
    <w:name w:val="Subtle Reference"/>
    <w:uiPriority w:val="31"/>
    <w:qFormat/>
    <w:rsid w:val="00702903"/>
    <w:rPr>
      <w:rFonts w:ascii="Arial" w:hAnsi="Arial"/>
      <w:smallCaps/>
      <w:color w:val="5A5A5A"/>
    </w:rPr>
  </w:style>
  <w:style w:type="paragraph" w:customStyle="1" w:styleId="TableParagraph">
    <w:name w:val="Table Paragraph"/>
    <w:basedOn w:val="Normal"/>
    <w:uiPriority w:val="1"/>
    <w:qFormat/>
    <w:rsid w:val="00702903"/>
    <w:pPr>
      <w:spacing w:before="60" w:after="60" w:line="220" w:lineRule="atLeast"/>
    </w:pPr>
    <w:rPr>
      <w:rFonts w:eastAsia="Arial"/>
      <w:sz w:val="18"/>
      <w:szCs w:val="22"/>
      <w:lang w:eastAsia="en-GB"/>
    </w:rPr>
  </w:style>
  <w:style w:type="paragraph" w:customStyle="1" w:styleId="TableCopy">
    <w:name w:val="Table Copy"/>
    <w:basedOn w:val="TableParagraph"/>
    <w:qFormat/>
    <w:rsid w:val="00702903"/>
    <w:rPr>
      <w:sz w:val="22"/>
    </w:rPr>
  </w:style>
  <w:style w:type="paragraph" w:customStyle="1" w:styleId="TableBullet">
    <w:name w:val="Table Bullet"/>
    <w:basedOn w:val="TableCopy"/>
    <w:qFormat/>
    <w:rsid w:val="00702903"/>
    <w:pPr>
      <w:numPr>
        <w:numId w:val="7"/>
      </w:numPr>
    </w:pPr>
  </w:style>
  <w:style w:type="table" w:styleId="TableGrid">
    <w:name w:val="Table Grid"/>
    <w:basedOn w:val="TableNormal"/>
    <w:uiPriority w:val="59"/>
    <w:rsid w:val="00702903"/>
    <w:rPr>
      <w:rFonts w:ascii="Cambria" w:eastAsia="MS Mincho" w:hAnsi="Cambria"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GridLight">
    <w:name w:val="Grid Table Light"/>
    <w:basedOn w:val="TableNormal"/>
    <w:uiPriority w:val="40"/>
    <w:rsid w:val="00702903"/>
    <w:pPr>
      <w:widowControl w:val="0"/>
      <w:autoSpaceDE w:val="0"/>
      <w:autoSpaceDN w:val="0"/>
    </w:pPr>
    <w:rPr>
      <w:rFonts w:eastAsiaTheme="minorHAnsi"/>
      <w:sz w:val="22"/>
      <w:szCs w:val="22"/>
      <w:lang w:val="en-US" w:eastAsia="en-US"/>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Heading">
    <w:name w:val="Table Heading"/>
    <w:basedOn w:val="Normal"/>
    <w:qFormat/>
    <w:rsid w:val="00702903"/>
    <w:pPr>
      <w:keepNext/>
      <w:spacing w:before="40" w:after="40" w:line="220" w:lineRule="atLeast"/>
    </w:pPr>
    <w:rPr>
      <w:b/>
      <w:szCs w:val="40"/>
      <w:lang w:eastAsia="en-GB"/>
    </w:rPr>
  </w:style>
  <w:style w:type="paragraph" w:styleId="Title">
    <w:name w:val="Title"/>
    <w:basedOn w:val="Normal"/>
    <w:next w:val="Normal"/>
    <w:link w:val="TitleChar"/>
    <w:uiPriority w:val="10"/>
    <w:qFormat/>
    <w:rsid w:val="00702903"/>
    <w:pPr>
      <w:spacing w:after="360" w:line="300" w:lineRule="atLeast"/>
    </w:pPr>
    <w:rPr>
      <w:rFonts w:eastAsia="MS Gothic"/>
      <w:b/>
      <w:spacing w:val="5"/>
      <w:kern w:val="28"/>
      <w:sz w:val="52"/>
      <w:szCs w:val="52"/>
    </w:rPr>
  </w:style>
  <w:style w:type="character" w:customStyle="1" w:styleId="TitleChar">
    <w:name w:val="Title Char"/>
    <w:link w:val="Title"/>
    <w:uiPriority w:val="10"/>
    <w:rsid w:val="00702903"/>
    <w:rPr>
      <w:rFonts w:ascii="Arial" w:eastAsia="MS Gothic" w:hAnsi="Arial" w:cs="Arial"/>
      <w:b/>
      <w:spacing w:val="5"/>
      <w:kern w:val="28"/>
      <w:sz w:val="52"/>
      <w:szCs w:val="52"/>
      <w:lang w:eastAsia="en-US"/>
    </w:rPr>
  </w:style>
  <w:style w:type="paragraph" w:styleId="TOC1">
    <w:name w:val="toc 1"/>
    <w:basedOn w:val="Normal"/>
    <w:next w:val="Normal"/>
    <w:autoRedefine/>
    <w:uiPriority w:val="39"/>
    <w:unhideWhenUsed/>
    <w:rsid w:val="00803C7F"/>
    <w:pPr>
      <w:tabs>
        <w:tab w:val="left" w:pos="567"/>
        <w:tab w:val="right" w:leader="dot" w:pos="9628"/>
      </w:tabs>
      <w:spacing w:before="120" w:after="0"/>
    </w:pPr>
    <w:rPr>
      <w:b/>
      <w:noProof/>
    </w:rPr>
  </w:style>
  <w:style w:type="paragraph" w:styleId="TOC2">
    <w:name w:val="toc 2"/>
    <w:basedOn w:val="Normal"/>
    <w:next w:val="Normal"/>
    <w:autoRedefine/>
    <w:uiPriority w:val="39"/>
    <w:unhideWhenUsed/>
    <w:rsid w:val="00B02C06"/>
    <w:pPr>
      <w:tabs>
        <w:tab w:val="left" w:pos="1134"/>
        <w:tab w:val="right" w:leader="dot" w:pos="9628"/>
      </w:tabs>
      <w:spacing w:after="0"/>
      <w:ind w:left="567"/>
    </w:pPr>
    <w:rPr>
      <w:szCs w:val="22"/>
    </w:rPr>
  </w:style>
  <w:style w:type="paragraph" w:styleId="TOC4">
    <w:name w:val="toc 4"/>
    <w:basedOn w:val="Normal"/>
    <w:next w:val="Normal"/>
    <w:autoRedefine/>
    <w:uiPriority w:val="39"/>
    <w:semiHidden/>
    <w:unhideWhenUsed/>
    <w:rsid w:val="00702903"/>
    <w:pPr>
      <w:spacing w:after="0"/>
      <w:ind w:left="600"/>
    </w:pPr>
    <w:rPr>
      <w:rFonts w:ascii="Cambria" w:hAnsi="Cambria"/>
      <w:szCs w:val="20"/>
    </w:rPr>
  </w:style>
  <w:style w:type="paragraph" w:styleId="TOC5">
    <w:name w:val="toc 5"/>
    <w:basedOn w:val="Normal"/>
    <w:next w:val="Normal"/>
    <w:autoRedefine/>
    <w:uiPriority w:val="39"/>
    <w:semiHidden/>
    <w:unhideWhenUsed/>
    <w:rsid w:val="00702903"/>
    <w:pPr>
      <w:spacing w:after="0"/>
      <w:ind w:left="800"/>
    </w:pPr>
    <w:rPr>
      <w:rFonts w:ascii="Cambria" w:hAnsi="Cambria"/>
      <w:szCs w:val="20"/>
    </w:rPr>
  </w:style>
  <w:style w:type="paragraph" w:styleId="TOC6">
    <w:name w:val="toc 6"/>
    <w:basedOn w:val="Normal"/>
    <w:next w:val="Normal"/>
    <w:autoRedefine/>
    <w:uiPriority w:val="39"/>
    <w:semiHidden/>
    <w:unhideWhenUsed/>
    <w:rsid w:val="00702903"/>
    <w:pPr>
      <w:spacing w:after="0"/>
      <w:ind w:left="1000"/>
    </w:pPr>
    <w:rPr>
      <w:rFonts w:ascii="Cambria" w:hAnsi="Cambria"/>
      <w:szCs w:val="20"/>
    </w:rPr>
  </w:style>
  <w:style w:type="paragraph" w:styleId="TOC7">
    <w:name w:val="toc 7"/>
    <w:basedOn w:val="Normal"/>
    <w:next w:val="Normal"/>
    <w:autoRedefine/>
    <w:uiPriority w:val="39"/>
    <w:semiHidden/>
    <w:unhideWhenUsed/>
    <w:rsid w:val="00702903"/>
    <w:pPr>
      <w:spacing w:after="0"/>
      <w:ind w:left="1200"/>
    </w:pPr>
    <w:rPr>
      <w:rFonts w:ascii="Cambria" w:hAnsi="Cambria"/>
      <w:szCs w:val="20"/>
    </w:rPr>
  </w:style>
  <w:style w:type="paragraph" w:styleId="TOC8">
    <w:name w:val="toc 8"/>
    <w:basedOn w:val="Normal"/>
    <w:next w:val="Normal"/>
    <w:autoRedefine/>
    <w:uiPriority w:val="39"/>
    <w:semiHidden/>
    <w:unhideWhenUsed/>
    <w:rsid w:val="00702903"/>
    <w:pPr>
      <w:spacing w:after="0"/>
      <w:ind w:left="1400"/>
    </w:pPr>
    <w:rPr>
      <w:rFonts w:ascii="Cambria" w:hAnsi="Cambria"/>
      <w:szCs w:val="20"/>
    </w:rPr>
  </w:style>
  <w:style w:type="paragraph" w:styleId="TOC9">
    <w:name w:val="toc 9"/>
    <w:basedOn w:val="Normal"/>
    <w:next w:val="Normal"/>
    <w:autoRedefine/>
    <w:uiPriority w:val="39"/>
    <w:semiHidden/>
    <w:unhideWhenUsed/>
    <w:rsid w:val="00702903"/>
    <w:pPr>
      <w:spacing w:after="0"/>
      <w:ind w:left="1600"/>
    </w:pPr>
    <w:rPr>
      <w:rFonts w:ascii="Cambria" w:hAnsi="Cambria"/>
      <w:szCs w:val="20"/>
    </w:rPr>
  </w:style>
  <w:style w:type="paragraph" w:styleId="TOCHeading">
    <w:name w:val="TOC Heading"/>
    <w:basedOn w:val="Heading1"/>
    <w:next w:val="Normal"/>
    <w:uiPriority w:val="39"/>
    <w:unhideWhenUsed/>
    <w:qFormat/>
    <w:rsid w:val="00702903"/>
    <w:pPr>
      <w:spacing w:after="0" w:line="276" w:lineRule="auto"/>
      <w:outlineLvl w:val="9"/>
    </w:pPr>
    <w:rPr>
      <w:color w:val="365F91"/>
      <w:sz w:val="28"/>
      <w:szCs w:val="28"/>
    </w:rPr>
  </w:style>
  <w:style w:type="character" w:customStyle="1" w:styleId="Heading7Char">
    <w:name w:val="Heading 7 Char"/>
    <w:basedOn w:val="DefaultParagraphFont"/>
    <w:link w:val="Heading7"/>
    <w:uiPriority w:val="9"/>
    <w:semiHidden/>
    <w:rsid w:val="00534811"/>
    <w:rPr>
      <w:rFonts w:asciiTheme="majorHAnsi" w:eastAsiaTheme="majorEastAsia" w:hAnsiTheme="majorHAnsi" w:cstheme="majorBidi"/>
      <w:i/>
      <w:iCs/>
      <w:color w:val="1F3763" w:themeColor="accent1" w:themeShade="7F"/>
      <w:sz w:val="22"/>
      <w:szCs w:val="32"/>
      <w:lang w:eastAsia="en-US"/>
    </w:rPr>
  </w:style>
  <w:style w:type="character" w:customStyle="1" w:styleId="Heading8Char">
    <w:name w:val="Heading 8 Char"/>
    <w:basedOn w:val="DefaultParagraphFont"/>
    <w:link w:val="Heading8"/>
    <w:uiPriority w:val="9"/>
    <w:semiHidden/>
    <w:rsid w:val="0053481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534811"/>
    <w:rPr>
      <w:rFonts w:asciiTheme="majorHAnsi" w:eastAsiaTheme="majorEastAsia" w:hAnsiTheme="majorHAnsi" w:cstheme="majorBidi"/>
      <w:i/>
      <w:iCs/>
      <w:color w:val="272727" w:themeColor="text1" w:themeTint="D8"/>
      <w:sz w:val="21"/>
      <w:szCs w:val="21"/>
      <w:lang w:eastAsia="en-US"/>
    </w:rPr>
  </w:style>
  <w:style w:type="paragraph" w:customStyle="1" w:styleId="Normalbeforebullet">
    <w:name w:val="Normal before bullet"/>
    <w:basedOn w:val="Normal"/>
    <w:qFormat/>
    <w:rsid w:val="00534811"/>
    <w:pPr>
      <w:keepNext/>
      <w:spacing w:after="120"/>
    </w:pPr>
  </w:style>
  <w:style w:type="numbering" w:customStyle="1" w:styleId="CurrentList1">
    <w:name w:val="Current List1"/>
    <w:uiPriority w:val="99"/>
    <w:rsid w:val="00534811"/>
    <w:pPr>
      <w:numPr>
        <w:numId w:val="9"/>
      </w:numPr>
    </w:pPr>
  </w:style>
  <w:style w:type="numbering" w:customStyle="1" w:styleId="CurrentList2">
    <w:name w:val="Current List2"/>
    <w:uiPriority w:val="99"/>
    <w:rsid w:val="00534811"/>
    <w:pPr>
      <w:numPr>
        <w:numId w:val="10"/>
      </w:numPr>
    </w:pPr>
  </w:style>
  <w:style w:type="paragraph" w:customStyle="1" w:styleId="TableTitle">
    <w:name w:val="Table Title"/>
    <w:basedOn w:val="TableHeading"/>
    <w:qFormat/>
    <w:rsid w:val="00534811"/>
    <w:pPr>
      <w:spacing w:before="0" w:after="120"/>
    </w:pPr>
  </w:style>
  <w:style w:type="numbering" w:customStyle="1" w:styleId="CurrentList3">
    <w:name w:val="Current List3"/>
    <w:uiPriority w:val="99"/>
    <w:rsid w:val="00534811"/>
    <w:pPr>
      <w:numPr>
        <w:numId w:val="11"/>
      </w:numPr>
    </w:pPr>
  </w:style>
  <w:style w:type="paragraph" w:customStyle="1" w:styleId="TableBullet2">
    <w:name w:val="Table Bullet 2"/>
    <w:basedOn w:val="TableBullet"/>
    <w:qFormat/>
    <w:rsid w:val="00534811"/>
    <w:rPr>
      <w:lang w:val="en-GB"/>
    </w:rPr>
  </w:style>
  <w:style w:type="numbering" w:customStyle="1" w:styleId="CurrentList4">
    <w:name w:val="Current List4"/>
    <w:uiPriority w:val="99"/>
    <w:rsid w:val="00534811"/>
    <w:pPr>
      <w:numPr>
        <w:numId w:val="14"/>
      </w:numPr>
    </w:pPr>
  </w:style>
  <w:style w:type="numbering" w:customStyle="1" w:styleId="CurrentList5">
    <w:name w:val="Current List5"/>
    <w:uiPriority w:val="99"/>
    <w:rsid w:val="00534811"/>
    <w:pPr>
      <w:numPr>
        <w:numId w:val="15"/>
      </w:numPr>
    </w:pPr>
  </w:style>
  <w:style w:type="numbering" w:customStyle="1" w:styleId="CurrentList6">
    <w:name w:val="Current List6"/>
    <w:uiPriority w:val="99"/>
    <w:rsid w:val="00534811"/>
    <w:pPr>
      <w:numPr>
        <w:numId w:val="16"/>
      </w:numPr>
    </w:pPr>
  </w:style>
  <w:style w:type="character" w:styleId="UnresolvedMention">
    <w:name w:val="Unresolved Mention"/>
    <w:basedOn w:val="DefaultParagraphFont"/>
    <w:uiPriority w:val="99"/>
    <w:semiHidden/>
    <w:unhideWhenUsed/>
    <w:rsid w:val="006C5A66"/>
    <w:rPr>
      <w:color w:val="605E5C"/>
      <w:shd w:val="clear" w:color="auto" w:fill="E1DFDD"/>
    </w:rPr>
  </w:style>
  <w:style w:type="paragraph" w:styleId="Revision">
    <w:name w:val="Revision"/>
    <w:hidden/>
    <w:uiPriority w:val="99"/>
    <w:semiHidden/>
    <w:rsid w:val="00072083"/>
    <w:rPr>
      <w:rFonts w:ascii="Arial" w:eastAsia="MS Mincho" w:hAnsi="Arial" w:cs="Arial"/>
      <w:sz w:val="22"/>
      <w:szCs w:val="32"/>
      <w:lang w:eastAsia="en-US"/>
    </w:rPr>
  </w:style>
  <w:style w:type="character" w:styleId="CommentReference">
    <w:name w:val="annotation reference"/>
    <w:basedOn w:val="DefaultParagraphFont"/>
    <w:uiPriority w:val="99"/>
    <w:semiHidden/>
    <w:unhideWhenUsed/>
    <w:rsid w:val="009923E4"/>
    <w:rPr>
      <w:sz w:val="16"/>
      <w:szCs w:val="16"/>
    </w:rPr>
  </w:style>
  <w:style w:type="paragraph" w:styleId="CommentText">
    <w:name w:val="annotation text"/>
    <w:basedOn w:val="Normal"/>
    <w:link w:val="CommentTextChar"/>
    <w:uiPriority w:val="99"/>
    <w:semiHidden/>
    <w:unhideWhenUsed/>
    <w:rsid w:val="009923E4"/>
    <w:pPr>
      <w:spacing w:line="240" w:lineRule="auto"/>
    </w:pPr>
    <w:rPr>
      <w:sz w:val="20"/>
      <w:szCs w:val="20"/>
    </w:rPr>
  </w:style>
  <w:style w:type="character" w:customStyle="1" w:styleId="CommentTextChar">
    <w:name w:val="Comment Text Char"/>
    <w:basedOn w:val="DefaultParagraphFont"/>
    <w:link w:val="CommentText"/>
    <w:uiPriority w:val="99"/>
    <w:semiHidden/>
    <w:rsid w:val="009923E4"/>
    <w:rPr>
      <w:rFonts w:ascii="Arial" w:eastAsia="MS Mincho"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9923E4"/>
    <w:rPr>
      <w:b/>
      <w:bCs/>
    </w:rPr>
  </w:style>
  <w:style w:type="character" w:customStyle="1" w:styleId="CommentSubjectChar">
    <w:name w:val="Comment Subject Char"/>
    <w:basedOn w:val="CommentTextChar"/>
    <w:link w:val="CommentSubject"/>
    <w:uiPriority w:val="99"/>
    <w:semiHidden/>
    <w:rsid w:val="009923E4"/>
    <w:rPr>
      <w:rFonts w:ascii="Arial" w:eastAsia="MS Mincho"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234520">
      <w:bodyDiv w:val="1"/>
      <w:marLeft w:val="0"/>
      <w:marRight w:val="0"/>
      <w:marTop w:val="0"/>
      <w:marBottom w:val="0"/>
      <w:divBdr>
        <w:top w:val="none" w:sz="0" w:space="0" w:color="auto"/>
        <w:left w:val="none" w:sz="0" w:space="0" w:color="auto"/>
        <w:bottom w:val="none" w:sz="0" w:space="0" w:color="auto"/>
        <w:right w:val="none" w:sz="0" w:space="0" w:color="auto"/>
      </w:divBdr>
    </w:div>
    <w:div w:id="18607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jsir.vic.gov.au/forestry/support/business-support" TargetMode="External"/><Relationship Id="rId18" Type="http://schemas.openxmlformats.org/officeDocument/2006/relationships/hyperlink" Target="https://djpr.vic.gov.au/forestry/grants/timber-innovation-gran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jpr.vic.gov.au/forestry/forestry-plan" TargetMode="External"/><Relationship Id="rId7" Type="http://schemas.openxmlformats.org/officeDocument/2006/relationships/settings" Target="settings.xml"/><Relationship Id="rId12" Type="http://schemas.openxmlformats.org/officeDocument/2006/relationships/hyperlink" Target="https://djsir.vic.gov.au/forestry/support/worker-support" TargetMode="External"/><Relationship Id="rId17" Type="http://schemas.openxmlformats.org/officeDocument/2006/relationships/hyperlink" Target="mailto:forestrytransition@djpr.vic.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uyingfor.vic.gov.au/" TargetMode="External"/><Relationship Id="rId20" Type="http://schemas.openxmlformats.org/officeDocument/2006/relationships/hyperlink" Target="https://businessvic.secure.force.com/PublicForm?id=TIGP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jpr.vic.gov.au/forestry" TargetMode="External"/><Relationship Id="rId5" Type="http://schemas.openxmlformats.org/officeDocument/2006/relationships/numbering" Target="numbering.xml"/><Relationship Id="rId15" Type="http://schemas.openxmlformats.org/officeDocument/2006/relationships/hyperlink" Target="https://localjobsfirst.vic.gov.au/" TargetMode="External"/><Relationship Id="rId23" Type="http://schemas.openxmlformats.org/officeDocument/2006/relationships/hyperlink" Target="mailto:forestrytransition@djpr.vic.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orestrytransition@djp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jsir.vic.gov.au/forestry/support/community-support" TargetMode="External"/><Relationship Id="rId22" Type="http://schemas.openxmlformats.org/officeDocument/2006/relationships/hyperlink" Target="mailto:forestrytransition@djpr.vic.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f5b8516-1216-4929-a6bb-f7b72c32bd97" xsi:nil="true"/>
    <lcf76f155ced4ddcb4097134ff3c332f xmlns="c9aac536-7ea5-4408-b36b-f6d0753895b7">
      <Terms xmlns="http://schemas.microsoft.com/office/infopath/2007/PartnerControls"/>
    </lcf76f155ced4ddcb4097134ff3c332f>
    <SharedWithUsers xmlns="1f5b8516-1216-4929-a6bb-f7b72c32bd97">
      <UserInfo>
        <DisplayName>Kara Zdrzalka (DEECA)</DisplayName>
        <AccountId>343</AccountId>
        <AccountType/>
      </UserInfo>
    </SharedWithUsers>
    <Organisation xmlns="1f5b8516-1216-4929-a6bb-f7b72c32bd97">Department of Jobs, Skills, Industry and Regions</Organisation>
    <Recommender1jobtitle xmlns="1f5b8516-1216-4929-a6bb-f7b72c32bd97">Executive Director, Forestry Policy And Game</Recommender1jobtitle>
    <Recommender4jobtitle xmlns="1f5b8516-1216-4929-a6bb-f7b72c32bd97" xsi:nil="true"/>
    <Recommender5fullname xmlns="1f5b8516-1216-4929-a6bb-f7b72c32bd97" xsi:nil="true"/>
    <Recommender8fullname xmlns="1f5b8516-1216-4929-a6bb-f7b72c32bd97" xsi:nil="true"/>
    <DecisionMakerDueDate xmlns="1f5b8516-1216-4929-a6bb-f7b72c32bd97">2023-06-22T14:00:00+00:00</DecisionMakerDueDate>
    <Recommender4date xmlns="1f5b8516-1216-4929-a6bb-f7b72c32bd97" xsi:nil="true"/>
    <DecisionMaker1date xmlns="1f5b8516-1216-4929-a6bb-f7b72c32bd97">23/06/2023 03:33 PM</DecisionMaker1date>
    <RecordSubject xmlns="1f5b8516-1216-4929-a6bb-f7b72c32bd97">Victorian Timber Innovation Grants Program Round 2 - Update of program guidelines and governance manual</RecordSubject>
    <Recommender1workphone xmlns="1f5b8516-1216-4929-a6bb-f7b72c32bd97">96519999</Recommender1workphone>
    <Recommender4workphone xmlns="1f5b8516-1216-4929-a6bb-f7b72c32bd97" xsi:nil="true"/>
    <DecisionMaker2workphone xmlns="1f5b8516-1216-4929-a6bb-f7b72c32bd97" xsi:nil="true"/>
    <DecisionMaker3decision xmlns="1f5b8516-1216-4929-a6bb-f7b72c32bd97" xsi:nil="true"/>
    <OrganisationLevel3 xmlns="1f5b8516-1216-4929-a6bb-f7b72c32bd97">Forestry and Fibre Innovation</OrganisationLevel3>
    <Leadauthorfullname xmlns="1f5b8516-1216-4929-a6bb-f7b72c32bd97">Kathryn A Ritzer-Alexander (DEECA)</Leadauthorfullname>
    <Recommender1fullname xmlns="1f5b8516-1216-4929-a6bb-f7b72c32bd97">Phuong Tram (DEECA)</Recommender1fullname>
    <Recommender4fullname xmlns="1f5b8516-1216-4929-a6bb-f7b72c32bd97" xsi:nil="true"/>
    <Recommender5jobtitle xmlns="1f5b8516-1216-4929-a6bb-f7b72c32bd97" xsi:nil="true"/>
    <DecisionMaker1fullname xmlns="1f5b8516-1216-4929-a6bb-f7b72c32bd97">Paul B Smith (DEECA)</DecisionMaker1fullname>
    <DecisionMaker3jobtitle xmlns="1f5b8516-1216-4929-a6bb-f7b72c32bd97" xsi:nil="true"/>
    <VersionNumber xmlns="1f5b8516-1216-4929-a6bb-f7b72c32bd97" xsi:nil="true"/>
    <Leadauthordate xmlns="1f5b8516-1216-4929-a6bb-f7b72c32bd97">21/06/2023 09:22 AM</Leadauthordate>
    <Recommender5date xmlns="1f5b8516-1216-4929-a6bb-f7b72c32bd97" xsi:nil="true"/>
    <Recommender5workphone xmlns="1f5b8516-1216-4929-a6bb-f7b72c32bd97" xsi:nil="true"/>
    <Recommender8workphone xmlns="1f5b8516-1216-4929-a6bb-f7b72c32bd97" xsi:nil="true"/>
    <DocumentType xmlns="1f5b8516-1216-4929-a6bb-f7b72c32bd97">Minister signed response</DocumentType>
    <TemplateID xmlns="1f5b8516-1216-4929-a6bb-f7b72c32bd97" xsi:nil="true"/>
    <Leadauthorjobtitle xmlns="1f5b8516-1216-4929-a6bb-f7b72c32bd97">Senior Commercial Advisor</Leadauthorjobtitle>
    <Recommender2jobtitle xmlns="1f5b8516-1216-4929-a6bb-f7b72c32bd97" xsi:nil="true"/>
    <Recommender7fullname xmlns="1f5b8516-1216-4929-a6bb-f7b72c32bd97" xsi:nil="true"/>
    <Recommender8jobtitle xmlns="1f5b8516-1216-4929-a6bb-f7b72c32bd97" xsi:nil="true"/>
    <DecisionMaker2jobtitle xmlns="1f5b8516-1216-4929-a6bb-f7b72c32bd97" xsi:nil="true"/>
    <Notifydecisionfullname xmlns="1f5b8516-1216-4929-a6bb-f7b72c32bd97">Kathryn A Ritzer-Alexander (DEECA) - Senior Commercial Advisor;  Andrew J Waller (DEECA) - Director, Forestry Transition;  Luke Marriott (DEECA) - Business Transition Project Support Officer</Notifydecisionfullname>
    <Recommender1date xmlns="1f5b8516-1216-4929-a6bb-f7b72c32bd97">23/06/2023 01:32 PM</Recommender1date>
    <Recommender6date xmlns="1f5b8516-1216-4929-a6bb-f7b72c32bd97" xsi:nil="true"/>
    <Recommender2workphone xmlns="1f5b8516-1216-4929-a6bb-f7b72c32bd97" xsi:nil="true"/>
    <DecisionMaker1workphone xmlns="1f5b8516-1216-4929-a6bb-f7b72c32bd97">0396519380</DecisionMaker1workphone>
    <Decisioncategory xmlns="1f5b8516-1216-4929-a6bb-f7b72c32bd97">Deputy Secretary - Forestry, Resources and Climate Change</Decisioncategory>
    <AccountableOfficerworkphone xmlns="1f5b8516-1216-4929-a6bb-f7b72c32bd97">1800136762</AccountableOfficerworkphone>
    <Recommender3fullname xmlns="1f5b8516-1216-4929-a6bb-f7b72c32bd97" xsi:nil="true"/>
    <Recommender3jobtitle xmlns="1f5b8516-1216-4929-a6bb-f7b72c32bd97" xsi:nil="true"/>
    <Recommender6fullname xmlns="1f5b8516-1216-4929-a6bb-f7b72c32bd97" xsi:nil="true"/>
    <Recommender6jobtitle xmlns="1f5b8516-1216-4929-a6bb-f7b72c32bd97" xsi:nil="true"/>
    <DecisionMaker2fullname xmlns="1f5b8516-1216-4929-a6bb-f7b72c32bd97" xsi:nil="true"/>
    <Recommender2date xmlns="1f5b8516-1216-4929-a6bb-f7b72c32bd97" xsi:nil="true"/>
    <Recommender7date xmlns="1f5b8516-1216-4929-a6bb-f7b72c32bd97" xsi:nil="true"/>
    <Recommender8date xmlns="1f5b8516-1216-4929-a6bb-f7b72c32bd97" xsi:nil="true"/>
    <DecisionMaker3date xmlns="1f5b8516-1216-4929-a6bb-f7b72c32bd97" xsi:nil="true"/>
    <Notifyrecommendationfullname xmlns="1f5b8516-1216-4929-a6bb-f7b72c32bd97">Kathryn A Ritzer-Alexander (DEECA) - Senior Commercial Advisor;  Luke Marriott (DEECA) - Business Transition Project Support Officer</Notifyrecommendationfullname>
    <Leadauthorworkphone xmlns="1f5b8516-1216-4929-a6bb-f7b72c32bd97">51167301</Leadauthorworkphone>
    <Recommender3workphone xmlns="1f5b8516-1216-4929-a6bb-f7b72c32bd97" xsi:nil="true"/>
    <Recommender6workphone xmlns="1f5b8516-1216-4929-a6bb-f7b72c32bd97" xsi:nil="true"/>
    <EventDate xmlns="1f5b8516-1216-4929-a6bb-f7b72c32bd97" xsi:nil="true"/>
    <EventTime xmlns="1f5b8516-1216-4929-a6bb-f7b72c32bd97" xsi:nil="true"/>
    <DecisionMaker1decision xmlns="1f5b8516-1216-4929-a6bb-f7b72c32bd97" xsi:nil="true"/>
    <OrganisationLevel1 xmlns="1f5b8516-1216-4929-a6bb-f7b72c32bd97">Forestry, Resources, and Climate Change</OrganisationLevel1>
    <RequestFrom xmlns="1f5b8516-1216-4929-a6bb-f7b72c32bd97">Organisation</RequestFrom>
    <AccountableOfficerdate xmlns="1f5b8516-1216-4929-a6bb-f7b72c32bd97">21/06/2023 09:37 AM</AccountableOfficerdate>
    <Recommender2fullname xmlns="1f5b8516-1216-4929-a6bb-f7b72c32bd97" xsi:nil="true"/>
    <Recommender7jobtitle xmlns="1f5b8516-1216-4929-a6bb-f7b72c32bd97" xsi:nil="true"/>
    <DecisionMaker1jobtitle xmlns="1f5b8516-1216-4929-a6bb-f7b72c32bd97">Deputy Secretary, Forestry, Resources &amp; Climate Change</DecisionMaker1jobtitle>
    <DecisionMaker3fullname xmlns="1f5b8516-1216-4929-a6bb-f7b72c32bd97" xsi:nil="true"/>
    <RecommenderDueDate xmlns="1f5b8516-1216-4929-a6bb-f7b72c32bd97">2023-06-20T14:00:00+00:00</RecommenderDueDate>
    <RecordSubtype xmlns="1f5b8516-1216-4929-a6bb-f7b72c32bd97">Organisational Briefing</RecordSubtype>
    <AccountableOfficerfullname xmlns="1f5b8516-1216-4929-a6bb-f7b72c32bd97">Andrew J Waller (DEECA)</AccountableOfficerfullname>
    <AccountableOfficerjobtitle xmlns="1f5b8516-1216-4929-a6bb-f7b72c32bd97">Director, Forestry Transition</AccountableOfficerjobtitle>
    <Recommender3date xmlns="1f5b8516-1216-4929-a6bb-f7b72c32bd97" xsi:nil="true"/>
    <DecisionMaker2date xmlns="1f5b8516-1216-4929-a6bb-f7b72c32bd97" xsi:nil="true"/>
    <Recommender7workphone xmlns="1f5b8516-1216-4929-a6bb-f7b72c32bd97" xsi:nil="true"/>
    <DecisionMaker3workphone xmlns="1f5b8516-1216-4929-a6bb-f7b72c32bd97" xsi:nil="true"/>
    <DecisionRequired xmlns="1f5b8516-1216-4929-a6bb-f7b72c32bd97">2023-06-22T14:00:00+00:00</DecisionRequired>
    <DecisionMaker2decision xmlns="1f5b8516-1216-4929-a6bb-f7b72c32bd97" xsi:nil="true"/>
    <OrganisationLevel2 xmlns="1f5b8516-1216-4929-a6bb-f7b72c32bd97">Forestry and Fibre Innovation</OrganisationLevel2>
    <RegistrationNumber xmlns="1f5b8516-1216-4929-a6bb-f7b72c32bd97">BORG-2-23-30841</Registration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BC Record Documents Briefing" ma:contentTypeID="0x010100BF21506C792DA24AAFD88BDE2B926597030087E578FA2936274D8AB7AF6BAE3E9C68" ma:contentTypeVersion="98" ma:contentTypeDescription="" ma:contentTypeScope="" ma:versionID="98621e6394bc2a9e62596e5177ceaa80">
  <xsd:schema xmlns:xsd="http://www.w3.org/2001/XMLSchema" xmlns:xs="http://www.w3.org/2001/XMLSchema" xmlns:p="http://schemas.microsoft.com/office/2006/metadata/properties" xmlns:ns2="1f5b8516-1216-4929-a6bb-f7b72c32bd97" xmlns:ns3="c9aac536-7ea5-4408-b36b-f6d0753895b7" targetNamespace="http://schemas.microsoft.com/office/2006/metadata/properties" ma:root="true" ma:fieldsID="080ea77845b4c7314731aca7bf1d493d" ns2:_="" ns3:_="">
    <xsd:import namespace="1f5b8516-1216-4929-a6bb-f7b72c32bd97"/>
    <xsd:import namespace="c9aac536-7ea5-4408-b36b-f6d0753895b7"/>
    <xsd:element name="properties">
      <xsd:complexType>
        <xsd:sequence>
          <xsd:element name="documentManagement">
            <xsd:complexType>
              <xsd:all>
                <xsd:element ref="ns2:Organisation" minOccurs="0"/>
                <xsd:element ref="ns2:Decisioncategory" minOccurs="0"/>
                <xsd:element ref="ns2:AccountableOfficerfullname" minOccurs="0"/>
                <xsd:element ref="ns2:AccountableOfficerjobtitle" minOccurs="0"/>
                <xsd:element ref="ns2:AccountableOfficerworkphone" minOccurs="0"/>
                <xsd:element ref="ns2:AccountableOfficerdate" minOccurs="0"/>
                <xsd:element ref="ns2:Leadauthorfullname" minOccurs="0"/>
                <xsd:element ref="ns2:Leadauthorjobtitle" minOccurs="0"/>
                <xsd:element ref="ns2:Leadauthorworkphone" minOccurs="0"/>
                <xsd:element ref="ns2:Leadauthordate" minOccurs="0"/>
                <xsd:element ref="ns2:Recommender1fullname" minOccurs="0"/>
                <xsd:element ref="ns2:Recommender1jobtitle" minOccurs="0"/>
                <xsd:element ref="ns2:Recommender1workphone" minOccurs="0"/>
                <xsd:element ref="ns2:Recommender1date" minOccurs="0"/>
                <xsd:element ref="ns2:Recommender2fullname" minOccurs="0"/>
                <xsd:element ref="ns2:Recommender2jobtitle" minOccurs="0"/>
                <xsd:element ref="ns2:Recommender2workphone" minOccurs="0"/>
                <xsd:element ref="ns2:Recommender2date" minOccurs="0"/>
                <xsd:element ref="ns2:Recommender3fullname" minOccurs="0"/>
                <xsd:element ref="ns2:Recommender3jobtitle" minOccurs="0"/>
                <xsd:element ref="ns2:Recommender3workphone" minOccurs="0"/>
                <xsd:element ref="ns2:Recommender3date" minOccurs="0"/>
                <xsd:element ref="ns2:Recommender4fullname" minOccurs="0"/>
                <xsd:element ref="ns2:Recommender4jobtitle" minOccurs="0"/>
                <xsd:element ref="ns2:Recommender4workphone" minOccurs="0"/>
                <xsd:element ref="ns2:Recommender4date" minOccurs="0"/>
                <xsd:element ref="ns2:Recommender5fullname" minOccurs="0"/>
                <xsd:element ref="ns2:Recommender5jobtitle" minOccurs="0"/>
                <xsd:element ref="ns2:Recommender5workphone" minOccurs="0"/>
                <xsd:element ref="ns2:Recommender5date" minOccurs="0"/>
                <xsd:element ref="ns2:Recommender6fullname" minOccurs="0"/>
                <xsd:element ref="ns2:Recommender6jobtitle" minOccurs="0"/>
                <xsd:element ref="ns2:Recommender6workphone" minOccurs="0"/>
                <xsd:element ref="ns2:Recommender6date" minOccurs="0"/>
                <xsd:element ref="ns2:Recommender7fullname" minOccurs="0"/>
                <xsd:element ref="ns2:Recommender7jobtitle" minOccurs="0"/>
                <xsd:element ref="ns2:Recommender7workphone" minOccurs="0"/>
                <xsd:element ref="ns2:Recommender7date" minOccurs="0"/>
                <xsd:element ref="ns2:Recommender8fullname" minOccurs="0"/>
                <xsd:element ref="ns2:Recommender8jobtitle" minOccurs="0"/>
                <xsd:element ref="ns2:Recommender8workphone" minOccurs="0"/>
                <xsd:element ref="ns2:Recommender8date" minOccurs="0"/>
                <xsd:element ref="ns2:DecisionMaker1fullname" minOccurs="0"/>
                <xsd:element ref="ns2:DecisionMaker1jobtitle" minOccurs="0"/>
                <xsd:element ref="ns2:DecisionMaker1workphone" minOccurs="0"/>
                <xsd:element ref="ns2:DecisionMaker1date" minOccurs="0"/>
                <xsd:element ref="ns2:DecisionMaker2fullname" minOccurs="0"/>
                <xsd:element ref="ns2:DecisionMaker2jobtitle" minOccurs="0"/>
                <xsd:element ref="ns2:DecisionMaker2workphone" minOccurs="0"/>
                <xsd:element ref="ns2:DecisionMaker2date" minOccurs="0"/>
                <xsd:element ref="ns2:DecisionMaker3fullname" minOccurs="0"/>
                <xsd:element ref="ns2:DecisionMaker3jobtitle" minOccurs="0"/>
                <xsd:element ref="ns2:DecisionMaker3workphone" minOccurs="0"/>
                <xsd:element ref="ns2:DecisionMaker3date" minOccurs="0"/>
                <xsd:element ref="ns2:DocumentType" minOccurs="0"/>
                <xsd:element ref="ns2:VersionNumber" minOccurs="0"/>
                <xsd:element ref="ns2:DecisionRequired" minOccurs="0"/>
                <xsd:element ref="ns2:DecisionMakerDueDate" minOccurs="0"/>
                <xsd:element ref="ns2:RecommenderDueDate" minOccurs="0"/>
                <xsd:element ref="ns2:Notifydecisionfullname" minOccurs="0"/>
                <xsd:element ref="ns2:Notifyrecommendationfullname" minOccurs="0"/>
                <xsd:element ref="ns2:RecordSubject" minOccurs="0"/>
                <xsd:element ref="ns2:RequestFrom" minOccurs="0"/>
                <xsd:element ref="ns2:EventDate" minOccurs="0"/>
                <xsd:element ref="ns2:EventTime" minOccurs="0"/>
                <xsd:element ref="ns2:RegistrationNumber" minOccurs="0"/>
                <xsd:element ref="ns2:TemplateID" minOccurs="0"/>
                <xsd:element ref="ns2:DecisionMaker1decision" minOccurs="0"/>
                <xsd:element ref="ns2:DecisionMaker2decision" minOccurs="0"/>
                <xsd:element ref="ns2:DecisionMaker3decision"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2:RecordSubtype" minOccurs="0"/>
                <xsd:element ref="ns2:OrganisationLevel1" minOccurs="0"/>
                <xsd:element ref="ns2:OrganisationLevel2" minOccurs="0"/>
                <xsd:element ref="ns2:OrganisationLevel3"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b8516-1216-4929-a6bb-f7b72c32bd97" elementFormDefault="qualified">
    <xsd:import namespace="http://schemas.microsoft.com/office/2006/documentManagement/types"/>
    <xsd:import namespace="http://schemas.microsoft.com/office/infopath/2007/PartnerControls"/>
    <xsd:element name="Organisation" ma:index="2" nillable="true" ma:displayName="Organisation" ma:internalName="Organisation" ma:readOnly="false">
      <xsd:simpleType>
        <xsd:restriction base="dms:Note">
          <xsd:maxLength value="255"/>
        </xsd:restriction>
      </xsd:simpleType>
    </xsd:element>
    <xsd:element name="Decisioncategory" ma:index="3" nillable="true" ma:displayName="Decision category" ma:internalName="Decisioncategory" ma:readOnly="false">
      <xsd:simpleType>
        <xsd:restriction base="dms:Text"/>
      </xsd:simpleType>
    </xsd:element>
    <xsd:element name="AccountableOfficerfullname" ma:index="4" nillable="true" ma:displayName="Accountable Executive Officer Full name" ma:internalName="AccountableOfficerfullname" ma:readOnly="false">
      <xsd:simpleType>
        <xsd:restriction base="dms:Text"/>
      </xsd:simpleType>
    </xsd:element>
    <xsd:element name="AccountableOfficerjobtitle" ma:index="5" nillable="true" ma:displayName="Accountable Executive Officer Job title" ma:internalName="AccountableOfficerjobtitle" ma:readOnly="false">
      <xsd:simpleType>
        <xsd:restriction base="dms:Text"/>
      </xsd:simpleType>
    </xsd:element>
    <xsd:element name="AccountableOfficerworkphone" ma:index="6" nillable="true" ma:displayName="Accountable Executive Officer Work phone" ma:internalName="AccountableOfficerworkphone" ma:readOnly="false">
      <xsd:simpleType>
        <xsd:restriction base="dms:Text"/>
      </xsd:simpleType>
    </xsd:element>
    <xsd:element name="AccountableOfficerdate" ma:index="7" nillable="true" ma:displayName="Accountable Executive Officer Date" ma:internalName="AccountableOfficerdate" ma:readOnly="false">
      <xsd:simpleType>
        <xsd:restriction base="dms:Text"/>
      </xsd:simpleType>
    </xsd:element>
    <xsd:element name="Leadauthorfullname" ma:index="8" nillable="true" ma:displayName="Lead Author Full name" ma:internalName="Leadauthorfullname" ma:readOnly="false">
      <xsd:simpleType>
        <xsd:restriction base="dms:Text"/>
      </xsd:simpleType>
    </xsd:element>
    <xsd:element name="Leadauthorjobtitle" ma:index="9" nillable="true" ma:displayName="Lead Author Job title" ma:internalName="Leadauthorjobtitle" ma:readOnly="false">
      <xsd:simpleType>
        <xsd:restriction base="dms:Text"/>
      </xsd:simpleType>
    </xsd:element>
    <xsd:element name="Leadauthorworkphone" ma:index="10" nillable="true" ma:displayName="Lead Author Work phone" ma:internalName="Leadauthorworkphone" ma:readOnly="false">
      <xsd:simpleType>
        <xsd:restriction base="dms:Text"/>
      </xsd:simpleType>
    </xsd:element>
    <xsd:element name="Leadauthordate" ma:index="11" nillable="true" ma:displayName="Lead Author Date" ma:internalName="Leadauthordate" ma:readOnly="false">
      <xsd:simpleType>
        <xsd:restriction base="dms:Text"/>
      </xsd:simpleType>
    </xsd:element>
    <xsd:element name="Recommender1fullname" ma:index="12" nillable="true" ma:displayName="Recommender1 Full name" ma:internalName="Recommender1fullname" ma:readOnly="false">
      <xsd:simpleType>
        <xsd:restriction base="dms:Text"/>
      </xsd:simpleType>
    </xsd:element>
    <xsd:element name="Recommender1jobtitle" ma:index="13" nillable="true" ma:displayName="Recommender1 Job title" ma:internalName="Recommender1jobtitle" ma:readOnly="false">
      <xsd:simpleType>
        <xsd:restriction base="dms:Text"/>
      </xsd:simpleType>
    </xsd:element>
    <xsd:element name="Recommender1workphone" ma:index="14" nillable="true" ma:displayName="Recommender1 Work phone" ma:internalName="Recommender1workphone" ma:readOnly="false">
      <xsd:simpleType>
        <xsd:restriction base="dms:Text"/>
      </xsd:simpleType>
    </xsd:element>
    <xsd:element name="Recommender1date" ma:index="15" nillable="true" ma:displayName="Recommender1 Date" ma:internalName="Recommender1date" ma:readOnly="false">
      <xsd:simpleType>
        <xsd:restriction base="dms:Text"/>
      </xsd:simpleType>
    </xsd:element>
    <xsd:element name="Recommender2fullname" ma:index="16" nillable="true" ma:displayName="Recommender2 Full name" ma:internalName="Recommender2fullname" ma:readOnly="false">
      <xsd:simpleType>
        <xsd:restriction base="dms:Text"/>
      </xsd:simpleType>
    </xsd:element>
    <xsd:element name="Recommender2jobtitle" ma:index="17" nillable="true" ma:displayName="Recommender2 Job title" ma:internalName="Recommender2jobtitle" ma:readOnly="false">
      <xsd:simpleType>
        <xsd:restriction base="dms:Text"/>
      </xsd:simpleType>
    </xsd:element>
    <xsd:element name="Recommender2workphone" ma:index="18" nillable="true" ma:displayName="Recommender2 Work phone" ma:internalName="Recommender2workphone" ma:readOnly="false">
      <xsd:simpleType>
        <xsd:restriction base="dms:Text"/>
      </xsd:simpleType>
    </xsd:element>
    <xsd:element name="Recommender2date" ma:index="19" nillable="true" ma:displayName="Recommender2 Date" ma:internalName="Recommender2date" ma:readOnly="false">
      <xsd:simpleType>
        <xsd:restriction base="dms:Text"/>
      </xsd:simpleType>
    </xsd:element>
    <xsd:element name="Recommender3fullname" ma:index="20" nillable="true" ma:displayName="Recommender3 Full name" ma:internalName="Recommender3fullname" ma:readOnly="false">
      <xsd:simpleType>
        <xsd:restriction base="dms:Text"/>
      </xsd:simpleType>
    </xsd:element>
    <xsd:element name="Recommender3jobtitle" ma:index="21" nillable="true" ma:displayName="Recommender3 Job title" ma:internalName="Recommender3jobtitle" ma:readOnly="false">
      <xsd:simpleType>
        <xsd:restriction base="dms:Text"/>
      </xsd:simpleType>
    </xsd:element>
    <xsd:element name="Recommender3workphone" ma:index="22" nillable="true" ma:displayName="Recommender3 Work phone" ma:internalName="Recommender3workphone" ma:readOnly="false">
      <xsd:simpleType>
        <xsd:restriction base="dms:Text"/>
      </xsd:simpleType>
    </xsd:element>
    <xsd:element name="Recommender3date" ma:index="23" nillable="true" ma:displayName="Recommender3 Date" ma:internalName="Recommender3date" ma:readOnly="false">
      <xsd:simpleType>
        <xsd:restriction base="dms:Text"/>
      </xsd:simpleType>
    </xsd:element>
    <xsd:element name="Recommender4fullname" ma:index="24" nillable="true" ma:displayName="Recommender4 Full name" ma:internalName="Recommender4fullname" ma:readOnly="false">
      <xsd:simpleType>
        <xsd:restriction base="dms:Text"/>
      </xsd:simpleType>
    </xsd:element>
    <xsd:element name="Recommender4jobtitle" ma:index="25" nillable="true" ma:displayName="Recommender4 Job title" ma:internalName="Recommender4jobtitle" ma:readOnly="false">
      <xsd:simpleType>
        <xsd:restriction base="dms:Text"/>
      </xsd:simpleType>
    </xsd:element>
    <xsd:element name="Recommender4workphone" ma:index="26" nillable="true" ma:displayName="Recommender4 Work phone" ma:internalName="Recommender4workphone" ma:readOnly="false">
      <xsd:simpleType>
        <xsd:restriction base="dms:Text"/>
      </xsd:simpleType>
    </xsd:element>
    <xsd:element name="Recommender4date" ma:index="27" nillable="true" ma:displayName="Recommender4 Date" ma:internalName="Recommender4date" ma:readOnly="false">
      <xsd:simpleType>
        <xsd:restriction base="dms:Text"/>
      </xsd:simpleType>
    </xsd:element>
    <xsd:element name="Recommender5fullname" ma:index="28" nillable="true" ma:displayName="Recommender5 Full name" ma:internalName="Recommender5fullname" ma:readOnly="false">
      <xsd:simpleType>
        <xsd:restriction base="dms:Text"/>
      </xsd:simpleType>
    </xsd:element>
    <xsd:element name="Recommender5jobtitle" ma:index="29" nillable="true" ma:displayName="Recommender5 Job title" ma:internalName="Recommender5jobtitle" ma:readOnly="false">
      <xsd:simpleType>
        <xsd:restriction base="dms:Text"/>
      </xsd:simpleType>
    </xsd:element>
    <xsd:element name="Recommender5workphone" ma:index="30" nillable="true" ma:displayName="Recommender5 Work phone" ma:internalName="Recommender5workphone" ma:readOnly="false">
      <xsd:simpleType>
        <xsd:restriction base="dms:Text"/>
      </xsd:simpleType>
    </xsd:element>
    <xsd:element name="Recommender5date" ma:index="31" nillable="true" ma:displayName="Recommender5 Date" ma:internalName="Recommender5date" ma:readOnly="false">
      <xsd:simpleType>
        <xsd:restriction base="dms:Text"/>
      </xsd:simpleType>
    </xsd:element>
    <xsd:element name="Recommender6fullname" ma:index="32" nillable="true" ma:displayName="Recommender6 Full name" ma:internalName="Recommender6fullname" ma:readOnly="false">
      <xsd:simpleType>
        <xsd:restriction base="dms:Text"/>
      </xsd:simpleType>
    </xsd:element>
    <xsd:element name="Recommender6jobtitle" ma:index="33" nillable="true" ma:displayName="Recommender6 Job title" ma:internalName="Recommender6jobtitle" ma:readOnly="false">
      <xsd:simpleType>
        <xsd:restriction base="dms:Text"/>
      </xsd:simpleType>
    </xsd:element>
    <xsd:element name="Recommender6workphone" ma:index="34" nillable="true" ma:displayName="Recommender6 Work phone" ma:internalName="Recommender6workphone" ma:readOnly="false">
      <xsd:simpleType>
        <xsd:restriction base="dms:Text"/>
      </xsd:simpleType>
    </xsd:element>
    <xsd:element name="Recommender6date" ma:index="35" nillable="true" ma:displayName="Recommender6 Date" ma:internalName="Recommender6date" ma:readOnly="false">
      <xsd:simpleType>
        <xsd:restriction base="dms:Text"/>
      </xsd:simpleType>
    </xsd:element>
    <xsd:element name="Recommender7fullname" ma:index="36" nillable="true" ma:displayName="Recommender7 Full name" ma:internalName="Recommender7fullname" ma:readOnly="false">
      <xsd:simpleType>
        <xsd:restriction base="dms:Text"/>
      </xsd:simpleType>
    </xsd:element>
    <xsd:element name="Recommender7jobtitle" ma:index="37" nillable="true" ma:displayName="Recommender7 Job title" ma:internalName="Recommender7jobtitle" ma:readOnly="false">
      <xsd:simpleType>
        <xsd:restriction base="dms:Text"/>
      </xsd:simpleType>
    </xsd:element>
    <xsd:element name="Recommender7workphone" ma:index="38" nillable="true" ma:displayName="Recommender7 Work phone" ma:internalName="Recommender7workphone" ma:readOnly="false">
      <xsd:simpleType>
        <xsd:restriction base="dms:Text"/>
      </xsd:simpleType>
    </xsd:element>
    <xsd:element name="Recommender7date" ma:index="39" nillable="true" ma:displayName="Recommender7 Date" ma:internalName="Recommender7date" ma:readOnly="false">
      <xsd:simpleType>
        <xsd:restriction base="dms:Text"/>
      </xsd:simpleType>
    </xsd:element>
    <xsd:element name="Recommender8fullname" ma:index="40" nillable="true" ma:displayName="Recommender8 Full name" ma:internalName="Recommender8fullname" ma:readOnly="false">
      <xsd:simpleType>
        <xsd:restriction base="dms:Text"/>
      </xsd:simpleType>
    </xsd:element>
    <xsd:element name="Recommender8jobtitle" ma:index="41" nillable="true" ma:displayName="Recommender8 Job title" ma:internalName="Recommender8jobtitle" ma:readOnly="false">
      <xsd:simpleType>
        <xsd:restriction base="dms:Text"/>
      </xsd:simpleType>
    </xsd:element>
    <xsd:element name="Recommender8workphone" ma:index="42" nillable="true" ma:displayName="Recommender8 Work phone" ma:internalName="Recommender8workphone" ma:readOnly="false">
      <xsd:simpleType>
        <xsd:restriction base="dms:Text"/>
      </xsd:simpleType>
    </xsd:element>
    <xsd:element name="Recommender8date" ma:index="43" nillable="true" ma:displayName="Recommender8 Date" ma:internalName="Recommender8date" ma:readOnly="false">
      <xsd:simpleType>
        <xsd:restriction base="dms:Text"/>
      </xsd:simpleType>
    </xsd:element>
    <xsd:element name="DecisionMaker1fullname" ma:index="44" nillable="true" ma:displayName="Decision Maker1 Full name" ma:internalName="DecisionMaker1fullname" ma:readOnly="false">
      <xsd:simpleType>
        <xsd:restriction base="dms:Text"/>
      </xsd:simpleType>
    </xsd:element>
    <xsd:element name="DecisionMaker1jobtitle" ma:index="45" nillable="true" ma:displayName="Decision Maker1 Job title" ma:internalName="DecisionMaker1jobtitle" ma:readOnly="false">
      <xsd:simpleType>
        <xsd:restriction base="dms:Text"/>
      </xsd:simpleType>
    </xsd:element>
    <xsd:element name="DecisionMaker1workphone" ma:index="46" nillable="true" ma:displayName="Decision Maker1 Work phone" ma:internalName="DecisionMaker1workphone" ma:readOnly="false">
      <xsd:simpleType>
        <xsd:restriction base="dms:Text"/>
      </xsd:simpleType>
    </xsd:element>
    <xsd:element name="DecisionMaker1date" ma:index="47" nillable="true" ma:displayName="Decision Maker1 Date" ma:internalName="DecisionMaker1date" ma:readOnly="false">
      <xsd:simpleType>
        <xsd:restriction base="dms:Text"/>
      </xsd:simpleType>
    </xsd:element>
    <xsd:element name="DecisionMaker2fullname" ma:index="48" nillable="true" ma:displayName="Decision Maker2 Full name" ma:internalName="DecisionMaker2fullname" ma:readOnly="false">
      <xsd:simpleType>
        <xsd:restriction base="dms:Text"/>
      </xsd:simpleType>
    </xsd:element>
    <xsd:element name="DecisionMaker2jobtitle" ma:index="49" nillable="true" ma:displayName="Decision Maker2 Job title" ma:internalName="DecisionMaker2jobtitle" ma:readOnly="false">
      <xsd:simpleType>
        <xsd:restriction base="dms:Text"/>
      </xsd:simpleType>
    </xsd:element>
    <xsd:element name="DecisionMaker2workphone" ma:index="50" nillable="true" ma:displayName="Decision Maker2 Work phone" ma:internalName="DecisionMaker2workphone" ma:readOnly="false">
      <xsd:simpleType>
        <xsd:restriction base="dms:Text"/>
      </xsd:simpleType>
    </xsd:element>
    <xsd:element name="DecisionMaker2date" ma:index="51" nillable="true" ma:displayName="Decision Maker2 Date" ma:internalName="DecisionMaker2date" ma:readOnly="false">
      <xsd:simpleType>
        <xsd:restriction base="dms:Text"/>
      </xsd:simpleType>
    </xsd:element>
    <xsd:element name="DecisionMaker3fullname" ma:index="52" nillable="true" ma:displayName="Decision Maker3 Full name" ma:internalName="DecisionMaker3fullname" ma:readOnly="false">
      <xsd:simpleType>
        <xsd:restriction base="dms:Text"/>
      </xsd:simpleType>
    </xsd:element>
    <xsd:element name="DecisionMaker3jobtitle" ma:index="53" nillable="true" ma:displayName="Decision Maker3 Job title" ma:internalName="DecisionMaker3jobtitle" ma:readOnly="false">
      <xsd:simpleType>
        <xsd:restriction base="dms:Text"/>
      </xsd:simpleType>
    </xsd:element>
    <xsd:element name="DecisionMaker3workphone" ma:index="54" nillable="true" ma:displayName="Decision Maker3 Work phone" ma:internalName="DecisionMaker3workphone" ma:readOnly="false">
      <xsd:simpleType>
        <xsd:restriction base="dms:Text"/>
      </xsd:simpleType>
    </xsd:element>
    <xsd:element name="DecisionMaker3date" ma:index="55" nillable="true" ma:displayName="Decision Maker3 Date" ma:internalName="DecisionMaker3date" ma:readOnly="false">
      <xsd:simpleType>
        <xsd:restriction base="dms:Text"/>
      </xsd:simpleType>
    </xsd:element>
    <xsd:element name="DocumentType" ma:index="56" nillable="true" ma:displayName="Document Type" ma:indexed="true" ma:internalName="DocumentType" ma:readOnly="false">
      <xsd:simpleType>
        <xsd:restriction base="dms:Text">
          <xsd:maxLength value="255"/>
        </xsd:restriction>
      </xsd:simpleType>
    </xsd:element>
    <xsd:element name="VersionNumber" ma:index="57" nillable="true" ma:displayName="Version number" ma:decimals="0" ma:internalName="VersionNumber" ma:readOnly="false" ma:percentage="FALSE">
      <xsd:simpleType>
        <xsd:restriction base="dms:Number"/>
      </xsd:simpleType>
    </xsd:element>
    <xsd:element name="DecisionRequired" ma:index="58" nillable="true" ma:displayName="Decision required by " ma:format="DateOnly" ma:internalName="DecisionRequired" ma:readOnly="false">
      <xsd:simpleType>
        <xsd:restriction base="dms:DateTime"/>
      </xsd:simpleType>
    </xsd:element>
    <xsd:element name="DecisionMakerDueDate" ma:index="59" nillable="true" ma:displayName="Due date to Decision Maker" ma:format="DateOnly" ma:internalName="DecisionMakerDueDate" ma:readOnly="false">
      <xsd:simpleType>
        <xsd:restriction base="dms:DateTime"/>
      </xsd:simpleType>
    </xsd:element>
    <xsd:element name="RecommenderDueDate" ma:index="60" nillable="true" ma:displayName="Due date to Recommender" ma:format="DateOnly" ma:internalName="RecommenderDueDate" ma:readOnly="false">
      <xsd:simpleType>
        <xsd:restriction base="dms:DateTime"/>
      </xsd:simpleType>
    </xsd:element>
    <xsd:element name="Notifydecisionfullname" ma:index="61" nillable="true" ma:displayName="Notify of decision full name and title" ma:internalName="Notifydecisionfullname" ma:readOnly="false">
      <xsd:simpleType>
        <xsd:restriction base="dms:Note">
          <xsd:maxLength value="255"/>
        </xsd:restriction>
      </xsd:simpleType>
    </xsd:element>
    <xsd:element name="Notifyrecommendationfullname" ma:index="62" nillable="true" ma:displayName="Notify of recommendation full name and title" ma:internalName="Notifyrecommendationfullname" ma:readOnly="false">
      <xsd:simpleType>
        <xsd:restriction base="dms:Note">
          <xsd:maxLength value="255"/>
        </xsd:restriction>
      </xsd:simpleType>
    </xsd:element>
    <xsd:element name="RecordSubject" ma:index="63" nillable="true" ma:displayName="Record Subject" ma:internalName="RecordSubject" ma:readOnly="false">
      <xsd:simpleType>
        <xsd:restriction base="dms:Note">
          <xsd:maxLength value="255"/>
        </xsd:restriction>
      </xsd:simpleType>
    </xsd:element>
    <xsd:element name="RequestFrom" ma:index="64" nillable="true" ma:displayName="Request from" ma:internalName="RequestFrom" ma:readOnly="false">
      <xsd:simpleType>
        <xsd:restriction base="dms:Text"/>
      </xsd:simpleType>
    </xsd:element>
    <xsd:element name="EventDate" ma:index="65" nillable="true" ma:displayName="Event date" ma:format="DateOnly" ma:internalName="EventDate" ma:readOnly="false">
      <xsd:simpleType>
        <xsd:restriction base="dms:DateTime"/>
      </xsd:simpleType>
    </xsd:element>
    <xsd:element name="EventTime" ma:index="66" nillable="true" ma:displayName="Event time" ma:internalName="EventTime" ma:readOnly="false">
      <xsd:simpleType>
        <xsd:restriction base="dms:Text">
          <xsd:maxLength value="255"/>
        </xsd:restriction>
      </xsd:simpleType>
    </xsd:element>
    <xsd:element name="RegistrationNumber" ma:index="67" nillable="true" ma:displayName="Registration Number" ma:indexed="true" ma:internalName="RegistrationNumber" ma:readOnly="false">
      <xsd:simpleType>
        <xsd:restriction base="dms:Text">
          <xsd:maxLength value="255"/>
        </xsd:restriction>
      </xsd:simpleType>
    </xsd:element>
    <xsd:element name="TemplateID" ma:index="68" nillable="true" ma:displayName="TemplateID" ma:internalName="TemplateID_6059c861_x002d_162e_x002d_40b6_x002d_a183_x002d_5250529c41e7" ma:readOnly="false">
      <xsd:simpleType>
        <xsd:restriction base="dms:Text">
          <xsd:maxLength value="255"/>
        </xsd:restriction>
      </xsd:simpleType>
    </xsd:element>
    <xsd:element name="DecisionMaker1decision" ma:index="71" nillable="true" ma:displayName="Decision Maker1 Decision" ma:internalName="DecisionMaker1decision" ma:readOnly="false">
      <xsd:simpleType>
        <xsd:restriction base="dms:Text"/>
      </xsd:simpleType>
    </xsd:element>
    <xsd:element name="DecisionMaker2decision" ma:index="72" nillable="true" ma:displayName="Decision Maker2 Decision" ma:internalName="DecisionMaker2decision" ma:readOnly="false">
      <xsd:simpleType>
        <xsd:restriction base="dms:Text"/>
      </xsd:simpleType>
    </xsd:element>
    <xsd:element name="DecisionMaker3decision" ma:index="73" nillable="true" ma:displayName="Decision Maker3 Decision" ma:internalName="DecisionMaker3decision" ma:readOnly="false">
      <xsd:simpleType>
        <xsd:restriction base="dms:Text"/>
      </xsd:simpleType>
    </xsd:element>
    <xsd:element name="SharedWithUsers" ma:index="7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0" nillable="true" ma:displayName="Shared With Details" ma:internalName="SharedWithDetails" ma:readOnly="true">
      <xsd:simpleType>
        <xsd:restriction base="dms:Note">
          <xsd:maxLength value="255"/>
        </xsd:restriction>
      </xsd:simpleType>
    </xsd:element>
    <xsd:element name="RecordSubtype" ma:index="87" nillable="true" ma:displayName="Record sub-type" ma:internalName="RecordSubtype" ma:readOnly="false">
      <xsd:simpleType>
        <xsd:restriction base="dms:Text">
          <xsd:maxLength value="255"/>
        </xsd:restriction>
      </xsd:simpleType>
    </xsd:element>
    <xsd:element name="OrganisationLevel1" ma:index="88" nillable="true" ma:displayName="Organisation level 1" ma:internalName="OrganisationLevel1" ma:readOnly="false">
      <xsd:simpleType>
        <xsd:restriction base="dms:Note">
          <xsd:maxLength value="255"/>
        </xsd:restriction>
      </xsd:simpleType>
    </xsd:element>
    <xsd:element name="OrganisationLevel2" ma:index="89" nillable="true" ma:displayName="Organisation level 2" ma:internalName="OrganisationLevel2" ma:readOnly="false">
      <xsd:simpleType>
        <xsd:restriction base="dms:Note">
          <xsd:maxLength value="255"/>
        </xsd:restriction>
      </xsd:simpleType>
    </xsd:element>
    <xsd:element name="OrganisationLevel3" ma:index="90" nillable="true" ma:displayName="Organisation level 3" ma:internalName="OrganisationLevel3" ma:readOnly="false">
      <xsd:simpleType>
        <xsd:restriction base="dms:Note">
          <xsd:maxLength value="255"/>
        </xsd:restriction>
      </xsd:simpleType>
    </xsd:element>
    <xsd:element name="TaxCatchAll" ma:index="97" nillable="true" ma:displayName="Taxonomy Catch All Column" ma:hidden="true" ma:list="{479708b4-ed95-4b3a-98a5-bab17fb599e3}" ma:internalName="TaxCatchAll" ma:showField="CatchAllData" ma:web="1f5b8516-1216-4929-a6bb-f7b72c32bd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aac536-7ea5-4408-b36b-f6d0753895b7" elementFormDefault="qualified">
    <xsd:import namespace="http://schemas.microsoft.com/office/2006/documentManagement/types"/>
    <xsd:import namespace="http://schemas.microsoft.com/office/infopath/2007/PartnerControls"/>
    <xsd:element name="MediaServiceMetadata" ma:index="77" nillable="true" ma:displayName="MediaServiceMetadata" ma:hidden="true" ma:internalName="MediaServiceMetadata" ma:readOnly="true">
      <xsd:simpleType>
        <xsd:restriction base="dms:Note"/>
      </xsd:simpleType>
    </xsd:element>
    <xsd:element name="MediaServiceFastMetadata" ma:index="78" nillable="true" ma:displayName="MediaServiceFastMetadata" ma:hidden="true" ma:internalName="MediaServiceFastMetadata" ma:readOnly="true">
      <xsd:simpleType>
        <xsd:restriction base="dms:Note"/>
      </xsd:simpleType>
    </xsd:element>
    <xsd:element name="MediaServiceAutoTags" ma:index="83" nillable="true" ma:displayName="Tags" ma:internalName="MediaServiceAutoTags" ma:readOnly="true">
      <xsd:simpleType>
        <xsd:restriction base="dms:Text"/>
      </xsd:simpleType>
    </xsd:element>
    <xsd:element name="MediaServiceOCR" ma:index="84" nillable="true" ma:displayName="Extracted Text" ma:internalName="MediaServiceOCR" ma:readOnly="true">
      <xsd:simpleType>
        <xsd:restriction base="dms:Note">
          <xsd:maxLength value="255"/>
        </xsd:restriction>
      </xsd:simpleType>
    </xsd:element>
    <xsd:element name="MediaServiceGenerationTime" ma:index="85" nillable="true" ma:displayName="MediaServiceGenerationTime" ma:hidden="true" ma:internalName="MediaServiceGenerationTime" ma:readOnly="true">
      <xsd:simpleType>
        <xsd:restriction base="dms:Text"/>
      </xsd:simpleType>
    </xsd:element>
    <xsd:element name="MediaServiceEventHashCode" ma:index="86" nillable="true" ma:displayName="MediaServiceEventHashCode" ma:hidden="true" ma:internalName="MediaServiceEventHashCode" ma:readOnly="true">
      <xsd:simpleType>
        <xsd:restriction base="dms:Text"/>
      </xsd:simpleType>
    </xsd:element>
    <xsd:element name="MediaServiceAutoKeyPoints" ma:index="91" nillable="true" ma:displayName="MediaServiceAutoKeyPoints" ma:hidden="true" ma:internalName="MediaServiceAutoKeyPoints" ma:readOnly="true">
      <xsd:simpleType>
        <xsd:restriction base="dms:Note"/>
      </xsd:simpleType>
    </xsd:element>
    <xsd:element name="MediaServiceKeyPoints" ma:index="92" nillable="true" ma:displayName="KeyPoints" ma:internalName="MediaServiceKeyPoints" ma:readOnly="true">
      <xsd:simpleType>
        <xsd:restriction base="dms:Note">
          <xsd:maxLength value="255"/>
        </xsd:restriction>
      </xsd:simpleType>
    </xsd:element>
    <xsd:element name="MediaServiceDateTaken" ma:index="93" nillable="true" ma:displayName="MediaServiceDateTaken" ma:hidden="true" ma:internalName="MediaServiceDateTaken" ma:readOnly="true">
      <xsd:simpleType>
        <xsd:restriction base="dms:Text"/>
      </xsd:simpleType>
    </xsd:element>
    <xsd:element name="MediaServiceLocation" ma:index="94" nillable="true" ma:displayName="Location" ma:internalName="MediaServiceLocation" ma:readOnly="true">
      <xsd:simpleType>
        <xsd:restriction base="dms:Text"/>
      </xsd:simpleType>
    </xsd:element>
    <xsd:element name="lcf76f155ced4ddcb4097134ff3c332f" ma:index="9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9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1C188-6774-4F41-A82F-6A206A70F0D6}">
  <ds:schemaRefs>
    <ds:schemaRef ds:uri="http://schemas.openxmlformats.org/officeDocument/2006/bibliography"/>
  </ds:schemaRefs>
</ds:datastoreItem>
</file>

<file path=customXml/itemProps2.xml><?xml version="1.0" encoding="utf-8"?>
<ds:datastoreItem xmlns:ds="http://schemas.openxmlformats.org/officeDocument/2006/customXml" ds:itemID="{DDF17D84-82E3-40BF-831D-D0D5109A995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9df27e40-797b-464d-9cc4-2f4a127c61c1"/>
    <ds:schemaRef ds:uri="http://schemas.openxmlformats.org/package/2006/metadata/core-properties"/>
    <ds:schemaRef ds:uri="d885b6b3-7e0d-487d-aa42-3e32d91b08c9"/>
    <ds:schemaRef ds:uri="http://www.w3.org/XML/1998/namespace"/>
    <ds:schemaRef ds:uri="1f5b8516-1216-4929-a6bb-f7b72c32bd97"/>
    <ds:schemaRef ds:uri="c9aac536-7ea5-4408-b36b-f6d0753895b7"/>
  </ds:schemaRefs>
</ds:datastoreItem>
</file>

<file path=customXml/itemProps3.xml><?xml version="1.0" encoding="utf-8"?>
<ds:datastoreItem xmlns:ds="http://schemas.openxmlformats.org/officeDocument/2006/customXml" ds:itemID="{A3A4592E-DE55-498C-B4D2-53D529CBBD69}">
  <ds:schemaRefs>
    <ds:schemaRef ds:uri="http://schemas.microsoft.com/sharepoint/v3/contenttype/forms"/>
  </ds:schemaRefs>
</ds:datastoreItem>
</file>

<file path=customXml/itemProps4.xml><?xml version="1.0" encoding="utf-8"?>
<ds:datastoreItem xmlns:ds="http://schemas.openxmlformats.org/officeDocument/2006/customXml" ds:itemID="{3764A66A-2F08-4E87-9EB7-E8A73A6E3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b8516-1216-4929-a6bb-f7b72c32bd97"/>
    <ds:schemaRef ds:uri="c9aac536-7ea5-4408-b36b-f6d075389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3672</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24560</CharactersWithSpaces>
  <SharedDoc>false</SharedDoc>
  <HLinks>
    <vt:vector size="240" baseType="variant">
      <vt:variant>
        <vt:i4>4456476</vt:i4>
      </vt:variant>
      <vt:variant>
        <vt:i4>207</vt:i4>
      </vt:variant>
      <vt:variant>
        <vt:i4>0</vt:i4>
      </vt:variant>
      <vt:variant>
        <vt:i4>5</vt:i4>
      </vt:variant>
      <vt:variant>
        <vt:lpwstr>https://djpr.vic.gov.au/forestry</vt:lpwstr>
      </vt:variant>
      <vt:variant>
        <vt:lpwstr/>
      </vt:variant>
      <vt:variant>
        <vt:i4>5439613</vt:i4>
      </vt:variant>
      <vt:variant>
        <vt:i4>204</vt:i4>
      </vt:variant>
      <vt:variant>
        <vt:i4>0</vt:i4>
      </vt:variant>
      <vt:variant>
        <vt:i4>5</vt:i4>
      </vt:variant>
      <vt:variant>
        <vt:lpwstr>mailto:victorianforestryplan@djpr.vic.gov.au</vt:lpwstr>
      </vt:variant>
      <vt:variant>
        <vt:lpwstr/>
      </vt:variant>
      <vt:variant>
        <vt:i4>5439613</vt:i4>
      </vt:variant>
      <vt:variant>
        <vt:i4>201</vt:i4>
      </vt:variant>
      <vt:variant>
        <vt:i4>0</vt:i4>
      </vt:variant>
      <vt:variant>
        <vt:i4>5</vt:i4>
      </vt:variant>
      <vt:variant>
        <vt:lpwstr>mailto:victorianforestryplan@djpr.vic.gov.au</vt:lpwstr>
      </vt:variant>
      <vt:variant>
        <vt:lpwstr/>
      </vt:variant>
      <vt:variant>
        <vt:i4>8257573</vt:i4>
      </vt:variant>
      <vt:variant>
        <vt:i4>198</vt:i4>
      </vt:variant>
      <vt:variant>
        <vt:i4>0</vt:i4>
      </vt:variant>
      <vt:variant>
        <vt:i4>5</vt:i4>
      </vt:variant>
      <vt:variant>
        <vt:lpwstr>https://djpr.vic.gov.au/forestry/forestry-plan</vt:lpwstr>
      </vt:variant>
      <vt:variant>
        <vt:lpwstr/>
      </vt:variant>
      <vt:variant>
        <vt:i4>3080306</vt:i4>
      </vt:variant>
      <vt:variant>
        <vt:i4>195</vt:i4>
      </vt:variant>
      <vt:variant>
        <vt:i4>0</vt:i4>
      </vt:variant>
      <vt:variant>
        <vt:i4>5</vt:i4>
      </vt:variant>
      <vt:variant>
        <vt:lpwstr>https://businessvic.secure.force.com/PublicForm?id=TIGPRT</vt:lpwstr>
      </vt:variant>
      <vt:variant>
        <vt:lpwstr>no-back-button</vt:lpwstr>
      </vt:variant>
      <vt:variant>
        <vt:i4>3604483</vt:i4>
      </vt:variant>
      <vt:variant>
        <vt:i4>186</vt:i4>
      </vt:variant>
      <vt:variant>
        <vt:i4>0</vt:i4>
      </vt:variant>
      <vt:variant>
        <vt:i4>5</vt:i4>
      </vt:variant>
      <vt:variant>
        <vt:lpwstr>mailto:forestrytransition@djpr.vic.gov.au</vt:lpwstr>
      </vt:variant>
      <vt:variant>
        <vt:lpwstr/>
      </vt:variant>
      <vt:variant>
        <vt:i4>4718616</vt:i4>
      </vt:variant>
      <vt:variant>
        <vt:i4>183</vt:i4>
      </vt:variant>
      <vt:variant>
        <vt:i4>0</vt:i4>
      </vt:variant>
      <vt:variant>
        <vt:i4>5</vt:i4>
      </vt:variant>
      <vt:variant>
        <vt:lpwstr>https://djpr.vic.gov.au/forestry/grants/timber-innovation-grants</vt:lpwstr>
      </vt:variant>
      <vt:variant>
        <vt:lpwstr/>
      </vt:variant>
      <vt:variant>
        <vt:i4>3604483</vt:i4>
      </vt:variant>
      <vt:variant>
        <vt:i4>180</vt:i4>
      </vt:variant>
      <vt:variant>
        <vt:i4>0</vt:i4>
      </vt:variant>
      <vt:variant>
        <vt:i4>5</vt:i4>
      </vt:variant>
      <vt:variant>
        <vt:lpwstr>mailto:forestrytransition@djpr.vic.gov.au</vt:lpwstr>
      </vt:variant>
      <vt:variant>
        <vt:lpwstr/>
      </vt:variant>
      <vt:variant>
        <vt:i4>65604</vt:i4>
      </vt:variant>
      <vt:variant>
        <vt:i4>177</vt:i4>
      </vt:variant>
      <vt:variant>
        <vt:i4>0</vt:i4>
      </vt:variant>
      <vt:variant>
        <vt:i4>5</vt:i4>
      </vt:variant>
      <vt:variant>
        <vt:lpwstr>https://www.buyingfor.vic.gov.au/</vt:lpwstr>
      </vt:variant>
      <vt:variant>
        <vt:lpwstr/>
      </vt:variant>
      <vt:variant>
        <vt:i4>3997816</vt:i4>
      </vt:variant>
      <vt:variant>
        <vt:i4>174</vt:i4>
      </vt:variant>
      <vt:variant>
        <vt:i4>0</vt:i4>
      </vt:variant>
      <vt:variant>
        <vt:i4>5</vt:i4>
      </vt:variant>
      <vt:variant>
        <vt:lpwstr>https://localjobsfirst.vic.gov.au/</vt:lpwstr>
      </vt:variant>
      <vt:variant>
        <vt:lpwstr/>
      </vt:variant>
      <vt:variant>
        <vt:i4>7274615</vt:i4>
      </vt:variant>
      <vt:variant>
        <vt:i4>171</vt:i4>
      </vt:variant>
      <vt:variant>
        <vt:i4>0</vt:i4>
      </vt:variant>
      <vt:variant>
        <vt:i4>5</vt:i4>
      </vt:variant>
      <vt:variant>
        <vt:lpwstr>https://djsir.vic.gov.au/forestry/support/community-support</vt:lpwstr>
      </vt:variant>
      <vt:variant>
        <vt:lpwstr/>
      </vt:variant>
      <vt:variant>
        <vt:i4>4128806</vt:i4>
      </vt:variant>
      <vt:variant>
        <vt:i4>168</vt:i4>
      </vt:variant>
      <vt:variant>
        <vt:i4>0</vt:i4>
      </vt:variant>
      <vt:variant>
        <vt:i4>5</vt:i4>
      </vt:variant>
      <vt:variant>
        <vt:lpwstr>https://djsir.vic.gov.au/forestry/support/business-support</vt:lpwstr>
      </vt:variant>
      <vt:variant>
        <vt:lpwstr/>
      </vt:variant>
      <vt:variant>
        <vt:i4>4390986</vt:i4>
      </vt:variant>
      <vt:variant>
        <vt:i4>165</vt:i4>
      </vt:variant>
      <vt:variant>
        <vt:i4>0</vt:i4>
      </vt:variant>
      <vt:variant>
        <vt:i4>5</vt:i4>
      </vt:variant>
      <vt:variant>
        <vt:lpwstr>https://djsir.vic.gov.au/forestry/support/worker-support</vt:lpwstr>
      </vt:variant>
      <vt:variant>
        <vt:lpwstr/>
      </vt:variant>
      <vt:variant>
        <vt:i4>1966132</vt:i4>
      </vt:variant>
      <vt:variant>
        <vt:i4>158</vt:i4>
      </vt:variant>
      <vt:variant>
        <vt:i4>0</vt:i4>
      </vt:variant>
      <vt:variant>
        <vt:i4>5</vt:i4>
      </vt:variant>
      <vt:variant>
        <vt:lpwstr/>
      </vt:variant>
      <vt:variant>
        <vt:lpwstr>_Toc117178517</vt:lpwstr>
      </vt:variant>
      <vt:variant>
        <vt:i4>1966132</vt:i4>
      </vt:variant>
      <vt:variant>
        <vt:i4>152</vt:i4>
      </vt:variant>
      <vt:variant>
        <vt:i4>0</vt:i4>
      </vt:variant>
      <vt:variant>
        <vt:i4>5</vt:i4>
      </vt:variant>
      <vt:variant>
        <vt:lpwstr/>
      </vt:variant>
      <vt:variant>
        <vt:lpwstr>_Toc117178516</vt:lpwstr>
      </vt:variant>
      <vt:variant>
        <vt:i4>1966132</vt:i4>
      </vt:variant>
      <vt:variant>
        <vt:i4>146</vt:i4>
      </vt:variant>
      <vt:variant>
        <vt:i4>0</vt:i4>
      </vt:variant>
      <vt:variant>
        <vt:i4>5</vt:i4>
      </vt:variant>
      <vt:variant>
        <vt:lpwstr/>
      </vt:variant>
      <vt:variant>
        <vt:lpwstr>_Toc117178515</vt:lpwstr>
      </vt:variant>
      <vt:variant>
        <vt:i4>1966132</vt:i4>
      </vt:variant>
      <vt:variant>
        <vt:i4>140</vt:i4>
      </vt:variant>
      <vt:variant>
        <vt:i4>0</vt:i4>
      </vt:variant>
      <vt:variant>
        <vt:i4>5</vt:i4>
      </vt:variant>
      <vt:variant>
        <vt:lpwstr/>
      </vt:variant>
      <vt:variant>
        <vt:lpwstr>_Toc117178514</vt:lpwstr>
      </vt:variant>
      <vt:variant>
        <vt:i4>1966132</vt:i4>
      </vt:variant>
      <vt:variant>
        <vt:i4>134</vt:i4>
      </vt:variant>
      <vt:variant>
        <vt:i4>0</vt:i4>
      </vt:variant>
      <vt:variant>
        <vt:i4>5</vt:i4>
      </vt:variant>
      <vt:variant>
        <vt:lpwstr/>
      </vt:variant>
      <vt:variant>
        <vt:lpwstr>_Toc117178513</vt:lpwstr>
      </vt:variant>
      <vt:variant>
        <vt:i4>1966132</vt:i4>
      </vt:variant>
      <vt:variant>
        <vt:i4>128</vt:i4>
      </vt:variant>
      <vt:variant>
        <vt:i4>0</vt:i4>
      </vt:variant>
      <vt:variant>
        <vt:i4>5</vt:i4>
      </vt:variant>
      <vt:variant>
        <vt:lpwstr/>
      </vt:variant>
      <vt:variant>
        <vt:lpwstr>_Toc117178512</vt:lpwstr>
      </vt:variant>
      <vt:variant>
        <vt:i4>1966132</vt:i4>
      </vt:variant>
      <vt:variant>
        <vt:i4>122</vt:i4>
      </vt:variant>
      <vt:variant>
        <vt:i4>0</vt:i4>
      </vt:variant>
      <vt:variant>
        <vt:i4>5</vt:i4>
      </vt:variant>
      <vt:variant>
        <vt:lpwstr/>
      </vt:variant>
      <vt:variant>
        <vt:lpwstr>_Toc117178511</vt:lpwstr>
      </vt:variant>
      <vt:variant>
        <vt:i4>1966132</vt:i4>
      </vt:variant>
      <vt:variant>
        <vt:i4>116</vt:i4>
      </vt:variant>
      <vt:variant>
        <vt:i4>0</vt:i4>
      </vt:variant>
      <vt:variant>
        <vt:i4>5</vt:i4>
      </vt:variant>
      <vt:variant>
        <vt:lpwstr/>
      </vt:variant>
      <vt:variant>
        <vt:lpwstr>_Toc117178510</vt:lpwstr>
      </vt:variant>
      <vt:variant>
        <vt:i4>2031668</vt:i4>
      </vt:variant>
      <vt:variant>
        <vt:i4>110</vt:i4>
      </vt:variant>
      <vt:variant>
        <vt:i4>0</vt:i4>
      </vt:variant>
      <vt:variant>
        <vt:i4>5</vt:i4>
      </vt:variant>
      <vt:variant>
        <vt:lpwstr/>
      </vt:variant>
      <vt:variant>
        <vt:lpwstr>_Toc117178509</vt:lpwstr>
      </vt:variant>
      <vt:variant>
        <vt:i4>2031668</vt:i4>
      </vt:variant>
      <vt:variant>
        <vt:i4>104</vt:i4>
      </vt:variant>
      <vt:variant>
        <vt:i4>0</vt:i4>
      </vt:variant>
      <vt:variant>
        <vt:i4>5</vt:i4>
      </vt:variant>
      <vt:variant>
        <vt:lpwstr/>
      </vt:variant>
      <vt:variant>
        <vt:lpwstr>_Toc117178508</vt:lpwstr>
      </vt:variant>
      <vt:variant>
        <vt:i4>2031668</vt:i4>
      </vt:variant>
      <vt:variant>
        <vt:i4>98</vt:i4>
      </vt:variant>
      <vt:variant>
        <vt:i4>0</vt:i4>
      </vt:variant>
      <vt:variant>
        <vt:i4>5</vt:i4>
      </vt:variant>
      <vt:variant>
        <vt:lpwstr/>
      </vt:variant>
      <vt:variant>
        <vt:lpwstr>_Toc117178507</vt:lpwstr>
      </vt:variant>
      <vt:variant>
        <vt:i4>2031668</vt:i4>
      </vt:variant>
      <vt:variant>
        <vt:i4>92</vt:i4>
      </vt:variant>
      <vt:variant>
        <vt:i4>0</vt:i4>
      </vt:variant>
      <vt:variant>
        <vt:i4>5</vt:i4>
      </vt:variant>
      <vt:variant>
        <vt:lpwstr/>
      </vt:variant>
      <vt:variant>
        <vt:lpwstr>_Toc117178506</vt:lpwstr>
      </vt:variant>
      <vt:variant>
        <vt:i4>2031668</vt:i4>
      </vt:variant>
      <vt:variant>
        <vt:i4>86</vt:i4>
      </vt:variant>
      <vt:variant>
        <vt:i4>0</vt:i4>
      </vt:variant>
      <vt:variant>
        <vt:i4>5</vt:i4>
      </vt:variant>
      <vt:variant>
        <vt:lpwstr/>
      </vt:variant>
      <vt:variant>
        <vt:lpwstr>_Toc117178505</vt:lpwstr>
      </vt:variant>
      <vt:variant>
        <vt:i4>2031668</vt:i4>
      </vt:variant>
      <vt:variant>
        <vt:i4>80</vt:i4>
      </vt:variant>
      <vt:variant>
        <vt:i4>0</vt:i4>
      </vt:variant>
      <vt:variant>
        <vt:i4>5</vt:i4>
      </vt:variant>
      <vt:variant>
        <vt:lpwstr/>
      </vt:variant>
      <vt:variant>
        <vt:lpwstr>_Toc117178504</vt:lpwstr>
      </vt:variant>
      <vt:variant>
        <vt:i4>2031668</vt:i4>
      </vt:variant>
      <vt:variant>
        <vt:i4>74</vt:i4>
      </vt:variant>
      <vt:variant>
        <vt:i4>0</vt:i4>
      </vt:variant>
      <vt:variant>
        <vt:i4>5</vt:i4>
      </vt:variant>
      <vt:variant>
        <vt:lpwstr/>
      </vt:variant>
      <vt:variant>
        <vt:lpwstr>_Toc117178503</vt:lpwstr>
      </vt:variant>
      <vt:variant>
        <vt:i4>2031668</vt:i4>
      </vt:variant>
      <vt:variant>
        <vt:i4>68</vt:i4>
      </vt:variant>
      <vt:variant>
        <vt:i4>0</vt:i4>
      </vt:variant>
      <vt:variant>
        <vt:i4>5</vt:i4>
      </vt:variant>
      <vt:variant>
        <vt:lpwstr/>
      </vt:variant>
      <vt:variant>
        <vt:lpwstr>_Toc117178502</vt:lpwstr>
      </vt:variant>
      <vt:variant>
        <vt:i4>2031668</vt:i4>
      </vt:variant>
      <vt:variant>
        <vt:i4>62</vt:i4>
      </vt:variant>
      <vt:variant>
        <vt:i4>0</vt:i4>
      </vt:variant>
      <vt:variant>
        <vt:i4>5</vt:i4>
      </vt:variant>
      <vt:variant>
        <vt:lpwstr/>
      </vt:variant>
      <vt:variant>
        <vt:lpwstr>_Toc117178501</vt:lpwstr>
      </vt:variant>
      <vt:variant>
        <vt:i4>2031668</vt:i4>
      </vt:variant>
      <vt:variant>
        <vt:i4>56</vt:i4>
      </vt:variant>
      <vt:variant>
        <vt:i4>0</vt:i4>
      </vt:variant>
      <vt:variant>
        <vt:i4>5</vt:i4>
      </vt:variant>
      <vt:variant>
        <vt:lpwstr/>
      </vt:variant>
      <vt:variant>
        <vt:lpwstr>_Toc117178500</vt:lpwstr>
      </vt:variant>
      <vt:variant>
        <vt:i4>1441845</vt:i4>
      </vt:variant>
      <vt:variant>
        <vt:i4>50</vt:i4>
      </vt:variant>
      <vt:variant>
        <vt:i4>0</vt:i4>
      </vt:variant>
      <vt:variant>
        <vt:i4>5</vt:i4>
      </vt:variant>
      <vt:variant>
        <vt:lpwstr/>
      </vt:variant>
      <vt:variant>
        <vt:lpwstr>_Toc117178499</vt:lpwstr>
      </vt:variant>
      <vt:variant>
        <vt:i4>1441845</vt:i4>
      </vt:variant>
      <vt:variant>
        <vt:i4>44</vt:i4>
      </vt:variant>
      <vt:variant>
        <vt:i4>0</vt:i4>
      </vt:variant>
      <vt:variant>
        <vt:i4>5</vt:i4>
      </vt:variant>
      <vt:variant>
        <vt:lpwstr/>
      </vt:variant>
      <vt:variant>
        <vt:lpwstr>_Toc117178498</vt:lpwstr>
      </vt:variant>
      <vt:variant>
        <vt:i4>1441845</vt:i4>
      </vt:variant>
      <vt:variant>
        <vt:i4>38</vt:i4>
      </vt:variant>
      <vt:variant>
        <vt:i4>0</vt:i4>
      </vt:variant>
      <vt:variant>
        <vt:i4>5</vt:i4>
      </vt:variant>
      <vt:variant>
        <vt:lpwstr/>
      </vt:variant>
      <vt:variant>
        <vt:lpwstr>_Toc117178497</vt:lpwstr>
      </vt:variant>
      <vt:variant>
        <vt:i4>1441845</vt:i4>
      </vt:variant>
      <vt:variant>
        <vt:i4>32</vt:i4>
      </vt:variant>
      <vt:variant>
        <vt:i4>0</vt:i4>
      </vt:variant>
      <vt:variant>
        <vt:i4>5</vt:i4>
      </vt:variant>
      <vt:variant>
        <vt:lpwstr/>
      </vt:variant>
      <vt:variant>
        <vt:lpwstr>_Toc117178496</vt:lpwstr>
      </vt:variant>
      <vt:variant>
        <vt:i4>1441845</vt:i4>
      </vt:variant>
      <vt:variant>
        <vt:i4>26</vt:i4>
      </vt:variant>
      <vt:variant>
        <vt:i4>0</vt:i4>
      </vt:variant>
      <vt:variant>
        <vt:i4>5</vt:i4>
      </vt:variant>
      <vt:variant>
        <vt:lpwstr/>
      </vt:variant>
      <vt:variant>
        <vt:lpwstr>_Toc117178495</vt:lpwstr>
      </vt:variant>
      <vt:variant>
        <vt:i4>1441845</vt:i4>
      </vt:variant>
      <vt:variant>
        <vt:i4>20</vt:i4>
      </vt:variant>
      <vt:variant>
        <vt:i4>0</vt:i4>
      </vt:variant>
      <vt:variant>
        <vt:i4>5</vt:i4>
      </vt:variant>
      <vt:variant>
        <vt:lpwstr/>
      </vt:variant>
      <vt:variant>
        <vt:lpwstr>_Toc117178494</vt:lpwstr>
      </vt:variant>
      <vt:variant>
        <vt:i4>1441845</vt:i4>
      </vt:variant>
      <vt:variant>
        <vt:i4>14</vt:i4>
      </vt:variant>
      <vt:variant>
        <vt:i4>0</vt:i4>
      </vt:variant>
      <vt:variant>
        <vt:i4>5</vt:i4>
      </vt:variant>
      <vt:variant>
        <vt:lpwstr/>
      </vt:variant>
      <vt:variant>
        <vt:lpwstr>_Toc117178493</vt:lpwstr>
      </vt:variant>
      <vt:variant>
        <vt:i4>1441845</vt:i4>
      </vt:variant>
      <vt:variant>
        <vt:i4>8</vt:i4>
      </vt:variant>
      <vt:variant>
        <vt:i4>0</vt:i4>
      </vt:variant>
      <vt:variant>
        <vt:i4>5</vt:i4>
      </vt:variant>
      <vt:variant>
        <vt:lpwstr/>
      </vt:variant>
      <vt:variant>
        <vt:lpwstr>_Toc117178492</vt:lpwstr>
      </vt:variant>
      <vt:variant>
        <vt:i4>1441845</vt:i4>
      </vt:variant>
      <vt:variant>
        <vt:i4>2</vt:i4>
      </vt:variant>
      <vt:variant>
        <vt:i4>0</vt:i4>
      </vt:variant>
      <vt:variant>
        <vt:i4>5</vt:i4>
      </vt:variant>
      <vt:variant>
        <vt:lpwstr/>
      </vt:variant>
      <vt:variant>
        <vt:lpwstr>_Toc117178491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 Ritzer-Alexander (DEECA)</dc:creator>
  <cp:keywords/>
  <dc:description/>
  <cp:lastModifiedBy>Angela M Hogan (DJSIR)</cp:lastModifiedBy>
  <cp:revision>2</cp:revision>
  <dcterms:created xsi:type="dcterms:W3CDTF">2023-06-27T00:12:00Z</dcterms:created>
  <dcterms:modified xsi:type="dcterms:W3CDTF">2023-06-27T00:12:00Z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0x010100BF21506C792DA24AAFD88BDE2B926597030087E578FA2936274D8AB7AF6BAE3E9C68</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_docset_NoMedatataSyncRequired">
    <vt:lpwstr>False</vt:lpwstr>
  </property>
  <property fmtid="{D5CDD505-2E9C-101B-9397-08002B2CF9AE}" pid="10" name="Replytype">
    <vt:lpwstr/>
  </property>
  <property fmtid="{D5CDD505-2E9C-101B-9397-08002B2CF9AE}" pid="11" name="MSIP_Label_aa68e262-e170-41e9-aa6c-458b7c5d1ee8_Enabled">
    <vt:lpwstr>true</vt:lpwstr>
  </property>
  <property fmtid="{D5CDD505-2E9C-101B-9397-08002B2CF9AE}" pid="12" name="MSIP_Label_aa68e262-e170-41e9-aa6c-458b7c5d1ee8_SetDate">
    <vt:lpwstr>2023-06-27T00:11:03Z</vt:lpwstr>
  </property>
  <property fmtid="{D5CDD505-2E9C-101B-9397-08002B2CF9AE}" pid="13" name="MSIP_Label_aa68e262-e170-41e9-aa6c-458b7c5d1ee8_Method">
    <vt:lpwstr>Privileged</vt:lpwstr>
  </property>
  <property fmtid="{D5CDD505-2E9C-101B-9397-08002B2CF9AE}" pid="14" name="MSIP_Label_aa68e262-e170-41e9-aa6c-458b7c5d1ee8_Name">
    <vt:lpwstr>OFFICIAL-SENSITIVE (DJPR)</vt:lpwstr>
  </property>
  <property fmtid="{D5CDD505-2E9C-101B-9397-08002B2CF9AE}" pid="15" name="MSIP_Label_aa68e262-e170-41e9-aa6c-458b7c5d1ee8_SiteId">
    <vt:lpwstr>722ea0be-3e1c-4b11-ad6f-9401d6856e24</vt:lpwstr>
  </property>
  <property fmtid="{D5CDD505-2E9C-101B-9397-08002B2CF9AE}" pid="16" name="MSIP_Label_aa68e262-e170-41e9-aa6c-458b7c5d1ee8_ActionId">
    <vt:lpwstr>53e12376-e595-4f3d-a2fd-9fb8cdeb7abb</vt:lpwstr>
  </property>
  <property fmtid="{D5CDD505-2E9C-101B-9397-08002B2CF9AE}" pid="17" name="MSIP_Label_aa68e262-e170-41e9-aa6c-458b7c5d1ee8_ContentBits">
    <vt:lpwstr>3</vt:lpwstr>
  </property>
</Properties>
</file>