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04127F2F" w:rsidR="00C46A59" w:rsidRPr="00D145DF" w:rsidRDefault="00657089" w:rsidP="00C46A59">
            <w:pPr>
              <w:pStyle w:val="Title"/>
            </w:pPr>
            <w:r>
              <w:t>Dispute Resolution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42F303C2" w:rsidR="00A77C39" w:rsidRDefault="00240EAA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657089">
              <w:t>1</w:t>
            </w:r>
            <w:r w:rsidR="000433F2">
              <w:t>4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1AAEFEF5" w:rsidR="00C46A59" w:rsidRPr="00050253" w:rsidRDefault="00657089" w:rsidP="00CA33FC">
      <w:pPr>
        <w:pStyle w:val="IntroFeatureText"/>
        <w:spacing w:line="240" w:lineRule="auto"/>
      </w:pPr>
      <w:r>
        <w:t>All committees are</w:t>
      </w:r>
      <w:r w:rsidRPr="00657089">
        <w:t xml:space="preserve"> expected to have a Dispute Resolution policy. This will ensure that if a dispute ever arises, there will be clarity on how to proceed.</w:t>
      </w:r>
    </w:p>
    <w:p w14:paraId="21C2CAF8" w14:textId="78C59BBC" w:rsidR="00D57C8F" w:rsidRPr="00A77C39" w:rsidRDefault="0076280D" w:rsidP="00D57C8F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 w:rsidRPr="0076280D">
        <w:rPr>
          <w:b/>
          <w:bCs/>
          <w:iCs/>
          <w:color w:val="00B2A9" w:themeColor="accent1"/>
          <w:kern w:val="20"/>
          <w:sz w:val="22"/>
          <w:szCs w:val="28"/>
        </w:rPr>
        <w:t>Model Dispute Resolution polic</w:t>
      </w:r>
      <w:r w:rsidR="000433F2">
        <w:rPr>
          <w:b/>
          <w:bCs/>
          <w:iCs/>
          <w:color w:val="00B2A9" w:themeColor="accent1"/>
          <w:kern w:val="20"/>
          <w:sz w:val="22"/>
          <w:szCs w:val="28"/>
        </w:rPr>
        <w:t>y</w:t>
      </w:r>
    </w:p>
    <w:p w14:paraId="6BB0070B" w14:textId="7714231B" w:rsidR="000433F2" w:rsidRDefault="000433F2" w:rsidP="000433F2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>A m</w:t>
      </w:r>
      <w:r w:rsidR="0076280D" w:rsidRPr="00B41F49">
        <w:rPr>
          <w:rFonts w:cstheme="minorHAnsi"/>
          <w:color w:val="auto"/>
        </w:rPr>
        <w:t>odel Dispute Resolution polic</w:t>
      </w:r>
      <w:r>
        <w:rPr>
          <w:rFonts w:cstheme="minorHAnsi"/>
          <w:color w:val="auto"/>
        </w:rPr>
        <w:t xml:space="preserve">y is </w:t>
      </w:r>
      <w:r w:rsidR="0076280D" w:rsidRPr="00B41F49">
        <w:rPr>
          <w:rFonts w:cstheme="minorHAnsi"/>
          <w:color w:val="auto"/>
        </w:rPr>
        <w:t>provided by DELWP to assist committees. The model polic</w:t>
      </w:r>
      <w:r>
        <w:rPr>
          <w:rFonts w:cstheme="minorHAnsi"/>
          <w:color w:val="auto"/>
        </w:rPr>
        <w:t>y</w:t>
      </w:r>
      <w:r w:rsidR="0076280D" w:rsidRPr="00B41F49">
        <w:rPr>
          <w:rFonts w:cstheme="minorHAnsi"/>
          <w:color w:val="auto"/>
        </w:rPr>
        <w:t xml:space="preserve"> can be adopted in full or modified to suit different committee preferences for style and content.</w:t>
      </w:r>
      <w:r>
        <w:rPr>
          <w:rFonts w:cstheme="minorHAnsi"/>
          <w:color w:val="auto"/>
        </w:rPr>
        <w:t xml:space="preserve"> It is available through the </w:t>
      </w:r>
      <w:hyperlink r:id="rId20" w:history="1">
        <w:r>
          <w:rPr>
            <w:rStyle w:val="Hyperlink"/>
            <w:rFonts w:cstheme="minorHAnsi"/>
          </w:rPr>
          <w:t>Crown Land Kiosk</w:t>
        </w:r>
      </w:hyperlink>
      <w:r>
        <w:rPr>
          <w:rFonts w:cstheme="minorHAnsi"/>
          <w:color w:val="auto"/>
        </w:rPr>
        <w:t xml:space="preserve"> or the </w:t>
      </w:r>
      <w:hyperlink r:id="rId21" w:history="1">
        <w:r>
          <w:rPr>
            <w:rStyle w:val="Hyperlink"/>
            <w:rFonts w:cstheme="minorHAnsi"/>
          </w:rPr>
          <w:t>committees of management section of the DELWP website</w:t>
        </w:r>
      </w:hyperlink>
      <w:r>
        <w:rPr>
          <w:rFonts w:cstheme="minorHAnsi"/>
          <w:color w:val="auto"/>
        </w:rPr>
        <w:t>.</w:t>
      </w:r>
    </w:p>
    <w:p w14:paraId="38CD6B59" w14:textId="77777777" w:rsidR="0076280D" w:rsidRPr="00A77C39" w:rsidRDefault="0076280D" w:rsidP="0076280D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Normal differences of opinion and disputes</w:t>
      </w:r>
    </w:p>
    <w:p w14:paraId="3B9C14B7" w14:textId="46B7DEAA" w:rsidR="0076280D" w:rsidRPr="00B41F49" w:rsidRDefault="0076280D" w:rsidP="0076280D">
      <w:pPr>
        <w:rPr>
          <w:rFonts w:cstheme="minorHAnsi"/>
          <w:color w:val="auto"/>
        </w:rPr>
      </w:pPr>
      <w:r w:rsidRPr="00B41F49">
        <w:rPr>
          <w:rFonts w:cstheme="minorHAnsi"/>
          <w:color w:val="auto"/>
        </w:rPr>
        <w:t xml:space="preserve">A committee’s approach to dispute resolution should be based on an acceptance of normal differences of opinion that may occur in the context of all members taking a considered, </w:t>
      </w:r>
      <w:proofErr w:type="gramStart"/>
      <w:r w:rsidRPr="00B41F49">
        <w:rPr>
          <w:rFonts w:cstheme="minorHAnsi"/>
          <w:color w:val="auto"/>
        </w:rPr>
        <w:t>courteous</w:t>
      </w:r>
      <w:proofErr w:type="gramEnd"/>
      <w:r w:rsidRPr="00B41F49">
        <w:rPr>
          <w:rFonts w:cstheme="minorHAnsi"/>
          <w:color w:val="auto"/>
        </w:rPr>
        <w:t xml:space="preserve"> and constructive approach to decision-making</w:t>
      </w:r>
      <w:r w:rsidR="000433F2">
        <w:rPr>
          <w:rFonts w:cstheme="minorHAnsi"/>
          <w:color w:val="auto"/>
        </w:rPr>
        <w:t>.</w:t>
      </w:r>
    </w:p>
    <w:p w14:paraId="6DD39315" w14:textId="77777777" w:rsidR="0076280D" w:rsidRPr="00B41F49" w:rsidRDefault="0076280D" w:rsidP="0076280D">
      <w:pPr>
        <w:rPr>
          <w:rFonts w:cstheme="minorHAnsi"/>
          <w:color w:val="auto"/>
        </w:rPr>
      </w:pPr>
    </w:p>
    <w:p w14:paraId="33CFBC59" w14:textId="3D81BB8B" w:rsidR="00D57C8F" w:rsidRPr="00B41F49" w:rsidRDefault="0076280D" w:rsidP="00D57C8F">
      <w:pPr>
        <w:rPr>
          <w:rFonts w:cstheme="minorHAnsi"/>
          <w:color w:val="auto"/>
        </w:rPr>
      </w:pPr>
      <w:r w:rsidRPr="00B41F49">
        <w:rPr>
          <w:rFonts w:cstheme="minorHAnsi"/>
          <w:color w:val="auto"/>
        </w:rPr>
        <w:t>The model Dispute Resolution polic</w:t>
      </w:r>
      <w:r w:rsidR="000433F2">
        <w:rPr>
          <w:rFonts w:cstheme="minorHAnsi"/>
          <w:color w:val="auto"/>
        </w:rPr>
        <w:t>y</w:t>
      </w:r>
      <w:r w:rsidRPr="00B41F49">
        <w:rPr>
          <w:rFonts w:cstheme="minorHAnsi"/>
          <w:color w:val="auto"/>
        </w:rPr>
        <w:t xml:space="preserve"> outline</w:t>
      </w:r>
      <w:r w:rsidR="000433F2">
        <w:rPr>
          <w:rFonts w:cstheme="minorHAnsi"/>
          <w:color w:val="auto"/>
        </w:rPr>
        <w:t>s</w:t>
      </w:r>
      <w:r w:rsidRPr="00B41F49">
        <w:rPr>
          <w:rFonts w:cstheme="minorHAnsi"/>
          <w:color w:val="auto"/>
        </w:rPr>
        <w:t xml:space="preserve"> that </w:t>
      </w:r>
      <w:r w:rsidR="00D57C8F" w:rsidRPr="00B41F49">
        <w:rPr>
          <w:rFonts w:cstheme="minorHAnsi"/>
          <w:color w:val="auto"/>
        </w:rPr>
        <w:t xml:space="preserve">a </w:t>
      </w:r>
      <w:r w:rsidR="00E73F20" w:rsidRPr="00B41F49">
        <w:rPr>
          <w:rFonts w:cstheme="minorHAnsi"/>
          <w:color w:val="auto"/>
        </w:rPr>
        <w:t>‘</w:t>
      </w:r>
      <w:r w:rsidR="00D57C8F" w:rsidRPr="00B41F49">
        <w:rPr>
          <w:rFonts w:cstheme="minorHAnsi"/>
          <w:color w:val="auto"/>
        </w:rPr>
        <w:t>dispute’ exists if:</w:t>
      </w:r>
    </w:p>
    <w:p w14:paraId="15050049" w14:textId="77777777" w:rsidR="0076280D" w:rsidRPr="00B41F49" w:rsidRDefault="0076280D" w:rsidP="00D57C8F">
      <w:pPr>
        <w:rPr>
          <w:rFonts w:cstheme="minorHAnsi"/>
          <w:color w:val="auto"/>
        </w:rPr>
      </w:pPr>
    </w:p>
    <w:p w14:paraId="43797EB8" w14:textId="0E5F6486" w:rsidR="00D57C8F" w:rsidRPr="00B41F49" w:rsidRDefault="0076280D" w:rsidP="0076280D">
      <w:pPr>
        <w:pStyle w:val="ListParagraph"/>
        <w:numPr>
          <w:ilvl w:val="0"/>
          <w:numId w:val="26"/>
        </w:numPr>
        <w:rPr>
          <w:rFonts w:cstheme="minorHAnsi"/>
          <w:color w:val="auto"/>
        </w:rPr>
      </w:pPr>
      <w:r w:rsidRPr="00B41F49">
        <w:rPr>
          <w:rFonts w:cstheme="minorHAnsi"/>
          <w:color w:val="auto"/>
        </w:rPr>
        <w:t>T</w:t>
      </w:r>
      <w:r w:rsidR="00D57C8F" w:rsidRPr="00B41F49">
        <w:rPr>
          <w:rFonts w:cstheme="minorHAnsi"/>
          <w:color w:val="auto"/>
        </w:rPr>
        <w:t>wo or more committee members have difficulty working together (</w:t>
      </w:r>
      <w:r w:rsidR="00A57BA2" w:rsidRPr="00B41F49">
        <w:rPr>
          <w:rFonts w:cstheme="minorHAnsi"/>
          <w:color w:val="auto"/>
        </w:rPr>
        <w:t xml:space="preserve">for example, </w:t>
      </w:r>
      <w:r w:rsidR="00D57C8F" w:rsidRPr="00B41F49">
        <w:rPr>
          <w:rFonts w:cstheme="minorHAnsi"/>
          <w:color w:val="auto"/>
        </w:rPr>
        <w:t>due to a conflict of personalities or ideological differences); and</w:t>
      </w:r>
    </w:p>
    <w:p w14:paraId="7FECE7F0" w14:textId="77777777" w:rsidR="0076280D" w:rsidRPr="00B41F49" w:rsidRDefault="0076280D" w:rsidP="00D57C8F">
      <w:pPr>
        <w:rPr>
          <w:rFonts w:cstheme="minorHAnsi"/>
          <w:color w:val="auto"/>
        </w:rPr>
      </w:pPr>
    </w:p>
    <w:p w14:paraId="5239C9ED" w14:textId="77777777" w:rsidR="0076280D" w:rsidRPr="00B41F49" w:rsidRDefault="0076280D" w:rsidP="0076280D">
      <w:pPr>
        <w:pStyle w:val="ListParagraph"/>
        <w:numPr>
          <w:ilvl w:val="0"/>
          <w:numId w:val="26"/>
        </w:numPr>
        <w:rPr>
          <w:rFonts w:cstheme="minorHAnsi"/>
          <w:color w:val="auto"/>
        </w:rPr>
      </w:pPr>
      <w:r w:rsidRPr="00B41F49">
        <w:rPr>
          <w:rFonts w:cstheme="minorHAnsi"/>
          <w:color w:val="auto"/>
        </w:rPr>
        <w:t>T</w:t>
      </w:r>
      <w:r w:rsidR="00D57C8F" w:rsidRPr="00B41F49">
        <w:rPr>
          <w:rFonts w:cstheme="minorHAnsi"/>
          <w:color w:val="auto"/>
        </w:rPr>
        <w:t xml:space="preserve">he situation is unduly affecting the ability of some or </w:t>
      </w:r>
      <w:proofErr w:type="gramStart"/>
      <w:r w:rsidR="00D57C8F" w:rsidRPr="00B41F49">
        <w:rPr>
          <w:rFonts w:cstheme="minorHAnsi"/>
          <w:color w:val="auto"/>
        </w:rPr>
        <w:t>all of</w:t>
      </w:r>
      <w:proofErr w:type="gramEnd"/>
      <w:r w:rsidR="00D57C8F" w:rsidRPr="00B41F49">
        <w:rPr>
          <w:rFonts w:cstheme="minorHAnsi"/>
          <w:color w:val="auto"/>
        </w:rPr>
        <w:t xml:space="preserve"> the committee to perform their duties in an effective and efficient manner.</w:t>
      </w:r>
    </w:p>
    <w:p w14:paraId="0BB848FC" w14:textId="3F75CAD8" w:rsidR="00FD462C" w:rsidRPr="00A77C39" w:rsidRDefault="00CD46C5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Informal resolution and formal mediation</w:t>
      </w:r>
    </w:p>
    <w:bookmarkEnd w:id="0"/>
    <w:p w14:paraId="32060844" w14:textId="5FDE2FCB" w:rsidR="00CD46C5" w:rsidRPr="00B41F49" w:rsidRDefault="00CD46C5" w:rsidP="00657089">
      <w:pPr>
        <w:rPr>
          <w:rFonts w:cstheme="minorHAnsi"/>
          <w:color w:val="auto"/>
        </w:rPr>
      </w:pPr>
      <w:r w:rsidRPr="00B41F49">
        <w:rPr>
          <w:rFonts w:cstheme="minorHAnsi"/>
          <w:color w:val="auto"/>
        </w:rPr>
        <w:t xml:space="preserve">It is preferable for disputes to be resolved on an informal basis. The model Dispute Resolution policies </w:t>
      </w:r>
      <w:proofErr w:type="gramStart"/>
      <w:r w:rsidRPr="00B41F49">
        <w:rPr>
          <w:rFonts w:cstheme="minorHAnsi"/>
          <w:color w:val="auto"/>
        </w:rPr>
        <w:t>make reference</w:t>
      </w:r>
      <w:proofErr w:type="gramEnd"/>
      <w:r w:rsidRPr="00B41F49">
        <w:rPr>
          <w:rFonts w:cstheme="minorHAnsi"/>
          <w:color w:val="auto"/>
        </w:rPr>
        <w:t xml:space="preserve"> to committee members acting in “good faith” to make a reasonable, thorough and conscientious effort to resolve disputes.</w:t>
      </w:r>
    </w:p>
    <w:p w14:paraId="699CC81F" w14:textId="77777777" w:rsidR="00CD46C5" w:rsidRPr="00B41F49" w:rsidRDefault="00CD46C5" w:rsidP="00657089">
      <w:pPr>
        <w:rPr>
          <w:rFonts w:cstheme="minorHAnsi"/>
          <w:color w:val="auto"/>
        </w:rPr>
      </w:pPr>
    </w:p>
    <w:p w14:paraId="46DD7885" w14:textId="59482323" w:rsidR="00657089" w:rsidRPr="00B41F49" w:rsidRDefault="00657089" w:rsidP="00657089">
      <w:pPr>
        <w:rPr>
          <w:rFonts w:cstheme="minorHAnsi"/>
          <w:color w:val="auto"/>
        </w:rPr>
      </w:pPr>
      <w:r w:rsidRPr="00B41F49">
        <w:rPr>
          <w:rFonts w:cstheme="minorHAnsi"/>
          <w:color w:val="auto"/>
        </w:rPr>
        <w:t xml:space="preserve">Chapter 5 of the Committee of Management Guidelines includes a section on Dispute Resolution. It refers to specialist agencies that may become involved in assisting </w:t>
      </w:r>
      <w:r w:rsidR="00A57BA2" w:rsidRPr="00B41F49">
        <w:rPr>
          <w:rFonts w:cstheme="minorHAnsi"/>
          <w:color w:val="auto"/>
        </w:rPr>
        <w:t xml:space="preserve">with formal mediation of an unresolved </w:t>
      </w:r>
      <w:r w:rsidRPr="00B41F49">
        <w:rPr>
          <w:rFonts w:cstheme="minorHAnsi"/>
          <w:color w:val="auto"/>
        </w:rPr>
        <w:t>dispute</w:t>
      </w:r>
      <w:r w:rsidR="00A57BA2" w:rsidRPr="00B41F49">
        <w:rPr>
          <w:rFonts w:cstheme="minorHAnsi"/>
          <w:color w:val="auto"/>
        </w:rPr>
        <w:t xml:space="preserve">, </w:t>
      </w:r>
      <w:r w:rsidRPr="00B41F49">
        <w:rPr>
          <w:rFonts w:cstheme="minorHAnsi"/>
          <w:color w:val="auto"/>
        </w:rPr>
        <w:t>including the Dispute Settlement Centre of Victoria.</w:t>
      </w:r>
      <w:bookmarkEnd w:id="1"/>
    </w:p>
    <w:sectPr w:rsidR="00657089" w:rsidRPr="00B41F49" w:rsidSect="00DE02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AE8D8" w14:textId="77777777" w:rsidR="005B6BC6" w:rsidRDefault="005B6BC6">
      <w:r>
        <w:separator/>
      </w:r>
    </w:p>
    <w:p w14:paraId="37138507" w14:textId="77777777" w:rsidR="005B6BC6" w:rsidRDefault="005B6BC6"/>
    <w:p w14:paraId="02E3403A" w14:textId="77777777" w:rsidR="005B6BC6" w:rsidRDefault="005B6BC6"/>
  </w:endnote>
  <w:endnote w:type="continuationSeparator" w:id="0">
    <w:p w14:paraId="6AB131EB" w14:textId="77777777" w:rsidR="005B6BC6" w:rsidRDefault="005B6BC6">
      <w:r>
        <w:continuationSeparator/>
      </w:r>
    </w:p>
    <w:p w14:paraId="2AD4EF72" w14:textId="77777777" w:rsidR="005B6BC6" w:rsidRDefault="005B6BC6"/>
    <w:p w14:paraId="45F2B18B" w14:textId="77777777" w:rsidR="005B6BC6" w:rsidRDefault="005B6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2387498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FC05E" w14:textId="0C542695" w:rsidR="007B4042" w:rsidRPr="000433F2" w:rsidRDefault="000433F2" w:rsidP="007B4042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0433F2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En/x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59EFC05E" w14:textId="0C542695" w:rsidR="007B4042" w:rsidRPr="000433F2" w:rsidRDefault="000433F2" w:rsidP="007B4042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0433F2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8CF2" w14:textId="77777777" w:rsidR="005B6BC6" w:rsidRPr="008F5280" w:rsidRDefault="005B6BC6" w:rsidP="008F5280">
      <w:pPr>
        <w:pStyle w:val="FootnoteSeparator"/>
      </w:pPr>
    </w:p>
    <w:p w14:paraId="58C20418" w14:textId="77777777" w:rsidR="005B6BC6" w:rsidRDefault="005B6BC6"/>
  </w:footnote>
  <w:footnote w:type="continuationSeparator" w:id="0">
    <w:p w14:paraId="49793752" w14:textId="77777777" w:rsidR="005B6BC6" w:rsidRDefault="005B6BC6" w:rsidP="008F5280">
      <w:pPr>
        <w:pStyle w:val="FootnoteSeparator"/>
      </w:pPr>
    </w:p>
    <w:p w14:paraId="4A4C205A" w14:textId="77777777" w:rsidR="005B6BC6" w:rsidRDefault="005B6BC6"/>
    <w:p w14:paraId="6581F52F" w14:textId="77777777" w:rsidR="005B6BC6" w:rsidRDefault="005B6BC6"/>
  </w:footnote>
  <w:footnote w:type="continuationNotice" w:id="1">
    <w:p w14:paraId="5825D168" w14:textId="77777777" w:rsidR="005B6BC6" w:rsidRDefault="005B6BC6" w:rsidP="00D55628"/>
    <w:p w14:paraId="3DDF70A0" w14:textId="77777777" w:rsidR="005B6BC6" w:rsidRDefault="005B6BC6"/>
    <w:p w14:paraId="3FF08EE7" w14:textId="77777777" w:rsidR="005B6BC6" w:rsidRDefault="005B6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12247D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65C0B">
            <w:rPr>
              <w:noProof/>
              <w:lang w:val="en-US"/>
            </w:rPr>
            <w:t>About</w:t>
          </w:r>
          <w:r w:rsidR="00765C0B" w:rsidRPr="00765C0B">
            <w:rPr>
              <w:noProof/>
            </w:rPr>
            <w:t xml:space="preserve"> DELWP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649C56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552B3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51E1B1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F136D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8A6E02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C7AC4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DDAFCA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A6AC3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8722C8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00367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0659D6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AEC9A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CFB52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A2806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23AB6FCC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0433F2">
            <w:rPr>
              <w:noProof/>
            </w:rPr>
            <w:t>Dispute Resolution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980152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E75A2C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99B75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3D81F844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280D">
            <w:rPr>
              <w:noProof/>
            </w:rPr>
            <w:t>Dispute Resolution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DFAA7E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16487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0FCC4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85EA2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8B98F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4B613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C1800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FA2E9B"/>
    <w:multiLevelType w:val="hybridMultilevel"/>
    <w:tmpl w:val="70723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9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4" w15:restartNumberingAfterBreak="0">
    <w:nsid w:val="5D6548FC"/>
    <w:multiLevelType w:val="hybridMultilevel"/>
    <w:tmpl w:val="52502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8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23"/>
  </w:num>
  <w:num w:numId="4">
    <w:abstractNumId w:val="29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27"/>
  </w:num>
  <w:num w:numId="10">
    <w:abstractNumId w:val="6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21"/>
  </w:num>
  <w:num w:numId="16">
    <w:abstractNumId w:val="20"/>
  </w:num>
  <w:num w:numId="17">
    <w:abstractNumId w:val="17"/>
  </w:num>
  <w:num w:numId="18">
    <w:abstractNumId w:val="0"/>
  </w:num>
  <w:num w:numId="19">
    <w:abstractNumId w:val="22"/>
  </w:num>
  <w:num w:numId="20">
    <w:abstractNumId w:val="3"/>
  </w:num>
  <w:num w:numId="21">
    <w:abstractNumId w:val="28"/>
  </w:num>
  <w:num w:numId="22">
    <w:abstractNumId w:val="7"/>
  </w:num>
  <w:num w:numId="23">
    <w:abstractNumId w:val="1"/>
  </w:num>
  <w:num w:numId="24">
    <w:abstractNumId w:val="15"/>
  </w:num>
  <w:num w:numId="25">
    <w:abstractNumId w:val="24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3F2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160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743"/>
    <w:rsid w:val="00237BD5"/>
    <w:rsid w:val="00237D72"/>
    <w:rsid w:val="00237EDD"/>
    <w:rsid w:val="00240237"/>
    <w:rsid w:val="002408BA"/>
    <w:rsid w:val="00240972"/>
    <w:rsid w:val="00240AE1"/>
    <w:rsid w:val="00240EAA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5AEF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C6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6CC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089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7C5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33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80D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042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C03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0F7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57BA2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B64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1F49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BFD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021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120"/>
    <w:rsid w:val="00CD2779"/>
    <w:rsid w:val="00CD2BC2"/>
    <w:rsid w:val="00CD2E4B"/>
    <w:rsid w:val="00CD3CE5"/>
    <w:rsid w:val="00CD3CEB"/>
    <w:rsid w:val="00CD420A"/>
    <w:rsid w:val="00CD42BB"/>
    <w:rsid w:val="00CD42D7"/>
    <w:rsid w:val="00CD46C5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57C8F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3F2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089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lwp.vic.gov.au/boards-and-governance/committees-of-managemen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crown-land-kiosk.delwp.vic.gov.a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Updated Good Governance fact Sheets and related material for committee of management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DOCID589-1193700953-854</_dlc_DocId>
    <_dlc_DocIdUrl xmlns="a5f32de4-e402-4188-b034-e71ca7d22e54">
      <Url>https://delwpvicgovau.sharepoint.com/sites/ecm_589/_layouts/15/DocIdRedir.aspx?ID=DOCID589-1193700953-854</Url>
      <Description>DOCID589-1193700953-854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F50B-BA40-4193-A079-CBE41868BE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6a94b143-faab-4153-939e-68c446c3d199"/>
    <ds:schemaRef ds:uri="http://schemas.microsoft.com/sharepoint/v3"/>
    <ds:schemaRef ds:uri="c9aadbac-82ff-4dd2-bad7-8dc66b4413f5"/>
    <ds:schemaRef ds:uri="9fd47c19-1c4a-4d7d-b342-c10cef269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A0490D-9159-43BF-8D00-4763622F3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3632D6-8CFA-4708-B567-3CB5BF9577A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Title</vt:lpstr>
      <vt:lpstr>    Model Dispute Resolution policies</vt:lpstr>
      <vt:lpstr>    Normal differences of opinion and disputes</vt:lpstr>
      <vt:lpstr>    Informal resolution and formal mediation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Good Governance fact Sheets and related material for committee of management</dc:title>
  <dc:subject/>
  <dc:creator>Joanna M Creswell (DELWP)</dc:creator>
  <cp:keywords/>
  <dc:description/>
  <cp:lastModifiedBy>Michael Gourlay (DELWP)</cp:lastModifiedBy>
  <cp:revision>2</cp:revision>
  <cp:lastPrinted>2016-09-08T07:20:00Z</cp:lastPrinted>
  <dcterms:created xsi:type="dcterms:W3CDTF">2021-06-11T04:01:00Z</dcterms:created>
  <dcterms:modified xsi:type="dcterms:W3CDTF">2021-06-11T04:01:00Z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deea5f12-65eb-4423-ad29-82651c62b154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