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643A712B" w14:textId="77777777" w:rsidR="00254F12" w:rsidRPr="00862057" w:rsidRDefault="00527BE0" w:rsidP="001806EE">
      <w:pPr>
        <w:pStyle w:val="Heading1"/>
        <w:framePr w:wrap="around"/>
      </w:pPr>
      <w:sdt>
        <w:sdtPr>
          <w:alias w:val="Document Title"/>
          <w:tag w:val=""/>
          <w:id w:val="-432211567"/>
          <w:placeholder>
            <w:docPart w:val="837FACD3C5054679BE5CD43966C0A040"/>
          </w:placeholder>
          <w:dataBinding w:prefixMappings="xmlns:ns0='http://purl.org/dc/elements/1.1/' xmlns:ns1='http://schemas.openxmlformats.org/package/2006/metadata/core-properties' " w:xpath="/ns1:coreProperties[1]/ns0:title[1]" w:storeItemID="{6C3C8BC8-F283-45AE-878A-BAB7291924A1}"/>
          <w:text/>
        </w:sdtPr>
        <w:sdtEndPr/>
        <w:sdtContent>
          <w:r w:rsidR="00222784">
            <w:t>Board meetings and decisions</w:t>
          </w:r>
        </w:sdtContent>
      </w:sdt>
    </w:p>
    <w:sdt>
      <w:sdtPr>
        <w:alias w:val="Subtitle"/>
        <w:tag w:val=""/>
        <w:id w:val="328029620"/>
        <w:placeholder>
          <w:docPart w:val="3FF03BCD136E4EFEAD02C067CE2BEBD8"/>
        </w:placeholder>
        <w:dataBinding w:prefixMappings="xmlns:ns0='http://purl.org/dc/elements/1.1/' xmlns:ns1='http://schemas.openxmlformats.org/package/2006/metadata/core-properties' " w:xpath="/ns1:coreProperties[1]/ns0:subject[1]" w:storeItemID="{6C3C8BC8-F283-45AE-878A-BAB7291924A1}"/>
        <w:text/>
      </w:sdtPr>
      <w:sdtEndPr/>
      <w:sdtContent>
        <w:p w14:paraId="31146D71" w14:textId="77777777" w:rsidR="004C1F02" w:rsidRDefault="00222784" w:rsidP="001806EE">
          <w:pPr>
            <w:pStyle w:val="Subtitle"/>
            <w:framePr w:wrap="around"/>
          </w:pPr>
          <w:r>
            <w:t>About the model policy</w:t>
          </w:r>
        </w:p>
      </w:sdtContent>
    </w:sdt>
    <w:p w14:paraId="77B75453"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15CB5F0B" wp14:editId="3609DC6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4F2AF0E8" w14:textId="77777777" w:rsidR="008C06B8" w:rsidRDefault="00677D56" w:rsidP="00FE7FB1">
      <w:pPr>
        <w:pStyle w:val="BodyText"/>
      </w:pPr>
      <w:r>
        <w:rPr>
          <w:noProof/>
        </w:rPr>
        <w:drawing>
          <wp:anchor distT="0" distB="0" distL="114300" distR="114300" simplePos="0" relativeHeight="251666430" behindDoc="0" locked="1" layoutInCell="1" allowOverlap="1" wp14:anchorId="3358FFC2" wp14:editId="785892FC">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790BC1C2" wp14:editId="53152530">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6D408A10" wp14:editId="5FFD69AB">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1DD648"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17CBA7A8" wp14:editId="7AEB8609">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3881F557" wp14:editId="6CADDE00">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652A8635" wp14:editId="2B6B81C9">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565ED063" wp14:editId="0E6D540A">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133DB098" wp14:editId="40AC6A18">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316F015F" wp14:editId="0A946D83">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7B39DF74" wp14:editId="763E4D10">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C4F87B"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4F1F5C9E" wp14:editId="0130F258">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2FDC00"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4DCDBE62" wp14:editId="690D9A14">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53CCBC"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49DCECD2" wp14:editId="3B76224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84EF38"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3E0E16DF" wp14:editId="3D90465F">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746342FE" w14:textId="627C63B5" w:rsidR="00254F12" w:rsidRPr="00484CC4" w:rsidRDefault="00005306" w:rsidP="00254F12">
                              <w:pPr>
                                <w:pStyle w:val="xWebCoverPage"/>
                              </w:pPr>
                              <w:hyperlink r:id="rId23"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E0E16DF"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46342FE" w14:textId="627C63B5" w:rsidR="00254F12" w:rsidRPr="00484CC4" w:rsidRDefault="00005306" w:rsidP="00254F12">
                        <w:pPr>
                          <w:pStyle w:val="xWebCoverPage"/>
                        </w:pPr>
                        <w:hyperlink r:id="rId24" w:history="1">
                          <w:r w:rsidR="00254F12" w:rsidRPr="00484CC4">
                            <w:t>deeca.vic.gov.au</w:t>
                          </w:r>
                        </w:hyperlink>
                      </w:p>
                    </w:txbxContent>
                  </v:textbox>
                </v:shape>
                <w10:wrap anchorx="page" anchory="page"/>
                <w10:anchorlock/>
              </v:group>
            </w:pict>
          </mc:Fallback>
        </mc:AlternateContent>
      </w:r>
    </w:p>
    <w:p w14:paraId="3D68DEC1" w14:textId="77777777" w:rsidR="00665916" w:rsidRDefault="00665916" w:rsidP="004C1F02">
      <w:pPr>
        <w:sectPr w:rsidR="00665916" w:rsidSect="008C06B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083A9100" w14:textId="2E5E58D8" w:rsidR="00222784" w:rsidRDefault="00222784" w:rsidP="00222784">
      <w:r>
        <w:t xml:space="preserve">This </w:t>
      </w:r>
      <w:r w:rsidRPr="00D01A78">
        <w:t>guidance note</w:t>
      </w:r>
      <w:r>
        <w:t xml:space="preserve"> is for use by</w:t>
      </w:r>
      <w:r w:rsidRPr="00D01A78">
        <w:t xml:space="preserve"> </w:t>
      </w:r>
      <w:r w:rsidRPr="001100DC">
        <w:t>board members</w:t>
      </w:r>
      <w:r w:rsidRPr="00D01A78">
        <w:t xml:space="preserve"> of </w:t>
      </w:r>
      <w:r>
        <w:t xml:space="preserve">the over 100 major </w:t>
      </w:r>
      <w:r w:rsidRPr="00D01A78">
        <w:t xml:space="preserve">public entities and other statutory boards, committees, councils, panels, etc. in the Department of </w:t>
      </w:r>
      <w:r>
        <w:t>Energy, Environment and Climate Action (DEECA</w:t>
      </w:r>
      <w:r w:rsidRPr="001100DC">
        <w:t xml:space="preserve">) </w:t>
      </w:r>
      <w:r w:rsidRPr="00D01A78">
        <w:t xml:space="preserve">portfolio, including </w:t>
      </w:r>
      <w:r>
        <w:t xml:space="preserve">large (category 1 and 2) </w:t>
      </w:r>
      <w:r w:rsidRPr="00D01A78">
        <w:t>committees of management</w:t>
      </w:r>
      <w:r>
        <w:t xml:space="preserve"> of crown land reserves  </w:t>
      </w:r>
    </w:p>
    <w:p w14:paraId="4562C77D" w14:textId="77777777" w:rsidR="00222784" w:rsidRDefault="00222784" w:rsidP="008C06B8">
      <w:pPr>
        <w:pStyle w:val="Heading2"/>
        <w:spacing w:before="0"/>
      </w:pPr>
    </w:p>
    <w:p w14:paraId="0259DBE1" w14:textId="77777777" w:rsidR="00222784" w:rsidRDefault="00222784" w:rsidP="008C06B8">
      <w:pPr>
        <w:pStyle w:val="Heading2"/>
        <w:spacing w:before="0"/>
        <w:sectPr w:rsidR="00222784" w:rsidSect="007425C9">
          <w:headerReference w:type="default" r:id="rId31"/>
          <w:type w:val="continuous"/>
          <w:pgSz w:w="11907" w:h="16839" w:code="9"/>
          <w:pgMar w:top="1418" w:right="851" w:bottom="992" w:left="851" w:header="284" w:footer="284" w:gutter="0"/>
          <w:cols w:space="284"/>
          <w:docGrid w:linePitch="360"/>
        </w:sectPr>
      </w:pPr>
    </w:p>
    <w:p w14:paraId="1305FA56" w14:textId="00281C19" w:rsidR="00222784" w:rsidRDefault="00222784" w:rsidP="008C06B8">
      <w:pPr>
        <w:pStyle w:val="Heading2"/>
        <w:spacing w:before="0"/>
      </w:pPr>
      <w:r>
        <w:t xml:space="preserve">Introduction </w:t>
      </w:r>
    </w:p>
    <w:p w14:paraId="00130411" w14:textId="77777777" w:rsidR="00222784" w:rsidRDefault="00222784" w:rsidP="00222784">
      <w:r>
        <w:t>Y</w:t>
      </w:r>
      <w:r w:rsidRPr="008A1507">
        <w:t xml:space="preserve">our board </w:t>
      </w:r>
      <w:r>
        <w:t xml:space="preserve">must </w:t>
      </w:r>
      <w:r w:rsidRPr="008A1507">
        <w:t xml:space="preserve">have a </w:t>
      </w:r>
      <w:r>
        <w:rPr>
          <w:rFonts w:cs="Arial"/>
          <w:i/>
        </w:rPr>
        <w:t>Board Meetings and Decisions</w:t>
      </w:r>
      <w:r>
        <w:rPr>
          <w:rFonts w:cs="Arial"/>
        </w:rPr>
        <w:t xml:space="preserve"> </w:t>
      </w:r>
      <w:r>
        <w:t xml:space="preserve">policy that complies with its governance obligations and with good public sector governance practice. </w:t>
      </w:r>
    </w:p>
    <w:p w14:paraId="748FAE2E" w14:textId="77777777" w:rsidR="00222784" w:rsidRPr="008A1507" w:rsidRDefault="00222784" w:rsidP="00222784">
      <w:r>
        <w:t>The board’s policy should include procedures for:</w:t>
      </w:r>
    </w:p>
    <w:p w14:paraId="471A08C8" w14:textId="77777777" w:rsidR="00222784" w:rsidRPr="00A80CA1" w:rsidRDefault="00222784" w:rsidP="00222784">
      <w:pPr>
        <w:pStyle w:val="ListBullet"/>
        <w:numPr>
          <w:ilvl w:val="0"/>
          <w:numId w:val="41"/>
        </w:numPr>
        <w:tabs>
          <w:tab w:val="clear" w:pos="360"/>
          <w:tab w:val="left" w:pos="170"/>
          <w:tab w:val="left" w:pos="567"/>
        </w:tabs>
        <w:spacing w:before="0" w:after="113"/>
        <w:ind w:left="170" w:hanging="170"/>
      </w:pPr>
      <w:r>
        <w:t>the conduct of board meetings</w:t>
      </w:r>
      <w:r w:rsidRPr="00A80CA1">
        <w:t xml:space="preserve"> </w:t>
      </w:r>
    </w:p>
    <w:p w14:paraId="4CCFC1B0" w14:textId="77777777" w:rsidR="00222784" w:rsidRDefault="00222784" w:rsidP="00222784">
      <w:pPr>
        <w:pStyle w:val="ListBullet"/>
        <w:numPr>
          <w:ilvl w:val="0"/>
          <w:numId w:val="41"/>
        </w:numPr>
        <w:tabs>
          <w:tab w:val="clear" w:pos="360"/>
          <w:tab w:val="left" w:pos="170"/>
          <w:tab w:val="left" w:pos="567"/>
        </w:tabs>
        <w:spacing w:before="0" w:after="113"/>
        <w:ind w:left="170" w:hanging="170"/>
      </w:pPr>
      <w:r>
        <w:t>the making of board decisions</w:t>
      </w:r>
    </w:p>
    <w:p w14:paraId="59465F64" w14:textId="77777777" w:rsidR="00222784" w:rsidRDefault="00222784" w:rsidP="00222784">
      <w:pPr>
        <w:pStyle w:val="ListBullet"/>
        <w:numPr>
          <w:ilvl w:val="0"/>
          <w:numId w:val="41"/>
        </w:numPr>
        <w:tabs>
          <w:tab w:val="clear" w:pos="360"/>
          <w:tab w:val="left" w:pos="170"/>
          <w:tab w:val="left" w:pos="567"/>
        </w:tabs>
        <w:spacing w:before="0" w:after="113"/>
        <w:ind w:left="170" w:hanging="170"/>
      </w:pPr>
      <w:r>
        <w:t>the recording of board minutes</w:t>
      </w:r>
      <w:r w:rsidRPr="008A1507">
        <w:t>.</w:t>
      </w:r>
    </w:p>
    <w:p w14:paraId="1DCA9DF6" w14:textId="77777777" w:rsidR="00222784" w:rsidRPr="00222784" w:rsidRDefault="00222784" w:rsidP="00222784">
      <w:pPr>
        <w:pStyle w:val="BodyText"/>
      </w:pPr>
    </w:p>
    <w:p w14:paraId="21D82B8A" w14:textId="7D53DF1F" w:rsidR="00222784" w:rsidRDefault="00222784" w:rsidP="008C06B8">
      <w:pPr>
        <w:pStyle w:val="Heading2"/>
        <w:spacing w:before="0"/>
      </w:pPr>
      <w:r>
        <w:t xml:space="preserve">DEECA model policy </w:t>
      </w:r>
    </w:p>
    <w:p w14:paraId="079061D3" w14:textId="6C6DBDF0" w:rsidR="00222784" w:rsidRDefault="00222784" w:rsidP="00222784">
      <w:pPr>
        <w:spacing w:after="80" w:line="260" w:lineRule="atLeast"/>
      </w:pPr>
      <w:r>
        <w:t>DEECA</w:t>
      </w:r>
      <w:r w:rsidRPr="008A1507">
        <w:t xml:space="preserve"> </w:t>
      </w:r>
      <w:r>
        <w:t>offers</w:t>
      </w:r>
      <w:r w:rsidRPr="008A1507">
        <w:t xml:space="preserve"> a model policy on </w:t>
      </w:r>
      <w:r>
        <w:rPr>
          <w:rStyle w:val="Emphasis-Italics"/>
          <w:rFonts w:cs="Arial"/>
        </w:rPr>
        <w:t>Board Meetings and Decisions</w:t>
      </w:r>
      <w:r>
        <w:t>.</w:t>
      </w:r>
      <w:r w:rsidRPr="008A1507">
        <w:t xml:space="preserve"> </w:t>
      </w:r>
      <w:r>
        <w:t xml:space="preserve"> Your board’s policy should be consistent with DEECA’s model policy</w:t>
      </w:r>
      <w:r w:rsidRPr="008A1507">
        <w:t>.</w:t>
      </w:r>
    </w:p>
    <w:p w14:paraId="49058982" w14:textId="77777777" w:rsidR="00222784" w:rsidRPr="008A1507" w:rsidRDefault="00222784" w:rsidP="00222784">
      <w:pPr>
        <w:spacing w:line="260" w:lineRule="atLeast"/>
      </w:pPr>
      <w:r w:rsidRPr="008A1507">
        <w:t xml:space="preserve">If your agency’s establishing Act </w:t>
      </w:r>
      <w:r>
        <w:t>includes</w:t>
      </w:r>
      <w:r w:rsidRPr="008A1507">
        <w:t xml:space="preserve"> specific requi</w:t>
      </w:r>
      <w:r>
        <w:t>rements in relation to meetings and decisions</w:t>
      </w:r>
      <w:r w:rsidRPr="008A1507">
        <w:t xml:space="preserve">, </w:t>
      </w:r>
      <w:r>
        <w:t>adapt the model policy accordingly</w:t>
      </w:r>
      <w:r w:rsidRPr="008A1507">
        <w:t xml:space="preserve">. </w:t>
      </w:r>
    </w:p>
    <w:p w14:paraId="7479205B" w14:textId="77777777" w:rsidR="00222784" w:rsidRPr="00222784" w:rsidRDefault="00222784" w:rsidP="00222784">
      <w:pPr>
        <w:pStyle w:val="Heading2"/>
        <w:spacing w:before="140" w:after="100"/>
        <w:rPr>
          <w:sz w:val="24"/>
          <w:szCs w:val="24"/>
        </w:rPr>
      </w:pPr>
      <w:r w:rsidRPr="00222784">
        <w:rPr>
          <w:sz w:val="24"/>
          <w:szCs w:val="24"/>
        </w:rPr>
        <w:t>Terms used</w:t>
      </w:r>
    </w:p>
    <w:p w14:paraId="65DB44FB" w14:textId="77777777" w:rsidR="00222784" w:rsidRPr="00417406" w:rsidRDefault="00222784" w:rsidP="00222784">
      <w:pPr>
        <w:spacing w:after="0"/>
      </w:pPr>
      <w:r>
        <w:t>T</w:t>
      </w:r>
      <w:r w:rsidRPr="008A1507">
        <w:t>he mo</w:t>
      </w:r>
      <w:r>
        <w:t xml:space="preserve">del policy uses generic terms. </w:t>
      </w:r>
      <w:r w:rsidRPr="008A1507">
        <w:t xml:space="preserve">Your board </w:t>
      </w:r>
      <w:r>
        <w:t>can</w:t>
      </w:r>
      <w:r w:rsidRPr="008A1507">
        <w:t xml:space="preserve"> </w:t>
      </w:r>
      <w:r w:rsidRPr="00417406">
        <w:t>substitute its own terms, for example:</w:t>
      </w:r>
    </w:p>
    <w:p w14:paraId="27F25030" w14:textId="77777777" w:rsidR="00222784" w:rsidRDefault="00222784" w:rsidP="00222784">
      <w:pPr>
        <w:pStyle w:val="ListBullet"/>
        <w:spacing w:before="80" w:after="40"/>
      </w:pPr>
      <w:r w:rsidRPr="00AA5B9A">
        <w:rPr>
          <w:i/>
        </w:rPr>
        <w:t>board</w:t>
      </w:r>
      <w:r>
        <w:t xml:space="preserve"> - committee, council, panel, etc.</w:t>
      </w:r>
    </w:p>
    <w:p w14:paraId="15FB16B5" w14:textId="77777777" w:rsidR="00222784" w:rsidRDefault="00222784" w:rsidP="00222784">
      <w:pPr>
        <w:pStyle w:val="ListBullet"/>
        <w:spacing w:before="80" w:after="40"/>
      </w:pPr>
      <w:r w:rsidRPr="00AA5B9A">
        <w:rPr>
          <w:i/>
        </w:rPr>
        <w:t>board member</w:t>
      </w:r>
      <w:r>
        <w:t xml:space="preserve"> -</w:t>
      </w:r>
      <w:r w:rsidRPr="008A1507">
        <w:t xml:space="preserve"> </w:t>
      </w:r>
      <w:r>
        <w:t>director, committee member</w:t>
      </w:r>
      <w:r w:rsidRPr="008A1507">
        <w:t>, etc.</w:t>
      </w:r>
    </w:p>
    <w:p w14:paraId="15A39F8D" w14:textId="77777777" w:rsidR="00222784" w:rsidRPr="00222784" w:rsidRDefault="00222784" w:rsidP="00222784">
      <w:pPr>
        <w:pStyle w:val="BodyText"/>
      </w:pPr>
    </w:p>
    <w:p w14:paraId="2D8FEAE7" w14:textId="491C8AA9" w:rsidR="00222784" w:rsidRDefault="00222784" w:rsidP="008C06B8">
      <w:pPr>
        <w:pStyle w:val="Heading2"/>
        <w:spacing w:before="0"/>
      </w:pPr>
      <w:r>
        <w:t xml:space="preserve">Governance obligations and good practice </w:t>
      </w:r>
    </w:p>
    <w:p w14:paraId="01F64E95" w14:textId="0415436C" w:rsidR="00222784" w:rsidRDefault="00222784" w:rsidP="00222784">
      <w:pPr>
        <w:pStyle w:val="BodyText"/>
        <w:spacing w:after="100"/>
        <w:rPr>
          <w:rFonts w:cs="Arial"/>
        </w:rPr>
      </w:pPr>
      <w:r w:rsidRPr="008A1507">
        <w:rPr>
          <w:rFonts w:cs="Arial"/>
        </w:rPr>
        <w:t xml:space="preserve">The </w:t>
      </w:r>
      <w:r w:rsidRPr="0073457A">
        <w:t xml:space="preserve">model policy is based on governance obligations </w:t>
      </w:r>
      <w:r>
        <w:t>that</w:t>
      </w:r>
      <w:r w:rsidRPr="0073457A">
        <w:t xml:space="preserve"> are binding</w:t>
      </w:r>
      <w:r w:rsidRPr="008A1507">
        <w:rPr>
          <w:rFonts w:cs="Arial"/>
        </w:rPr>
        <w:t xml:space="preserve"> on most </w:t>
      </w:r>
      <w:r>
        <w:rPr>
          <w:rFonts w:cs="Arial"/>
        </w:rPr>
        <w:t>DEECA</w:t>
      </w:r>
      <w:r w:rsidRPr="008A1507">
        <w:rPr>
          <w:rFonts w:cs="Arial"/>
        </w:rPr>
        <w:t xml:space="preserve"> agencies</w:t>
      </w:r>
      <w:r>
        <w:rPr>
          <w:rFonts w:cs="Arial"/>
        </w:rPr>
        <w:t xml:space="preserve"> – e.g. requirements in the </w:t>
      </w:r>
      <w:r w:rsidRPr="00511FB7">
        <w:rPr>
          <w:rFonts w:cs="Arial"/>
          <w:i/>
        </w:rPr>
        <w:t>Public Administration Act 2004</w:t>
      </w:r>
      <w:r>
        <w:rPr>
          <w:rFonts w:cs="Arial"/>
        </w:rPr>
        <w:t xml:space="preserve"> (PAA)</w:t>
      </w:r>
      <w:r w:rsidRPr="008A1507">
        <w:rPr>
          <w:rFonts w:cs="Arial"/>
        </w:rPr>
        <w:t>.</w:t>
      </w:r>
      <w:r w:rsidRPr="008A1507">
        <w:rPr>
          <w:rStyle w:val="FootnoteReference"/>
          <w:rFonts w:cs="Arial"/>
        </w:rPr>
        <w:footnoteReference w:id="2"/>
      </w:r>
      <w:r>
        <w:rPr>
          <w:rFonts w:cs="Arial"/>
        </w:rPr>
        <w:t xml:space="preserve">  </w:t>
      </w:r>
    </w:p>
    <w:p w14:paraId="61314AF2" w14:textId="550F376A" w:rsidR="00222784" w:rsidRDefault="00222784" w:rsidP="00222784">
      <w:pPr>
        <w:pStyle w:val="BodyText"/>
        <w:rPr>
          <w:szCs w:val="22"/>
        </w:rPr>
      </w:pPr>
      <w:r>
        <w:rPr>
          <w:szCs w:val="22"/>
        </w:rPr>
        <w:t xml:space="preserve">Even if these </w:t>
      </w:r>
      <w:r w:rsidRPr="00B07CB2">
        <w:rPr>
          <w:szCs w:val="22"/>
        </w:rPr>
        <w:t xml:space="preserve">obligations are not legally binding on your agency, </w:t>
      </w:r>
      <w:r>
        <w:rPr>
          <w:szCs w:val="22"/>
        </w:rPr>
        <w:t>t</w:t>
      </w:r>
      <w:r w:rsidRPr="00B07CB2">
        <w:rPr>
          <w:szCs w:val="22"/>
        </w:rPr>
        <w:t xml:space="preserve">hey </w:t>
      </w:r>
      <w:r w:rsidRPr="000F3FEF">
        <w:rPr>
          <w:szCs w:val="22"/>
        </w:rPr>
        <w:t>are</w:t>
      </w:r>
      <w:r w:rsidRPr="000F3FEF">
        <w:rPr>
          <w:b/>
          <w:szCs w:val="22"/>
        </w:rPr>
        <w:t xml:space="preserve"> basic good governance practice</w:t>
      </w:r>
      <w:r w:rsidRPr="00B07CB2">
        <w:rPr>
          <w:szCs w:val="22"/>
        </w:rPr>
        <w:t xml:space="preserve"> for all </w:t>
      </w:r>
      <w:r>
        <w:rPr>
          <w:szCs w:val="22"/>
        </w:rPr>
        <w:t>DEECA</w:t>
      </w:r>
      <w:r w:rsidRPr="00B07CB2">
        <w:rPr>
          <w:szCs w:val="22"/>
        </w:rPr>
        <w:t xml:space="preserve"> agencies.</w:t>
      </w:r>
    </w:p>
    <w:p w14:paraId="222D705F" w14:textId="77777777" w:rsidR="00222784" w:rsidRDefault="00222784" w:rsidP="008C06B8">
      <w:pPr>
        <w:pStyle w:val="Heading2"/>
        <w:spacing w:before="0"/>
      </w:pPr>
    </w:p>
    <w:p w14:paraId="1E608C5D" w14:textId="73125AAC" w:rsidR="00222784" w:rsidRDefault="00222784" w:rsidP="008C06B8">
      <w:pPr>
        <w:pStyle w:val="Heading2"/>
        <w:spacing w:before="0"/>
      </w:pPr>
      <w:r>
        <w:t xml:space="preserve">Overview of model policy </w:t>
      </w:r>
    </w:p>
    <w:p w14:paraId="49F93539" w14:textId="0AD113DB" w:rsidR="00222784" w:rsidRPr="00222784" w:rsidRDefault="00222784" w:rsidP="00222784">
      <w:r>
        <w:t>For an overview of the model policy, see Appendix 1.</w:t>
      </w:r>
    </w:p>
    <w:p w14:paraId="553F28F0" w14:textId="77777777" w:rsidR="00222784" w:rsidRDefault="00222784" w:rsidP="008C06B8">
      <w:pPr>
        <w:pStyle w:val="Heading2"/>
        <w:spacing w:before="0"/>
      </w:pPr>
    </w:p>
    <w:p w14:paraId="7B367038" w14:textId="3EDD9237" w:rsidR="00C337ED" w:rsidRDefault="00222784" w:rsidP="008C06B8">
      <w:pPr>
        <w:pStyle w:val="Heading2"/>
        <w:spacing w:before="0"/>
      </w:pPr>
      <w:r>
        <w:t>Additional guidance</w:t>
      </w:r>
    </w:p>
    <w:p w14:paraId="43A6B9E1" w14:textId="77777777" w:rsidR="00222784" w:rsidRPr="00516402" w:rsidRDefault="00222784" w:rsidP="00222784">
      <w:pPr>
        <w:spacing w:after="0"/>
      </w:pPr>
      <w:r w:rsidRPr="00516402">
        <w:t xml:space="preserve">The guidance </w:t>
      </w:r>
      <w:r>
        <w:t xml:space="preserve">on the next pages </w:t>
      </w:r>
      <w:r w:rsidRPr="00516402">
        <w:t>relat</w:t>
      </w:r>
      <w:r>
        <w:t>es to specific items in the model policy - e.g. explains why board decisions should be made by a formal vote that enables each individual board member’s vote to recorded in the minutes.</w:t>
      </w:r>
      <w:r w:rsidRPr="00516402">
        <w:t xml:space="preserve"> </w:t>
      </w:r>
    </w:p>
    <w:p w14:paraId="686A5532" w14:textId="77777777" w:rsidR="00222784" w:rsidRDefault="00222784" w:rsidP="00222784">
      <w:pPr>
        <w:pStyle w:val="Heading2"/>
        <w:spacing w:before="0"/>
      </w:pPr>
    </w:p>
    <w:p w14:paraId="429D3929" w14:textId="443CB7F7" w:rsidR="00222784" w:rsidRDefault="00222784" w:rsidP="00222784">
      <w:pPr>
        <w:pStyle w:val="Heading2"/>
        <w:spacing w:before="0"/>
      </w:pPr>
      <w:r>
        <w:t xml:space="preserve">Chair’s role (item 3) </w:t>
      </w:r>
    </w:p>
    <w:p w14:paraId="543B4918" w14:textId="77777777" w:rsidR="00222784" w:rsidRPr="00516402" w:rsidRDefault="00222784" w:rsidP="00222784">
      <w:r w:rsidRPr="00516402">
        <w:t xml:space="preserve">In addition to </w:t>
      </w:r>
      <w:r>
        <w:t>the chair’s</w:t>
      </w:r>
      <w:r w:rsidRPr="00516402">
        <w:t xml:space="preserve"> role in board meetings, </w:t>
      </w:r>
      <w:r>
        <w:t xml:space="preserve">his/her role </w:t>
      </w:r>
      <w:r w:rsidRPr="00516402">
        <w:t>includes:</w:t>
      </w:r>
    </w:p>
    <w:p w14:paraId="016FF769" w14:textId="77777777" w:rsidR="00222784" w:rsidRDefault="00222784" w:rsidP="00222784">
      <w:pPr>
        <w:pStyle w:val="ListBullet"/>
      </w:pPr>
      <w:r w:rsidRPr="00516402">
        <w:t>ensuring board mem</w:t>
      </w:r>
      <w:r>
        <w:t>bers receive suitable induction</w:t>
      </w:r>
    </w:p>
    <w:p w14:paraId="3F733AE1" w14:textId="77777777" w:rsidR="00222784" w:rsidRDefault="00222784" w:rsidP="00222784">
      <w:pPr>
        <w:pStyle w:val="ListBullet"/>
      </w:pPr>
      <w:r>
        <w:t>developing the board as a team</w:t>
      </w:r>
    </w:p>
    <w:p w14:paraId="42A6AB5F" w14:textId="080FB093" w:rsidR="00222784" w:rsidRDefault="00222784" w:rsidP="00222784">
      <w:pPr>
        <w:pStyle w:val="ListBullet"/>
      </w:pPr>
      <w:r w:rsidRPr="00516402">
        <w:t>assisting board members to understand their role and responsibilities and t</w:t>
      </w:r>
      <w:r>
        <w:t>hose of key stakeholders (e.g. m</w:t>
      </w:r>
      <w:r w:rsidRPr="00516402">
        <w:t xml:space="preserve">inister, </w:t>
      </w:r>
      <w:r>
        <w:t>DEECA,</w:t>
      </w:r>
      <w:r w:rsidRPr="00516402">
        <w:t xml:space="preserve"> </w:t>
      </w:r>
      <w:r>
        <w:t>CEO)</w:t>
      </w:r>
    </w:p>
    <w:p w14:paraId="0F093474" w14:textId="77777777" w:rsidR="00222784" w:rsidRDefault="00222784" w:rsidP="00222784">
      <w:pPr>
        <w:pStyle w:val="ListBullet"/>
      </w:pPr>
      <w:r>
        <w:t xml:space="preserve">managing the board’s annual performance assessment process </w:t>
      </w:r>
    </w:p>
    <w:p w14:paraId="6F2E10EB" w14:textId="77777777" w:rsidR="00222784" w:rsidRDefault="00222784" w:rsidP="00222784">
      <w:pPr>
        <w:pStyle w:val="ListBullet"/>
      </w:pPr>
      <w:r>
        <w:t>managing the continuing education process for board members</w:t>
      </w:r>
    </w:p>
    <w:p w14:paraId="554BEBD9" w14:textId="77777777" w:rsidR="00222784" w:rsidRPr="00516402" w:rsidRDefault="00222784" w:rsidP="00222784">
      <w:pPr>
        <w:pStyle w:val="ListBullet"/>
      </w:pPr>
      <w:r>
        <w:t>guiding the dispute resolution process</w:t>
      </w:r>
    </w:p>
    <w:p w14:paraId="5CA3D400" w14:textId="77777777" w:rsidR="00222784" w:rsidRPr="00516402" w:rsidRDefault="00222784" w:rsidP="00222784">
      <w:pPr>
        <w:pStyle w:val="ListBullet"/>
      </w:pPr>
      <w:r w:rsidRPr="00516402">
        <w:t>acting as key spokesperson and relationship-builder for the agency.</w:t>
      </w:r>
    </w:p>
    <w:p w14:paraId="19862C0B" w14:textId="77777777" w:rsidR="00222784" w:rsidRPr="00222784" w:rsidRDefault="00222784" w:rsidP="00222784">
      <w:pPr>
        <w:pStyle w:val="BodyText"/>
      </w:pPr>
    </w:p>
    <w:p w14:paraId="2A2A6665" w14:textId="4C8E8845" w:rsidR="00222784" w:rsidRDefault="00222784" w:rsidP="00222784">
      <w:pPr>
        <w:pStyle w:val="Heading2"/>
        <w:spacing w:before="0"/>
      </w:pPr>
      <w:r>
        <w:t xml:space="preserve">Remote attendance at board meetings (item 6) </w:t>
      </w:r>
    </w:p>
    <w:p w14:paraId="60C6F958" w14:textId="77777777" w:rsidR="00222784" w:rsidRPr="00516402" w:rsidRDefault="00222784" w:rsidP="00222784">
      <w:r>
        <w:t>Barrett JA in the</w:t>
      </w:r>
      <w:r w:rsidRPr="00516402">
        <w:t xml:space="preserve"> NSW Court of Appeal</w:t>
      </w:r>
      <w:r>
        <w:t xml:space="preserve">’s </w:t>
      </w:r>
      <w:r w:rsidRPr="00873413">
        <w:rPr>
          <w:b/>
        </w:rPr>
        <w:t>James Hardie</w:t>
      </w:r>
      <w:r>
        <w:t xml:space="preserve"> judgement of November 2012 stated that if </w:t>
      </w:r>
      <w:r w:rsidRPr="00AE1259">
        <w:t xml:space="preserve">a board member is attending a board meeting remotely </w:t>
      </w:r>
      <w:r>
        <w:t>and a document is tabled to inform a proposed decision then, unless the board member can read (or be read) and properly comprehend</w:t>
      </w:r>
      <w:r w:rsidRPr="00AE1259">
        <w:t xml:space="preserve"> </w:t>
      </w:r>
      <w:r>
        <w:t xml:space="preserve">the document, </w:t>
      </w:r>
      <w:r w:rsidRPr="00AE1259">
        <w:t>he/she should abstain from decision</w:t>
      </w:r>
      <w:r>
        <w:t>-making</w:t>
      </w:r>
      <w:r w:rsidRPr="00AE1259">
        <w:t xml:space="preserve"> on the matter</w:t>
      </w:r>
      <w:r w:rsidRPr="00516402">
        <w:t>.</w:t>
      </w:r>
      <w:r w:rsidRPr="00516402">
        <w:rPr>
          <w:rStyle w:val="FootnoteReference"/>
          <w:rFonts w:cs="Arial"/>
        </w:rPr>
        <w:footnoteReference w:id="3"/>
      </w:r>
    </w:p>
    <w:p w14:paraId="130E9A55" w14:textId="77777777" w:rsidR="00222784" w:rsidRPr="00222784" w:rsidRDefault="00222784" w:rsidP="00222784">
      <w:pPr>
        <w:pStyle w:val="BodyText"/>
      </w:pPr>
    </w:p>
    <w:p w14:paraId="434C1754" w14:textId="24A6B2E9" w:rsidR="00222784" w:rsidRDefault="00222784" w:rsidP="00222784">
      <w:pPr>
        <w:pStyle w:val="Heading2"/>
        <w:spacing w:before="0"/>
      </w:pPr>
      <w:r>
        <w:t xml:space="preserve">Due consideration (item 11) </w:t>
      </w:r>
    </w:p>
    <w:p w14:paraId="661B2566" w14:textId="77777777" w:rsidR="00222784" w:rsidRPr="00516402" w:rsidRDefault="00222784" w:rsidP="00222784">
      <w:r w:rsidRPr="00516402">
        <w:t xml:space="preserve">As part of </w:t>
      </w:r>
      <w:r>
        <w:t>your duty to exercise due care, diligence and skill</w:t>
      </w:r>
      <w:r w:rsidRPr="00516402">
        <w:t xml:space="preserve">, </w:t>
      </w:r>
      <w:r w:rsidRPr="00516402">
        <w:rPr>
          <w:i/>
        </w:rPr>
        <w:t>ask</w:t>
      </w:r>
      <w:r w:rsidRPr="00516402">
        <w:t xml:space="preserve"> </w:t>
      </w:r>
      <w:r w:rsidRPr="00516402">
        <w:rPr>
          <w:i/>
        </w:rPr>
        <w:t>questions</w:t>
      </w:r>
      <w:r>
        <w:rPr>
          <w:i/>
        </w:rPr>
        <w:t xml:space="preserve"> </w:t>
      </w:r>
      <w:r w:rsidRPr="00786143">
        <w:t>– e.g. if</w:t>
      </w:r>
      <w:r>
        <w:t xml:space="preserve"> you do not understand or you have a query about</w:t>
      </w:r>
      <w:r w:rsidRPr="00516402">
        <w:t xml:space="preserve"> information presente</w:t>
      </w:r>
      <w:r>
        <w:t>d in a report or other document</w:t>
      </w:r>
      <w:r w:rsidRPr="00786143">
        <w:t>, ask for clarification</w:t>
      </w:r>
      <w:r>
        <w:t>.</w:t>
      </w:r>
      <w:r w:rsidRPr="00516402">
        <w:t xml:space="preserve"> This is particularly so for financial reports. The </w:t>
      </w:r>
      <w:hyperlink r:id="rId32" w:history="1">
        <w:r w:rsidRPr="00D67B58">
          <w:rPr>
            <w:rStyle w:val="Hyperlink"/>
            <w:rFonts w:eastAsiaTheme="majorEastAsia"/>
          </w:rPr>
          <w:t>Directors’ Code of Conduct</w:t>
        </w:r>
      </w:hyperlink>
      <w:r w:rsidRPr="00516402">
        <w:t xml:space="preserve"> requires board members to:</w:t>
      </w:r>
    </w:p>
    <w:p w14:paraId="3A76B29D" w14:textId="77777777" w:rsidR="00222784" w:rsidRPr="00B45B9C" w:rsidRDefault="00222784" w:rsidP="00222784">
      <w:pPr>
        <w:ind w:left="284"/>
      </w:pPr>
      <w:r w:rsidRPr="00B45B9C">
        <w:t xml:space="preserve">‘Act in a financially responsible manner. Understand financial reports, audit reports and other financial material that comes before the board; actively inquire into this material’. </w:t>
      </w:r>
    </w:p>
    <w:p w14:paraId="76AF14D6" w14:textId="77777777" w:rsidR="00222784" w:rsidRPr="00516402" w:rsidRDefault="00222784" w:rsidP="00222784">
      <w:r w:rsidRPr="00516402">
        <w:t xml:space="preserve">If you are unsure how to interpret financial reports, it is vital </w:t>
      </w:r>
      <w:r>
        <w:t>to</w:t>
      </w:r>
      <w:r w:rsidRPr="00516402">
        <w:t xml:space="preserve"> </w:t>
      </w:r>
      <w:r>
        <w:t>seek</w:t>
      </w:r>
      <w:r w:rsidRPr="00516402">
        <w:t xml:space="preserve"> assistance to improve your skills in this area.</w:t>
      </w:r>
    </w:p>
    <w:p w14:paraId="35BF53D9" w14:textId="77777777" w:rsidR="00222784" w:rsidRPr="00222784" w:rsidRDefault="00222784" w:rsidP="00222784">
      <w:pPr>
        <w:pStyle w:val="Heading2"/>
        <w:rPr>
          <w:sz w:val="24"/>
          <w:szCs w:val="24"/>
        </w:rPr>
      </w:pPr>
      <w:r w:rsidRPr="00222784">
        <w:rPr>
          <w:sz w:val="24"/>
          <w:szCs w:val="24"/>
        </w:rPr>
        <w:t>Information and Advice</w:t>
      </w:r>
    </w:p>
    <w:p w14:paraId="08007A49" w14:textId="77777777" w:rsidR="00222784" w:rsidRPr="00516402" w:rsidRDefault="00222784" w:rsidP="00222784">
      <w:r w:rsidRPr="00516402">
        <w:t>There have recently been a number of high profile legal actions against boards (e.g. the board of James Hardie Industries Ltd.) which may have been avoided or had less adverse impact if the board had realised that the information being presented to it was not accurate and/or was not consistent with good governance.</w:t>
      </w:r>
    </w:p>
    <w:p w14:paraId="155FFCD1" w14:textId="77777777" w:rsidR="00222784" w:rsidRDefault="00222784" w:rsidP="00222784">
      <w:r w:rsidRPr="00B45B9C">
        <w:t xml:space="preserve">A board </w:t>
      </w:r>
      <w:r w:rsidRPr="001342EB">
        <w:rPr>
          <w:i/>
        </w:rPr>
        <w:t>cannot</w:t>
      </w:r>
      <w:r w:rsidRPr="00B45B9C">
        <w:t xml:space="preserve"> avoid its accountabilities simply by claiming that ‘it was not told of the true situation’. </w:t>
      </w:r>
      <w:r>
        <w:t xml:space="preserve"> </w:t>
      </w:r>
      <w:r w:rsidRPr="00B45B9C">
        <w:t xml:space="preserve">Rather, it has a duty to take appropriate measures to ensure that it </w:t>
      </w:r>
      <w:r w:rsidRPr="0087456B">
        <w:t>is</w:t>
      </w:r>
      <w:r w:rsidRPr="00B45B9C">
        <w:t xml:space="preserve"> properly informed. </w:t>
      </w:r>
    </w:p>
    <w:p w14:paraId="1E729D8B" w14:textId="77777777" w:rsidR="00222784" w:rsidRPr="00222784" w:rsidRDefault="00222784" w:rsidP="00222784">
      <w:pPr>
        <w:pStyle w:val="Heading2"/>
        <w:rPr>
          <w:sz w:val="24"/>
          <w:szCs w:val="24"/>
        </w:rPr>
      </w:pPr>
      <w:r w:rsidRPr="00222784">
        <w:rPr>
          <w:sz w:val="24"/>
          <w:szCs w:val="24"/>
        </w:rPr>
        <w:t>Ensuring reports are suitable for purpose</w:t>
      </w:r>
    </w:p>
    <w:p w14:paraId="2E129924" w14:textId="77777777" w:rsidR="00222784" w:rsidRPr="00516402" w:rsidRDefault="00222784" w:rsidP="00222784">
      <w:r w:rsidRPr="00516402">
        <w:t xml:space="preserve">The board needs to be active in setting the tone and format of the information presented to it. </w:t>
      </w:r>
      <w:r>
        <w:t xml:space="preserve"> </w:t>
      </w:r>
      <w:r w:rsidRPr="00516402">
        <w:rPr>
          <w:i/>
        </w:rPr>
        <w:t>Do not assume</w:t>
      </w:r>
      <w:r>
        <w:t xml:space="preserve"> that just because a report is in the usual style this means it </w:t>
      </w:r>
      <w:r w:rsidRPr="00516402">
        <w:t xml:space="preserve">is adequate for </w:t>
      </w:r>
      <w:r>
        <w:t>the board’s purposes</w:t>
      </w:r>
      <w:r w:rsidRPr="00516402">
        <w:t>.</w:t>
      </w:r>
    </w:p>
    <w:p w14:paraId="1A89C409" w14:textId="77777777" w:rsidR="00222784" w:rsidRPr="004E2356" w:rsidRDefault="00222784" w:rsidP="00222784">
      <w:r w:rsidRPr="004E2356">
        <w:t xml:space="preserve">The board has a duty to ensure that it receives accurate, digestible information that is sufficient to make an informed decision. </w:t>
      </w:r>
      <w:r>
        <w:t xml:space="preserve"> </w:t>
      </w:r>
      <w:r w:rsidRPr="004E2356">
        <w:t>It is not appropriate for a board to let itself be swa</w:t>
      </w:r>
      <w:r>
        <w:t>mped with poorly defined detail,</w:t>
      </w:r>
      <w:r w:rsidRPr="004E2356">
        <w:t xml:space="preserve"> given too little information upon which to base its decision</w:t>
      </w:r>
      <w:r>
        <w:t>,</w:t>
      </w:r>
      <w:r w:rsidRPr="004E2356">
        <w:t xml:space="preserve"> or given inadequate time to read and consider information prior to making a decision</w:t>
      </w:r>
      <w:r>
        <w:t xml:space="preserve"> (e.g. see ‘James Hardie’ and ‘Centro’ judgements)</w:t>
      </w:r>
      <w:r w:rsidRPr="004E2356">
        <w:t>.</w:t>
      </w:r>
    </w:p>
    <w:p w14:paraId="32324B76" w14:textId="77777777" w:rsidR="00222784" w:rsidRPr="00516402" w:rsidRDefault="00222784" w:rsidP="00222784">
      <w:r>
        <w:t xml:space="preserve">If a report is not adequate for a particular decision, say so.  Also ensure that at least once a year the board reviews </w:t>
      </w:r>
      <w:r w:rsidRPr="00516402">
        <w:t xml:space="preserve">the </w:t>
      </w:r>
      <w:r>
        <w:t xml:space="preserve">tone/style of the standard </w:t>
      </w:r>
      <w:r w:rsidRPr="00516402">
        <w:t>reports it receives</w:t>
      </w:r>
      <w:r>
        <w:t>, so as</w:t>
      </w:r>
      <w:r w:rsidRPr="00516402">
        <w:t xml:space="preserve"> </w:t>
      </w:r>
      <w:r>
        <w:t xml:space="preserve">to determine whether these are suitable to the board’s needs and meet </w:t>
      </w:r>
      <w:r w:rsidRPr="00516402">
        <w:t>current governance standards.</w:t>
      </w:r>
    </w:p>
    <w:p w14:paraId="4CA34CFA" w14:textId="77777777" w:rsidR="00222784" w:rsidRPr="00222784" w:rsidRDefault="00222784" w:rsidP="00222784">
      <w:pPr>
        <w:pStyle w:val="Heading2"/>
        <w:rPr>
          <w:sz w:val="24"/>
          <w:szCs w:val="24"/>
        </w:rPr>
      </w:pPr>
      <w:r w:rsidRPr="00222784">
        <w:rPr>
          <w:sz w:val="24"/>
          <w:szCs w:val="24"/>
        </w:rPr>
        <w:t>Financial reports – seeing the overall picture</w:t>
      </w:r>
    </w:p>
    <w:p w14:paraId="2FCCFAAC" w14:textId="77777777" w:rsidR="00222784" w:rsidRPr="00516402" w:rsidRDefault="00222784" w:rsidP="00222784">
      <w:pPr>
        <w:spacing w:after="110"/>
      </w:pPr>
      <w:r w:rsidRPr="00516402">
        <w:t>It is recommended that for each budget item in a monthly financial report the board can clearly see:</w:t>
      </w:r>
    </w:p>
    <w:p w14:paraId="65B968E1" w14:textId="77777777" w:rsidR="00222784" w:rsidRPr="00516402" w:rsidRDefault="00222784" w:rsidP="00222784">
      <w:pPr>
        <w:pStyle w:val="ListBullet"/>
        <w:spacing w:after="110"/>
      </w:pPr>
      <w:r w:rsidRPr="00516402">
        <w:t>the amount budgeted for the month, the actual cost for that month</w:t>
      </w:r>
      <w:r>
        <w:t>, and the percentage difference</w:t>
      </w:r>
    </w:p>
    <w:p w14:paraId="14F97C1F" w14:textId="77777777" w:rsidR="00222784" w:rsidRPr="00516402" w:rsidRDefault="00222784" w:rsidP="00222784">
      <w:pPr>
        <w:pStyle w:val="ListBullet"/>
        <w:spacing w:after="110"/>
      </w:pPr>
      <w:r w:rsidRPr="00516402">
        <w:t>the same information for the year-to-date.</w:t>
      </w:r>
    </w:p>
    <w:p w14:paraId="32F6D5AC" w14:textId="0B8002C8" w:rsidR="00222784" w:rsidRDefault="00222784" w:rsidP="00222784">
      <w:pPr>
        <w:spacing w:after="110"/>
      </w:pPr>
      <w:r w:rsidRPr="00516402">
        <w:t xml:space="preserve">It is also recommended that </w:t>
      </w:r>
      <w:r>
        <w:t>to enable the board to easily see</w:t>
      </w:r>
      <w:r w:rsidRPr="00516402">
        <w:t xml:space="preserve"> how the budget is </w:t>
      </w:r>
      <w:r w:rsidRPr="0079164B">
        <w:t xml:space="preserve">tracking </w:t>
      </w:r>
      <w:r>
        <w:t>it</w:t>
      </w:r>
      <w:r w:rsidRPr="00516402">
        <w:t xml:space="preserve"> </w:t>
      </w:r>
      <w:r>
        <w:t xml:space="preserve">also </w:t>
      </w:r>
      <w:r w:rsidRPr="00516402">
        <w:t>be provided with:</w:t>
      </w:r>
    </w:p>
    <w:p w14:paraId="427008F7" w14:textId="77777777" w:rsidR="00222784" w:rsidRPr="00516402" w:rsidRDefault="00222784" w:rsidP="00222784">
      <w:pPr>
        <w:pStyle w:val="ListBullet"/>
        <w:spacing w:after="110"/>
      </w:pPr>
      <w:r w:rsidRPr="00516402">
        <w:t>th</w:t>
      </w:r>
      <w:r>
        <w:t>e budgeted end of year position</w:t>
      </w:r>
    </w:p>
    <w:p w14:paraId="5F14D1A2" w14:textId="77777777" w:rsidR="00222784" w:rsidRPr="00516402" w:rsidRDefault="00222784" w:rsidP="00222784">
      <w:pPr>
        <w:pStyle w:val="ListBullet"/>
        <w:spacing w:after="110"/>
      </w:pPr>
      <w:r w:rsidRPr="00516402">
        <w:t>the expected end of year position (based on the year-to-date and accurate projec</w:t>
      </w:r>
      <w:r>
        <w:t>tions for the remaining period)</w:t>
      </w:r>
      <w:r w:rsidRPr="00516402">
        <w:t xml:space="preserve"> </w:t>
      </w:r>
    </w:p>
    <w:p w14:paraId="3CBB0EE4" w14:textId="77777777" w:rsidR="00222784" w:rsidRPr="00516402" w:rsidRDefault="00222784" w:rsidP="00222784">
      <w:pPr>
        <w:pStyle w:val="ListBullet"/>
        <w:spacing w:after="110"/>
      </w:pPr>
      <w:r w:rsidRPr="00516402">
        <w:lastRenderedPageBreak/>
        <w:t>the variation between these two figures, expressed as both a percentage difference and a dollar amount.</w:t>
      </w:r>
    </w:p>
    <w:p w14:paraId="6F370EE7" w14:textId="77777777" w:rsidR="00222784" w:rsidRDefault="00222784" w:rsidP="00222784">
      <w:pPr>
        <w:spacing w:after="200"/>
      </w:pPr>
      <w:r w:rsidRPr="00516402">
        <w:t>Preferably, this will be accompanied by a s</w:t>
      </w:r>
      <w:r>
        <w:t xml:space="preserve">imple, graphic representation - see example: </w:t>
      </w:r>
    </w:p>
    <w:p w14:paraId="2E439819" w14:textId="77777777" w:rsidR="00222784" w:rsidRDefault="00222784" w:rsidP="00222784">
      <w:pPr>
        <w:pStyle w:val="BodyText"/>
        <w:spacing w:after="160"/>
        <w:rPr>
          <w:rFonts w:cs="Arial"/>
        </w:rPr>
      </w:pPr>
      <w:r>
        <w:rPr>
          <w:rFonts w:cs="Arial"/>
          <w:noProof/>
        </w:rPr>
        <w:drawing>
          <wp:inline distT="0" distB="0" distL="0" distR="0" wp14:anchorId="72F9587C" wp14:editId="62C483CE">
            <wp:extent cx="2539704" cy="19905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39564" cy="1990470"/>
                    </a:xfrm>
                    <a:prstGeom prst="rect">
                      <a:avLst/>
                    </a:prstGeom>
                    <a:noFill/>
                    <a:ln>
                      <a:noFill/>
                    </a:ln>
                  </pic:spPr>
                </pic:pic>
              </a:graphicData>
            </a:graphic>
          </wp:inline>
        </w:drawing>
      </w:r>
    </w:p>
    <w:p w14:paraId="722ECB60" w14:textId="77777777" w:rsidR="00222784" w:rsidRPr="00D219DD" w:rsidRDefault="00222784" w:rsidP="00222784">
      <w:pPr>
        <w:pStyle w:val="BodyTextTabulated"/>
        <w:spacing w:before="40" w:after="20" w:line="240" w:lineRule="atLeast"/>
        <w:rPr>
          <w:rStyle w:val="Emphasis-Bold"/>
          <w:b w:val="0"/>
        </w:rPr>
      </w:pPr>
      <w:r w:rsidRPr="00D219DD">
        <w:rPr>
          <w:rStyle w:val="Emphasis-Bold"/>
        </w:rPr>
        <w:t xml:space="preserve">Blue </w:t>
      </w:r>
      <w:r w:rsidRPr="00D219DD">
        <w:rPr>
          <w:rStyle w:val="Emphasis-Bold"/>
        </w:rPr>
        <w:tab/>
      </w:r>
      <w:r>
        <w:rPr>
          <w:rStyle w:val="Emphasis-Bold"/>
        </w:rPr>
        <w:tab/>
      </w:r>
      <w:r w:rsidRPr="00D219DD">
        <w:rPr>
          <w:rStyle w:val="Emphasis-Bold"/>
        </w:rPr>
        <w:t xml:space="preserve">= </w:t>
      </w:r>
      <w:r w:rsidRPr="00D219DD">
        <w:rPr>
          <w:rStyle w:val="Emphasis-Bold"/>
        </w:rPr>
        <w:tab/>
        <w:t>actual budget</w:t>
      </w:r>
    </w:p>
    <w:p w14:paraId="083D08FB" w14:textId="77777777" w:rsidR="00222784" w:rsidRPr="00D219DD" w:rsidRDefault="00222784" w:rsidP="00222784">
      <w:pPr>
        <w:pStyle w:val="BodyTextTabulated"/>
        <w:spacing w:before="40" w:after="20" w:line="240" w:lineRule="atLeast"/>
        <w:rPr>
          <w:rStyle w:val="Emphasis-Bold"/>
          <w:b w:val="0"/>
        </w:rPr>
      </w:pPr>
      <w:r w:rsidRPr="00D219DD">
        <w:rPr>
          <w:rStyle w:val="Emphasis-Bold"/>
        </w:rPr>
        <w:t xml:space="preserve">Orange </w:t>
      </w:r>
      <w:r w:rsidRPr="00D219DD">
        <w:rPr>
          <w:rStyle w:val="Emphasis-Bold"/>
        </w:rPr>
        <w:tab/>
        <w:t xml:space="preserve">= </w:t>
      </w:r>
      <w:r w:rsidRPr="00D219DD">
        <w:rPr>
          <w:rStyle w:val="Emphasis-Bold"/>
        </w:rPr>
        <w:tab/>
        <w:t>year to date</w:t>
      </w:r>
    </w:p>
    <w:p w14:paraId="288E3643" w14:textId="77777777" w:rsidR="00222784" w:rsidRPr="00D219DD" w:rsidRDefault="00222784" w:rsidP="00222784">
      <w:pPr>
        <w:pStyle w:val="BodyTextTabulated"/>
        <w:spacing w:before="40" w:after="20" w:line="240" w:lineRule="atLeast"/>
        <w:rPr>
          <w:rStyle w:val="Emphasis-Bold"/>
          <w:b w:val="0"/>
        </w:rPr>
      </w:pPr>
      <w:r w:rsidRPr="00D219DD">
        <w:rPr>
          <w:rStyle w:val="Emphasis-Bold"/>
        </w:rPr>
        <w:t xml:space="preserve">Dashed </w:t>
      </w:r>
      <w:r w:rsidRPr="00D219DD">
        <w:rPr>
          <w:rStyle w:val="Emphasis-Bold"/>
        </w:rPr>
        <w:tab/>
        <w:t xml:space="preserve">= </w:t>
      </w:r>
      <w:r w:rsidRPr="00D219DD">
        <w:rPr>
          <w:rStyle w:val="Emphasis-Bold"/>
        </w:rPr>
        <w:tab/>
        <w:t>projections</w:t>
      </w:r>
    </w:p>
    <w:p w14:paraId="72C48134" w14:textId="77777777" w:rsidR="00222784" w:rsidRPr="00D219DD" w:rsidRDefault="00222784" w:rsidP="00222784">
      <w:pPr>
        <w:pStyle w:val="BodyTextTabulated"/>
        <w:spacing w:before="40" w:after="20" w:line="240" w:lineRule="atLeast"/>
        <w:rPr>
          <w:rStyle w:val="Emphasis-Bold"/>
          <w:b w:val="0"/>
        </w:rPr>
      </w:pPr>
      <w:r w:rsidRPr="00D219DD">
        <w:rPr>
          <w:rStyle w:val="Emphasis-Bold"/>
        </w:rPr>
        <w:t xml:space="preserve">Red </w:t>
      </w:r>
      <w:r w:rsidRPr="00D219DD">
        <w:rPr>
          <w:rStyle w:val="Emphasis-Bold"/>
        </w:rPr>
        <w:tab/>
      </w:r>
      <w:r>
        <w:rPr>
          <w:rStyle w:val="Emphasis-Bold"/>
        </w:rPr>
        <w:tab/>
      </w:r>
      <w:r w:rsidRPr="00D219DD">
        <w:rPr>
          <w:rStyle w:val="Emphasis-Bold"/>
        </w:rPr>
        <w:t xml:space="preserve">= </w:t>
      </w:r>
      <w:r w:rsidRPr="00D219DD">
        <w:rPr>
          <w:rStyle w:val="Emphasis-Bold"/>
        </w:rPr>
        <w:tab/>
        <w:t>shortfall (% variation and dollar amount)</w:t>
      </w:r>
    </w:p>
    <w:p w14:paraId="779D9210" w14:textId="77777777" w:rsidR="00222784" w:rsidRPr="00516402" w:rsidRDefault="00222784" w:rsidP="00222784">
      <w:pPr>
        <w:pStyle w:val="BodyText"/>
        <w:spacing w:before="160" w:after="0"/>
        <w:rPr>
          <w:rFonts w:cs="Arial"/>
        </w:rPr>
      </w:pPr>
      <w:r w:rsidRPr="00516402">
        <w:rPr>
          <w:rFonts w:cs="Arial"/>
        </w:rPr>
        <w:t xml:space="preserve">If the ‘year to date’ has a shortfall which is projected to reduce by the end of the year, a notation </w:t>
      </w:r>
      <w:r>
        <w:rPr>
          <w:rFonts w:cs="Arial"/>
        </w:rPr>
        <w:t xml:space="preserve">should be included </w:t>
      </w:r>
      <w:r w:rsidRPr="00516402">
        <w:rPr>
          <w:rFonts w:cs="Arial"/>
        </w:rPr>
        <w:t>which clearly states what the pro</w:t>
      </w:r>
      <w:r>
        <w:rPr>
          <w:rFonts w:cs="Arial"/>
        </w:rPr>
        <w:t>jected improvement is based on.</w:t>
      </w:r>
    </w:p>
    <w:p w14:paraId="4C285E91" w14:textId="77777777" w:rsidR="00222784" w:rsidRDefault="00222784" w:rsidP="00222784">
      <w:pPr>
        <w:pStyle w:val="Heading2"/>
        <w:spacing w:before="0"/>
      </w:pPr>
    </w:p>
    <w:p w14:paraId="3A032BCC" w14:textId="019159D5" w:rsidR="00222784" w:rsidRDefault="00222784" w:rsidP="00222784">
      <w:pPr>
        <w:pStyle w:val="Heading2"/>
        <w:spacing w:before="0"/>
      </w:pPr>
      <w:r>
        <w:t xml:space="preserve">Formal voting (item 13) </w:t>
      </w:r>
    </w:p>
    <w:p w14:paraId="4CAB483F" w14:textId="77777777" w:rsidR="00222784" w:rsidRPr="00375689" w:rsidRDefault="00222784" w:rsidP="00222784">
      <w:pPr>
        <w:shd w:val="clear" w:color="auto" w:fill="EBF7FF"/>
        <w:spacing w:before="100"/>
        <w:rPr>
          <w:rFonts w:cs="Arial"/>
        </w:rPr>
      </w:pPr>
      <w:r>
        <w:rPr>
          <w:rFonts w:cs="Arial"/>
        </w:rPr>
        <w:t xml:space="preserve">The purpose of collegiate discussion should be to ensure that each board member has the information necessary to make an informed vote, </w:t>
      </w:r>
      <w:r w:rsidRPr="00375689">
        <w:rPr>
          <w:rFonts w:cs="Arial"/>
          <w:i/>
        </w:rPr>
        <w:t>regardless of whether this results in consensus</w:t>
      </w:r>
      <w:r>
        <w:rPr>
          <w:rFonts w:cs="Arial"/>
          <w:i/>
        </w:rPr>
        <w:t>..</w:t>
      </w:r>
      <w:r>
        <w:rPr>
          <w:rFonts w:cs="Arial"/>
        </w:rPr>
        <w:t>.</w:t>
      </w:r>
    </w:p>
    <w:p w14:paraId="61FF859B" w14:textId="77777777" w:rsidR="00222784" w:rsidRDefault="00222784" w:rsidP="00222784">
      <w:pPr>
        <w:spacing w:before="160"/>
        <w:rPr>
          <w:rFonts w:cs="Arial"/>
        </w:rPr>
      </w:pPr>
      <w:r>
        <w:t>Barrett JA in the</w:t>
      </w:r>
      <w:r w:rsidRPr="00516402">
        <w:t xml:space="preserve"> NSW Court of Appeal</w:t>
      </w:r>
      <w:r>
        <w:t xml:space="preserve">’s </w:t>
      </w:r>
      <w:r w:rsidRPr="00873413">
        <w:rPr>
          <w:b/>
        </w:rPr>
        <w:t>James Hardie</w:t>
      </w:r>
      <w:r>
        <w:t xml:space="preserve"> judgement of November 2012 stated that:</w:t>
      </w:r>
    </w:p>
    <w:p w14:paraId="22B57AA7" w14:textId="77777777" w:rsidR="00222784" w:rsidRDefault="00222784" w:rsidP="00222784">
      <w:pPr>
        <w:ind w:left="284"/>
        <w:rPr>
          <w:rFonts w:cs="Arial"/>
        </w:rPr>
      </w:pPr>
      <w:r>
        <w:rPr>
          <w:rFonts w:cs="Arial"/>
        </w:rPr>
        <w:t>‘Value is often attached to collegiate conduct leading to consensual decision-making, with the chair saying, after discussion of a particular proposal, ‘l think we are all agreed on that’, intending thereby to indicate that the proposal has been approved by the votes of all present.</w:t>
      </w:r>
    </w:p>
    <w:p w14:paraId="272F2F5D" w14:textId="77777777" w:rsidR="00222784" w:rsidRPr="002A4391" w:rsidRDefault="00222784" w:rsidP="00222784">
      <w:pPr>
        <w:ind w:left="284"/>
        <w:rPr>
          <w:rFonts w:cs="Arial"/>
          <w:b/>
        </w:rPr>
      </w:pPr>
      <w:r w:rsidRPr="00BC28BE">
        <w:rPr>
          <w:rFonts w:cs="Arial"/>
        </w:rPr>
        <w:t>Such practices are</w:t>
      </w:r>
      <w:r w:rsidRPr="002A4391">
        <w:rPr>
          <w:rFonts w:cs="Arial"/>
          <w:b/>
        </w:rPr>
        <w:t xml:space="preserve"> </w:t>
      </w:r>
      <w:r w:rsidRPr="00194F11">
        <w:rPr>
          <w:rFonts w:cs="Arial"/>
        </w:rPr>
        <w:t>dangerous unless supplemented by appropriate formality...</w:t>
      </w:r>
    </w:p>
    <w:p w14:paraId="5838BC54" w14:textId="77777777" w:rsidR="00222784" w:rsidRDefault="00222784" w:rsidP="00222784">
      <w:pPr>
        <w:ind w:left="284"/>
        <w:rPr>
          <w:rFonts w:cs="Arial"/>
        </w:rPr>
      </w:pPr>
      <w:r>
        <w:rPr>
          <w:rFonts w:cs="Arial"/>
        </w:rPr>
        <w:t xml:space="preserve">The aim is rather that the members of the board should consult together and </w:t>
      </w:r>
      <w:r w:rsidRPr="00BC28BE">
        <w:rPr>
          <w:rFonts w:cs="Arial"/>
        </w:rPr>
        <w:t>the</w:t>
      </w:r>
      <w:r w:rsidRPr="00194F11">
        <w:rPr>
          <w:rFonts w:cs="Arial"/>
        </w:rPr>
        <w:t xml:space="preserve"> individual will of </w:t>
      </w:r>
      <w:r w:rsidRPr="00194F11">
        <w:rPr>
          <w:rFonts w:cs="Arial"/>
        </w:rPr>
        <w:t>each member may be made known in a clearly communicated way.</w:t>
      </w:r>
    </w:p>
    <w:p w14:paraId="139DCF8A" w14:textId="77777777" w:rsidR="00222784" w:rsidRDefault="00222784" w:rsidP="00222784">
      <w:pPr>
        <w:ind w:left="284"/>
        <w:rPr>
          <w:rFonts w:cs="Arial"/>
        </w:rPr>
      </w:pPr>
      <w:r>
        <w:rPr>
          <w:rFonts w:cs="Arial"/>
        </w:rPr>
        <w:t xml:space="preserve">The culmination of the process must be such that it [is] </w:t>
      </w:r>
      <w:r w:rsidRPr="00194F11">
        <w:rPr>
          <w:rFonts w:cs="Arial"/>
        </w:rPr>
        <w:t>possible to see (and record) that each member, by a process of voting,</w:t>
      </w:r>
      <w:r>
        <w:rPr>
          <w:rFonts w:cs="Arial"/>
        </w:rPr>
        <w:t xml:space="preserve"> actively supports the proposition before the meeting or actively opposes that proposition; or that the member refrains from both support and opposition.  And it is the responsibility of an individual member to take steps to ensure that his or her will is expressed in one of those ways.’</w:t>
      </w:r>
      <w:r>
        <w:rPr>
          <w:rStyle w:val="FootnoteReference"/>
          <w:rFonts w:cs="Arial"/>
        </w:rPr>
        <w:footnoteReference w:id="4"/>
      </w:r>
    </w:p>
    <w:p w14:paraId="282F9FA0" w14:textId="77777777" w:rsidR="00222784" w:rsidRDefault="00222784" w:rsidP="00222784">
      <w:r>
        <w:rPr>
          <w:rFonts w:cs="Arial"/>
        </w:rPr>
        <w:t xml:space="preserve">Other judgements have since quoted and strengthened this position, for example, the Federal Court’s decision in the </w:t>
      </w:r>
      <w:r w:rsidRPr="00B51D58">
        <w:rPr>
          <w:b/>
        </w:rPr>
        <w:t>APC/Prime Trust</w:t>
      </w:r>
      <w:r>
        <w:t xml:space="preserve"> case.</w:t>
      </w:r>
      <w:r>
        <w:rPr>
          <w:rStyle w:val="FootnoteReference"/>
        </w:rPr>
        <w:footnoteReference w:id="5"/>
      </w:r>
    </w:p>
    <w:p w14:paraId="460B8355" w14:textId="77777777" w:rsidR="00222784" w:rsidRPr="00375689" w:rsidRDefault="00222784" w:rsidP="00222784">
      <w:pPr>
        <w:shd w:val="clear" w:color="auto" w:fill="EBF7FF"/>
        <w:spacing w:before="160"/>
        <w:rPr>
          <w:shd w:val="clear" w:color="auto" w:fill="EBF7FF"/>
        </w:rPr>
      </w:pPr>
      <w:r w:rsidRPr="006B0659">
        <w:rPr>
          <w:shd w:val="clear" w:color="auto" w:fill="EBF7FF"/>
        </w:rPr>
        <w:t xml:space="preserve">The chair should ensure </w:t>
      </w:r>
      <w:r>
        <w:rPr>
          <w:shd w:val="clear" w:color="auto" w:fill="EBF7FF"/>
        </w:rPr>
        <w:t xml:space="preserve">that </w:t>
      </w:r>
      <w:r w:rsidRPr="006B0659">
        <w:rPr>
          <w:shd w:val="clear" w:color="auto" w:fill="EBF7FF"/>
        </w:rPr>
        <w:t xml:space="preserve">there is a </w:t>
      </w:r>
      <w:r w:rsidRPr="006B0659">
        <w:rPr>
          <w:b/>
          <w:shd w:val="clear" w:color="auto" w:fill="EBF7FF"/>
        </w:rPr>
        <w:t>formal vote</w:t>
      </w:r>
      <w:r w:rsidRPr="006B0659">
        <w:rPr>
          <w:shd w:val="clear" w:color="auto" w:fill="EBF7FF"/>
        </w:rPr>
        <w:t xml:space="preserve">. </w:t>
      </w:r>
      <w:r>
        <w:rPr>
          <w:shd w:val="clear" w:color="auto" w:fill="EBF7FF"/>
        </w:rPr>
        <w:br/>
      </w:r>
      <w:r w:rsidRPr="006B0659">
        <w:rPr>
          <w:shd w:val="clear" w:color="auto" w:fill="EBF7FF"/>
        </w:rPr>
        <w:t xml:space="preserve">Each member should state </w:t>
      </w:r>
      <w:r w:rsidRPr="006B0659">
        <w:rPr>
          <w:rFonts w:cs="Arial"/>
          <w:shd w:val="clear" w:color="auto" w:fill="EBF7FF"/>
        </w:rPr>
        <w:t>whether he/she agrees with, or dissents from, the proposed decision.  This will enable the vote to be properly recorded in the minutes</w:t>
      </w:r>
      <w:r>
        <w:rPr>
          <w:rFonts w:cs="Arial"/>
        </w:rPr>
        <w:t xml:space="preserve">.  </w:t>
      </w:r>
    </w:p>
    <w:p w14:paraId="402FFD25" w14:textId="77777777" w:rsidR="00222784" w:rsidRPr="00222784" w:rsidRDefault="00222784" w:rsidP="00222784">
      <w:pPr>
        <w:pStyle w:val="BodyText"/>
      </w:pPr>
    </w:p>
    <w:p w14:paraId="6542B05E" w14:textId="400BC813" w:rsidR="00222784" w:rsidRDefault="00222784" w:rsidP="00222784">
      <w:pPr>
        <w:pStyle w:val="Heading2"/>
        <w:spacing w:before="0"/>
      </w:pPr>
      <w:r>
        <w:t xml:space="preserve">Ensuring decisions are valid (item 14) </w:t>
      </w:r>
    </w:p>
    <w:p w14:paraId="1ED22C16" w14:textId="77777777" w:rsidR="00222784" w:rsidRPr="00516402" w:rsidRDefault="00222784" w:rsidP="00222784">
      <w:r w:rsidRPr="00516402">
        <w:t>The consequences of a board failing to follow its decision-making processes will depend on what aspect it has failed to comply with:</w:t>
      </w:r>
    </w:p>
    <w:p w14:paraId="7FF20581" w14:textId="77777777" w:rsidR="00222784" w:rsidRPr="00516402" w:rsidRDefault="00222784" w:rsidP="00222784">
      <w:pPr>
        <w:pStyle w:val="ListBullet"/>
        <w:tabs>
          <w:tab w:val="num" w:pos="360"/>
        </w:tabs>
        <w:ind w:left="360" w:hanging="360"/>
      </w:pPr>
      <w:r w:rsidRPr="00516402">
        <w:t>Failure to follow a legal procedure required by the establishing Act or other law will usually make the board’s decision</w:t>
      </w:r>
      <w:r w:rsidRPr="001F3701">
        <w:t xml:space="preserve"> invalid</w:t>
      </w:r>
      <w:r w:rsidRPr="00516402">
        <w:t xml:space="preserve"> – e.g. a contract or an Instrument of Delegation may need to be sealed, not just signed.</w:t>
      </w:r>
    </w:p>
    <w:p w14:paraId="02CA2AF1" w14:textId="77777777" w:rsidR="00222784" w:rsidRPr="00516402" w:rsidRDefault="00222784" w:rsidP="00222784">
      <w:pPr>
        <w:pStyle w:val="ListBullet"/>
        <w:tabs>
          <w:tab w:val="num" w:pos="360"/>
        </w:tabs>
        <w:ind w:left="360" w:hanging="360"/>
      </w:pPr>
      <w:r w:rsidRPr="00516402">
        <w:t xml:space="preserve">Failure to follow any part of </w:t>
      </w:r>
      <w:r>
        <w:t>the</w:t>
      </w:r>
      <w:r w:rsidRPr="00516402">
        <w:t xml:space="preserve"> decision-making process that is ‘board-generated’ (rather than required by law) will not usually invalidate the board’s decision. </w:t>
      </w:r>
    </w:p>
    <w:p w14:paraId="1F076562" w14:textId="77777777" w:rsidR="00222784" w:rsidRPr="00222784" w:rsidRDefault="00222784" w:rsidP="00222784">
      <w:pPr>
        <w:pStyle w:val="BodyText"/>
      </w:pPr>
    </w:p>
    <w:p w14:paraId="04D52FA4" w14:textId="6E3F1088" w:rsidR="00222784" w:rsidRDefault="00222784" w:rsidP="00222784">
      <w:pPr>
        <w:pStyle w:val="Heading2"/>
        <w:spacing w:before="0"/>
      </w:pPr>
      <w:r>
        <w:t xml:space="preserve">Board minutes (item 16) </w:t>
      </w:r>
    </w:p>
    <w:p w14:paraId="788DE462" w14:textId="77777777" w:rsidR="00222784" w:rsidRPr="00222784" w:rsidRDefault="00222784" w:rsidP="00222784">
      <w:pPr>
        <w:pStyle w:val="Heading2"/>
        <w:rPr>
          <w:sz w:val="24"/>
          <w:szCs w:val="24"/>
        </w:rPr>
      </w:pPr>
      <w:r w:rsidRPr="00222784">
        <w:rPr>
          <w:sz w:val="24"/>
          <w:szCs w:val="24"/>
        </w:rPr>
        <w:t>Contemporaneous record</w:t>
      </w:r>
    </w:p>
    <w:p w14:paraId="767F8A9F" w14:textId="77777777" w:rsidR="00222784" w:rsidRDefault="00222784" w:rsidP="00222784">
      <w:pPr>
        <w:spacing w:after="100"/>
      </w:pPr>
      <w:r w:rsidRPr="00516402">
        <w:t xml:space="preserve">As </w:t>
      </w:r>
      <w:r>
        <w:t>noted</w:t>
      </w:r>
      <w:r w:rsidRPr="00516402">
        <w:t xml:space="preserve"> </w:t>
      </w:r>
      <w:r>
        <w:t>in</w:t>
      </w:r>
      <w:r w:rsidRPr="00516402">
        <w:t xml:space="preserve"> the High Court</w:t>
      </w:r>
      <w:r>
        <w:t>’s</w:t>
      </w:r>
      <w:r w:rsidRPr="00516402">
        <w:t xml:space="preserve"> </w:t>
      </w:r>
      <w:r w:rsidRPr="00873413">
        <w:rPr>
          <w:b/>
        </w:rPr>
        <w:t>James Hardie</w:t>
      </w:r>
      <w:r>
        <w:t xml:space="preserve"> judgment (May 2012)</w:t>
      </w:r>
      <w:r w:rsidRPr="00516402">
        <w:t xml:space="preserve">, board minutes are a formal and contemporaneous record of the proceedings at a board meeting. </w:t>
      </w:r>
      <w:r>
        <w:t xml:space="preserve"> </w:t>
      </w:r>
      <w:r w:rsidRPr="00516402">
        <w:t>Unless there is clear evidence to the contrary, a court will consider the minutes to be evidence of what occurred and what was decided.</w:t>
      </w:r>
      <w:r w:rsidRPr="00FF74BD">
        <w:rPr>
          <w:rStyle w:val="FootnoteReference"/>
        </w:rPr>
        <w:t xml:space="preserve"> </w:t>
      </w:r>
      <w:r>
        <w:rPr>
          <w:rStyle w:val="FootnoteReference"/>
        </w:rPr>
        <w:footnoteReference w:id="6"/>
      </w:r>
      <w:r w:rsidRPr="00516402">
        <w:t xml:space="preserve"> </w:t>
      </w:r>
      <w:r>
        <w:t xml:space="preserve"> </w:t>
      </w:r>
    </w:p>
    <w:p w14:paraId="15F5DBE4" w14:textId="77777777" w:rsidR="00222784" w:rsidRDefault="00222784" w:rsidP="00222784">
      <w:pPr>
        <w:spacing w:after="100"/>
      </w:pPr>
      <w:r w:rsidRPr="00516402">
        <w:lastRenderedPageBreak/>
        <w:t xml:space="preserve">Merely asserting that the minutes are inaccurate is not a good/safe defence in any legal proceedings against you. </w:t>
      </w:r>
      <w:r>
        <w:t xml:space="preserve"> </w:t>
      </w:r>
    </w:p>
    <w:p w14:paraId="1401837C" w14:textId="77777777" w:rsidR="00222784" w:rsidRDefault="00222784" w:rsidP="00222784">
      <w:r w:rsidRPr="00516402">
        <w:t xml:space="preserve">It is basic governance practice to check the minutes and </w:t>
      </w:r>
      <w:r>
        <w:t>to only endorse them</w:t>
      </w:r>
      <w:r w:rsidRPr="00516402">
        <w:t xml:space="preserve"> </w:t>
      </w:r>
      <w:r>
        <w:t>if</w:t>
      </w:r>
      <w:r w:rsidRPr="00516402">
        <w:t xml:space="preserve"> you </w:t>
      </w:r>
      <w:r>
        <w:t>believe</w:t>
      </w:r>
      <w:r w:rsidRPr="00516402">
        <w:t xml:space="preserve"> they are accurate.</w:t>
      </w:r>
    </w:p>
    <w:p w14:paraId="191DF4BB" w14:textId="77777777" w:rsidR="00222784" w:rsidRPr="00222784" w:rsidRDefault="00222784" w:rsidP="00222784">
      <w:pPr>
        <w:pStyle w:val="Heading2"/>
        <w:rPr>
          <w:sz w:val="24"/>
          <w:szCs w:val="24"/>
        </w:rPr>
      </w:pPr>
      <w:r w:rsidRPr="00222784">
        <w:rPr>
          <w:sz w:val="24"/>
          <w:szCs w:val="24"/>
        </w:rPr>
        <w:t>Proper recording</w:t>
      </w:r>
    </w:p>
    <w:p w14:paraId="2D4264C1" w14:textId="77777777" w:rsidR="00222784" w:rsidRDefault="00222784" w:rsidP="00222784">
      <w:pPr>
        <w:spacing w:after="100"/>
      </w:pPr>
      <w:r>
        <w:t xml:space="preserve">The NSW Court of Appeal’s </w:t>
      </w:r>
      <w:r w:rsidRPr="00B51D58">
        <w:rPr>
          <w:b/>
        </w:rPr>
        <w:t>James Hardie</w:t>
      </w:r>
      <w:r w:rsidRPr="00516402">
        <w:t xml:space="preserve"> </w:t>
      </w:r>
      <w:r>
        <w:t>judgement of November 2012 and subsequent cases (e.g</w:t>
      </w:r>
      <w:r w:rsidRPr="00B51D58">
        <w:rPr>
          <w:b/>
        </w:rPr>
        <w:t xml:space="preserve">. </w:t>
      </w:r>
      <w:r>
        <w:rPr>
          <w:b/>
        </w:rPr>
        <w:t>APC/</w:t>
      </w:r>
      <w:r w:rsidRPr="00B51D58">
        <w:rPr>
          <w:b/>
        </w:rPr>
        <w:t>P</w:t>
      </w:r>
      <w:r>
        <w:rPr>
          <w:b/>
        </w:rPr>
        <w:t>rime Trust</w:t>
      </w:r>
      <w:r>
        <w:t>) show the importance of properly recording a formal vote for each board decision.  It is good practice to record which members:</w:t>
      </w:r>
    </w:p>
    <w:p w14:paraId="67200A24" w14:textId="77777777" w:rsidR="00222784" w:rsidRPr="00373AA1" w:rsidRDefault="00222784" w:rsidP="00222784">
      <w:pPr>
        <w:pStyle w:val="ListBullet"/>
        <w:tabs>
          <w:tab w:val="num" w:pos="360"/>
        </w:tabs>
        <w:spacing w:after="100"/>
        <w:ind w:left="360" w:hanging="360"/>
      </w:pPr>
      <w:r w:rsidRPr="00373AA1">
        <w:t>voted in favour</w:t>
      </w:r>
    </w:p>
    <w:p w14:paraId="5331F299" w14:textId="77777777" w:rsidR="00222784" w:rsidRPr="00373AA1" w:rsidRDefault="00222784" w:rsidP="00222784">
      <w:pPr>
        <w:pStyle w:val="ListBullet"/>
        <w:tabs>
          <w:tab w:val="num" w:pos="360"/>
        </w:tabs>
        <w:spacing w:after="100"/>
        <w:ind w:left="360" w:hanging="360"/>
      </w:pPr>
      <w:r w:rsidRPr="00373AA1">
        <w:t>dissented</w:t>
      </w:r>
    </w:p>
    <w:p w14:paraId="3E34CA86" w14:textId="77777777" w:rsidR="00222784" w:rsidRDefault="00222784" w:rsidP="00222784">
      <w:pPr>
        <w:pStyle w:val="ListBullet"/>
        <w:tabs>
          <w:tab w:val="num" w:pos="360"/>
        </w:tabs>
        <w:ind w:left="360" w:hanging="360"/>
      </w:pPr>
      <w:r w:rsidRPr="00373AA1">
        <w:t xml:space="preserve">abstained and/or were absent from the room due to a conflict of interest or other reason. </w:t>
      </w:r>
    </w:p>
    <w:p w14:paraId="0A4A4296" w14:textId="77777777" w:rsidR="00222784" w:rsidRPr="00222784" w:rsidRDefault="00222784" w:rsidP="00222784">
      <w:pPr>
        <w:pStyle w:val="Heading2"/>
        <w:rPr>
          <w:sz w:val="24"/>
          <w:szCs w:val="24"/>
        </w:rPr>
      </w:pPr>
      <w:r w:rsidRPr="00222784">
        <w:rPr>
          <w:sz w:val="24"/>
          <w:szCs w:val="24"/>
        </w:rPr>
        <w:t>Freedom of information</w:t>
      </w:r>
    </w:p>
    <w:p w14:paraId="5DE9280B" w14:textId="5E5B3C64" w:rsidR="00222784" w:rsidRPr="00516402" w:rsidRDefault="00222784" w:rsidP="00222784">
      <w:pPr>
        <w:spacing w:after="0"/>
      </w:pPr>
      <w:r w:rsidRPr="00516402">
        <w:t xml:space="preserve">Almost all </w:t>
      </w:r>
      <w:r>
        <w:t>DEECA</w:t>
      </w:r>
      <w:r w:rsidRPr="00516402">
        <w:t xml:space="preserve"> agencies are subject to the </w:t>
      </w:r>
      <w:r w:rsidRPr="00516402">
        <w:rPr>
          <w:i/>
        </w:rPr>
        <w:t>Freedom of Information Act</w:t>
      </w:r>
      <w:r w:rsidRPr="00516402">
        <w:t xml:space="preserve"> 1982. This means that your agency’s documents, including its board’s minutes, may be subject to an FOI application. If this occurs, </w:t>
      </w:r>
      <w:r>
        <w:t>DEECA</w:t>
      </w:r>
      <w:r w:rsidRPr="00516402">
        <w:t xml:space="preserve"> can provide advice - e.g. on whether parts of the minu</w:t>
      </w:r>
      <w:r>
        <w:t>tes are exempt from disclosure.</w:t>
      </w:r>
      <w:r>
        <w:rPr>
          <w:rStyle w:val="FootnoteReference"/>
        </w:rPr>
        <w:footnoteReference w:id="7"/>
      </w:r>
    </w:p>
    <w:p w14:paraId="046A2EB1" w14:textId="77777777" w:rsidR="00222784" w:rsidRPr="00222784" w:rsidRDefault="00222784" w:rsidP="00222784">
      <w:pPr>
        <w:pStyle w:val="BodyText"/>
      </w:pPr>
    </w:p>
    <w:p w14:paraId="5923D4D8" w14:textId="4A74FB30" w:rsidR="00222784" w:rsidRDefault="00222784" w:rsidP="00222784">
      <w:pPr>
        <w:pStyle w:val="Heading2"/>
        <w:spacing w:before="0"/>
      </w:pPr>
      <w:r>
        <w:t>Further information</w:t>
      </w:r>
    </w:p>
    <w:p w14:paraId="4B4E93ED" w14:textId="65B94036" w:rsidR="00222784" w:rsidRDefault="00222784" w:rsidP="00222784">
      <w:r w:rsidRPr="00A66B72">
        <w:t>On Board</w:t>
      </w:r>
      <w:r w:rsidRPr="00A66B72">
        <w:rPr>
          <w:rStyle w:val="Emphasis-Bold"/>
          <w:rFonts w:eastAsiaTheme="majorEastAsia"/>
        </w:rPr>
        <w:t xml:space="preserve"> (</w:t>
      </w:r>
      <w:hyperlink r:id="rId34" w:history="1">
        <w:r w:rsidRPr="00485713">
          <w:rPr>
            <w:rStyle w:val="Hyperlink"/>
            <w:rFonts w:eastAsiaTheme="majorEastAsia"/>
          </w:rPr>
          <w:t>www.deeca.vic.gov.au/onboard</w:t>
        </w:r>
      </w:hyperlink>
      <w:r w:rsidRPr="00A66B72">
        <w:rPr>
          <w:rStyle w:val="Emphasis-Bold"/>
          <w:rFonts w:eastAsiaTheme="majorEastAsia"/>
        </w:rPr>
        <w:t>)</w:t>
      </w:r>
      <w:r w:rsidRPr="00A3042C">
        <w:t>, in particular, the</w:t>
      </w:r>
      <w:r>
        <w:t xml:space="preserve"> </w:t>
      </w:r>
      <w:hyperlink r:id="rId35" w:history="1">
        <w:r w:rsidRPr="00B577CB">
          <w:rPr>
            <w:rStyle w:val="Hyperlink"/>
            <w:rFonts w:eastAsiaTheme="majorEastAsia"/>
          </w:rPr>
          <w:t>Meetings and decisions</w:t>
        </w:r>
      </w:hyperlink>
      <w:r w:rsidRPr="00A3042C">
        <w:t xml:space="preserve"> support module</w:t>
      </w:r>
      <w:r>
        <w:t xml:space="preserve">. </w:t>
      </w:r>
    </w:p>
    <w:p w14:paraId="208DD93F" w14:textId="68585040" w:rsidR="00222784" w:rsidRDefault="00222784" w:rsidP="00222784">
      <w:pPr>
        <w:spacing w:after="160"/>
        <w:rPr>
          <w:rFonts w:eastAsia="Calibri"/>
        </w:rPr>
      </w:pPr>
      <w:r>
        <w:t>DEECA also offers support to its agencies through DEECA divisions and regional offices.  Please contact your agency’s usual relationship manager or team or phone the Customer Service Centre on 136 186.</w:t>
      </w:r>
    </w:p>
    <w:p w14:paraId="4C54FB6A" w14:textId="77777777" w:rsidR="00222784" w:rsidRDefault="00222784" w:rsidP="007425C9">
      <w:pPr>
        <w:sectPr w:rsidR="00222784" w:rsidSect="00222784">
          <w:type w:val="continuous"/>
          <w:pgSz w:w="11907" w:h="16839" w:code="9"/>
          <w:pgMar w:top="1418" w:right="851" w:bottom="992" w:left="851" w:header="284" w:footer="284" w:gutter="0"/>
          <w:cols w:num="2" w:space="284"/>
          <w:docGrid w:linePitch="360"/>
        </w:sectPr>
      </w:pPr>
    </w:p>
    <w:p w14:paraId="61D725A0" w14:textId="109334E6" w:rsidR="007425C9" w:rsidRPr="006614E4" w:rsidRDefault="00005306" w:rsidP="007425C9">
      <w:r>
        <w:rPr>
          <w:noProof/>
        </w:rPr>
        <mc:AlternateContent>
          <mc:Choice Requires="wps">
            <w:drawing>
              <wp:anchor distT="0" distB="0" distL="114300" distR="114300" simplePos="0" relativeHeight="251689984" behindDoc="0" locked="0" layoutInCell="1" allowOverlap="1" wp14:anchorId="7A611146" wp14:editId="2493C2BC">
                <wp:simplePos x="0" y="0"/>
                <wp:positionH relativeFrom="column">
                  <wp:posOffset>3648075</wp:posOffset>
                </wp:positionH>
                <wp:positionV relativeFrom="paragraph">
                  <wp:posOffset>3895090</wp:posOffset>
                </wp:positionV>
                <wp:extent cx="3121223" cy="1321376"/>
                <wp:effectExtent l="0" t="0" r="0" b="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0DDA" w14:textId="77777777" w:rsidR="00005306" w:rsidRDefault="00005306" w:rsidP="00005306">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540CF" w14:textId="20DE9137" w:rsidR="00005306" w:rsidRPr="00DC7D61" w:rsidRDefault="00005306" w:rsidP="00005306">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w:t>
                            </w:r>
                            <w:r w:rsidR="00DE51F0">
                              <w:rPr>
                                <w:rFonts w:ascii="Calibri" w:hAnsi="Calibri" w:cs="Arial"/>
                                <w:color w:val="auto"/>
                                <w:szCs w:val="15"/>
                                <w:lang w:eastAsia="en-US"/>
                              </w:rPr>
                              <w:t>ECA</w:t>
                            </w:r>
                            <w:r w:rsidRPr="00DC7D61">
                              <w:rPr>
                                <w:rFonts w:ascii="Calibri" w:hAnsi="Calibri" w:cs="Arial"/>
                                <w:color w:val="auto"/>
                                <w:szCs w:val="15"/>
                                <w:lang w:eastAsia="en-US"/>
                              </w:rPr>
                              <w:t xml:space="preserve"> Customer Service Centre 136 186, email </w:t>
                            </w:r>
                            <w:hyperlink r:id="rId36" w:history="1">
                              <w:r w:rsidR="00BB6BD5" w:rsidRPr="0012198D">
                                <w:rPr>
                                  <w:rStyle w:val="Hyperlink"/>
                                  <w:rFonts w:ascii="Calibri" w:hAnsi="Calibri" w:cs="Arial"/>
                                  <w:szCs w:val="15"/>
                                  <w:lang w:eastAsia="en-US"/>
                                </w:rPr>
                                <w:t>customer.service@deeca.vic.gov.au</w:t>
                              </w:r>
                            </w:hyperlink>
                            <w:r w:rsidRPr="00DC7D61">
                              <w:rPr>
                                <w:rFonts w:ascii="Calibri" w:hAnsi="Calibri" w:cs="Arial"/>
                                <w:color w:val="auto"/>
                                <w:szCs w:val="15"/>
                                <w:lang w:eastAsia="en-US"/>
                              </w:rPr>
                              <w:t xml:space="preserve">, via the National Relay Service on 133 677 </w:t>
                            </w:r>
                            <w:hyperlink r:id="rId37"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38" w:history="1">
                              <w:r w:rsidR="00DE51F0" w:rsidRPr="004A75CF">
                                <w:rPr>
                                  <w:rStyle w:val="Hyperlink"/>
                                  <w:rFonts w:ascii="Calibri" w:hAnsi="Calibri" w:cs="Arial"/>
                                  <w:szCs w:val="15"/>
                                  <w:lang w:eastAsia="en-US"/>
                                </w:rPr>
                                <w:t>www.deeca.vic.gov.au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a:graphicData>
                </a:graphic>
              </wp:anchor>
            </w:drawing>
          </mc:Choice>
          <mc:Fallback>
            <w:pict>
              <v:shapetype w14:anchorId="7A611146" id="_x0000_t202" coordsize="21600,21600" o:spt="202" path="m,l,21600r21600,l21600,xe">
                <v:stroke joinstyle="miter"/>
                <v:path gradientshapeok="t" o:connecttype="rect"/>
              </v:shapetype>
              <v:shape id="Text Box 8" o:spid="_x0000_s1029" type="#_x0000_t202" style="position:absolute;margin-left:287.25pt;margin-top:306.7pt;width:245.75pt;height:104.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" filled="f" stroked="f">
                <v:textbox>
                  <w:txbxContent>
                    <w:p w14:paraId="53590DDA" w14:textId="77777777" w:rsidR="00005306" w:rsidRDefault="00005306" w:rsidP="00005306">
                      <w:pPr>
                        <w:pStyle w:val="ImprintText"/>
                        <w:rPr>
                          <w:b/>
                          <w:sz w:val="15"/>
                          <w:szCs w:val="15"/>
                        </w:rPr>
                      </w:pPr>
                      <w:r w:rsidRPr="0022751F">
                        <w:rPr>
                          <w:b/>
                          <w:bCs/>
                          <w:sz w:val="15"/>
                          <w:szCs w:val="15"/>
                        </w:rPr>
                        <w:t>Disclaimer</w:t>
                      </w:r>
                      <w:r>
                        <w:rPr>
                          <w:sz w:val="15"/>
                          <w:szCs w:val="15"/>
                        </w:rPr>
                        <w:t>: t</w:t>
                      </w:r>
                      <w:r w:rsidRPr="0022751F">
                        <w:rPr>
                          <w:sz w:val="15"/>
                          <w:szCs w:val="15"/>
                        </w:rPr>
                        <w:t xml:space="preserve">his publication may be of assistance to </w:t>
                      </w:r>
                      <w:proofErr w:type="gramStart"/>
                      <w:r w:rsidRPr="0022751F">
                        <w:rPr>
                          <w:sz w:val="15"/>
                          <w:szCs w:val="15"/>
                        </w:rPr>
                        <w:t>you</w:t>
                      </w:r>
                      <w:proofErr w:type="gramEnd"/>
                      <w:r w:rsidRPr="0022751F">
                        <w:rPr>
                          <w:sz w:val="15"/>
                          <w:szCs w:val="15"/>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540CF" w14:textId="20DE9137" w:rsidR="00005306" w:rsidRPr="00DC7D61" w:rsidRDefault="00005306" w:rsidP="00005306">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w:t>
                      </w:r>
                      <w:r w:rsidR="00DE51F0">
                        <w:rPr>
                          <w:rFonts w:ascii="Calibri" w:hAnsi="Calibri" w:cs="Arial"/>
                          <w:color w:val="auto"/>
                          <w:szCs w:val="15"/>
                          <w:lang w:eastAsia="en-US"/>
                        </w:rPr>
                        <w:t>ECA</w:t>
                      </w:r>
                      <w:r w:rsidRPr="00DC7D61">
                        <w:rPr>
                          <w:rFonts w:ascii="Calibri" w:hAnsi="Calibri" w:cs="Arial"/>
                          <w:color w:val="auto"/>
                          <w:szCs w:val="15"/>
                          <w:lang w:eastAsia="en-US"/>
                        </w:rPr>
                        <w:t xml:space="preserve"> Customer Service Centre 136 186, email </w:t>
                      </w:r>
                      <w:hyperlink r:id="rId39" w:history="1">
                        <w:r w:rsidR="00BB6BD5" w:rsidRPr="0012198D">
                          <w:rPr>
                            <w:rStyle w:val="Hyperlink"/>
                            <w:rFonts w:ascii="Calibri" w:hAnsi="Calibri" w:cs="Arial"/>
                            <w:szCs w:val="15"/>
                            <w:lang w:eastAsia="en-US"/>
                          </w:rPr>
                          <w:t>customer.service@deeca.vic.gov.au</w:t>
                        </w:r>
                      </w:hyperlink>
                      <w:r w:rsidRPr="00DC7D61">
                        <w:rPr>
                          <w:rFonts w:ascii="Calibri" w:hAnsi="Calibri" w:cs="Arial"/>
                          <w:color w:val="auto"/>
                          <w:szCs w:val="15"/>
                          <w:lang w:eastAsia="en-US"/>
                        </w:rPr>
                        <w:t xml:space="preserve">, via the National Relay Service on 133 677 </w:t>
                      </w:r>
                      <w:hyperlink r:id="rId40"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41" w:history="1">
                        <w:r w:rsidR="00DE51F0" w:rsidRPr="004A75CF">
                          <w:rPr>
                            <w:rStyle w:val="Hyperlink"/>
                            <w:rFonts w:ascii="Calibri" w:hAnsi="Calibri" w:cs="Arial"/>
                            <w:szCs w:val="15"/>
                            <w:lang w:eastAsia="en-US"/>
                          </w:rPr>
                          <w:t>www.deeca.vic.gov.au</w:t>
                        </w:r>
                      </w:hyperlink>
                      <w:r w:rsidRPr="00DC7D61">
                        <w:rPr>
                          <w:rFonts w:ascii="Calibri" w:hAnsi="Calibri" w:cs="Arial"/>
                          <w:color w:val="auto"/>
                          <w:szCs w:val="15"/>
                          <w:lang w:eastAsia="en-US"/>
                        </w:rPr>
                        <w:t>/onboard</w:t>
                      </w:r>
                    </w:p>
                  </w:txbxContent>
                </v:textbox>
              </v:shape>
            </w:pict>
          </mc:Fallback>
        </mc:AlternateContent>
      </w:r>
      <w:r w:rsidR="0014306F">
        <w:rPr>
          <w:noProof/>
        </w:rPr>
        <mc:AlternateContent>
          <mc:Choice Requires="wps">
            <w:drawing>
              <wp:anchor distT="0" distB="0" distL="114300" distR="114300" simplePos="0" relativeHeight="251687936" behindDoc="0" locked="0" layoutInCell="1" allowOverlap="1" wp14:anchorId="2FC5BB62" wp14:editId="418F8940">
                <wp:simplePos x="0" y="0"/>
                <wp:positionH relativeFrom="column">
                  <wp:posOffset>-45085</wp:posOffset>
                </wp:positionH>
                <wp:positionV relativeFrom="paragraph">
                  <wp:posOffset>3791585</wp:posOffset>
                </wp:positionV>
                <wp:extent cx="3832616" cy="1524000"/>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616"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DE72A" w14:textId="09298B8C" w:rsidR="0014306F" w:rsidRPr="0022751F" w:rsidRDefault="0014306F" w:rsidP="0014306F">
                            <w:pPr>
                              <w:widowControl w:val="0"/>
                              <w:spacing w:after="40" w:line="200" w:lineRule="atLeast"/>
                              <w:rPr>
                                <w:rStyle w:val="Hyperlink"/>
                                <w:rFonts w:eastAsiaTheme="majorEastAsia"/>
                                <w:color w:val="auto"/>
                                <w:sz w:val="15"/>
                                <w:szCs w:val="15"/>
                              </w:rPr>
                            </w:pPr>
                            <w:r w:rsidRPr="0022751F">
                              <w:rPr>
                                <w:sz w:val="15"/>
                                <w:szCs w:val="15"/>
                              </w:rPr>
                              <w:t xml:space="preserve">This document is available from the internet at </w:t>
                            </w:r>
                            <w:hyperlink r:id="rId42" w:history="1">
                              <w:r w:rsidRPr="004A75CF">
                                <w:rPr>
                                  <w:rStyle w:val="Hyperlink"/>
                                  <w:rFonts w:eastAsiaTheme="majorEastAsia"/>
                                  <w:sz w:val="15"/>
                                  <w:szCs w:val="15"/>
                                </w:rPr>
                                <w:t>www.deeca.vic.gov.au/onboard</w:t>
                              </w:r>
                            </w:hyperlink>
                          </w:p>
                          <w:p w14:paraId="0A4A33D7" w14:textId="12FCACFB" w:rsidR="0014306F" w:rsidRPr="0022751F" w:rsidRDefault="0014306F" w:rsidP="0014306F">
                            <w:pPr>
                              <w:widowControl w:val="0"/>
                              <w:spacing w:after="40" w:line="200" w:lineRule="atLeast"/>
                              <w:rPr>
                                <w:sz w:val="15"/>
                                <w:szCs w:val="15"/>
                              </w:rPr>
                            </w:pPr>
                            <w:r w:rsidRPr="0022751F">
                              <w:rPr>
                                <w:sz w:val="15"/>
                                <w:szCs w:val="15"/>
                              </w:rPr>
                              <w:t>For more information contact the D</w:t>
                            </w:r>
                            <w:r w:rsidR="00DE51F0">
                              <w:rPr>
                                <w:sz w:val="15"/>
                                <w:szCs w:val="15"/>
                              </w:rPr>
                              <w:t>EECA</w:t>
                            </w:r>
                            <w:r w:rsidRPr="0022751F">
                              <w:rPr>
                                <w:sz w:val="15"/>
                                <w:szCs w:val="15"/>
                              </w:rPr>
                              <w:t xml:space="preserve"> Customer Service Centre 136 186</w:t>
                            </w:r>
                          </w:p>
                          <w:p w14:paraId="5BB38310" w14:textId="4F9F3704" w:rsidR="0014306F" w:rsidRPr="0022751F" w:rsidRDefault="0014306F" w:rsidP="0014306F">
                            <w:pPr>
                              <w:widowControl w:val="0"/>
                              <w:spacing w:after="100" w:line="200" w:lineRule="atLeast"/>
                              <w:rPr>
                                <w:sz w:val="15"/>
                                <w:szCs w:val="15"/>
                              </w:rPr>
                            </w:pPr>
                            <w:r>
                              <w:rPr>
                                <w:sz w:val="15"/>
                                <w:szCs w:val="15"/>
                              </w:rPr>
                              <w:t>22 June 2023</w:t>
                            </w:r>
                            <w:r w:rsidRPr="0022751F">
                              <w:rPr>
                                <w:sz w:val="15"/>
                                <w:szCs w:val="15"/>
                              </w:rPr>
                              <w:t xml:space="preserve"> (</w:t>
                            </w:r>
                            <w:r>
                              <w:rPr>
                                <w:rStyle w:val="Emphasis-Bold"/>
                                <w:sz w:val="15"/>
                                <w:szCs w:val="15"/>
                              </w:rPr>
                              <w:t>version 3.0</w:t>
                            </w:r>
                            <w:r w:rsidRPr="0022751F">
                              <w:rPr>
                                <w:sz w:val="15"/>
                                <w:szCs w:val="15"/>
                              </w:rPr>
                              <w:t xml:space="preserve">) </w:t>
                            </w:r>
                            <w:r>
                              <w:rPr>
                                <w:sz w:val="15"/>
                                <w:szCs w:val="15"/>
                              </w:rPr>
                              <w:t>– 56.00</w:t>
                            </w:r>
                          </w:p>
                          <w:p w14:paraId="10B7F35A" w14:textId="4233096B" w:rsidR="0014306F" w:rsidRDefault="0014306F" w:rsidP="0014306F">
                            <w:pPr>
                              <w:pStyle w:val="ImprintText"/>
                              <w:rPr>
                                <w:sz w:val="15"/>
                                <w:szCs w:val="15"/>
                              </w:rPr>
                            </w:pPr>
                            <w:r>
                              <w:rPr>
                                <w:sz w:val="15"/>
                                <w:szCs w:val="15"/>
                              </w:rPr>
                              <w:t xml:space="preserve">© </w:t>
                            </w:r>
                            <w:r w:rsidRPr="0022751F">
                              <w:rPr>
                                <w:sz w:val="15"/>
                                <w:szCs w:val="15"/>
                              </w:rPr>
                              <w:t xml:space="preserve">State of Victoria Department of </w:t>
                            </w:r>
                            <w:r w:rsidR="00EF795B">
                              <w:rPr>
                                <w:sz w:val="15"/>
                                <w:szCs w:val="15"/>
                              </w:rPr>
                              <w:t>Energy, Environment and Climate Action</w:t>
                            </w:r>
                          </w:p>
                          <w:p w14:paraId="7BFF84CE" w14:textId="77777777" w:rsidR="0014306F" w:rsidRPr="0022751F" w:rsidRDefault="0014306F" w:rsidP="0014306F">
                            <w:pPr>
                              <w:widowControl w:val="0"/>
                              <w:spacing w:after="80" w:line="200" w:lineRule="atLeast"/>
                              <w:rPr>
                                <w:sz w:val="15"/>
                                <w:szCs w:val="15"/>
                              </w:rPr>
                            </w:pPr>
                            <w:r w:rsidRPr="0022751F">
                              <w:rPr>
                                <w:sz w:val="15"/>
                                <w:szCs w:val="15"/>
                              </w:rPr>
                              <w:t>ISBN 978-1-74287-744-0 (online - set)</w:t>
                            </w:r>
                          </w:p>
                          <w:p w14:paraId="1496CD1F" w14:textId="77777777" w:rsidR="0014306F" w:rsidRPr="002072AB" w:rsidRDefault="0014306F" w:rsidP="0014306F">
                            <w:pPr>
                              <w:pStyle w:val="Disclaimer"/>
                              <w:rPr>
                                <w:rFonts w:asciiTheme="minorHAnsi" w:hAnsiTheme="minorHAnsi"/>
                                <w:szCs w:val="15"/>
                              </w:rPr>
                            </w:pPr>
                            <w:r w:rsidRPr="002072AB">
                              <w:rPr>
                                <w:noProof/>
                                <w:szCs w:val="15"/>
                              </w:rPr>
                              <w:drawing>
                                <wp:inline distT="0" distB="0" distL="0" distR="0" wp14:anchorId="78C9F45C" wp14:editId="76B06AEC">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4"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FC5BB62" id="Text Box 6" o:spid="_x0000_s1030" type="#_x0000_t202" style="position:absolute;margin-left:-3.55pt;margin-top:298.55pt;width:301.8pt;height:12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" filled="f" stroked="f">
                <v:textbox>
                  <w:txbxContent>
                    <w:p w14:paraId="636DE72A" w14:textId="09298B8C" w:rsidR="0014306F" w:rsidRPr="0022751F" w:rsidRDefault="0014306F" w:rsidP="0014306F">
                      <w:pPr>
                        <w:widowControl w:val="0"/>
                        <w:spacing w:after="40" w:line="200" w:lineRule="atLeast"/>
                        <w:rPr>
                          <w:rStyle w:val="Hyperlink"/>
                          <w:rFonts w:eastAsiaTheme="majorEastAsia"/>
                          <w:color w:val="auto"/>
                          <w:sz w:val="15"/>
                          <w:szCs w:val="15"/>
                        </w:rPr>
                      </w:pPr>
                      <w:r w:rsidRPr="0022751F">
                        <w:rPr>
                          <w:sz w:val="15"/>
                          <w:szCs w:val="15"/>
                        </w:rPr>
                        <w:t xml:space="preserve">This document is available from the internet at </w:t>
                      </w:r>
                      <w:hyperlink r:id="rId45" w:history="1">
                        <w:r w:rsidRPr="004A75CF">
                          <w:rPr>
                            <w:rStyle w:val="Hyperlink"/>
                            <w:rFonts w:eastAsiaTheme="majorEastAsia"/>
                            <w:sz w:val="15"/>
                            <w:szCs w:val="15"/>
                          </w:rPr>
                          <w:t>www.deeca.vic.gov.au/onboard</w:t>
                        </w:r>
                      </w:hyperlink>
                    </w:p>
                    <w:p w14:paraId="0A4A33D7" w14:textId="12FCACFB" w:rsidR="0014306F" w:rsidRPr="0022751F" w:rsidRDefault="0014306F" w:rsidP="0014306F">
                      <w:pPr>
                        <w:widowControl w:val="0"/>
                        <w:spacing w:after="40" w:line="200" w:lineRule="atLeast"/>
                        <w:rPr>
                          <w:sz w:val="15"/>
                          <w:szCs w:val="15"/>
                        </w:rPr>
                      </w:pPr>
                      <w:r w:rsidRPr="0022751F">
                        <w:rPr>
                          <w:sz w:val="15"/>
                          <w:szCs w:val="15"/>
                        </w:rPr>
                        <w:t>For more information contact the D</w:t>
                      </w:r>
                      <w:r w:rsidR="00DE51F0">
                        <w:rPr>
                          <w:sz w:val="15"/>
                          <w:szCs w:val="15"/>
                        </w:rPr>
                        <w:t>EECA</w:t>
                      </w:r>
                      <w:r w:rsidRPr="0022751F">
                        <w:rPr>
                          <w:sz w:val="15"/>
                          <w:szCs w:val="15"/>
                        </w:rPr>
                        <w:t xml:space="preserve"> Customer Service Centre 136 186</w:t>
                      </w:r>
                    </w:p>
                    <w:p w14:paraId="5BB38310" w14:textId="4F9F3704" w:rsidR="0014306F" w:rsidRPr="0022751F" w:rsidRDefault="0014306F" w:rsidP="0014306F">
                      <w:pPr>
                        <w:widowControl w:val="0"/>
                        <w:spacing w:after="100" w:line="200" w:lineRule="atLeast"/>
                        <w:rPr>
                          <w:sz w:val="15"/>
                          <w:szCs w:val="15"/>
                        </w:rPr>
                      </w:pPr>
                      <w:r>
                        <w:rPr>
                          <w:sz w:val="15"/>
                          <w:szCs w:val="15"/>
                        </w:rPr>
                        <w:t>22 June 2023</w:t>
                      </w:r>
                      <w:r w:rsidRPr="0022751F">
                        <w:rPr>
                          <w:sz w:val="15"/>
                          <w:szCs w:val="15"/>
                        </w:rPr>
                        <w:t xml:space="preserve"> (</w:t>
                      </w:r>
                      <w:r>
                        <w:rPr>
                          <w:rStyle w:val="Emphasis-Bold"/>
                          <w:sz w:val="15"/>
                          <w:szCs w:val="15"/>
                        </w:rPr>
                        <w:t>version 3.0</w:t>
                      </w:r>
                      <w:r w:rsidRPr="0022751F">
                        <w:rPr>
                          <w:sz w:val="15"/>
                          <w:szCs w:val="15"/>
                        </w:rPr>
                        <w:t xml:space="preserve">) </w:t>
                      </w:r>
                      <w:r>
                        <w:rPr>
                          <w:sz w:val="15"/>
                          <w:szCs w:val="15"/>
                        </w:rPr>
                        <w:t>– 56.00</w:t>
                      </w:r>
                    </w:p>
                    <w:p w14:paraId="10B7F35A" w14:textId="4233096B" w:rsidR="0014306F" w:rsidRDefault="0014306F" w:rsidP="0014306F">
                      <w:pPr>
                        <w:pStyle w:val="ImprintText"/>
                        <w:rPr>
                          <w:sz w:val="15"/>
                          <w:szCs w:val="15"/>
                        </w:rPr>
                      </w:pPr>
                      <w:r>
                        <w:rPr>
                          <w:sz w:val="15"/>
                          <w:szCs w:val="15"/>
                        </w:rPr>
                        <w:t xml:space="preserve">© </w:t>
                      </w:r>
                      <w:r w:rsidRPr="0022751F">
                        <w:rPr>
                          <w:sz w:val="15"/>
                          <w:szCs w:val="15"/>
                        </w:rPr>
                        <w:t xml:space="preserve">State of Victoria Department of </w:t>
                      </w:r>
                      <w:r w:rsidR="00EF795B">
                        <w:rPr>
                          <w:sz w:val="15"/>
                          <w:szCs w:val="15"/>
                        </w:rPr>
                        <w:t>Energy, Environment and Climate Action</w:t>
                      </w:r>
                    </w:p>
                    <w:p w14:paraId="7BFF84CE" w14:textId="77777777" w:rsidR="0014306F" w:rsidRPr="0022751F" w:rsidRDefault="0014306F" w:rsidP="0014306F">
                      <w:pPr>
                        <w:widowControl w:val="0"/>
                        <w:spacing w:after="80" w:line="200" w:lineRule="atLeast"/>
                        <w:rPr>
                          <w:sz w:val="15"/>
                          <w:szCs w:val="15"/>
                        </w:rPr>
                      </w:pPr>
                      <w:r w:rsidRPr="0022751F">
                        <w:rPr>
                          <w:sz w:val="15"/>
                          <w:szCs w:val="15"/>
                        </w:rPr>
                        <w:t>ISBN 978-1-74287-744-0 (online - set)</w:t>
                      </w:r>
                    </w:p>
                    <w:p w14:paraId="1496CD1F" w14:textId="77777777" w:rsidR="0014306F" w:rsidRPr="002072AB" w:rsidRDefault="0014306F" w:rsidP="0014306F">
                      <w:pPr>
                        <w:pStyle w:val="Disclaimer"/>
                        <w:rPr>
                          <w:rFonts w:asciiTheme="minorHAnsi" w:hAnsiTheme="minorHAnsi"/>
                          <w:szCs w:val="15"/>
                        </w:rPr>
                      </w:pPr>
                      <w:r w:rsidRPr="002072AB">
                        <w:rPr>
                          <w:noProof/>
                          <w:szCs w:val="15"/>
                        </w:rPr>
                        <w:drawing>
                          <wp:inline distT="0" distB="0" distL="0" distR="0" wp14:anchorId="78C9F45C" wp14:editId="76B06AEC">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7"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w:pict>
          </mc:Fallback>
        </mc:AlternateContent>
      </w:r>
    </w:p>
    <w:sectPr w:rsidR="007425C9" w:rsidRPr="006614E4" w:rsidSect="007425C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BC0E" w14:textId="77777777" w:rsidR="00C6046E" w:rsidRDefault="00C6046E" w:rsidP="00CD157B">
      <w:pPr>
        <w:pStyle w:val="NoSpacing"/>
      </w:pPr>
    </w:p>
    <w:p w14:paraId="59AC066E" w14:textId="77777777" w:rsidR="00C6046E" w:rsidRDefault="00C6046E"/>
  </w:endnote>
  <w:endnote w:type="continuationSeparator" w:id="0">
    <w:p w14:paraId="30F62366" w14:textId="77777777" w:rsidR="00C6046E" w:rsidRDefault="00C6046E" w:rsidP="00CD157B">
      <w:pPr>
        <w:pStyle w:val="NoSpacing"/>
      </w:pPr>
    </w:p>
    <w:p w14:paraId="6DB8DDA3" w14:textId="77777777" w:rsidR="00C6046E" w:rsidRDefault="00C6046E"/>
  </w:endnote>
  <w:endnote w:type="continuationNotice" w:id="1">
    <w:p w14:paraId="09716136" w14:textId="77777777" w:rsidR="00C6046E" w:rsidRDefault="00C6046E" w:rsidP="00CD157B">
      <w:pPr>
        <w:pStyle w:val="NoSpacing"/>
      </w:pPr>
    </w:p>
    <w:p w14:paraId="5DAB0F36" w14:textId="77777777" w:rsidR="00C6046E" w:rsidRDefault="00C60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A2EBFE0" w14:textId="77777777" w:rsidTr="00505430">
      <w:trPr>
        <w:trHeight w:val="397"/>
      </w:trPr>
      <w:tc>
        <w:tcPr>
          <w:tcW w:w="340" w:type="dxa"/>
        </w:tcPr>
        <w:p w14:paraId="5542FE06"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8720" behindDoc="0" locked="0" layoutInCell="0" allowOverlap="1" wp14:anchorId="6506E663" wp14:editId="36382157">
                    <wp:simplePos x="0" y="0"/>
                    <wp:positionH relativeFrom="page">
                      <wp:posOffset>0</wp:posOffset>
                    </wp:positionH>
                    <wp:positionV relativeFrom="page">
                      <wp:posOffset>10229215</wp:posOffset>
                    </wp:positionV>
                    <wp:extent cx="7560945" cy="273050"/>
                    <wp:effectExtent l="0" t="0" r="0" b="12700"/>
                    <wp:wrapNone/>
                    <wp:docPr id="41" name="MSIPCM884f49109dc56f9f96262fda"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8C98E" w14:textId="10C0D87F" w:rsidR="00364C9A" w:rsidRPr="00527BE0" w:rsidRDefault="00527BE0" w:rsidP="00527BE0">
                                <w:pPr>
                                  <w:spacing w:before="0" w:after="0"/>
                                  <w:jc w:val="center"/>
                                  <w:rPr>
                                    <w:rFonts w:ascii="Calibri" w:hAnsi="Calibri" w:cs="Calibri"/>
                                    <w:color w:val="000000"/>
                                    <w:sz w:val="24"/>
                                  </w:rPr>
                                </w:pPr>
                                <w:r w:rsidRPr="00527B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6E663" id="_x0000_t202" coordsize="21600,21600" o:spt="202" path="m,l,21600r21600,l21600,xe">
                    <v:stroke joinstyle="miter"/>
                    <v:path gradientshapeok="t" o:connecttype="rect"/>
                  </v:shapetype>
                  <v:shape id="MSIPCM884f49109dc56f9f96262fda" o:spid="_x0000_s1031" type="#_x0000_t202" alt="{&quot;HashCode&quot;:1862493762,&quot;Height&quot;:841.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548C98E" w14:textId="10C0D87F" w:rsidR="00364C9A" w:rsidRPr="00527BE0" w:rsidRDefault="00527BE0" w:rsidP="00527BE0">
                          <w:pPr>
                            <w:spacing w:before="0" w:after="0"/>
                            <w:jc w:val="center"/>
                            <w:rPr>
                              <w:rFonts w:ascii="Calibri" w:hAnsi="Calibri" w:cs="Calibri"/>
                              <w:color w:val="000000"/>
                              <w:sz w:val="24"/>
                            </w:rPr>
                          </w:pPr>
                          <w:r w:rsidRPr="00527BE0">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06181BE7" w14:textId="77777777" w:rsidR="00A60698" w:rsidRDefault="00527BE0" w:rsidP="00A60698">
          <w:pPr>
            <w:pStyle w:val="FooterEven"/>
          </w:pPr>
          <w:r>
            <w:fldChar w:fldCharType="begin"/>
          </w:r>
          <w:r>
            <w:instrText xml:space="preserve"> DOCPROPERTY  xFooterTitle  \* MERGEFORMAT </w:instrText>
          </w:r>
          <w:r>
            <w:fldChar w:fldCharType="separate"/>
          </w:r>
          <w:r w:rsidR="00222784">
            <w:t>Board meetings and decisions</w:t>
          </w:r>
          <w:r>
            <w:fldChar w:fldCharType="end"/>
          </w:r>
        </w:p>
        <w:p w14:paraId="65F319B9" w14:textId="77777777" w:rsidR="00A60698" w:rsidRPr="00810C40" w:rsidRDefault="00527BE0" w:rsidP="00A60698">
          <w:pPr>
            <w:pStyle w:val="FooterEven"/>
          </w:pPr>
          <w:r>
            <w:fldChar w:fldCharType="begin"/>
          </w:r>
          <w:r>
            <w:instrText xml:space="preserve"> DOCPROPERTY  xFooterSubtitle  \* MERGEFORMAT </w:instrText>
          </w:r>
          <w:r>
            <w:fldChar w:fldCharType="separate"/>
          </w:r>
          <w:r w:rsidR="00222784">
            <w:t>About the model policy</w:t>
          </w:r>
          <w:r>
            <w:fldChar w:fldCharType="end"/>
          </w:r>
        </w:p>
      </w:tc>
    </w:tr>
  </w:tbl>
  <w:p w14:paraId="2E83BCE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4EDE28A" w14:textId="77777777" w:rsidTr="0040758A">
      <w:trPr>
        <w:trHeight w:val="397"/>
      </w:trPr>
      <w:tc>
        <w:tcPr>
          <w:tcW w:w="9071" w:type="dxa"/>
        </w:tcPr>
        <w:p w14:paraId="170F8451" w14:textId="77777777" w:rsidR="00A60698" w:rsidRDefault="00364C9A" w:rsidP="00A60698">
          <w:pPr>
            <w:pStyle w:val="FooterOdd"/>
          </w:pPr>
          <w:r>
            <w:rPr>
              <w:noProof/>
            </w:rPr>
            <mc:AlternateContent>
              <mc:Choice Requires="wps">
                <w:drawing>
                  <wp:anchor distT="0" distB="0" distL="114300" distR="114300" simplePos="0" relativeHeight="251678207" behindDoc="0" locked="0" layoutInCell="0" allowOverlap="1" wp14:anchorId="189A2967" wp14:editId="6D448E07">
                    <wp:simplePos x="0" y="0"/>
                    <wp:positionH relativeFrom="page">
                      <wp:posOffset>0</wp:posOffset>
                    </wp:positionH>
                    <wp:positionV relativeFrom="page">
                      <wp:posOffset>10229215</wp:posOffset>
                    </wp:positionV>
                    <wp:extent cx="7560945" cy="273050"/>
                    <wp:effectExtent l="0" t="0" r="0" b="12700"/>
                    <wp:wrapNone/>
                    <wp:docPr id="35" name="MSIPCM93c04ba087783c7a86b77bc9"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2B1CA" w14:textId="632DD477" w:rsidR="00364C9A" w:rsidRPr="00527BE0" w:rsidRDefault="00527BE0" w:rsidP="00527BE0">
                                <w:pPr>
                                  <w:spacing w:before="0" w:after="0"/>
                                  <w:jc w:val="center"/>
                                  <w:rPr>
                                    <w:rFonts w:ascii="Calibri" w:hAnsi="Calibri" w:cs="Calibri"/>
                                    <w:color w:val="000000"/>
                                    <w:sz w:val="24"/>
                                  </w:rPr>
                                </w:pPr>
                                <w:r w:rsidRPr="00527B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A2967" id="_x0000_t202" coordsize="21600,21600" o:spt="202" path="m,l,21600r21600,l21600,xe">
                    <v:stroke joinstyle="miter"/>
                    <v:path gradientshapeok="t" o:connecttype="rect"/>
                  </v:shapetype>
                  <v:shape id="MSIPCM93c04ba087783c7a86b77bc9" o:spid="_x0000_s1032" type="#_x0000_t202" alt="{&quot;HashCode&quot;:1862493762,&quot;Height&quot;:841.0,&quot;Width&quot;:595.0,&quot;Placement&quot;:&quot;Footer&quot;,&quot;Index&quot;:&quot;Primary&quot;,&quot;Section&quot;:1,&quot;Top&quot;:0.0,&quot;Left&quot;:0.0}" style="position:absolute;left:0;text-align:left;margin-left:0;margin-top:805.45pt;width:595.35pt;height:21.5pt;z-index:251678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BB2B1CA" w14:textId="632DD477" w:rsidR="00364C9A" w:rsidRPr="00527BE0" w:rsidRDefault="00527BE0" w:rsidP="00527BE0">
                          <w:pPr>
                            <w:spacing w:before="0" w:after="0"/>
                            <w:jc w:val="center"/>
                            <w:rPr>
                              <w:rFonts w:ascii="Calibri" w:hAnsi="Calibri" w:cs="Calibri"/>
                              <w:color w:val="000000"/>
                              <w:sz w:val="24"/>
                            </w:rPr>
                          </w:pPr>
                          <w:r w:rsidRPr="00527BE0">
                            <w:rPr>
                              <w:rFonts w:ascii="Calibri" w:hAnsi="Calibri" w:cs="Calibri"/>
                              <w:color w:val="000000"/>
                              <w:sz w:val="24"/>
                            </w:rPr>
                            <w:t>OFFICIAL</w:t>
                          </w:r>
                        </w:p>
                      </w:txbxContent>
                    </v:textbox>
                    <w10:wrap anchorx="page" anchory="page"/>
                  </v:shape>
                </w:pict>
              </mc:Fallback>
            </mc:AlternateContent>
          </w:r>
          <w:r w:rsidR="00527BE0">
            <w:fldChar w:fldCharType="begin"/>
          </w:r>
          <w:r w:rsidR="00527BE0">
            <w:instrText xml:space="preserve"> DOCPROPERTY  xFooterTitle  \* MERGEFORMAT </w:instrText>
          </w:r>
          <w:r w:rsidR="00527BE0">
            <w:fldChar w:fldCharType="separate"/>
          </w:r>
          <w:r w:rsidR="00222784">
            <w:t>Board meetings and decisions</w:t>
          </w:r>
          <w:r w:rsidR="00527BE0">
            <w:fldChar w:fldCharType="end"/>
          </w:r>
        </w:p>
        <w:p w14:paraId="4953DBD6" w14:textId="77777777" w:rsidR="00CD157B" w:rsidRPr="00CB1FB7" w:rsidRDefault="00527BE0" w:rsidP="00A60698">
          <w:pPr>
            <w:pStyle w:val="FooterOdd"/>
            <w:rPr>
              <w:b/>
            </w:rPr>
          </w:pPr>
          <w:r>
            <w:fldChar w:fldCharType="begin"/>
          </w:r>
          <w:r>
            <w:instrText xml:space="preserve"> DOCPROPERTY  xFoot</w:instrText>
          </w:r>
          <w:r>
            <w:instrText xml:space="preserve">erSubtitle  \* MERGEFORMAT </w:instrText>
          </w:r>
          <w:r>
            <w:fldChar w:fldCharType="separate"/>
          </w:r>
          <w:r w:rsidR="00222784">
            <w:t>About the model policy</w:t>
          </w:r>
          <w:r>
            <w:fldChar w:fldCharType="end"/>
          </w:r>
        </w:p>
      </w:tc>
      <w:tc>
        <w:tcPr>
          <w:tcW w:w="340" w:type="dxa"/>
        </w:tcPr>
        <w:p w14:paraId="3125745D"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51877F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C3F9" w14:textId="77777777" w:rsidR="00364C9A" w:rsidRDefault="00364C9A">
    <w:pPr>
      <w:pStyle w:val="Footer"/>
    </w:pPr>
    <w:r>
      <w:rPr>
        <w:noProof/>
      </w:rPr>
      <mc:AlternateContent>
        <mc:Choice Requires="wps">
          <w:drawing>
            <wp:anchor distT="0" distB="0" distL="114300" distR="114300" simplePos="0" relativeHeight="251678463" behindDoc="0" locked="0" layoutInCell="0" allowOverlap="1" wp14:anchorId="59EAEC0D" wp14:editId="04EEDFE6">
              <wp:simplePos x="0" y="0"/>
              <wp:positionH relativeFrom="page">
                <wp:posOffset>0</wp:posOffset>
              </wp:positionH>
              <wp:positionV relativeFrom="page">
                <wp:posOffset>10229215</wp:posOffset>
              </wp:positionV>
              <wp:extent cx="7560945" cy="273050"/>
              <wp:effectExtent l="0" t="0" r="0" b="12700"/>
              <wp:wrapNone/>
              <wp:docPr id="40" name="MSIPCM33ca4741a2acc840736187e8"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A44A8" w14:textId="5B93F934" w:rsidR="00364C9A" w:rsidRPr="00527BE0" w:rsidRDefault="00527BE0" w:rsidP="00527BE0">
                          <w:pPr>
                            <w:spacing w:before="0" w:after="0"/>
                            <w:jc w:val="center"/>
                            <w:rPr>
                              <w:rFonts w:ascii="Calibri" w:hAnsi="Calibri" w:cs="Calibri"/>
                              <w:color w:val="000000"/>
                              <w:sz w:val="24"/>
                            </w:rPr>
                          </w:pPr>
                          <w:r w:rsidRPr="00527B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EAEC0D" id="_x0000_t202" coordsize="21600,21600" o:spt="202" path="m,l,21600r21600,l21600,xe">
              <v:stroke joinstyle="miter"/>
              <v:path gradientshapeok="t" o:connecttype="rect"/>
            </v:shapetype>
            <v:shape id="MSIPCM33ca4741a2acc840736187e8" o:spid="_x0000_s1033" type="#_x0000_t202" alt="{&quot;HashCode&quot;:1862493762,&quot;Height&quot;:841.0,&quot;Width&quot;:595.0,&quot;Placement&quot;:&quot;Footer&quot;,&quot;Index&quot;:&quot;FirstPage&quot;,&quot;Section&quot;:1,&quot;Top&quot;:0.0,&quot;Left&quot;:0.0}" style="position:absolute;margin-left:0;margin-top:805.45pt;width:595.35pt;height:21.5pt;z-index:2516784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029A44A8" w14:textId="5B93F934" w:rsidR="00364C9A" w:rsidRPr="00527BE0" w:rsidRDefault="00527BE0" w:rsidP="00527BE0">
                    <w:pPr>
                      <w:spacing w:before="0" w:after="0"/>
                      <w:jc w:val="center"/>
                      <w:rPr>
                        <w:rFonts w:ascii="Calibri" w:hAnsi="Calibri" w:cs="Calibri"/>
                        <w:color w:val="000000"/>
                        <w:sz w:val="24"/>
                      </w:rPr>
                    </w:pPr>
                    <w:r w:rsidRPr="00527BE0">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6644" w14:textId="77777777" w:rsidR="00C6046E" w:rsidRPr="0056073C" w:rsidRDefault="00C6046E" w:rsidP="005D764F">
      <w:pPr>
        <w:pStyle w:val="FootnoteSeparator"/>
      </w:pPr>
    </w:p>
    <w:p w14:paraId="7FC00907" w14:textId="77777777" w:rsidR="00C6046E" w:rsidRDefault="00C6046E"/>
  </w:footnote>
  <w:footnote w:type="continuationSeparator" w:id="0">
    <w:p w14:paraId="518BD1B8" w14:textId="77777777" w:rsidR="00C6046E" w:rsidRPr="00CA30B7" w:rsidRDefault="00C6046E" w:rsidP="006D5A90">
      <w:pPr>
        <w:rPr>
          <w:lang w:val="en-US"/>
        </w:rPr>
      </w:pPr>
      <w:r w:rsidRPr="00CA30B7">
        <w:rPr>
          <w:lang w:val="en-US"/>
        </w:rPr>
        <w:t>_______</w:t>
      </w:r>
    </w:p>
    <w:p w14:paraId="7BF95436" w14:textId="77777777" w:rsidR="00C6046E" w:rsidRDefault="00C6046E"/>
  </w:footnote>
  <w:footnote w:type="continuationNotice" w:id="1">
    <w:p w14:paraId="264EF856" w14:textId="77777777" w:rsidR="00C6046E" w:rsidRDefault="00C6046E" w:rsidP="006D5A90"/>
    <w:p w14:paraId="3E99B516" w14:textId="77777777" w:rsidR="00C6046E" w:rsidRDefault="00C6046E"/>
  </w:footnote>
  <w:footnote w:id="2">
    <w:p w14:paraId="3B15152F" w14:textId="6FBA2E6F" w:rsidR="00222784" w:rsidRDefault="00222784" w:rsidP="00222784">
      <w:pPr>
        <w:pStyle w:val="FootnoteText"/>
      </w:pPr>
      <w:r>
        <w:rPr>
          <w:rStyle w:val="FootnoteReference"/>
        </w:rPr>
        <w:footnoteRef/>
      </w:r>
      <w:r>
        <w:tab/>
      </w:r>
      <w:r w:rsidRPr="008A1507">
        <w:t xml:space="preserve">Almost all </w:t>
      </w:r>
      <w:r>
        <w:t>DEECA</w:t>
      </w:r>
      <w:r w:rsidRPr="008A1507">
        <w:t xml:space="preserve"> agencies are public entities</w:t>
      </w:r>
      <w:r>
        <w:t xml:space="preserve"> and are therefore </w:t>
      </w:r>
      <w:r w:rsidRPr="008A1507">
        <w:t>subject to the</w:t>
      </w:r>
      <w:r>
        <w:t xml:space="preserve"> PAA</w:t>
      </w:r>
      <w:r w:rsidRPr="008A1507">
        <w:t xml:space="preserve"> and related codes</w:t>
      </w:r>
      <w:r>
        <w:t xml:space="preserve"> – e.g.</w:t>
      </w:r>
      <w:r w:rsidRPr="008A1507">
        <w:t xml:space="preserve"> </w:t>
      </w:r>
      <w:hyperlink r:id="rId1" w:history="1">
        <w:r w:rsidRPr="008A1507">
          <w:rPr>
            <w:rStyle w:val="Hyperlink"/>
            <w:rFonts w:eastAsiaTheme="majorEastAsia"/>
          </w:rPr>
          <w:t>Directors’ Code of Conduct</w:t>
        </w:r>
      </w:hyperlink>
      <w:r>
        <w:rPr>
          <w:rStyle w:val="Hyperlink"/>
          <w:rFonts w:eastAsiaTheme="majorEastAsia" w:cs="Arial"/>
        </w:rPr>
        <w:t>.</w:t>
      </w:r>
      <w:r>
        <w:t xml:space="preserve">  Most,</w:t>
      </w:r>
      <w:r w:rsidRPr="0073457A">
        <w:t xml:space="preserve"> </w:t>
      </w:r>
      <w:r>
        <w:t>except usually small (category 3)</w:t>
      </w:r>
      <w:r w:rsidRPr="0073457A">
        <w:t xml:space="preserve"> committees of management</w:t>
      </w:r>
      <w:r>
        <w:t xml:space="preserve"> of crown land reserves,</w:t>
      </w:r>
      <w:r w:rsidRPr="0073457A">
        <w:t xml:space="preserve"> are bound by Divisions 2 and 3 of Part 5 of the </w:t>
      </w:r>
      <w:r>
        <w:t>Act</w:t>
      </w:r>
      <w:r w:rsidRPr="0073457A">
        <w:t xml:space="preserve"> </w:t>
      </w:r>
      <w:r>
        <w:t>(</w:t>
      </w:r>
      <w:r w:rsidRPr="0073457A">
        <w:t>s 79 to 85</w:t>
      </w:r>
      <w:r>
        <w:t xml:space="preserve">). </w:t>
      </w:r>
    </w:p>
    <w:p w14:paraId="32DA92CD" w14:textId="77777777" w:rsidR="00222784" w:rsidRPr="00511FB7" w:rsidRDefault="00222784" w:rsidP="00222784">
      <w:pPr>
        <w:pStyle w:val="FootnoteText"/>
        <w:spacing w:before="40" w:after="0"/>
      </w:pPr>
      <w:r>
        <w:tab/>
        <w:t>Sections 79 to 85 bind public entities that were established after 1 July 2005 OR have had their establishing Act amended to deem that the agency is subject to such provisions (e.g. catchment management authorities and water corporations) OR are included in an Order made by the Governor in Council under section 75(a) of the PAA and published in the Government Gazette.</w:t>
      </w:r>
    </w:p>
  </w:footnote>
  <w:footnote w:id="3">
    <w:p w14:paraId="4C588FAB" w14:textId="77777777" w:rsidR="00222784" w:rsidRDefault="00222784" w:rsidP="00222784">
      <w:pPr>
        <w:pStyle w:val="FootnoteText"/>
        <w:spacing w:after="0"/>
      </w:pPr>
      <w:r>
        <w:rPr>
          <w:rStyle w:val="FootnoteReference"/>
        </w:rPr>
        <w:footnoteRef/>
      </w:r>
      <w:r>
        <w:t xml:space="preserve"> </w:t>
      </w:r>
      <w:r>
        <w:tab/>
      </w:r>
      <w:r w:rsidRPr="002B2956">
        <w:t>Gillfillan &amp; O</w:t>
      </w:r>
      <w:r>
        <w:t>ther</w:t>
      </w:r>
      <w:r w:rsidRPr="002B2956">
        <w:t>s v Australian Securities &amp; Investments Commission</w:t>
      </w:r>
      <w:r>
        <w:t xml:space="preserve"> [2012] NSWCA 370; also (2012) 92 ACSR 460.</w:t>
      </w:r>
    </w:p>
  </w:footnote>
  <w:footnote w:id="4">
    <w:p w14:paraId="42BA3549" w14:textId="77777777" w:rsidR="00222784" w:rsidRDefault="00222784" w:rsidP="00222784">
      <w:pPr>
        <w:pStyle w:val="FootnoteText"/>
      </w:pPr>
      <w:r>
        <w:rPr>
          <w:rStyle w:val="FootnoteReference"/>
        </w:rPr>
        <w:footnoteRef/>
      </w:r>
      <w:r>
        <w:t xml:space="preserve"> </w:t>
      </w:r>
      <w:r>
        <w:tab/>
      </w:r>
      <w:r w:rsidRPr="002B2956">
        <w:t>Gillfillan &amp; O</w:t>
      </w:r>
      <w:r>
        <w:t>the</w:t>
      </w:r>
      <w:r w:rsidRPr="002B2956">
        <w:t>rs v Australian Securities &amp; Investments Commission</w:t>
      </w:r>
      <w:r>
        <w:t xml:space="preserve"> [2012] NSWCA 370; also (2012) 92 ACSR 460.</w:t>
      </w:r>
    </w:p>
  </w:footnote>
  <w:footnote w:id="5">
    <w:p w14:paraId="7C9B1073" w14:textId="77777777" w:rsidR="00222784" w:rsidRDefault="00222784" w:rsidP="00222784">
      <w:pPr>
        <w:pStyle w:val="FootnoteText"/>
      </w:pPr>
      <w:r>
        <w:rPr>
          <w:rStyle w:val="FootnoteReference"/>
        </w:rPr>
        <w:footnoteRef/>
      </w:r>
      <w:r>
        <w:t xml:space="preserve"> </w:t>
      </w:r>
      <w:r>
        <w:tab/>
        <w:t>ASIC v Australian Property Custodian Holdings Limited (Receivers &amp; Managers appointed) (In liquidation) (Controllers appointed) (No.3)</w:t>
      </w:r>
    </w:p>
  </w:footnote>
  <w:footnote w:id="6">
    <w:p w14:paraId="54B206A3" w14:textId="77777777" w:rsidR="00222784" w:rsidRDefault="00222784" w:rsidP="00222784">
      <w:pPr>
        <w:pStyle w:val="FootnoteText"/>
        <w:tabs>
          <w:tab w:val="left" w:pos="142"/>
        </w:tabs>
        <w:spacing w:after="20" w:line="240" w:lineRule="auto"/>
      </w:pPr>
      <w:r>
        <w:rPr>
          <w:rStyle w:val="FootnoteReference"/>
        </w:rPr>
        <w:footnoteRef/>
      </w:r>
      <w:r>
        <w:t xml:space="preserve"> </w:t>
      </w:r>
      <w:r>
        <w:tab/>
      </w:r>
      <w:r w:rsidRPr="00CF0C86">
        <w:t>ASIC v Hellicar &amp; Others</w:t>
      </w:r>
      <w:r w:rsidRPr="00425EAA">
        <w:t xml:space="preserve"> </w:t>
      </w:r>
      <w:r>
        <w:t>[2012] HCA 17</w:t>
      </w:r>
    </w:p>
  </w:footnote>
  <w:footnote w:id="7">
    <w:p w14:paraId="4CB5707C" w14:textId="77777777" w:rsidR="00222784" w:rsidRDefault="00222784" w:rsidP="00222784">
      <w:pPr>
        <w:tabs>
          <w:tab w:val="left" w:pos="142"/>
        </w:tabs>
        <w:spacing w:after="0" w:line="210" w:lineRule="atLeast"/>
        <w:ind w:left="142" w:hanging="142"/>
      </w:pPr>
      <w:r>
        <w:rPr>
          <w:rStyle w:val="FootnoteReference"/>
        </w:rPr>
        <w:footnoteRef/>
      </w:r>
      <w:r>
        <w:t xml:space="preserve"> </w:t>
      </w:r>
      <w:r>
        <w:tab/>
      </w:r>
      <w:r w:rsidRPr="00FF74BD">
        <w:rPr>
          <w:sz w:val="18"/>
        </w:rPr>
        <w:t xml:space="preserve">Public sector board minutes are a public record.  However, this does not mean </w:t>
      </w:r>
      <w:r>
        <w:rPr>
          <w:sz w:val="18"/>
        </w:rPr>
        <w:t>they are</w:t>
      </w:r>
      <w:r w:rsidRPr="00FF74BD">
        <w:rPr>
          <w:sz w:val="18"/>
        </w:rPr>
        <w:t xml:space="preserve"> automatically ‘open to the public’. Unless the board agrees, a member of the public who wants to see the</w:t>
      </w:r>
      <w:r w:rsidRPr="00EA06EC">
        <w:t xml:space="preserve"> </w:t>
      </w:r>
      <w:r w:rsidRPr="00FF74BD">
        <w:rPr>
          <w:sz w:val="18"/>
        </w:rPr>
        <w:t>register would need to lodge an application under the Freedom of Information Act.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23C7"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0B657CC2" wp14:editId="4F6FDFE3">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8B7748"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11ECF743" wp14:editId="4AD6791D">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1D2813"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20F13B15" wp14:editId="61745D88">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CAF441"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4835207E" wp14:editId="392C65CE">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F3C34B"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774A561E" wp14:editId="79D6A545">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6E106C"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3A8F4952" wp14:editId="25FC8F0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8E5348"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30C13906"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6163" w14:textId="77777777" w:rsidR="00527BE0" w:rsidRDefault="00527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A578" w14:textId="77777777" w:rsidR="00527BE0" w:rsidRDefault="00527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12F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4242ADE9" wp14:editId="1316AAD3">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F7FF0F"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67A418B2" wp14:editId="1D545FC6">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DEC2E2"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48EAF31D" wp14:editId="787D849C">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202848"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02555627" wp14:editId="1ED6C4DA">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AA4917"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304A98E5" wp14:editId="38D84E6D">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6D10B7"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5D457F24" wp14:editId="4E2B7639">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4CF5AD"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738F86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2402D952"/>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4"/>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9"/>
  </w:num>
  <w:num w:numId="16" w16cid:durableId="1160577431">
    <w:abstractNumId w:val="31"/>
  </w:num>
  <w:num w:numId="17" w16cid:durableId="27071314">
    <w:abstractNumId w:val="8"/>
  </w:num>
  <w:num w:numId="18" w16cid:durableId="338120444">
    <w:abstractNumId w:val="6"/>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723190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222784"/>
    <w:rsid w:val="00000194"/>
    <w:rsid w:val="00000812"/>
    <w:rsid w:val="00000901"/>
    <w:rsid w:val="00001D81"/>
    <w:rsid w:val="00002691"/>
    <w:rsid w:val="00003260"/>
    <w:rsid w:val="000035F6"/>
    <w:rsid w:val="00004327"/>
    <w:rsid w:val="00004810"/>
    <w:rsid w:val="00004A68"/>
    <w:rsid w:val="00004EEE"/>
    <w:rsid w:val="00005306"/>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06F"/>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78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BE0"/>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9E3"/>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BD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46E"/>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1F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95B"/>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98D3D"/>
  <w15:docId w15:val="{3813C4E3-835E-4E77-A5A3-0669E8FB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qFormat/>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222784"/>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Emphasis-Italics">
    <w:name w:val="Emphasis - Italics"/>
    <w:qFormat/>
    <w:rsid w:val="00222784"/>
    <w:rPr>
      <w:i/>
    </w:rPr>
  </w:style>
  <w:style w:type="character" w:customStyle="1" w:styleId="Emphasis-Bold">
    <w:name w:val="Emphasis - Bold"/>
    <w:qFormat/>
    <w:rsid w:val="00222784"/>
    <w:rPr>
      <w:rFonts w:ascii="Arial" w:hAnsi="Arial" w:cs="Arial"/>
      <w:b/>
      <w:color w:val="000000"/>
    </w:rPr>
  </w:style>
  <w:style w:type="paragraph" w:customStyle="1" w:styleId="BodyTextTabulated">
    <w:name w:val="Body Text Tabulated"/>
    <w:basedOn w:val="BodyText"/>
    <w:qFormat/>
    <w:rsid w:val="00222784"/>
    <w:pPr>
      <w:tabs>
        <w:tab w:val="left" w:pos="425"/>
        <w:tab w:val="left" w:pos="851"/>
        <w:tab w:val="left" w:pos="1276"/>
      </w:tabs>
      <w:spacing w:before="100" w:after="100" w:line="260" w:lineRule="atLeast"/>
    </w:pPr>
    <w:rPr>
      <w:rFonts w:ascii="Arial" w:hAnsi="Arial"/>
      <w:sz w:val="18"/>
      <w:szCs w:val="18"/>
    </w:rPr>
  </w:style>
  <w:style w:type="paragraph" w:customStyle="1" w:styleId="ImprintText">
    <w:name w:val="_ImprintText"/>
    <w:uiPriority w:val="9"/>
    <w:rsid w:val="0014306F"/>
    <w:pPr>
      <w:spacing w:before="0" w:after="85" w:line="170" w:lineRule="atLeast"/>
    </w:pPr>
    <w:rPr>
      <w:rFonts w:ascii="Calibri" w:hAnsi="Calibri" w:cs="Arial"/>
      <w:sz w:val="16"/>
      <w:szCs w:val="14"/>
      <w:lang w:eastAsia="en-US"/>
    </w:rPr>
  </w:style>
  <w:style w:type="paragraph" w:customStyle="1" w:styleId="Disclaimer">
    <w:name w:val="Disclaimer"/>
    <w:basedOn w:val="Normal"/>
    <w:uiPriority w:val="1"/>
    <w:rsid w:val="0014306F"/>
    <w:pPr>
      <w:spacing w:before="100" w:after="110" w:line="200" w:lineRule="atLeast"/>
    </w:pPr>
    <w:rPr>
      <w:rFonts w:ascii="Arial" w:hAnsi="Arial"/>
      <w:color w:val="1C1C1C"/>
      <w:sz w:val="1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eader" Target="header2.xml"/><Relationship Id="rId39" Type="http://schemas.openxmlformats.org/officeDocument/2006/relationships/hyperlink" Target="mailto:customer.service@deeca.vic.gov.au" TargetMode="External"/><Relationship Id="rId21" Type="http://schemas.openxmlformats.org/officeDocument/2006/relationships/image" Target="media/image10.png"/><Relationship Id="rId34" Type="http://schemas.openxmlformats.org/officeDocument/2006/relationships/hyperlink" Target="http://www.deeca.vic.gov.au/onboard" TargetMode="External"/><Relationship Id="rId42" Type="http://schemas.openxmlformats.org/officeDocument/2006/relationships/hyperlink" Target="http://www.deeca.vic.gov.au/onboard" TargetMode="External"/><Relationship Id="rId47" Type="http://schemas.openxmlformats.org/officeDocument/2006/relationships/hyperlink" Target="http://creativecommons.org/licenses/by/4.0/"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file:///C:\Users\fionadurante\Downloads\deeca.vic.gov.au" TargetMode="External"/><Relationship Id="rId32" Type="http://schemas.openxmlformats.org/officeDocument/2006/relationships/hyperlink" Target="http://www.ssa.vic.gov.au/products/view-products/directors-code-of-conduct-and-guidance-notes.html" TargetMode="External"/><Relationship Id="rId37" Type="http://schemas.openxmlformats.org/officeDocument/2006/relationships/hyperlink" Target="http://www.relayservice.com.au" TargetMode="External"/><Relationship Id="rId40" Type="http://schemas.openxmlformats.org/officeDocument/2006/relationships/hyperlink" Target="http://www.relayservice.com.au" TargetMode="External"/><Relationship Id="rId45" Type="http://schemas.openxmlformats.org/officeDocument/2006/relationships/hyperlink" Target="http://www.deeca.vic.gov.au/onboard" TargetMode="Externa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file:///C:\Users\fionadurante\Downloads\deeca.vic.gov.au" TargetMode="External"/><Relationship Id="rId28" Type="http://schemas.openxmlformats.org/officeDocument/2006/relationships/footer" Target="footer2.xml"/><Relationship Id="rId36" Type="http://schemas.openxmlformats.org/officeDocument/2006/relationships/hyperlink" Target="mailto:customer.service@deeca.vic.gov.au"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4.xml"/><Relationship Id="rId44"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deeca.vic.gov.au/boards-and-governance/meetings-and-decisions" TargetMode="External"/><Relationship Id="rId43" Type="http://schemas.openxmlformats.org/officeDocument/2006/relationships/image" Target="media/image13.emf"/><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image" Target="media/image12.png"/><Relationship Id="rId38" Type="http://schemas.openxmlformats.org/officeDocument/2006/relationships/hyperlink" Target="http://www.deeca.vic.gov.au" TargetMode="External"/><Relationship Id="rId46" Type="http://schemas.openxmlformats.org/officeDocument/2006/relationships/image" Target="media/image130.emf"/><Relationship Id="rId20" Type="http://schemas.openxmlformats.org/officeDocument/2006/relationships/image" Target="media/image9.png"/><Relationship Id="rId41"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vpsc.vic.gov.au/ethics-behaviours-culture/codes-of-conduct/code-of-conduct-for-directors-of-victorian-public-ent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ACD3C5054679BE5CD43966C0A040"/>
        <w:category>
          <w:name w:val="General"/>
          <w:gallery w:val="placeholder"/>
        </w:category>
        <w:types>
          <w:type w:val="bbPlcHdr"/>
        </w:types>
        <w:behaviors>
          <w:behavior w:val="content"/>
        </w:behaviors>
        <w:guid w:val="{BECBDE85-E774-4650-B5F2-69B7FA7EF4F0}"/>
      </w:docPartPr>
      <w:docPartBody>
        <w:p w:rsidR="00C2313A" w:rsidRDefault="00C2313A">
          <w:pPr>
            <w:pStyle w:val="837FACD3C5054679BE5CD43966C0A040"/>
          </w:pPr>
          <w:r w:rsidRPr="000C4F86">
            <w:rPr>
              <w:rStyle w:val="PlaceholderText"/>
            </w:rPr>
            <w:t>[Title]</w:t>
          </w:r>
        </w:p>
      </w:docPartBody>
    </w:docPart>
    <w:docPart>
      <w:docPartPr>
        <w:name w:val="3FF03BCD136E4EFEAD02C067CE2BEBD8"/>
        <w:category>
          <w:name w:val="General"/>
          <w:gallery w:val="placeholder"/>
        </w:category>
        <w:types>
          <w:type w:val="bbPlcHdr"/>
        </w:types>
        <w:behaviors>
          <w:behavior w:val="content"/>
        </w:behaviors>
        <w:guid w:val="{E12E39AE-2568-495C-8250-3D55AAF2FD3C}"/>
      </w:docPartPr>
      <w:docPartBody>
        <w:p w:rsidR="00C2313A" w:rsidRDefault="00C2313A">
          <w:pPr>
            <w:pStyle w:val="3FF03BCD136E4EFEAD02C067CE2BEBD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3A"/>
    <w:rsid w:val="001A7C7A"/>
    <w:rsid w:val="00C2313A"/>
    <w:rsid w:val="00E72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837FACD3C5054679BE5CD43966C0A040">
    <w:name w:val="837FACD3C5054679BE5CD43966C0A040"/>
  </w:style>
  <w:style w:type="paragraph" w:customStyle="1" w:styleId="3FF03BCD136E4EFEAD02C067CE2BEBD8">
    <w:name w:val="3FF03BCD136E4EFEAD02C067CE2BE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8" ma:contentTypeDescription="Create a new document." ma:contentTypeScope="" ma:versionID="2abf7a405a1e000cb2b55bd1c803810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7076d47dab45ff0fa6565b314b32e57"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Number xmlns="14b199b6-5bb1-471a-bba6-9fa51ea13b5a">XX-XXXX-XXX-XX-00000</DocumentNumber>
    <VersionNumber xmlns="14b199b6-5bb1-471a-bba6-9fa51ea13b5a">XX</VersionNumber>
    <TaxCatchAll xmlns="73d83999-3925-4a8c-8d71-3418e815230e" xsi:nil="true"/>
    <lcf76f155ced4ddcb4097134ff3c332f xmlns="14b199b6-5bb1-471a-bba6-9fa51ea13b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2CE0F-F9C9-405D-9C7D-FB14A7B1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docProps/app.xml><?xml version="1.0" encoding="utf-8"?>
<Properties xmlns="http://schemas.openxmlformats.org/officeDocument/2006/extended-properties" xmlns:vt="http://schemas.openxmlformats.org/officeDocument/2006/docPropsVTypes">
  <Template>DEECA A4 Blank.dotm</Template>
  <TotalTime>2</TotalTime>
  <Pages>4</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meetings and decisions</dc:title>
  <dc:subject>About the model policy</dc:subject>
  <dc:creator>Fiona</dc:creator>
  <cp:keywords/>
  <dc:description/>
  <cp:lastModifiedBy>Zarina Coetzee (DEECA)</cp:lastModifiedBy>
  <cp:revision>2</cp:revision>
  <cp:lastPrinted>2022-06-17T02:14:00Z</cp:lastPrinted>
  <dcterms:created xsi:type="dcterms:W3CDTF">2023-08-28T01:25:00Z</dcterms:created>
  <dcterms:modified xsi:type="dcterms:W3CDTF">2023-08-28T01:25:00Z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Board meetings and decisions</vt:lpwstr>
  </property>
  <property fmtid="{D5CDD505-2E9C-101B-9397-08002B2CF9AE}" pid="3" name="xFooterSubtitle">
    <vt:lpwstr>About the model policy</vt:lpwstr>
  </property>
  <property fmtid="{D5CDD505-2E9C-101B-9397-08002B2CF9AE}" pid="4" name="ContentTypeId">
    <vt:lpwstr>0x01010091D62A8291AC574281C201B771815F2E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2023-08-28T01:24:03Z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f79ce2e8-6b56-4b35-9468-b4f82e091aa0</vt:lpwstr>
  </property>
  <property fmtid="{D5CDD505-2E9C-101B-9397-08002B2CF9AE}" pid="12" name="MSIP_Label_4257e2ab-f512-40e2-9c9a-c64247360765_ContentBits">
    <vt:lpwstr>2</vt:lpwstr>
  </property>
</Properties>
</file>