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9904" w:type="dxa"/>
        <w:tblLook w:val="01E0" w:firstRow="1" w:lastRow="1" w:firstColumn="1" w:lastColumn="1" w:noHBand="0" w:noVBand="0"/>
      </w:tblPr>
      <w:tblGrid>
        <w:gridCol w:w="9904"/>
      </w:tblGrid>
      <w:tr w:rsidR="00EA2B53" w:rsidRPr="00F74678" w:rsidTr="00EA2B53">
        <w:trPr>
          <w:trHeight w:hRule="exact" w:val="2683"/>
        </w:trPr>
        <w:tc>
          <w:tcPr>
            <w:tcW w:w="9904" w:type="dxa"/>
            <w:shd w:val="clear" w:color="auto" w:fill="auto"/>
          </w:tcPr>
          <w:p w:rsidR="00EA2B53" w:rsidRDefault="007C3336" w:rsidP="00915D5A">
            <w:pPr>
              <w:pStyle w:val="Toptitle"/>
              <w:framePr w:hSpace="0" w:wrap="auto" w:vAnchor="margin" w:hAnchor="text" w:yAlign="inline"/>
            </w:pPr>
            <w:bookmarkStart w:id="0" w:name="_GoBack"/>
            <w:bookmarkEnd w:id="0"/>
            <w:r>
              <w:t>Induction and education</w:t>
            </w:r>
          </w:p>
          <w:p w:rsidR="00EA2B53" w:rsidRPr="003F3A22" w:rsidRDefault="00EA2B53" w:rsidP="00915D5A">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10FD165A" wp14:editId="584F39A2">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023243"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023243"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v:textbox>
                    </v:shape>
                  </w:pict>
                </mc:Fallback>
              </mc:AlternateContent>
            </w:r>
            <w:r>
              <w:t>(</w:t>
            </w:r>
            <w:r w:rsidR="006767CB">
              <w:t xml:space="preserve">1)  </w:t>
            </w:r>
            <w:r w:rsidRPr="003F3A22">
              <w:t>Model policy</w:t>
            </w:r>
            <w:r w:rsidR="00023243">
              <w:t xml:space="preserve"> - standard</w:t>
            </w:r>
          </w:p>
        </w:tc>
      </w:tr>
    </w:tbl>
    <w:p w:rsidR="002C12AF" w:rsidRDefault="002C12AF" w:rsidP="00EA2B53">
      <w:pPr>
        <w:spacing w:before="400"/>
      </w:pPr>
    </w:p>
    <w:p w:rsidR="009255AB" w:rsidRDefault="009255AB" w:rsidP="009D326E">
      <w:pPr>
        <w:spacing w:before="280"/>
      </w:pPr>
      <w:r>
        <w:t>This model policy is for use by</w:t>
      </w:r>
      <w:r w:rsidRPr="00D01A78">
        <w:t xml:space="preserve"> </w:t>
      </w:r>
      <w:r w:rsidR="003F2BEA">
        <w:t>board member</w:t>
      </w:r>
      <w:r w:rsidRPr="001100DC">
        <w:t>s</w:t>
      </w:r>
      <w:r w:rsidRPr="00D01A78">
        <w:t xml:space="preserve"> of </w:t>
      </w:r>
      <w:r>
        <w:t xml:space="preserve">the over 100 major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21537E">
        <w:t xml:space="preserve"> of C</w:t>
      </w:r>
      <w:r w:rsidR="000A32F8">
        <w:t>rown land r</w:t>
      </w:r>
      <w:r>
        <w:t>eserves</w:t>
      </w:r>
      <w:r w:rsidR="00C37A46">
        <w:t>.</w:t>
      </w:r>
      <w:r>
        <w:t xml:space="preserve">  </w:t>
      </w:r>
    </w:p>
    <w:p w:rsidR="000F1B8D" w:rsidRPr="00A3042C" w:rsidRDefault="000F1B8D" w:rsidP="000F1B8D">
      <w:r w:rsidRPr="00A3042C">
        <w:t>All model policies and guidance n</w:t>
      </w:r>
      <w:r w:rsidR="00235214">
        <w:t>otes can be downloaded from the</w:t>
      </w:r>
      <w:r w:rsidR="007C3336">
        <w:t xml:space="preserve"> </w:t>
      </w:r>
      <w:hyperlink r:id="rId9" w:history="1">
        <w:r w:rsidR="007C3336" w:rsidRPr="007C3336">
          <w:rPr>
            <w:rStyle w:val="Hyperlink"/>
          </w:rPr>
          <w:t>Induction and education</w:t>
        </w:r>
      </w:hyperlink>
      <w:r w:rsidR="00114000">
        <w:t xml:space="preserve"> </w:t>
      </w:r>
      <w:r>
        <w:t>s</w:t>
      </w:r>
      <w:r w:rsidRPr="00A3042C">
        <w:t>upport module on DELWP’s governance website, On Board (</w:t>
      </w:r>
      <w:hyperlink r:id="rId10" w:history="1">
        <w:r w:rsidRPr="00A3042C">
          <w:rPr>
            <w:rStyle w:val="Hyperlink"/>
          </w:rPr>
          <w:t>www.delwp.vic.gov.au/onboard</w:t>
        </w:r>
      </w:hyperlink>
      <w:r w:rsidRPr="00A3042C">
        <w:t xml:space="preserve">).  </w:t>
      </w:r>
    </w:p>
    <w:p w:rsidR="00D45BD0" w:rsidRPr="00A3042C" w:rsidRDefault="00D45BD0" w:rsidP="009D326E">
      <w:pPr>
        <w:pStyle w:val="Heading1"/>
        <w:spacing w:before="0" w:after="40"/>
        <w:jc w:val="center"/>
        <w:rPr>
          <w:b/>
          <w:spacing w:val="3"/>
        </w:rPr>
      </w:pPr>
      <w:r w:rsidRPr="00A3042C">
        <w:rPr>
          <w:spacing w:val="3"/>
        </w:rPr>
        <w:t>…………………………………………………………………………</w:t>
      </w:r>
    </w:p>
    <w:p w:rsidR="00D45BD0" w:rsidRPr="001013E9" w:rsidRDefault="00D45BD0" w:rsidP="004C1A4B">
      <w:pPr>
        <w:pStyle w:val="Heading5"/>
        <w:spacing w:before="300" w:after="200"/>
      </w:pPr>
      <w:r w:rsidRPr="001013E9">
        <w:t xml:space="preserve">[insert name of agency] </w:t>
      </w:r>
    </w:p>
    <w:p w:rsidR="00D45BD0" w:rsidRPr="001013E9" w:rsidRDefault="00B21773" w:rsidP="004C1A4B">
      <w:pPr>
        <w:pStyle w:val="Heading4"/>
        <w:spacing w:before="300"/>
      </w:pPr>
      <w:r>
        <w:t>Induction and continuing education</w:t>
      </w:r>
      <w:r w:rsidR="00D45BD0" w:rsidRPr="001013E9">
        <w:t xml:space="preserve"> – board policy</w:t>
      </w:r>
    </w:p>
    <w:p w:rsidR="00D45BD0" w:rsidRDefault="00BD2940" w:rsidP="00B679BF">
      <w:pPr>
        <w:pStyle w:val="Heading1"/>
        <w:spacing w:after="80"/>
      </w:pPr>
      <w:r>
        <w:t>1.</w:t>
      </w:r>
      <w:r>
        <w:tab/>
      </w:r>
      <w:r w:rsidR="00D45BD0" w:rsidRPr="003F3A22">
        <w:t>S</w:t>
      </w:r>
      <w:r w:rsidR="00D45BD0" w:rsidRPr="00581E15">
        <w:t>cop</w:t>
      </w:r>
      <w:r w:rsidR="00D45BD0" w:rsidRPr="003F3A22">
        <w:t>e</w:t>
      </w:r>
    </w:p>
    <w:p w:rsidR="00265855" w:rsidRDefault="00265855" w:rsidP="00265855">
      <w:r>
        <w:t>This policy sets out</w:t>
      </w:r>
      <w:r w:rsidR="009E3588">
        <w:t xml:space="preserve"> </w:t>
      </w:r>
      <w:r w:rsidR="005D18B4">
        <w:t xml:space="preserve">requirements and procedures for the </w:t>
      </w:r>
      <w:r w:rsidR="00B21773">
        <w:t xml:space="preserve">induction and continuing education </w:t>
      </w:r>
      <w:r w:rsidR="005D18B4">
        <w:t>of board members</w:t>
      </w:r>
      <w:r>
        <w:t xml:space="preserve">.  </w:t>
      </w:r>
    </w:p>
    <w:p w:rsidR="00DB0440" w:rsidRPr="0041194F" w:rsidRDefault="00DB0440" w:rsidP="00FE0D4E">
      <w:pPr>
        <w:pStyle w:val="Heading1"/>
        <w:spacing w:before="140" w:after="80"/>
      </w:pPr>
      <w:r>
        <w:t>2.</w:t>
      </w:r>
      <w:r>
        <w:tab/>
      </w:r>
      <w:r w:rsidRPr="0041194F">
        <w:t>Key p</w:t>
      </w:r>
      <w:r w:rsidRPr="00581E15">
        <w:t>rinci</w:t>
      </w:r>
      <w:r w:rsidRPr="0041194F">
        <w:t>ples</w:t>
      </w:r>
    </w:p>
    <w:p w:rsidR="00DB0440" w:rsidRDefault="00DB0440" w:rsidP="00581E15">
      <w:pPr>
        <w:pStyle w:val="ListBullet"/>
        <w:numPr>
          <w:ilvl w:val="0"/>
          <w:numId w:val="2"/>
        </w:numPr>
        <w:spacing w:after="160"/>
        <w:ind w:left="357" w:hanging="357"/>
      </w:pPr>
      <w:r w:rsidRPr="00A95951">
        <w:rPr>
          <w:b/>
        </w:rPr>
        <w:t>Obligations</w:t>
      </w:r>
      <w:r w:rsidRPr="00091CE3">
        <w:t xml:space="preserve">: the board acts in accordance with its obligations and with good governance practice (see </w:t>
      </w:r>
      <w:r w:rsidRPr="00233A23">
        <w:t xml:space="preserve">item </w:t>
      </w:r>
      <w:r w:rsidR="00233A23">
        <w:t>6</w:t>
      </w:r>
      <w:r w:rsidR="002264A6">
        <w:t>).</w:t>
      </w:r>
    </w:p>
    <w:p w:rsidR="001D55EC" w:rsidRDefault="001D55EC" w:rsidP="00581E15">
      <w:pPr>
        <w:pStyle w:val="ListBullet"/>
        <w:numPr>
          <w:ilvl w:val="0"/>
          <w:numId w:val="2"/>
        </w:numPr>
        <w:spacing w:after="160"/>
        <w:ind w:left="357" w:hanging="357"/>
      </w:pPr>
      <w:r>
        <w:rPr>
          <w:b/>
        </w:rPr>
        <w:t>Board effectiveness</w:t>
      </w:r>
      <w:r w:rsidRPr="00FE0D4E">
        <w:t>:</w:t>
      </w:r>
      <w:r>
        <w:t xml:space="preserve"> </w:t>
      </w:r>
      <w:r w:rsidR="00CC086A">
        <w:t xml:space="preserve">induction is essential for all </w:t>
      </w:r>
      <w:r w:rsidR="004512C0">
        <w:t xml:space="preserve">board members, as is maintaining relevant </w:t>
      </w:r>
      <w:r w:rsidR="00CD7366">
        <w:t>knowledge and skills.</w:t>
      </w:r>
      <w:r w:rsidR="00B921E7">
        <w:t xml:space="preserve"> </w:t>
      </w:r>
      <w:r>
        <w:t xml:space="preserve"> </w:t>
      </w:r>
      <w:r w:rsidR="004512C0">
        <w:t>Both measures will increase the board’s effectiveness.</w:t>
      </w:r>
    </w:p>
    <w:p w:rsidR="00A95951" w:rsidRDefault="00DB0440" w:rsidP="009D326E">
      <w:pPr>
        <w:pStyle w:val="Heading1"/>
        <w:spacing w:before="120" w:after="20"/>
      </w:pPr>
      <w:r>
        <w:t>3</w:t>
      </w:r>
      <w:r w:rsidR="00265855">
        <w:t>.</w:t>
      </w:r>
      <w:r w:rsidR="00265855">
        <w:tab/>
      </w:r>
      <w:r w:rsidR="00A95951" w:rsidRPr="00581E15">
        <w:t>Induction</w:t>
      </w:r>
      <w:r w:rsidR="00251C46" w:rsidRPr="00581E15">
        <w:t xml:space="preserve"> process</w:t>
      </w:r>
    </w:p>
    <w:p w:rsidR="00A95951" w:rsidRPr="00550739" w:rsidRDefault="00917CB5" w:rsidP="00355E4E">
      <w:pPr>
        <w:spacing w:before="80" w:after="120"/>
      </w:pPr>
      <w:r>
        <w:t xml:space="preserve">It is part of the chair’s role to ensure that each board member </w:t>
      </w:r>
      <w:r w:rsidRPr="00550739">
        <w:t>who is appointed or reappointed receives a suitable</w:t>
      </w:r>
      <w:r w:rsidR="00A95951" w:rsidRPr="00550739">
        <w:t xml:space="preserve">: </w:t>
      </w:r>
    </w:p>
    <w:p w:rsidR="0059102C" w:rsidRPr="00581E15" w:rsidRDefault="0059102C" w:rsidP="00581E15">
      <w:pPr>
        <w:pStyle w:val="ListBullet"/>
      </w:pPr>
      <w:r w:rsidRPr="00581E15">
        <w:t>briefing</w:t>
      </w:r>
      <w:r w:rsidR="00917CB5" w:rsidRPr="00581E15">
        <w:t xml:space="preserve"> from the chair</w:t>
      </w:r>
      <w:r w:rsidR="00FD416A" w:rsidRPr="00581E15">
        <w:t xml:space="preserve"> -</w:t>
      </w:r>
      <w:r w:rsidR="004A1C7B" w:rsidRPr="00581E15">
        <w:t xml:space="preserve"> preferably one-on-</w:t>
      </w:r>
      <w:r w:rsidR="009C5963" w:rsidRPr="00581E15">
        <w:t>one</w:t>
      </w:r>
      <w:r w:rsidR="001B7A34" w:rsidRPr="00581E15">
        <w:t xml:space="preserve">; </w:t>
      </w:r>
    </w:p>
    <w:p w:rsidR="00581E15" w:rsidRDefault="004301F6" w:rsidP="00581E15">
      <w:pPr>
        <w:pStyle w:val="ListBullet"/>
      </w:pPr>
      <w:r w:rsidRPr="00581E15">
        <w:t>induction program</w:t>
      </w:r>
      <w:r w:rsidR="00FD416A" w:rsidRPr="00581E15">
        <w:t xml:space="preserve"> </w:t>
      </w:r>
    </w:p>
    <w:p w:rsidR="00581E15" w:rsidRPr="00550739" w:rsidRDefault="00581E15" w:rsidP="004F164F">
      <w:pPr>
        <w:pStyle w:val="ListBullet"/>
        <w:spacing w:after="160"/>
      </w:pPr>
      <w:r>
        <w:t xml:space="preserve">induction </w:t>
      </w:r>
      <w:r w:rsidRPr="00581E15">
        <w:t>kit</w:t>
      </w:r>
      <w:r>
        <w:t>.</w:t>
      </w:r>
    </w:p>
    <w:p w:rsidR="004F164F" w:rsidRDefault="004F164F" w:rsidP="004F164F">
      <w:pPr>
        <w:spacing w:before="80"/>
      </w:pPr>
      <w:r>
        <w:t>New board members should satisfy themselves that the induction they receive is suitable and should not hesitate to request further information or documents.</w:t>
      </w:r>
    </w:p>
    <w:p w:rsidR="00581E15" w:rsidRDefault="00581E15">
      <w:pPr>
        <w:spacing w:after="0" w:line="240" w:lineRule="auto"/>
      </w:pPr>
      <w:r>
        <w:br w:type="page"/>
      </w:r>
    </w:p>
    <w:p w:rsidR="00581E15" w:rsidRDefault="00581E15" w:rsidP="00581E15">
      <w:pPr>
        <w:pStyle w:val="Heading1"/>
      </w:pPr>
      <w:r>
        <w:lastRenderedPageBreak/>
        <w:t>4.</w:t>
      </w:r>
      <w:r>
        <w:tab/>
        <w:t>Minimum contents of induction program and kit</w:t>
      </w:r>
    </w:p>
    <w:p w:rsidR="00581E15" w:rsidRDefault="00581E15" w:rsidP="004F164F">
      <w:r>
        <w:t>The induction program and kit</w:t>
      </w:r>
      <w:r w:rsidR="004F164F">
        <w:t xml:space="preserve"> </w:t>
      </w:r>
      <w:r>
        <w:t xml:space="preserve">are </w:t>
      </w:r>
      <w:r w:rsidRPr="00550739">
        <w:t>arranged by the agency under the direction of the chair</w:t>
      </w:r>
      <w:r>
        <w:t>,</w:t>
      </w:r>
      <w:r w:rsidRPr="00550739">
        <w:t xml:space="preserve"> in </w:t>
      </w:r>
      <w:r>
        <w:t>collaboration</w:t>
      </w:r>
      <w:r w:rsidRPr="00550739">
        <w:t xml:space="preserve"> with the Department of Environment, Land, Water and Planning (DELWP)</w:t>
      </w:r>
      <w:r w:rsidR="00E956EA">
        <w:t>.</w:t>
      </w:r>
    </w:p>
    <w:p w:rsidR="004F164F" w:rsidRDefault="004F164F" w:rsidP="004F164F">
      <w:r>
        <w:t xml:space="preserve">The induction program and kit </w:t>
      </w:r>
      <w:r w:rsidR="00581E15">
        <w:t>should include</w:t>
      </w:r>
      <w:r>
        <w:t>:</w:t>
      </w:r>
      <w:r w:rsidR="00581E15">
        <w:t xml:space="preserve"> </w:t>
      </w:r>
    </w:p>
    <w:p w:rsidR="00581E15" w:rsidRDefault="00581E15" w:rsidP="004F164F">
      <w:pPr>
        <w:pStyle w:val="ListBullet"/>
      </w:pPr>
      <w:r>
        <w:t xml:space="preserve">the information specified in </w:t>
      </w:r>
      <w:r w:rsidRPr="00550739">
        <w:t xml:space="preserve">DELWP’s guidance note on </w:t>
      </w:r>
      <w:hyperlink r:id="rId11" w:history="1">
        <w:r w:rsidRPr="00550739">
          <w:rPr>
            <w:rStyle w:val="Hyperlink"/>
          </w:rPr>
          <w:t>Induction programs and kits – minimum contents</w:t>
        </w:r>
      </w:hyperlink>
      <w:r>
        <w:t>;</w:t>
      </w:r>
      <w:r w:rsidRPr="00581E15">
        <w:rPr>
          <w:rStyle w:val="FootnoteReference"/>
        </w:rPr>
        <w:t xml:space="preserve"> </w:t>
      </w:r>
      <w:r w:rsidRPr="00550739">
        <w:rPr>
          <w:rStyle w:val="FootnoteReference"/>
        </w:rPr>
        <w:footnoteReference w:id="1"/>
      </w:r>
      <w:r>
        <w:t xml:space="preserve"> and</w:t>
      </w:r>
    </w:p>
    <w:p w:rsidR="004F164F" w:rsidRDefault="004F164F" w:rsidP="004F164F">
      <w:pPr>
        <w:pStyle w:val="ListBullet"/>
      </w:pPr>
      <w:r>
        <w:t xml:space="preserve">any other relevant information required to ensure that the induction process for </w:t>
      </w:r>
      <w:r w:rsidR="00B908C2">
        <w:t>the</w:t>
      </w:r>
      <w:r>
        <w:t xml:space="preserve"> incoming board is ‘fit for purpose’</w:t>
      </w:r>
      <w:r w:rsidR="00B908C2">
        <w:t>- i.e. will meet the needs of that particular incoming board at that particular time.</w:t>
      </w:r>
    </w:p>
    <w:p w:rsidR="009D75B1" w:rsidRPr="00550739" w:rsidRDefault="007913E3" w:rsidP="007913E3">
      <w:pPr>
        <w:pStyle w:val="Heading1"/>
      </w:pPr>
      <w:r>
        <w:t>5.</w:t>
      </w:r>
      <w:r>
        <w:tab/>
      </w:r>
      <w:r w:rsidR="009D75B1" w:rsidRPr="00550739">
        <w:t>Chair’s briefing from DELWP</w:t>
      </w:r>
    </w:p>
    <w:p w:rsidR="00E222BC" w:rsidRPr="00550739" w:rsidRDefault="009D75B1" w:rsidP="00F9459F">
      <w:r w:rsidRPr="00550739">
        <w:t>U</w:t>
      </w:r>
      <w:r w:rsidR="0059102C" w:rsidRPr="00550739">
        <w:t xml:space="preserve">pon </w:t>
      </w:r>
      <w:r w:rsidRPr="00550739">
        <w:t xml:space="preserve">his/her </w:t>
      </w:r>
      <w:r w:rsidR="0059102C" w:rsidRPr="00550739">
        <w:t xml:space="preserve">appointment, </w:t>
      </w:r>
      <w:r w:rsidRPr="00550739">
        <w:t xml:space="preserve">the chair will </w:t>
      </w:r>
      <w:r w:rsidR="003209D8" w:rsidRPr="00550739">
        <w:t>request</w:t>
      </w:r>
      <w:r w:rsidR="0059102C" w:rsidRPr="00550739">
        <w:t xml:space="preserve"> </w:t>
      </w:r>
      <w:r w:rsidR="00E222BC" w:rsidRPr="00550739">
        <w:t xml:space="preserve">that arrangements be made </w:t>
      </w:r>
      <w:r w:rsidR="00482633" w:rsidRPr="00550739">
        <w:t>for</w:t>
      </w:r>
      <w:r w:rsidR="00F9459F" w:rsidRPr="00550739">
        <w:t xml:space="preserve"> a</w:t>
      </w:r>
      <w:r w:rsidR="00482633" w:rsidRPr="00550739">
        <w:t xml:space="preserve"> senior executive </w:t>
      </w:r>
      <w:r w:rsidR="00EB11DC" w:rsidRPr="00550739">
        <w:t xml:space="preserve">of DELWP </w:t>
      </w:r>
      <w:r w:rsidR="00482633" w:rsidRPr="00550739">
        <w:t xml:space="preserve">to provide </w:t>
      </w:r>
      <w:r w:rsidR="00E222BC" w:rsidRPr="00550739">
        <w:t xml:space="preserve">him or her with </w:t>
      </w:r>
      <w:r w:rsidR="00482633" w:rsidRPr="00550739">
        <w:t>a chairperson’s induction briefing</w:t>
      </w:r>
      <w:r w:rsidR="00E222BC" w:rsidRPr="00550739">
        <w:t>, including:</w:t>
      </w:r>
    </w:p>
    <w:p w:rsidR="00482633" w:rsidRPr="00550739" w:rsidRDefault="008A570C" w:rsidP="00F9459F">
      <w:pPr>
        <w:pStyle w:val="ListBullet"/>
      </w:pPr>
      <w:r w:rsidRPr="00550739">
        <w:t xml:space="preserve">the department’s </w:t>
      </w:r>
      <w:r w:rsidR="004F1C34" w:rsidRPr="00550739">
        <w:rPr>
          <w:lang w:eastAsia="en-AU"/>
        </w:rPr>
        <w:t xml:space="preserve">understanding of </w:t>
      </w:r>
      <w:r w:rsidRPr="00550739">
        <w:rPr>
          <w:lang w:eastAsia="en-AU"/>
        </w:rPr>
        <w:t>the minister’s</w:t>
      </w:r>
      <w:r w:rsidR="004F1C34" w:rsidRPr="00550739">
        <w:rPr>
          <w:lang w:eastAsia="en-AU"/>
        </w:rPr>
        <w:t xml:space="preserve"> expectations</w:t>
      </w:r>
      <w:r w:rsidRPr="00550739">
        <w:rPr>
          <w:lang w:eastAsia="en-AU"/>
        </w:rPr>
        <w:t xml:space="preserve"> and </w:t>
      </w:r>
      <w:r w:rsidR="004F1C34" w:rsidRPr="00550739">
        <w:rPr>
          <w:lang w:eastAsia="en-AU"/>
        </w:rPr>
        <w:t xml:space="preserve">government priorities for the </w:t>
      </w:r>
      <w:r w:rsidRPr="00550739">
        <w:rPr>
          <w:lang w:eastAsia="en-AU"/>
        </w:rPr>
        <w:t>a</w:t>
      </w:r>
      <w:r w:rsidR="00482633" w:rsidRPr="00550739">
        <w:rPr>
          <w:lang w:eastAsia="en-AU"/>
        </w:rPr>
        <w:t>gency;</w:t>
      </w:r>
    </w:p>
    <w:p w:rsidR="004F1C34" w:rsidRPr="00550739" w:rsidRDefault="004F1C34" w:rsidP="00F9459F">
      <w:pPr>
        <w:pStyle w:val="ListBullet"/>
      </w:pPr>
      <w:r w:rsidRPr="00550739">
        <w:rPr>
          <w:lang w:eastAsia="en-AU"/>
        </w:rPr>
        <w:t xml:space="preserve">key </w:t>
      </w:r>
      <w:r w:rsidR="00F9459F" w:rsidRPr="00550739">
        <w:rPr>
          <w:lang w:eastAsia="en-AU"/>
        </w:rPr>
        <w:t>contacts/</w:t>
      </w:r>
      <w:r w:rsidRPr="00550739">
        <w:rPr>
          <w:lang w:eastAsia="en-AU"/>
        </w:rPr>
        <w:t>stakeholders</w:t>
      </w:r>
      <w:r w:rsidR="00EB11DC" w:rsidRPr="00550739">
        <w:rPr>
          <w:lang w:eastAsia="en-AU"/>
        </w:rPr>
        <w:t xml:space="preserve"> </w:t>
      </w:r>
      <w:r w:rsidR="00F9459F" w:rsidRPr="00550739">
        <w:rPr>
          <w:lang w:eastAsia="en-AU"/>
        </w:rPr>
        <w:t xml:space="preserve">in DELWP </w:t>
      </w:r>
      <w:r w:rsidR="00546849" w:rsidRPr="00550739">
        <w:rPr>
          <w:lang w:eastAsia="en-AU"/>
        </w:rPr>
        <w:t>for</w:t>
      </w:r>
      <w:r w:rsidR="00EB11DC" w:rsidRPr="00550739">
        <w:rPr>
          <w:lang w:eastAsia="en-AU"/>
        </w:rPr>
        <w:t xml:space="preserve"> the agency</w:t>
      </w:r>
      <w:r w:rsidR="00482633" w:rsidRPr="00550739">
        <w:rPr>
          <w:lang w:eastAsia="en-AU"/>
        </w:rPr>
        <w:t>;</w:t>
      </w:r>
      <w:r w:rsidR="00E222BC" w:rsidRPr="00550739">
        <w:rPr>
          <w:lang w:eastAsia="en-AU"/>
        </w:rPr>
        <w:t xml:space="preserve"> and</w:t>
      </w:r>
    </w:p>
    <w:p w:rsidR="00E222BC" w:rsidRPr="00550739" w:rsidRDefault="00F9459F" w:rsidP="00F9459F">
      <w:pPr>
        <w:pStyle w:val="ListBullet"/>
      </w:pPr>
      <w:r w:rsidRPr="00550739">
        <w:t xml:space="preserve">proposed </w:t>
      </w:r>
      <w:r w:rsidR="00546849" w:rsidRPr="00550739">
        <w:t>arrangements for consultation</w:t>
      </w:r>
      <w:r w:rsidR="002F7E85" w:rsidRPr="00550739">
        <w:t xml:space="preserve"> between the agency and DELWP</w:t>
      </w:r>
      <w:r w:rsidR="00546849" w:rsidRPr="00550739">
        <w:t xml:space="preserve"> </w:t>
      </w:r>
      <w:r w:rsidR="002F7E85" w:rsidRPr="00550739">
        <w:t xml:space="preserve">regarding the </w:t>
      </w:r>
      <w:r w:rsidRPr="00550739">
        <w:t xml:space="preserve">board </w:t>
      </w:r>
      <w:r w:rsidR="00791368" w:rsidRPr="00550739">
        <w:t>induction process</w:t>
      </w:r>
      <w:r w:rsidR="002F7E85" w:rsidRPr="00550739">
        <w:t xml:space="preserve"> and proposed </w:t>
      </w:r>
      <w:r w:rsidRPr="00550739">
        <w:t>participation</w:t>
      </w:r>
      <w:r w:rsidR="002F7E85" w:rsidRPr="00550739">
        <w:t xml:space="preserve"> (if any) by DELWP</w:t>
      </w:r>
      <w:r w:rsidR="00791368" w:rsidRPr="00550739">
        <w:t>.</w:t>
      </w:r>
    </w:p>
    <w:p w:rsidR="00F12226" w:rsidRDefault="007913E3" w:rsidP="00F86863">
      <w:pPr>
        <w:pStyle w:val="Heading1"/>
      </w:pPr>
      <w:r>
        <w:t>6</w:t>
      </w:r>
      <w:r w:rsidR="00F86863" w:rsidRPr="00A3042C">
        <w:t>.</w:t>
      </w:r>
      <w:r w:rsidR="00F86863" w:rsidRPr="00A3042C">
        <w:tab/>
      </w:r>
      <w:r w:rsidR="00F12226">
        <w:t>Review of board policies</w:t>
      </w:r>
    </w:p>
    <w:p w:rsidR="00C53F4D" w:rsidRDefault="00F12226" w:rsidP="008148AA">
      <w:pPr>
        <w:spacing w:line="270" w:lineRule="atLeast"/>
      </w:pPr>
      <w:r>
        <w:t xml:space="preserve">Upon appointment, the board </w:t>
      </w:r>
      <w:r w:rsidR="008148AA">
        <w:t>should</w:t>
      </w:r>
      <w:r>
        <w:t xml:space="preserve"> ensure that</w:t>
      </w:r>
      <w:r w:rsidR="00692913">
        <w:t xml:space="preserve"> </w:t>
      </w:r>
      <w:r w:rsidR="00813E0C">
        <w:t xml:space="preserve">suitable board </w:t>
      </w:r>
      <w:r>
        <w:t>policies</w:t>
      </w:r>
      <w:r w:rsidR="00573A5C">
        <w:t xml:space="preserve"> </w:t>
      </w:r>
      <w:r w:rsidR="00813E0C">
        <w:t>are in place</w:t>
      </w:r>
      <w:r w:rsidR="007033A7">
        <w:t xml:space="preserve"> on, a</w:t>
      </w:r>
      <w:r w:rsidR="00692913">
        <w:t>t a minimum</w:t>
      </w:r>
      <w:r w:rsidR="007033A7">
        <w:t>:</w:t>
      </w:r>
      <w:r w:rsidR="0078004D">
        <w:t xml:space="preserve"> </w:t>
      </w:r>
      <w:r w:rsidR="004150C0">
        <w:t>Meetings and d</w:t>
      </w:r>
      <w:r w:rsidR="00B04C3F">
        <w:t>ecisions</w:t>
      </w:r>
      <w:r w:rsidR="004150C0">
        <w:t>; Conflict of i</w:t>
      </w:r>
      <w:r w:rsidR="00B04C3F">
        <w:t>nterest</w:t>
      </w:r>
      <w:r w:rsidR="004150C0">
        <w:t xml:space="preserve">; </w:t>
      </w:r>
      <w:r w:rsidR="00B04C3F">
        <w:t>Gifts, benefits and hospitality</w:t>
      </w:r>
      <w:r w:rsidR="004150C0">
        <w:t xml:space="preserve">; </w:t>
      </w:r>
      <w:r w:rsidR="000B7BD4">
        <w:t xml:space="preserve">Code of conduct; </w:t>
      </w:r>
      <w:r w:rsidR="00B04C3F">
        <w:t>Dispute resolution</w:t>
      </w:r>
      <w:r w:rsidR="004150C0">
        <w:t xml:space="preserve">; and </w:t>
      </w:r>
      <w:r w:rsidR="00C53F4D">
        <w:t>Performance assessment.</w:t>
      </w:r>
      <w:r w:rsidR="004150C0" w:rsidRPr="004150C0">
        <w:rPr>
          <w:rStyle w:val="FootnoteReference"/>
        </w:rPr>
        <w:t xml:space="preserve"> </w:t>
      </w:r>
      <w:r w:rsidR="004150C0">
        <w:rPr>
          <w:rStyle w:val="FootnoteReference"/>
        </w:rPr>
        <w:footnoteReference w:id="2"/>
      </w:r>
      <w:r w:rsidR="007033A7">
        <w:t xml:space="preserve">  The board’s policies </w:t>
      </w:r>
      <w:r w:rsidR="008148AA">
        <w:t>should</w:t>
      </w:r>
      <w:r w:rsidR="007033A7">
        <w:t xml:space="preserve"> be consistent with the model policies issued by DELWP.</w:t>
      </w:r>
      <w:r w:rsidR="007033A7" w:rsidRPr="009E1D83">
        <w:rPr>
          <w:rStyle w:val="FootnoteReference"/>
        </w:rPr>
        <w:t xml:space="preserve"> </w:t>
      </w:r>
      <w:r w:rsidR="007033A7">
        <w:rPr>
          <w:rStyle w:val="FootnoteReference"/>
        </w:rPr>
        <w:footnoteReference w:id="3"/>
      </w:r>
      <w:r w:rsidR="000754DE">
        <w:t xml:space="preserve"> </w:t>
      </w:r>
    </w:p>
    <w:p w:rsidR="006E4C3A" w:rsidRDefault="007913E3" w:rsidP="005C1E27">
      <w:pPr>
        <w:pStyle w:val="Heading1"/>
      </w:pPr>
      <w:r>
        <w:t>7</w:t>
      </w:r>
      <w:r w:rsidR="006E4C3A">
        <w:t>.</w:t>
      </w:r>
      <w:r w:rsidR="006E4C3A">
        <w:tab/>
      </w:r>
      <w:r>
        <w:t>Capacity-building (c</w:t>
      </w:r>
      <w:r w:rsidR="006E4C3A">
        <w:t>ontinuing education</w:t>
      </w:r>
      <w:r>
        <w:t>)</w:t>
      </w:r>
    </w:p>
    <w:p w:rsidR="00737F9B" w:rsidRDefault="00737F9B" w:rsidP="00CE543A">
      <w:r>
        <w:t xml:space="preserve">The board will ensure that it has the collective knowledge and skills to perform its role effectively and that individual board members have the knowledge and skills to make an effective contribution to the board. </w:t>
      </w:r>
    </w:p>
    <w:p w:rsidR="00DA5142" w:rsidRDefault="00DA5142" w:rsidP="00CE543A">
      <w:r>
        <w:t>It is part of the chair’s role to ensure that suitable information and education programs are provided to the board</w:t>
      </w:r>
      <w:r w:rsidR="00353C32">
        <w:t xml:space="preserve"> by the agency</w:t>
      </w:r>
      <w:r>
        <w:t xml:space="preserve">.  This does not abrogate the responsibility of each board member to keep up-to-date with: </w:t>
      </w:r>
    </w:p>
    <w:p w:rsidR="00DA5142" w:rsidRDefault="00F944AB" w:rsidP="00DA5142">
      <w:pPr>
        <w:pStyle w:val="ListBullet"/>
      </w:pPr>
      <w:r>
        <w:t>applicable</w:t>
      </w:r>
      <w:r w:rsidR="00101D0D">
        <w:t xml:space="preserve"> laws, government policies</w:t>
      </w:r>
      <w:r>
        <w:t>,</w:t>
      </w:r>
      <w:r w:rsidR="00101D0D">
        <w:t xml:space="preserve"> and other obligations</w:t>
      </w:r>
      <w:r>
        <w:t xml:space="preserve">; </w:t>
      </w:r>
    </w:p>
    <w:p w:rsidR="00DA5142" w:rsidRDefault="00F944AB" w:rsidP="00DA5142">
      <w:pPr>
        <w:pStyle w:val="ListBullet"/>
      </w:pPr>
      <w:r>
        <w:t>the</w:t>
      </w:r>
      <w:r w:rsidR="0010161C">
        <w:t xml:space="preserve"> </w:t>
      </w:r>
      <w:r w:rsidR="00DA5142">
        <w:t>agency’s operating</w:t>
      </w:r>
      <w:r w:rsidR="008525D0">
        <w:t xml:space="preserve"> </w:t>
      </w:r>
      <w:r w:rsidR="0010161C">
        <w:t xml:space="preserve">environment </w:t>
      </w:r>
      <w:r w:rsidR="008525D0">
        <w:t>and related issues</w:t>
      </w:r>
      <w:r>
        <w:t xml:space="preserve">; </w:t>
      </w:r>
    </w:p>
    <w:p w:rsidR="00DA5142" w:rsidRDefault="00F944AB" w:rsidP="00DA5142">
      <w:pPr>
        <w:pStyle w:val="ListBullet"/>
      </w:pPr>
      <w:r>
        <w:t>public sector governance standards and good practice</w:t>
      </w:r>
      <w:r w:rsidR="0091766C">
        <w:t xml:space="preserve">; </w:t>
      </w:r>
      <w:r w:rsidR="00DA5142">
        <w:t>and</w:t>
      </w:r>
    </w:p>
    <w:p w:rsidR="005C1E27" w:rsidRDefault="0091766C" w:rsidP="00DA5142">
      <w:pPr>
        <w:pStyle w:val="ListBullet"/>
      </w:pPr>
      <w:r>
        <w:t xml:space="preserve">other matters relevant to the effective </w:t>
      </w:r>
      <w:r w:rsidR="009F2AC3">
        <w:t>operation</w:t>
      </w:r>
      <w:r>
        <w:t xml:space="preserve"> of the agency and </w:t>
      </w:r>
      <w:r w:rsidR="008525D0">
        <w:t>functioning of the</w:t>
      </w:r>
      <w:r>
        <w:t xml:space="preserve"> board</w:t>
      </w:r>
      <w:r w:rsidR="00F944AB">
        <w:t>.</w:t>
      </w:r>
    </w:p>
    <w:p w:rsidR="004C12F1" w:rsidRDefault="005C1E27" w:rsidP="00CE543A">
      <w:r>
        <w:t>The result</w:t>
      </w:r>
      <w:r w:rsidR="00A54D5A">
        <w:t>s</w:t>
      </w:r>
      <w:r w:rsidR="003A6167">
        <w:t xml:space="preserve"> of </w:t>
      </w:r>
      <w:r>
        <w:t xml:space="preserve">performance </w:t>
      </w:r>
      <w:r w:rsidR="00A54D5A">
        <w:t>assessment</w:t>
      </w:r>
      <w:r w:rsidR="003A6167">
        <w:t xml:space="preserve"> will be taken into account in developing </w:t>
      </w:r>
      <w:r w:rsidR="00A54D5A">
        <w:t>information</w:t>
      </w:r>
      <w:r w:rsidR="005C0D05">
        <w:t xml:space="preserve"> and </w:t>
      </w:r>
      <w:r w:rsidR="003A6167">
        <w:t>education programs</w:t>
      </w:r>
      <w:r w:rsidR="00133104">
        <w:t xml:space="preserve"> for board members</w:t>
      </w:r>
      <w:r w:rsidR="003A6167">
        <w:t>.</w:t>
      </w:r>
      <w:r w:rsidR="004C12F1">
        <w:t xml:space="preserve"> </w:t>
      </w:r>
    </w:p>
    <w:p w:rsidR="00F86863" w:rsidRPr="00A3042C" w:rsidRDefault="004C1A4B" w:rsidP="00F86863">
      <w:pPr>
        <w:pStyle w:val="Heading1"/>
      </w:pPr>
      <w:r>
        <w:lastRenderedPageBreak/>
        <w:t>8</w:t>
      </w:r>
      <w:r w:rsidR="00F12226">
        <w:t>.</w:t>
      </w:r>
      <w:r w:rsidR="00F12226">
        <w:tab/>
      </w:r>
      <w:r w:rsidR="00F86863" w:rsidRPr="00A3042C">
        <w:t>Obligations and good practice</w:t>
      </w:r>
    </w:p>
    <w:p w:rsidR="00F86863" w:rsidRPr="00A3042C" w:rsidRDefault="00F86863" w:rsidP="00F86863">
      <w:r w:rsidRPr="00A3042C">
        <w:t>The board act</w:t>
      </w:r>
      <w:r w:rsidR="00CC746B">
        <w:t>s</w:t>
      </w:r>
      <w:r w:rsidRPr="00A3042C">
        <w:t xml:space="preserve"> in accordance with its obligations and with good public sector governance practice, including:</w:t>
      </w:r>
    </w:p>
    <w:p w:rsidR="00F25406" w:rsidRPr="005428AC" w:rsidRDefault="00F25406" w:rsidP="00F86863">
      <w:pPr>
        <w:pStyle w:val="ListBullet"/>
        <w:numPr>
          <w:ilvl w:val="0"/>
          <w:numId w:val="25"/>
        </w:numPr>
        <w:tabs>
          <w:tab w:val="left" w:pos="284"/>
          <w:tab w:val="left" w:pos="567"/>
          <w:tab w:val="left" w:pos="851"/>
        </w:tabs>
        <w:spacing w:after="100"/>
      </w:pPr>
      <w:r w:rsidRPr="005428AC">
        <w:t>Premier’s Circular 2015/02 (Good Board Governance)</w:t>
      </w:r>
      <w:r w:rsidR="0032069E">
        <w:t>;</w:t>
      </w:r>
      <w:r w:rsidR="005A2FA8">
        <w:rPr>
          <w:rStyle w:val="FootnoteReference"/>
        </w:rPr>
        <w:footnoteReference w:id="4"/>
      </w:r>
      <w:r w:rsidRPr="005428AC">
        <w:t xml:space="preserve"> </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establishing Act, being </w:t>
      </w:r>
      <w:r w:rsidRPr="00A3042C">
        <w:rPr>
          <w:rStyle w:val="Emphasis-Italics"/>
        </w:rPr>
        <w:t>[insert];</w:t>
      </w:r>
    </w:p>
    <w:p w:rsidR="00F86863" w:rsidRPr="00A3042C" w:rsidRDefault="00F86863" w:rsidP="00F86863">
      <w:pPr>
        <w:pStyle w:val="ListBullet"/>
        <w:numPr>
          <w:ilvl w:val="0"/>
          <w:numId w:val="25"/>
        </w:numPr>
        <w:tabs>
          <w:tab w:val="left" w:pos="284"/>
          <w:tab w:val="left" w:pos="567"/>
          <w:tab w:val="left" w:pos="851"/>
        </w:tabs>
        <w:spacing w:after="100"/>
      </w:pPr>
      <w:r w:rsidRPr="00A3042C">
        <w:t>the public sector values in section 7 of the</w:t>
      </w:r>
      <w:r w:rsidR="00395AE2">
        <w:t xml:space="preserve"> </w:t>
      </w:r>
      <w:r w:rsidR="00F40F82" w:rsidRPr="00F40F82">
        <w:rPr>
          <w:i/>
        </w:rPr>
        <w:t>Public Administration Act 2004</w:t>
      </w:r>
      <w:r w:rsidR="00F40F82">
        <w:t xml:space="preserve"> (PAA)</w:t>
      </w:r>
      <w:r w:rsidRPr="00395AE2">
        <w:t>;</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‘duties of directors’ </w:t>
      </w:r>
      <w:r w:rsidR="00D92B5E">
        <w:t xml:space="preserve">(board members) </w:t>
      </w:r>
      <w:r w:rsidRPr="00A3042C">
        <w:t>in section 79 of the PAA;</w:t>
      </w:r>
    </w:p>
    <w:p w:rsidR="00F86863" w:rsidRPr="00A3042C" w:rsidRDefault="00F86863" w:rsidP="00F86863">
      <w:pPr>
        <w:pStyle w:val="ListBullet"/>
        <w:numPr>
          <w:ilvl w:val="0"/>
          <w:numId w:val="25"/>
        </w:numPr>
        <w:tabs>
          <w:tab w:val="left" w:pos="284"/>
          <w:tab w:val="left" w:pos="567"/>
          <w:tab w:val="left" w:pos="851"/>
        </w:tabs>
        <w:spacing w:after="100"/>
      </w:pPr>
      <w:r w:rsidRPr="00A3042C">
        <w:t>th</w:t>
      </w:r>
      <w:r w:rsidR="00D92B5E">
        <w:t xml:space="preserve">e requirement in section </w:t>
      </w:r>
      <w:r w:rsidR="00233A23" w:rsidRPr="00233A23">
        <w:t>81(1)</w:t>
      </w:r>
      <w:r w:rsidR="001159ED">
        <w:t>(d)</w:t>
      </w:r>
      <w:r w:rsidRPr="00A3042C">
        <w:t xml:space="preserve"> of the PAA that </w:t>
      </w:r>
      <w:r w:rsidR="00F40F82">
        <w:t xml:space="preserve">procedures be in place for dealing with poor performance </w:t>
      </w:r>
      <w:r w:rsidR="00DD3EE7">
        <w:br/>
      </w:r>
      <w:r w:rsidR="00F40F82">
        <w:t>(if any) of board members</w:t>
      </w:r>
      <w:r w:rsidRPr="00A3042C">
        <w:t xml:space="preserve">; </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w:t>
      </w:r>
      <w:hyperlink r:id="rId12" w:history="1">
        <w:r w:rsidRPr="00A3042C">
          <w:rPr>
            <w:rStyle w:val="Hyperlink"/>
          </w:rPr>
          <w:t>Directors’ Code of Conduct</w:t>
        </w:r>
      </w:hyperlink>
      <w:r w:rsidRPr="00A3042C">
        <w:rPr>
          <w:rStyle w:val="Hyperlink"/>
        </w:rPr>
        <w:t xml:space="preserve"> </w:t>
      </w:r>
      <w:r w:rsidRPr="00A3042C">
        <w:t>issued by the Victo</w:t>
      </w:r>
      <w:r w:rsidR="000A1A91">
        <w:t>rian Public Sector Commission (VPSC</w:t>
      </w:r>
      <w:r w:rsidRPr="00A3042C">
        <w:t xml:space="preserve">); </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government policy; </w:t>
      </w:r>
    </w:p>
    <w:p w:rsidR="00F86863" w:rsidRPr="00A3042C" w:rsidRDefault="00F86863" w:rsidP="00F86863">
      <w:pPr>
        <w:pStyle w:val="ListBullet"/>
        <w:numPr>
          <w:ilvl w:val="0"/>
          <w:numId w:val="25"/>
        </w:numPr>
        <w:tabs>
          <w:tab w:val="left" w:pos="284"/>
          <w:tab w:val="left" w:pos="567"/>
          <w:tab w:val="left" w:pos="851"/>
        </w:tabs>
        <w:spacing w:after="100"/>
      </w:pPr>
      <w:r w:rsidRPr="00A3042C">
        <w:t>any directions, guidelines and/or statements of obligation or expectation issued by the Minister; and</w:t>
      </w:r>
    </w:p>
    <w:p w:rsidR="00F86863" w:rsidRPr="00A3042C" w:rsidRDefault="00F86863" w:rsidP="00F86863">
      <w:pPr>
        <w:pStyle w:val="ListBullet"/>
        <w:numPr>
          <w:ilvl w:val="0"/>
          <w:numId w:val="25"/>
        </w:numPr>
        <w:tabs>
          <w:tab w:val="left" w:pos="284"/>
          <w:tab w:val="left" w:pos="567"/>
          <w:tab w:val="left" w:pos="851"/>
        </w:tabs>
        <w:spacing w:after="100"/>
      </w:pPr>
      <w:r w:rsidRPr="00A3042C">
        <w:t>all other laws and obligations that bind the organisation.</w:t>
      </w:r>
    </w:p>
    <w:p w:rsidR="00F86863" w:rsidRPr="00A3042C" w:rsidRDefault="004C1A4B" w:rsidP="00F86863">
      <w:pPr>
        <w:pStyle w:val="Heading1"/>
      </w:pPr>
      <w:r>
        <w:t>9</w:t>
      </w:r>
      <w:r w:rsidR="00F86863" w:rsidRPr="00A3042C">
        <w:t>.</w:t>
      </w:r>
      <w:r w:rsidR="00F86863" w:rsidRPr="00A3042C">
        <w:tab/>
        <w:t>Regular review of this policy</w:t>
      </w:r>
    </w:p>
    <w:p w:rsidR="00F86863" w:rsidRPr="00A3042C" w:rsidRDefault="00F86863" w:rsidP="00F86863">
      <w:r w:rsidRPr="00A3042C">
        <w:t xml:space="preserve">The board will review this policy on an annual basis or more frequently, if required, to keep up-to-date with changes to laws, government policy, etc. This policy was </w:t>
      </w:r>
      <w:r w:rsidRPr="00F86863">
        <w:t>last reviewed on</w:t>
      </w:r>
      <w:r w:rsidRPr="00A3042C">
        <w:t xml:space="preserve"> </w:t>
      </w:r>
      <w:r w:rsidRPr="00A3042C">
        <w:rPr>
          <w:rStyle w:val="Emphasis-Italics"/>
        </w:rPr>
        <w:t>[insert]</w:t>
      </w:r>
      <w:r w:rsidRPr="00A3042C">
        <w:t>.</w:t>
      </w:r>
    </w:p>
    <w:p w:rsidR="00F86863" w:rsidRPr="00A3042C" w:rsidRDefault="004C1A4B" w:rsidP="00F86863">
      <w:pPr>
        <w:pStyle w:val="Heading1"/>
      </w:pPr>
      <w:r>
        <w:t>10</w:t>
      </w:r>
      <w:r w:rsidR="00F86863" w:rsidRPr="00A3042C">
        <w:t>.</w:t>
      </w:r>
      <w:r w:rsidR="00F86863" w:rsidRPr="00A3042C">
        <w:tab/>
        <w:t>Related policies</w:t>
      </w:r>
    </w:p>
    <w:p w:rsidR="00F86863" w:rsidRPr="00A3042C" w:rsidRDefault="009D37B3" w:rsidP="009D37B3">
      <w:pPr>
        <w:pStyle w:val="ListBullet"/>
        <w:keepLines/>
        <w:numPr>
          <w:ilvl w:val="0"/>
          <w:numId w:val="25"/>
        </w:numPr>
        <w:tabs>
          <w:tab w:val="left" w:pos="284"/>
          <w:tab w:val="left" w:pos="567"/>
          <w:tab w:val="left" w:pos="851"/>
        </w:tabs>
        <w:spacing w:before="100" w:after="100" w:line="250" w:lineRule="atLeast"/>
      </w:pPr>
      <w:r>
        <w:t>Performance assessment</w:t>
      </w:r>
      <w:r w:rsidR="00F86863" w:rsidRPr="00A3042C">
        <w:t>.</w:t>
      </w:r>
    </w:p>
    <w:p w:rsidR="00F86863" w:rsidRPr="00A3042C" w:rsidRDefault="004C1A4B" w:rsidP="00F86863">
      <w:pPr>
        <w:pStyle w:val="Heading1"/>
      </w:pPr>
      <w:r>
        <w:t>11</w:t>
      </w:r>
      <w:r w:rsidR="00F86863" w:rsidRPr="00A3042C">
        <w:t>.</w:t>
      </w:r>
      <w:r w:rsidR="00F86863" w:rsidRPr="00A3042C">
        <w:tab/>
        <w:t>Further information</w:t>
      </w:r>
    </w:p>
    <w:p w:rsidR="004C1A4B" w:rsidRDefault="00F86863" w:rsidP="00733E93">
      <w:pPr>
        <w:spacing w:line="250" w:lineRule="atLeast"/>
        <w:rPr>
          <w:noProof/>
          <w:color w:val="228591"/>
          <w:lang w:eastAsia="en-AU"/>
        </w:rPr>
      </w:pPr>
      <w:r w:rsidRPr="00F86863">
        <w:t>On Board</w:t>
      </w:r>
      <w:r w:rsidRPr="00F86863">
        <w:rPr>
          <w:rFonts w:eastAsiaTheme="majorEastAsia"/>
        </w:rPr>
        <w:t xml:space="preserve"> (</w:t>
      </w:r>
      <w:hyperlink r:id="rId13" w:history="1">
        <w:r w:rsidRPr="00A3042C">
          <w:rPr>
            <w:rStyle w:val="Hyperlink"/>
            <w:rFonts w:eastAsiaTheme="majorEastAsia"/>
          </w:rPr>
          <w:t>www.delwp.vic.gov.au/onboard</w:t>
        </w:r>
      </w:hyperlink>
      <w:r w:rsidRPr="00F86863">
        <w:rPr>
          <w:rFonts w:eastAsiaTheme="majorEastAsia"/>
        </w:rPr>
        <w:t>)</w:t>
      </w:r>
      <w:r w:rsidRPr="00F86863">
        <w:t>,</w:t>
      </w:r>
      <w:r w:rsidRPr="00A3042C">
        <w:t xml:space="preserve"> in particular, the</w:t>
      </w:r>
      <w:r w:rsidR="00E07A75">
        <w:t xml:space="preserve"> </w:t>
      </w:r>
      <w:hyperlink r:id="rId14" w:history="1">
        <w:r w:rsidR="00D706BC" w:rsidRPr="007C3336">
          <w:rPr>
            <w:rStyle w:val="Hyperlink"/>
          </w:rPr>
          <w:t>Induction and education</w:t>
        </w:r>
      </w:hyperlink>
      <w:r w:rsidR="00D706BC">
        <w:t xml:space="preserve"> </w:t>
      </w:r>
      <w:r w:rsidRPr="00A3042C">
        <w:t>support module, which has a range of resources, including</w:t>
      </w:r>
      <w:r w:rsidR="00257F0E">
        <w:t xml:space="preserve"> the guidance note on</w:t>
      </w:r>
      <w:r w:rsidRPr="00A3042C">
        <w:t xml:space="preserve"> </w:t>
      </w:r>
      <w:hyperlink r:id="rId15" w:history="1">
        <w:r w:rsidR="00A741BE" w:rsidRPr="00FD416A">
          <w:rPr>
            <w:rStyle w:val="Hyperlink"/>
          </w:rPr>
          <w:t>Induction programs and kits – minimum contents</w:t>
        </w:r>
      </w:hyperlink>
      <w:r w:rsidR="006E044A">
        <w:t xml:space="preserve">, the ‘overview’ series of guidance notes, </w:t>
      </w:r>
      <w:r w:rsidR="00FB7282">
        <w:t>and</w:t>
      </w:r>
      <w:r w:rsidR="00046003">
        <w:t xml:space="preserve"> d</w:t>
      </w:r>
      <w:r w:rsidRPr="00A3042C">
        <w:t xml:space="preserve">irect links to </w:t>
      </w:r>
      <w:r w:rsidR="007D25C9">
        <w:t>Premier’s Circular 2015/02</w:t>
      </w:r>
      <w:r w:rsidR="00FB7282">
        <w:t xml:space="preserve"> and to </w:t>
      </w:r>
      <w:r w:rsidR="00FB7282" w:rsidRPr="00A3042C">
        <w:t>the VPSC website</w:t>
      </w:r>
      <w:r w:rsidR="007D25C9">
        <w:t>.</w:t>
      </w:r>
      <w:r w:rsidR="006E044A" w:rsidRPr="00732FB1">
        <w:rPr>
          <w:noProof/>
          <w:color w:val="228591"/>
          <w:lang w:eastAsia="en-AU"/>
        </w:rPr>
        <w:t xml:space="preserve"> </w:t>
      </w:r>
    </w:p>
    <w:p w:rsidR="004C1A4B" w:rsidRDefault="004C1A4B">
      <w:pPr>
        <w:spacing w:after="0" w:line="240" w:lineRule="auto"/>
        <w:rPr>
          <w:noProof/>
          <w:color w:val="228591"/>
          <w:lang w:eastAsia="en-AU"/>
        </w:rPr>
      </w:pPr>
      <w:r>
        <w:rPr>
          <w:noProof/>
          <w:color w:val="228591"/>
          <w:lang w:eastAsia="en-AU"/>
        </w:rPr>
        <w:br w:type="page"/>
      </w:r>
    </w:p>
    <w:p w:rsidR="00436AED" w:rsidRPr="00D706BC" w:rsidRDefault="00425EA8" w:rsidP="00733E93">
      <w:pPr>
        <w:spacing w:line="250" w:lineRule="atLeast"/>
      </w:pPr>
      <w:r w:rsidRPr="00732FB1">
        <w:rPr>
          <w:noProof/>
          <w:color w:val="228591"/>
          <w:lang w:eastAsia="en-AU"/>
        </w:rPr>
        <mc:AlternateContent>
          <mc:Choice Requires="wpc">
            <w:drawing>
              <wp:anchor distT="0" distB="0" distL="114300" distR="114300" simplePos="0" relativeHeight="251663872" behindDoc="0" locked="1" layoutInCell="1" allowOverlap="1" wp14:anchorId="3330AB80" wp14:editId="6D3023D1">
                <wp:simplePos x="0" y="0"/>
                <wp:positionH relativeFrom="page">
                  <wp:posOffset>493395</wp:posOffset>
                </wp:positionH>
                <wp:positionV relativeFrom="page">
                  <wp:posOffset>8435340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EA8" w:rsidRDefault="00425EA8" w:rsidP="00425EA8">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25EA8" w:rsidRPr="00DC7D61" w:rsidRDefault="00425EA8" w:rsidP="00425EA8">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6"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8"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EA8" w:rsidRPr="0022751F" w:rsidRDefault="00425EA8" w:rsidP="00425EA8">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9" w:history="1">
                                <w:r w:rsidRPr="0022751F">
                                  <w:rPr>
                                    <w:rStyle w:val="Hyperlink"/>
                                    <w:rFonts w:asciiTheme="minorHAnsi" w:hAnsiTheme="minorHAnsi"/>
                                    <w:sz w:val="15"/>
                                    <w:szCs w:val="15"/>
                                  </w:rPr>
                                  <w:t>www.delwp.vic.gov.au/onboard</w:t>
                                </w:r>
                              </w:hyperlink>
                            </w:p>
                            <w:p w:rsidR="00425EA8" w:rsidRPr="0022751F" w:rsidRDefault="00425EA8" w:rsidP="00425EA8">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425EA8" w:rsidRPr="0022751F" w:rsidRDefault="00750F67" w:rsidP="00425EA8">
                              <w:pPr>
                                <w:widowControl w:val="0"/>
                                <w:spacing w:after="100" w:line="200" w:lineRule="atLeast"/>
                                <w:rPr>
                                  <w:rFonts w:asciiTheme="minorHAnsi" w:hAnsiTheme="minorHAnsi"/>
                                  <w:sz w:val="15"/>
                                  <w:szCs w:val="15"/>
                                </w:rPr>
                              </w:pPr>
                              <w:r>
                                <w:rPr>
                                  <w:rFonts w:asciiTheme="minorHAnsi" w:hAnsiTheme="minorHAnsi"/>
                                  <w:sz w:val="15"/>
                                  <w:szCs w:val="15"/>
                                </w:rPr>
                                <w:t>26</w:t>
                              </w:r>
                              <w:r w:rsidR="00425EA8" w:rsidRPr="0022751F">
                                <w:rPr>
                                  <w:rFonts w:asciiTheme="minorHAnsi" w:hAnsiTheme="minorHAnsi"/>
                                  <w:sz w:val="15"/>
                                  <w:szCs w:val="15"/>
                                </w:rPr>
                                <w:t xml:space="preserve"> </w:t>
                              </w:r>
                              <w:r w:rsidR="0033221A">
                                <w:rPr>
                                  <w:rFonts w:asciiTheme="minorHAnsi" w:hAnsiTheme="minorHAnsi"/>
                                  <w:sz w:val="15"/>
                                  <w:szCs w:val="15"/>
                                </w:rPr>
                                <w:t>August</w:t>
                              </w:r>
                              <w:r w:rsidR="00776B5C" w:rsidRPr="0022751F">
                                <w:rPr>
                                  <w:rFonts w:asciiTheme="minorHAnsi" w:hAnsiTheme="minorHAnsi"/>
                                  <w:sz w:val="15"/>
                                  <w:szCs w:val="15"/>
                                </w:rPr>
                                <w:t xml:space="preserve"> </w:t>
                              </w:r>
                              <w:r w:rsidR="0033221A">
                                <w:rPr>
                                  <w:rFonts w:asciiTheme="minorHAnsi" w:hAnsiTheme="minorHAnsi"/>
                                  <w:sz w:val="15"/>
                                  <w:szCs w:val="15"/>
                                </w:rPr>
                                <w:t>2016</w:t>
                              </w:r>
                              <w:r w:rsidR="00425EA8" w:rsidRPr="0022751F">
                                <w:rPr>
                                  <w:rFonts w:asciiTheme="minorHAnsi" w:hAnsiTheme="minorHAnsi"/>
                                  <w:sz w:val="15"/>
                                  <w:szCs w:val="15"/>
                                </w:rPr>
                                <w:t xml:space="preserve"> (</w:t>
                              </w:r>
                              <w:r w:rsidR="0033221A">
                                <w:rPr>
                                  <w:rStyle w:val="Emphasis-Bold"/>
                                  <w:rFonts w:asciiTheme="minorHAnsi" w:hAnsiTheme="minorHAnsi"/>
                                  <w:sz w:val="15"/>
                                  <w:szCs w:val="15"/>
                                </w:rPr>
                                <w:t>version 1.02</w:t>
                              </w:r>
                              <w:r w:rsidR="00425EA8" w:rsidRPr="0022751F">
                                <w:rPr>
                                  <w:rFonts w:asciiTheme="minorHAnsi" w:hAnsiTheme="minorHAnsi"/>
                                  <w:sz w:val="15"/>
                                  <w:szCs w:val="15"/>
                                </w:rPr>
                                <w:t xml:space="preserve">) </w:t>
                              </w:r>
                              <w:r w:rsidR="0033221A">
                                <w:rPr>
                                  <w:rFonts w:asciiTheme="minorHAnsi" w:hAnsiTheme="minorHAnsi"/>
                                  <w:sz w:val="15"/>
                                  <w:szCs w:val="15"/>
                                </w:rPr>
                                <w:t xml:space="preserve">– </w:t>
                              </w:r>
                              <w:r w:rsidR="0033221A" w:rsidRPr="00750F67">
                                <w:rPr>
                                  <w:rFonts w:asciiTheme="minorHAnsi" w:hAnsiTheme="minorHAnsi"/>
                                  <w:sz w:val="15"/>
                                  <w:szCs w:val="15"/>
                                </w:rPr>
                                <w:t>3</w:t>
                              </w:r>
                              <w:r w:rsidR="006B6A8A" w:rsidRPr="00750F67">
                                <w:rPr>
                                  <w:rFonts w:asciiTheme="minorHAnsi" w:hAnsiTheme="minorHAnsi"/>
                                  <w:sz w:val="15"/>
                                  <w:szCs w:val="15"/>
                                </w:rPr>
                                <w:t>.</w:t>
                              </w:r>
                              <w:r w:rsidRPr="00750F67">
                                <w:rPr>
                                  <w:rFonts w:asciiTheme="minorHAnsi" w:hAnsiTheme="minorHAnsi"/>
                                  <w:sz w:val="15"/>
                                  <w:szCs w:val="15"/>
                                </w:rPr>
                                <w:t>0</w:t>
                              </w:r>
                              <w:r w:rsidR="00564EAF">
                                <w:rPr>
                                  <w:rFonts w:asciiTheme="minorHAnsi" w:hAnsiTheme="minorHAnsi"/>
                                  <w:sz w:val="15"/>
                                  <w:szCs w:val="15"/>
                                </w:rPr>
                                <w:t>5</w:t>
                              </w:r>
                            </w:p>
                            <w:p w:rsidR="00425EA8" w:rsidRDefault="00425EA8" w:rsidP="00425EA8">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425EA8" w:rsidRPr="0022751F" w:rsidRDefault="00425EA8" w:rsidP="00425EA8">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425EA8" w:rsidRPr="002072AB" w:rsidRDefault="00425EA8" w:rsidP="00425EA8">
                              <w:pPr>
                                <w:pStyle w:val="Disclaimer"/>
                                <w:rPr>
                                  <w:rFonts w:asciiTheme="minorHAnsi" w:hAnsiTheme="minorHAnsi"/>
                                  <w:szCs w:val="15"/>
                                </w:rPr>
                              </w:pPr>
                              <w:r w:rsidRPr="002072AB">
                                <w:rPr>
                                  <w:noProof/>
                                  <w:szCs w:val="15"/>
                                </w:rPr>
                                <w:drawing>
                                  <wp:inline distT="0" distB="0" distL="0" distR="0" wp14:anchorId="4758D6DC" wp14:editId="3637851F">
                                    <wp:extent cx="297418" cy="104094"/>
                                    <wp:effectExtent l="0" t="0" r="7620" b="0"/>
                                    <wp:docPr id="4" name="Picture 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1"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5EA8" w:rsidRPr="00BA342A" w:rsidRDefault="00425EA8" w:rsidP="00425EA8">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38.85pt;margin-top:664.2pt;width:547.2pt;height:193.35pt;z-index:251663872;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25EA8" w:rsidRDefault="00425EA8" w:rsidP="00425EA8">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25EA8" w:rsidRPr="00DC7D61" w:rsidRDefault="00425EA8" w:rsidP="00425EA8">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2"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3"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4"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25EA8" w:rsidRPr="0022751F" w:rsidRDefault="00425EA8" w:rsidP="00425EA8">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5" w:history="1">
                          <w:r w:rsidRPr="0022751F">
                            <w:rPr>
                              <w:rStyle w:val="Hyperlink"/>
                              <w:rFonts w:asciiTheme="minorHAnsi" w:hAnsiTheme="minorHAnsi"/>
                              <w:sz w:val="15"/>
                              <w:szCs w:val="15"/>
                            </w:rPr>
                            <w:t>www.delwp.vic.gov.au/onboard</w:t>
                          </w:r>
                        </w:hyperlink>
                      </w:p>
                      <w:p w:rsidR="00425EA8" w:rsidRPr="0022751F" w:rsidRDefault="00425EA8" w:rsidP="00425EA8">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425EA8" w:rsidRPr="0022751F" w:rsidRDefault="00750F67" w:rsidP="00425EA8">
                        <w:pPr>
                          <w:widowControl w:val="0"/>
                          <w:spacing w:after="100" w:line="200" w:lineRule="atLeast"/>
                          <w:rPr>
                            <w:rFonts w:asciiTheme="minorHAnsi" w:hAnsiTheme="minorHAnsi"/>
                            <w:sz w:val="15"/>
                            <w:szCs w:val="15"/>
                          </w:rPr>
                        </w:pPr>
                        <w:r>
                          <w:rPr>
                            <w:rFonts w:asciiTheme="minorHAnsi" w:hAnsiTheme="minorHAnsi"/>
                            <w:sz w:val="15"/>
                            <w:szCs w:val="15"/>
                          </w:rPr>
                          <w:t>26</w:t>
                        </w:r>
                        <w:r w:rsidR="00425EA8" w:rsidRPr="0022751F">
                          <w:rPr>
                            <w:rFonts w:asciiTheme="minorHAnsi" w:hAnsiTheme="minorHAnsi"/>
                            <w:sz w:val="15"/>
                            <w:szCs w:val="15"/>
                          </w:rPr>
                          <w:t xml:space="preserve"> </w:t>
                        </w:r>
                        <w:r w:rsidR="0033221A">
                          <w:rPr>
                            <w:rFonts w:asciiTheme="minorHAnsi" w:hAnsiTheme="minorHAnsi"/>
                            <w:sz w:val="15"/>
                            <w:szCs w:val="15"/>
                          </w:rPr>
                          <w:t>August</w:t>
                        </w:r>
                        <w:r w:rsidR="00776B5C" w:rsidRPr="0022751F">
                          <w:rPr>
                            <w:rFonts w:asciiTheme="minorHAnsi" w:hAnsiTheme="minorHAnsi"/>
                            <w:sz w:val="15"/>
                            <w:szCs w:val="15"/>
                          </w:rPr>
                          <w:t xml:space="preserve"> </w:t>
                        </w:r>
                        <w:r w:rsidR="0033221A">
                          <w:rPr>
                            <w:rFonts w:asciiTheme="minorHAnsi" w:hAnsiTheme="minorHAnsi"/>
                            <w:sz w:val="15"/>
                            <w:szCs w:val="15"/>
                          </w:rPr>
                          <w:t>2016</w:t>
                        </w:r>
                        <w:r w:rsidR="00425EA8" w:rsidRPr="0022751F">
                          <w:rPr>
                            <w:rFonts w:asciiTheme="minorHAnsi" w:hAnsiTheme="minorHAnsi"/>
                            <w:sz w:val="15"/>
                            <w:szCs w:val="15"/>
                          </w:rPr>
                          <w:t xml:space="preserve"> (</w:t>
                        </w:r>
                        <w:r w:rsidR="0033221A">
                          <w:rPr>
                            <w:rStyle w:val="Emphasis-Bold"/>
                            <w:rFonts w:asciiTheme="minorHAnsi" w:hAnsiTheme="minorHAnsi"/>
                            <w:sz w:val="15"/>
                            <w:szCs w:val="15"/>
                          </w:rPr>
                          <w:t>version 1.02</w:t>
                        </w:r>
                        <w:r w:rsidR="00425EA8" w:rsidRPr="0022751F">
                          <w:rPr>
                            <w:rFonts w:asciiTheme="minorHAnsi" w:hAnsiTheme="minorHAnsi"/>
                            <w:sz w:val="15"/>
                            <w:szCs w:val="15"/>
                          </w:rPr>
                          <w:t xml:space="preserve">) </w:t>
                        </w:r>
                        <w:r w:rsidR="0033221A">
                          <w:rPr>
                            <w:rFonts w:asciiTheme="minorHAnsi" w:hAnsiTheme="minorHAnsi"/>
                            <w:sz w:val="15"/>
                            <w:szCs w:val="15"/>
                          </w:rPr>
                          <w:t xml:space="preserve">– </w:t>
                        </w:r>
                        <w:r w:rsidR="0033221A" w:rsidRPr="00750F67">
                          <w:rPr>
                            <w:rFonts w:asciiTheme="minorHAnsi" w:hAnsiTheme="minorHAnsi"/>
                            <w:sz w:val="15"/>
                            <w:szCs w:val="15"/>
                          </w:rPr>
                          <w:t>3</w:t>
                        </w:r>
                        <w:r w:rsidR="006B6A8A" w:rsidRPr="00750F67">
                          <w:rPr>
                            <w:rFonts w:asciiTheme="minorHAnsi" w:hAnsiTheme="minorHAnsi"/>
                            <w:sz w:val="15"/>
                            <w:szCs w:val="15"/>
                          </w:rPr>
                          <w:t>.</w:t>
                        </w:r>
                        <w:r w:rsidRPr="00750F67">
                          <w:rPr>
                            <w:rFonts w:asciiTheme="minorHAnsi" w:hAnsiTheme="minorHAnsi"/>
                            <w:sz w:val="15"/>
                            <w:szCs w:val="15"/>
                          </w:rPr>
                          <w:t>0</w:t>
                        </w:r>
                        <w:r w:rsidR="00564EAF">
                          <w:rPr>
                            <w:rFonts w:asciiTheme="minorHAnsi" w:hAnsiTheme="minorHAnsi"/>
                            <w:sz w:val="15"/>
                            <w:szCs w:val="15"/>
                          </w:rPr>
                          <w:t>5</w:t>
                        </w:r>
                        <w:bookmarkStart w:id="1" w:name="_GoBack"/>
                        <w:bookmarkEnd w:id="1"/>
                      </w:p>
                      <w:p w:rsidR="00425EA8" w:rsidRDefault="00425EA8" w:rsidP="00425EA8">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425EA8" w:rsidRPr="0022751F" w:rsidRDefault="00425EA8" w:rsidP="00425EA8">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425EA8" w:rsidRPr="002072AB" w:rsidRDefault="00425EA8" w:rsidP="00425EA8">
                        <w:pPr>
                          <w:pStyle w:val="Disclaimer"/>
                          <w:rPr>
                            <w:rFonts w:asciiTheme="minorHAnsi" w:hAnsiTheme="minorHAnsi"/>
                            <w:szCs w:val="15"/>
                          </w:rPr>
                        </w:pPr>
                        <w:r w:rsidRPr="002072AB">
                          <w:rPr>
                            <w:noProof/>
                            <w:szCs w:val="15"/>
                          </w:rPr>
                          <w:drawing>
                            <wp:inline distT="0" distB="0" distL="0" distR="0" wp14:anchorId="4758D6DC" wp14:editId="3637851F">
                              <wp:extent cx="297418" cy="104094"/>
                              <wp:effectExtent l="0" t="0" r="7620" b="0"/>
                              <wp:docPr id="4" name="Picture 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7"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425EA8" w:rsidRPr="00BA342A" w:rsidRDefault="00425EA8" w:rsidP="00425EA8">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436AED" w:rsidRPr="00D706BC" w:rsidSect="00497310">
      <w:headerReference w:type="default" r:id="rId28"/>
      <w:footerReference w:type="default" r:id="rId29"/>
      <w:headerReference w:type="first" r:id="rId30"/>
      <w:footerReference w:type="first" r:id="rId31"/>
      <w:pgSz w:w="11907" w:h="16840" w:code="9"/>
      <w:pgMar w:top="2268" w:right="567" w:bottom="851" w:left="1134" w:header="284"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1042F1" w:rsidP="000F55F1">
    <w:pPr>
      <w:pStyle w:val="ImprintText"/>
      <w:spacing w:before="300" w:after="0"/>
    </w:pPr>
    <w:r>
      <w:rPr>
        <w:noProof/>
        <w:lang w:eastAsia="en-AU"/>
      </w:rPr>
      <w:drawing>
        <wp:anchor distT="0" distB="0" distL="114300" distR="114300" simplePos="0" relativeHeight="251665408" behindDoc="0" locked="0" layoutInCell="1" allowOverlap="1" wp14:anchorId="522D9141" wp14:editId="392A522A">
          <wp:simplePos x="0" y="0"/>
          <wp:positionH relativeFrom="column">
            <wp:posOffset>5326256</wp:posOffset>
          </wp:positionH>
          <wp:positionV relativeFrom="paragraph">
            <wp:posOffset>133366</wp:posOffset>
          </wp:positionV>
          <wp:extent cx="1160584" cy="336572"/>
          <wp:effectExtent l="0" t="0" r="190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7A0F40">
          <w:rPr>
            <w:noProof/>
            <w:szCs w:val="16"/>
          </w:rPr>
          <w:t>4</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7A0F40">
          <w:rPr>
            <w:noProof/>
            <w:szCs w:val="16"/>
          </w:rPr>
          <w:t>4</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1042F1"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4E1DF661" wp14:editId="6E81CC50">
          <wp:simplePos x="0" y="0"/>
          <wp:positionH relativeFrom="column">
            <wp:posOffset>5130313</wp:posOffset>
          </wp:positionH>
          <wp:positionV relativeFrom="paragraph">
            <wp:posOffset>195852</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7A0F40">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7A0F40">
          <w:rPr>
            <w:noProof/>
            <w:szCs w:val="16"/>
          </w:rPr>
          <w:t>4</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581E15" w:rsidRDefault="00581E15" w:rsidP="007913E3">
      <w:pPr>
        <w:pStyle w:val="FootnoteText"/>
        <w:spacing w:after="60" w:line="240" w:lineRule="auto"/>
      </w:pPr>
      <w:r>
        <w:rPr>
          <w:rStyle w:val="FootnoteReference"/>
        </w:rPr>
        <w:footnoteRef/>
      </w:r>
      <w:r>
        <w:t xml:space="preserve"> </w:t>
      </w:r>
      <w:r>
        <w:tab/>
        <w:t xml:space="preserve">The ‘minimum contents’ specified in the guidance note are based on binding induction requirements in </w:t>
      </w:r>
      <w:r w:rsidRPr="003E44D3">
        <w:rPr>
          <w:i/>
        </w:rPr>
        <w:t>Premier’s Circular 2015/02</w:t>
      </w:r>
      <w:r>
        <w:rPr>
          <w:i/>
        </w:rPr>
        <w:t xml:space="preserve"> (Good Board Governance), </w:t>
      </w:r>
      <w:r>
        <w:t>which was</w:t>
      </w:r>
      <w:r>
        <w:rPr>
          <w:i/>
        </w:rPr>
        <w:t xml:space="preserve"> </w:t>
      </w:r>
      <w:r>
        <w:t xml:space="preserve"> signed by the Premier of Victoria on 19 October 2015 and</w:t>
      </w:r>
      <w:r w:rsidRPr="004635A1">
        <w:t xml:space="preserve"> </w:t>
      </w:r>
      <w:r>
        <w:t xml:space="preserve">‘outlines the minimum standards of good governance that all Victorian Government Boards [i.e. all governing bodies] are expected to meet’.  The guidance note is available from the </w:t>
      </w:r>
      <w:hyperlink r:id="rId1" w:history="1">
        <w:r>
          <w:rPr>
            <w:rStyle w:val="Hyperlink"/>
          </w:rPr>
          <w:t>I</w:t>
        </w:r>
        <w:r w:rsidRPr="00A512BB">
          <w:rPr>
            <w:rStyle w:val="Hyperlink"/>
          </w:rPr>
          <w:t>nduction and education</w:t>
        </w:r>
      </w:hyperlink>
      <w:r>
        <w:t xml:space="preserve"> support module on DELWP’s governance website, On Board (</w:t>
      </w:r>
      <w:hyperlink r:id="rId2" w:history="1">
        <w:r w:rsidRPr="00F854E3">
          <w:rPr>
            <w:rStyle w:val="Hyperlink"/>
          </w:rPr>
          <w:t>www.delwp.vic.gov.au/onboard</w:t>
        </w:r>
      </w:hyperlink>
      <w:r>
        <w:t>).</w:t>
      </w:r>
    </w:p>
  </w:footnote>
  <w:footnote w:id="2">
    <w:p w:rsidR="004150C0" w:rsidRDefault="004150C0" w:rsidP="005D2408">
      <w:pPr>
        <w:pStyle w:val="FootnoteText"/>
        <w:spacing w:after="0"/>
      </w:pPr>
      <w:r>
        <w:rPr>
          <w:rStyle w:val="FootnoteReference"/>
        </w:rPr>
        <w:footnoteRef/>
      </w:r>
      <w:r>
        <w:t xml:space="preserve"> </w:t>
      </w:r>
      <w:r>
        <w:tab/>
        <w:t xml:space="preserve">Consistent with the requirements in section 81 of the </w:t>
      </w:r>
      <w:r w:rsidRPr="000D550F">
        <w:rPr>
          <w:i/>
        </w:rPr>
        <w:t>Public Administration Act 2004</w:t>
      </w:r>
      <w:r>
        <w:t>.</w:t>
      </w:r>
    </w:p>
  </w:footnote>
  <w:footnote w:id="3">
    <w:p w:rsidR="007033A7" w:rsidRDefault="007033A7" w:rsidP="007033A7">
      <w:pPr>
        <w:pStyle w:val="FootnoteText"/>
        <w:spacing w:before="40"/>
      </w:pPr>
      <w:r>
        <w:rPr>
          <w:rStyle w:val="FootnoteReference"/>
        </w:rPr>
        <w:footnoteRef/>
      </w:r>
      <w:r>
        <w:t xml:space="preserve"> </w:t>
      </w:r>
      <w:r>
        <w:tab/>
        <w:t>Available from DELWP’s governance website, On Board (</w:t>
      </w:r>
      <w:hyperlink r:id="rId3" w:history="1">
        <w:r w:rsidRPr="00F20CC1">
          <w:rPr>
            <w:rStyle w:val="Hyperlink"/>
          </w:rPr>
          <w:t>www.delwp.vic.gov.au/onboard</w:t>
        </w:r>
      </w:hyperlink>
      <w:r>
        <w:t>) or the DELWP relationship manager.</w:t>
      </w:r>
    </w:p>
  </w:footnote>
  <w:footnote w:id="4">
    <w:p w:rsidR="005A2FA8" w:rsidRDefault="005A2FA8">
      <w:pPr>
        <w:pStyle w:val="FootnoteText"/>
      </w:pPr>
      <w:r>
        <w:rPr>
          <w:rStyle w:val="FootnoteReference"/>
        </w:rPr>
        <w:footnoteRef/>
      </w:r>
      <w:r>
        <w:t xml:space="preserve"> </w:t>
      </w:r>
      <w:r>
        <w:tab/>
        <w:t>Available from the Department of Premier and Cabinet</w:t>
      </w:r>
      <w:r w:rsidR="005B4D0E">
        <w:t>’s</w:t>
      </w:r>
      <w:r>
        <w:t xml:space="preserve"> </w:t>
      </w:r>
      <w:hyperlink r:id="rId4" w:history="1">
        <w:r w:rsidRPr="005A2FA8">
          <w:rPr>
            <w:rStyle w:val="Hyperlink"/>
          </w:rPr>
          <w:t>website</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4309AF37" wp14:editId="6593ADBD">
                <wp:simplePos x="0" y="0"/>
                <wp:positionH relativeFrom="column">
                  <wp:posOffset>-382270</wp:posOffset>
                </wp:positionH>
                <wp:positionV relativeFrom="paragraph">
                  <wp:posOffset>151130</wp:posOffset>
                </wp:positionV>
                <wp:extent cx="6868160" cy="815340"/>
                <wp:effectExtent l="0" t="0" r="8890" b="3810"/>
                <wp:wrapNone/>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CF36E4" w:rsidP="007D06DC">
          <w:pPr>
            <w:pStyle w:val="CertHDWhite"/>
            <w:tabs>
              <w:tab w:val="left" w:pos="3544"/>
              <w:tab w:val="left" w:pos="7513"/>
            </w:tabs>
            <w:rPr>
              <w:sz w:val="28"/>
              <w:szCs w:val="28"/>
            </w:rPr>
          </w:pPr>
          <w:r>
            <w:rPr>
              <w:sz w:val="28"/>
              <w:szCs w:val="28"/>
            </w:rPr>
            <w:t>Induction and education</w:t>
          </w:r>
          <w:r w:rsidR="000C753A">
            <w:rPr>
              <w:sz w:val="28"/>
              <w:szCs w:val="28"/>
            </w:rPr>
            <w:t xml:space="preserve"> – (1) Model policy </w:t>
          </w:r>
          <w:r w:rsidR="00B47165" w:rsidRPr="001A3C24">
            <w:rPr>
              <w:sz w:val="28"/>
              <w:szCs w:val="28"/>
            </w:rPr>
            <w:t>for boards of major DELWP agencies</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5339D99C" wp14:editId="6D5E119B">
          <wp:simplePos x="0" y="0"/>
          <wp:positionH relativeFrom="column">
            <wp:posOffset>-325755</wp:posOffset>
          </wp:positionH>
          <wp:positionV relativeFrom="paragraph">
            <wp:posOffset>227281</wp:posOffset>
          </wp:positionV>
          <wp:extent cx="6829865" cy="2293034"/>
          <wp:effectExtent l="0" t="0" r="9525" b="0"/>
          <wp:wrapNone/>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E2F73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CFE87B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060A066"/>
    <w:lvl w:ilvl="0">
      <w:numFmt w:val="bullet"/>
      <w:lvlText w:val="*"/>
      <w:lvlJc w:val="left"/>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6650497B"/>
    <w:multiLevelType w:val="hybridMultilevel"/>
    <w:tmpl w:val="84B80F8C"/>
    <w:lvl w:ilvl="0" w:tplc="C7E2E402">
      <w:start w:val="1"/>
      <w:numFmt w:val="bullet"/>
      <w:pStyle w:val="FootnoteBullet"/>
      <w:lvlText w:val=""/>
      <w:lvlJc w:val="left"/>
      <w:pPr>
        <w:ind w:left="530" w:hanging="360"/>
      </w:pPr>
      <w:rPr>
        <w:rFonts w:ascii="Symbol" w:hAnsi="Symbol"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BC0F79"/>
    <w:multiLevelType w:val="hybridMultilevel"/>
    <w:tmpl w:val="F770129E"/>
    <w:lvl w:ilvl="0" w:tplc="42DA0A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4"/>
  </w:num>
  <w:num w:numId="14">
    <w:abstractNumId w:val="17"/>
  </w:num>
  <w:num w:numId="15">
    <w:abstractNumId w:val="23"/>
  </w:num>
  <w:num w:numId="16">
    <w:abstractNumId w:val="12"/>
  </w:num>
  <w:num w:numId="17">
    <w:abstractNumId w:val="23"/>
  </w:num>
  <w:num w:numId="18">
    <w:abstractNumId w:val="23"/>
  </w:num>
  <w:num w:numId="19">
    <w:abstractNumId w:val="23"/>
  </w:num>
  <w:num w:numId="20">
    <w:abstractNumId w:val="11"/>
  </w:num>
  <w:num w:numId="21">
    <w:abstractNumId w:val="14"/>
  </w:num>
  <w:num w:numId="22">
    <w:abstractNumId w:val="18"/>
  </w:num>
  <w:num w:numId="23">
    <w:abstractNumId w:val="20"/>
  </w:num>
  <w:num w:numId="24">
    <w:abstractNumId w:val="13"/>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3"/>
  </w:num>
  <w:num w:numId="37">
    <w:abstractNumId w:val="11"/>
  </w:num>
  <w:num w:numId="38">
    <w:abstractNumId w:val="22"/>
  </w:num>
  <w:num w:numId="39">
    <w:abstractNumId w:val="21"/>
  </w:num>
  <w:num w:numId="40">
    <w:abstractNumId w:val="1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3B8A"/>
    <w:rsid w:val="00003F0A"/>
    <w:rsid w:val="00012793"/>
    <w:rsid w:val="00013D7A"/>
    <w:rsid w:val="00015167"/>
    <w:rsid w:val="00015CFE"/>
    <w:rsid w:val="00023243"/>
    <w:rsid w:val="00024592"/>
    <w:rsid w:val="0003050C"/>
    <w:rsid w:val="00030A21"/>
    <w:rsid w:val="00031FA3"/>
    <w:rsid w:val="00033F75"/>
    <w:rsid w:val="00034A8C"/>
    <w:rsid w:val="00034D96"/>
    <w:rsid w:val="0003535F"/>
    <w:rsid w:val="00046003"/>
    <w:rsid w:val="000473F1"/>
    <w:rsid w:val="0005215B"/>
    <w:rsid w:val="00055FEF"/>
    <w:rsid w:val="00056393"/>
    <w:rsid w:val="000608A2"/>
    <w:rsid w:val="00062DAF"/>
    <w:rsid w:val="000638CC"/>
    <w:rsid w:val="00063E31"/>
    <w:rsid w:val="0006426C"/>
    <w:rsid w:val="000645D2"/>
    <w:rsid w:val="00065CAC"/>
    <w:rsid w:val="00075307"/>
    <w:rsid w:val="000754DE"/>
    <w:rsid w:val="00077758"/>
    <w:rsid w:val="00084C46"/>
    <w:rsid w:val="0008754B"/>
    <w:rsid w:val="00087D9A"/>
    <w:rsid w:val="00087F40"/>
    <w:rsid w:val="00091CE3"/>
    <w:rsid w:val="00094BC1"/>
    <w:rsid w:val="0009699E"/>
    <w:rsid w:val="000A00B0"/>
    <w:rsid w:val="000A1A91"/>
    <w:rsid w:val="000A32F8"/>
    <w:rsid w:val="000A372F"/>
    <w:rsid w:val="000A4775"/>
    <w:rsid w:val="000B5903"/>
    <w:rsid w:val="000B65E4"/>
    <w:rsid w:val="000B793C"/>
    <w:rsid w:val="000B7BD4"/>
    <w:rsid w:val="000C062D"/>
    <w:rsid w:val="000C1E27"/>
    <w:rsid w:val="000C283B"/>
    <w:rsid w:val="000C3259"/>
    <w:rsid w:val="000C39E4"/>
    <w:rsid w:val="000C753A"/>
    <w:rsid w:val="000D26E5"/>
    <w:rsid w:val="000D4CD6"/>
    <w:rsid w:val="000D54BA"/>
    <w:rsid w:val="000D550F"/>
    <w:rsid w:val="000D5971"/>
    <w:rsid w:val="000D7DBA"/>
    <w:rsid w:val="000E37C5"/>
    <w:rsid w:val="000E585A"/>
    <w:rsid w:val="000E58B1"/>
    <w:rsid w:val="000E7036"/>
    <w:rsid w:val="000F1B8D"/>
    <w:rsid w:val="000F4FC6"/>
    <w:rsid w:val="000F55F1"/>
    <w:rsid w:val="001013E9"/>
    <w:rsid w:val="0010161C"/>
    <w:rsid w:val="00101D0D"/>
    <w:rsid w:val="001031B0"/>
    <w:rsid w:val="001042F1"/>
    <w:rsid w:val="00104BD6"/>
    <w:rsid w:val="00111811"/>
    <w:rsid w:val="00113F41"/>
    <w:rsid w:val="00114000"/>
    <w:rsid w:val="001159ED"/>
    <w:rsid w:val="00120C40"/>
    <w:rsid w:val="00120F3F"/>
    <w:rsid w:val="00122496"/>
    <w:rsid w:val="00125376"/>
    <w:rsid w:val="0012599E"/>
    <w:rsid w:val="0013143C"/>
    <w:rsid w:val="00133104"/>
    <w:rsid w:val="001346AD"/>
    <w:rsid w:val="00134BF6"/>
    <w:rsid w:val="00135491"/>
    <w:rsid w:val="00135E62"/>
    <w:rsid w:val="0014585D"/>
    <w:rsid w:val="00154577"/>
    <w:rsid w:val="001576EE"/>
    <w:rsid w:val="001635B1"/>
    <w:rsid w:val="0017095A"/>
    <w:rsid w:val="00172CCC"/>
    <w:rsid w:val="001746A2"/>
    <w:rsid w:val="00176FCE"/>
    <w:rsid w:val="00177115"/>
    <w:rsid w:val="00181FBC"/>
    <w:rsid w:val="001838B8"/>
    <w:rsid w:val="001855F2"/>
    <w:rsid w:val="00185FED"/>
    <w:rsid w:val="00190F35"/>
    <w:rsid w:val="001912D9"/>
    <w:rsid w:val="00191F44"/>
    <w:rsid w:val="0019294F"/>
    <w:rsid w:val="001956AE"/>
    <w:rsid w:val="001959D6"/>
    <w:rsid w:val="001A092D"/>
    <w:rsid w:val="001A243B"/>
    <w:rsid w:val="001A3C24"/>
    <w:rsid w:val="001A4A93"/>
    <w:rsid w:val="001A70BE"/>
    <w:rsid w:val="001B0A93"/>
    <w:rsid w:val="001B11D5"/>
    <w:rsid w:val="001B2943"/>
    <w:rsid w:val="001B64A3"/>
    <w:rsid w:val="001B7A34"/>
    <w:rsid w:val="001C14C3"/>
    <w:rsid w:val="001C2A0E"/>
    <w:rsid w:val="001C3014"/>
    <w:rsid w:val="001C3CA8"/>
    <w:rsid w:val="001C3D80"/>
    <w:rsid w:val="001D027A"/>
    <w:rsid w:val="001D55EC"/>
    <w:rsid w:val="001E1ADF"/>
    <w:rsid w:val="001E2024"/>
    <w:rsid w:val="001E39BA"/>
    <w:rsid w:val="001E46F0"/>
    <w:rsid w:val="001E50EB"/>
    <w:rsid w:val="001E564D"/>
    <w:rsid w:val="001E7EB5"/>
    <w:rsid w:val="001F256D"/>
    <w:rsid w:val="001F40CB"/>
    <w:rsid w:val="002015AD"/>
    <w:rsid w:val="0020255B"/>
    <w:rsid w:val="002042DE"/>
    <w:rsid w:val="002076C7"/>
    <w:rsid w:val="002122D2"/>
    <w:rsid w:val="0021537E"/>
    <w:rsid w:val="00217D52"/>
    <w:rsid w:val="00220813"/>
    <w:rsid w:val="00220902"/>
    <w:rsid w:val="00222D49"/>
    <w:rsid w:val="002264A6"/>
    <w:rsid w:val="0022751F"/>
    <w:rsid w:val="00233A23"/>
    <w:rsid w:val="00235214"/>
    <w:rsid w:val="00236DA4"/>
    <w:rsid w:val="0024281C"/>
    <w:rsid w:val="00246D68"/>
    <w:rsid w:val="0024722C"/>
    <w:rsid w:val="00251C46"/>
    <w:rsid w:val="002526EA"/>
    <w:rsid w:val="00252909"/>
    <w:rsid w:val="00255A77"/>
    <w:rsid w:val="00255F32"/>
    <w:rsid w:val="00257F0E"/>
    <w:rsid w:val="00261DCB"/>
    <w:rsid w:val="00265855"/>
    <w:rsid w:val="00270CDD"/>
    <w:rsid w:val="00271B91"/>
    <w:rsid w:val="00274794"/>
    <w:rsid w:val="00284F7F"/>
    <w:rsid w:val="00285925"/>
    <w:rsid w:val="00285C12"/>
    <w:rsid w:val="00297AF0"/>
    <w:rsid w:val="002C12AF"/>
    <w:rsid w:val="002C2189"/>
    <w:rsid w:val="002C3D74"/>
    <w:rsid w:val="002C4BC3"/>
    <w:rsid w:val="002C5BA2"/>
    <w:rsid w:val="002C7CD9"/>
    <w:rsid w:val="002D2478"/>
    <w:rsid w:val="002D3813"/>
    <w:rsid w:val="002D3CC8"/>
    <w:rsid w:val="002D680B"/>
    <w:rsid w:val="002D7E3C"/>
    <w:rsid w:val="002E2EC1"/>
    <w:rsid w:val="002E77DF"/>
    <w:rsid w:val="002F077F"/>
    <w:rsid w:val="002F7E85"/>
    <w:rsid w:val="00300332"/>
    <w:rsid w:val="003011AF"/>
    <w:rsid w:val="003018FA"/>
    <w:rsid w:val="003132BA"/>
    <w:rsid w:val="00317DB4"/>
    <w:rsid w:val="0032069E"/>
    <w:rsid w:val="003209D8"/>
    <w:rsid w:val="00321F9E"/>
    <w:rsid w:val="003254E3"/>
    <w:rsid w:val="00327CF0"/>
    <w:rsid w:val="00330679"/>
    <w:rsid w:val="00330D84"/>
    <w:rsid w:val="00331707"/>
    <w:rsid w:val="0033221A"/>
    <w:rsid w:val="0033360E"/>
    <w:rsid w:val="00340B78"/>
    <w:rsid w:val="0034391E"/>
    <w:rsid w:val="00345CC7"/>
    <w:rsid w:val="00347CFF"/>
    <w:rsid w:val="00350C01"/>
    <w:rsid w:val="00353C32"/>
    <w:rsid w:val="00353D2D"/>
    <w:rsid w:val="00355DC2"/>
    <w:rsid w:val="00355E4E"/>
    <w:rsid w:val="0036130E"/>
    <w:rsid w:val="00361402"/>
    <w:rsid w:val="00366D46"/>
    <w:rsid w:val="00373281"/>
    <w:rsid w:val="00381F50"/>
    <w:rsid w:val="00385DE1"/>
    <w:rsid w:val="0038737E"/>
    <w:rsid w:val="00391F4E"/>
    <w:rsid w:val="00391FEF"/>
    <w:rsid w:val="0039559A"/>
    <w:rsid w:val="00395AE2"/>
    <w:rsid w:val="0039763B"/>
    <w:rsid w:val="003A21AE"/>
    <w:rsid w:val="003A2A4F"/>
    <w:rsid w:val="003A38C0"/>
    <w:rsid w:val="003A5FCB"/>
    <w:rsid w:val="003A6167"/>
    <w:rsid w:val="003B43DE"/>
    <w:rsid w:val="003B64B4"/>
    <w:rsid w:val="003C0A48"/>
    <w:rsid w:val="003C0AE2"/>
    <w:rsid w:val="003C2962"/>
    <w:rsid w:val="003C64BD"/>
    <w:rsid w:val="003D5762"/>
    <w:rsid w:val="003D780C"/>
    <w:rsid w:val="003E0B9A"/>
    <w:rsid w:val="003E1B30"/>
    <w:rsid w:val="003E36DD"/>
    <w:rsid w:val="003E44D3"/>
    <w:rsid w:val="003F1932"/>
    <w:rsid w:val="003F1F07"/>
    <w:rsid w:val="003F2BEA"/>
    <w:rsid w:val="003F3A22"/>
    <w:rsid w:val="003F437F"/>
    <w:rsid w:val="003F519F"/>
    <w:rsid w:val="003F5A5C"/>
    <w:rsid w:val="004018D3"/>
    <w:rsid w:val="00401B22"/>
    <w:rsid w:val="0040478E"/>
    <w:rsid w:val="00404EF3"/>
    <w:rsid w:val="00405E81"/>
    <w:rsid w:val="00406463"/>
    <w:rsid w:val="00406D2E"/>
    <w:rsid w:val="00412B75"/>
    <w:rsid w:val="004150C0"/>
    <w:rsid w:val="004168CB"/>
    <w:rsid w:val="004172DA"/>
    <w:rsid w:val="00423027"/>
    <w:rsid w:val="0042328B"/>
    <w:rsid w:val="00425A27"/>
    <w:rsid w:val="00425EA8"/>
    <w:rsid w:val="00426499"/>
    <w:rsid w:val="004301F6"/>
    <w:rsid w:val="0043327C"/>
    <w:rsid w:val="0043348E"/>
    <w:rsid w:val="00436AED"/>
    <w:rsid w:val="00440C6F"/>
    <w:rsid w:val="004426E1"/>
    <w:rsid w:val="00444889"/>
    <w:rsid w:val="004469C1"/>
    <w:rsid w:val="004512C0"/>
    <w:rsid w:val="00455AC0"/>
    <w:rsid w:val="00455EFA"/>
    <w:rsid w:val="004635A1"/>
    <w:rsid w:val="00464027"/>
    <w:rsid w:val="00465789"/>
    <w:rsid w:val="00466E4F"/>
    <w:rsid w:val="004752E5"/>
    <w:rsid w:val="0047538B"/>
    <w:rsid w:val="00476210"/>
    <w:rsid w:val="0047767A"/>
    <w:rsid w:val="00480F89"/>
    <w:rsid w:val="00482508"/>
    <w:rsid w:val="00482633"/>
    <w:rsid w:val="004859FB"/>
    <w:rsid w:val="00487611"/>
    <w:rsid w:val="004969C1"/>
    <w:rsid w:val="00497310"/>
    <w:rsid w:val="004A1C7B"/>
    <w:rsid w:val="004A4200"/>
    <w:rsid w:val="004A5281"/>
    <w:rsid w:val="004A55E2"/>
    <w:rsid w:val="004A6470"/>
    <w:rsid w:val="004B45A9"/>
    <w:rsid w:val="004C0A81"/>
    <w:rsid w:val="004C12F1"/>
    <w:rsid w:val="004C1A4B"/>
    <w:rsid w:val="004C2272"/>
    <w:rsid w:val="004C3870"/>
    <w:rsid w:val="004C4737"/>
    <w:rsid w:val="004C64D6"/>
    <w:rsid w:val="004C78F3"/>
    <w:rsid w:val="004D2E8D"/>
    <w:rsid w:val="004D4855"/>
    <w:rsid w:val="004D570A"/>
    <w:rsid w:val="004D7AD8"/>
    <w:rsid w:val="004E0DA3"/>
    <w:rsid w:val="004E4BDF"/>
    <w:rsid w:val="004E5815"/>
    <w:rsid w:val="004E6888"/>
    <w:rsid w:val="004E6D65"/>
    <w:rsid w:val="004F0BEF"/>
    <w:rsid w:val="004F164F"/>
    <w:rsid w:val="004F1C34"/>
    <w:rsid w:val="004F79F8"/>
    <w:rsid w:val="0050064E"/>
    <w:rsid w:val="00500777"/>
    <w:rsid w:val="005056F5"/>
    <w:rsid w:val="0050769F"/>
    <w:rsid w:val="00510469"/>
    <w:rsid w:val="00510A2E"/>
    <w:rsid w:val="00512102"/>
    <w:rsid w:val="00512191"/>
    <w:rsid w:val="00512D4E"/>
    <w:rsid w:val="00513DDB"/>
    <w:rsid w:val="00514555"/>
    <w:rsid w:val="00514718"/>
    <w:rsid w:val="005229C6"/>
    <w:rsid w:val="00524C52"/>
    <w:rsid w:val="005275D9"/>
    <w:rsid w:val="00527BB9"/>
    <w:rsid w:val="00527CEA"/>
    <w:rsid w:val="005304F7"/>
    <w:rsid w:val="00530F34"/>
    <w:rsid w:val="00533181"/>
    <w:rsid w:val="00534B38"/>
    <w:rsid w:val="00536DE3"/>
    <w:rsid w:val="0053774A"/>
    <w:rsid w:val="00540762"/>
    <w:rsid w:val="00540998"/>
    <w:rsid w:val="005428AC"/>
    <w:rsid w:val="00544B68"/>
    <w:rsid w:val="00546849"/>
    <w:rsid w:val="00550739"/>
    <w:rsid w:val="005537D2"/>
    <w:rsid w:val="00557B17"/>
    <w:rsid w:val="0056076E"/>
    <w:rsid w:val="00564EAF"/>
    <w:rsid w:val="00565531"/>
    <w:rsid w:val="0056719A"/>
    <w:rsid w:val="00571F90"/>
    <w:rsid w:val="00572399"/>
    <w:rsid w:val="0057281A"/>
    <w:rsid w:val="00573554"/>
    <w:rsid w:val="00573A5C"/>
    <w:rsid w:val="00573CD7"/>
    <w:rsid w:val="00573E23"/>
    <w:rsid w:val="00575F3A"/>
    <w:rsid w:val="00580EFA"/>
    <w:rsid w:val="00581E15"/>
    <w:rsid w:val="00582724"/>
    <w:rsid w:val="00582896"/>
    <w:rsid w:val="00583F6C"/>
    <w:rsid w:val="005855A5"/>
    <w:rsid w:val="0058566F"/>
    <w:rsid w:val="0059102C"/>
    <w:rsid w:val="005931F6"/>
    <w:rsid w:val="005953A1"/>
    <w:rsid w:val="005A2FA8"/>
    <w:rsid w:val="005A3ACB"/>
    <w:rsid w:val="005A4EE7"/>
    <w:rsid w:val="005B3CE8"/>
    <w:rsid w:val="005B4A26"/>
    <w:rsid w:val="005B4AEF"/>
    <w:rsid w:val="005B4D0E"/>
    <w:rsid w:val="005B55D4"/>
    <w:rsid w:val="005B5D1E"/>
    <w:rsid w:val="005B6E3D"/>
    <w:rsid w:val="005C0840"/>
    <w:rsid w:val="005C0D05"/>
    <w:rsid w:val="005C13F5"/>
    <w:rsid w:val="005C1E27"/>
    <w:rsid w:val="005C70F5"/>
    <w:rsid w:val="005C7645"/>
    <w:rsid w:val="005D18B4"/>
    <w:rsid w:val="005D2408"/>
    <w:rsid w:val="005E3C89"/>
    <w:rsid w:val="005F2A6D"/>
    <w:rsid w:val="005F2C9F"/>
    <w:rsid w:val="005F47D3"/>
    <w:rsid w:val="005F6A1D"/>
    <w:rsid w:val="00602D4A"/>
    <w:rsid w:val="00603134"/>
    <w:rsid w:val="00606451"/>
    <w:rsid w:val="0061040F"/>
    <w:rsid w:val="00612352"/>
    <w:rsid w:val="00612BE5"/>
    <w:rsid w:val="006146B6"/>
    <w:rsid w:val="006154E1"/>
    <w:rsid w:val="00620C7A"/>
    <w:rsid w:val="00621B48"/>
    <w:rsid w:val="00621E9B"/>
    <w:rsid w:val="006230CF"/>
    <w:rsid w:val="00623482"/>
    <w:rsid w:val="0062669A"/>
    <w:rsid w:val="00632914"/>
    <w:rsid w:val="0063635A"/>
    <w:rsid w:val="00642735"/>
    <w:rsid w:val="006430DB"/>
    <w:rsid w:val="00645D03"/>
    <w:rsid w:val="00651A92"/>
    <w:rsid w:val="0065542D"/>
    <w:rsid w:val="006554A4"/>
    <w:rsid w:val="00656186"/>
    <w:rsid w:val="00657002"/>
    <w:rsid w:val="00657072"/>
    <w:rsid w:val="006643F2"/>
    <w:rsid w:val="00665993"/>
    <w:rsid w:val="006670F9"/>
    <w:rsid w:val="00667E70"/>
    <w:rsid w:val="006741C5"/>
    <w:rsid w:val="00675636"/>
    <w:rsid w:val="006767CB"/>
    <w:rsid w:val="006800DF"/>
    <w:rsid w:val="006804E6"/>
    <w:rsid w:val="0069035B"/>
    <w:rsid w:val="00692913"/>
    <w:rsid w:val="00693DE7"/>
    <w:rsid w:val="00694B7C"/>
    <w:rsid w:val="0069559B"/>
    <w:rsid w:val="00696573"/>
    <w:rsid w:val="006A2476"/>
    <w:rsid w:val="006A322A"/>
    <w:rsid w:val="006A6890"/>
    <w:rsid w:val="006A731C"/>
    <w:rsid w:val="006B3449"/>
    <w:rsid w:val="006B4688"/>
    <w:rsid w:val="006B6A8A"/>
    <w:rsid w:val="006B769C"/>
    <w:rsid w:val="006B7E20"/>
    <w:rsid w:val="006C1719"/>
    <w:rsid w:val="006C254A"/>
    <w:rsid w:val="006C2E7A"/>
    <w:rsid w:val="006D2D9C"/>
    <w:rsid w:val="006E044A"/>
    <w:rsid w:val="006E48AC"/>
    <w:rsid w:val="006E4C3A"/>
    <w:rsid w:val="006E72C6"/>
    <w:rsid w:val="006F2E89"/>
    <w:rsid w:val="006F53DB"/>
    <w:rsid w:val="006F60D9"/>
    <w:rsid w:val="006F707D"/>
    <w:rsid w:val="006F7A86"/>
    <w:rsid w:val="007028EC"/>
    <w:rsid w:val="007033A7"/>
    <w:rsid w:val="0070362A"/>
    <w:rsid w:val="00705440"/>
    <w:rsid w:val="007065B0"/>
    <w:rsid w:val="007078B0"/>
    <w:rsid w:val="00712DA7"/>
    <w:rsid w:val="007131A0"/>
    <w:rsid w:val="00715A65"/>
    <w:rsid w:val="007174AE"/>
    <w:rsid w:val="00724E28"/>
    <w:rsid w:val="00724FDB"/>
    <w:rsid w:val="00725C38"/>
    <w:rsid w:val="00730132"/>
    <w:rsid w:val="00731631"/>
    <w:rsid w:val="00732FB1"/>
    <w:rsid w:val="00733305"/>
    <w:rsid w:val="007337BB"/>
    <w:rsid w:val="0073394F"/>
    <w:rsid w:val="00733E93"/>
    <w:rsid w:val="00736595"/>
    <w:rsid w:val="00737F9B"/>
    <w:rsid w:val="00743BEF"/>
    <w:rsid w:val="007503F7"/>
    <w:rsid w:val="00750F67"/>
    <w:rsid w:val="00752E36"/>
    <w:rsid w:val="0075546A"/>
    <w:rsid w:val="00756A07"/>
    <w:rsid w:val="0076153E"/>
    <w:rsid w:val="00762889"/>
    <w:rsid w:val="00762E7F"/>
    <w:rsid w:val="00763884"/>
    <w:rsid w:val="007702BD"/>
    <w:rsid w:val="007730A8"/>
    <w:rsid w:val="00776B5C"/>
    <w:rsid w:val="00777619"/>
    <w:rsid w:val="0078004D"/>
    <w:rsid w:val="00781A00"/>
    <w:rsid w:val="00783053"/>
    <w:rsid w:val="00783144"/>
    <w:rsid w:val="007838E0"/>
    <w:rsid w:val="00784599"/>
    <w:rsid w:val="00791368"/>
    <w:rsid w:val="007913E3"/>
    <w:rsid w:val="007948EF"/>
    <w:rsid w:val="00794D2E"/>
    <w:rsid w:val="00795E26"/>
    <w:rsid w:val="007A0889"/>
    <w:rsid w:val="007A0F40"/>
    <w:rsid w:val="007A5D48"/>
    <w:rsid w:val="007A6125"/>
    <w:rsid w:val="007B0E45"/>
    <w:rsid w:val="007B10CA"/>
    <w:rsid w:val="007B1397"/>
    <w:rsid w:val="007B1469"/>
    <w:rsid w:val="007B37CB"/>
    <w:rsid w:val="007B5DF5"/>
    <w:rsid w:val="007B62F8"/>
    <w:rsid w:val="007B6E26"/>
    <w:rsid w:val="007C279A"/>
    <w:rsid w:val="007C3336"/>
    <w:rsid w:val="007C50C6"/>
    <w:rsid w:val="007C57C6"/>
    <w:rsid w:val="007D06DC"/>
    <w:rsid w:val="007D25C9"/>
    <w:rsid w:val="007D5D30"/>
    <w:rsid w:val="007E3E33"/>
    <w:rsid w:val="007E514A"/>
    <w:rsid w:val="007E6690"/>
    <w:rsid w:val="007F2140"/>
    <w:rsid w:val="007F5211"/>
    <w:rsid w:val="007F7FA5"/>
    <w:rsid w:val="00802259"/>
    <w:rsid w:val="008110B2"/>
    <w:rsid w:val="00813E0C"/>
    <w:rsid w:val="00813E43"/>
    <w:rsid w:val="008148AA"/>
    <w:rsid w:val="00815894"/>
    <w:rsid w:val="00822F94"/>
    <w:rsid w:val="00826EBF"/>
    <w:rsid w:val="00827C74"/>
    <w:rsid w:val="00832A40"/>
    <w:rsid w:val="00834943"/>
    <w:rsid w:val="0083541B"/>
    <w:rsid w:val="00837DBF"/>
    <w:rsid w:val="008401F9"/>
    <w:rsid w:val="00842DCD"/>
    <w:rsid w:val="00844D8A"/>
    <w:rsid w:val="008525D0"/>
    <w:rsid w:val="00855F41"/>
    <w:rsid w:val="0086572A"/>
    <w:rsid w:val="00865A63"/>
    <w:rsid w:val="008700D2"/>
    <w:rsid w:val="008729BB"/>
    <w:rsid w:val="00872BAF"/>
    <w:rsid w:val="008732EE"/>
    <w:rsid w:val="00873BA5"/>
    <w:rsid w:val="00877E89"/>
    <w:rsid w:val="008832F9"/>
    <w:rsid w:val="00887805"/>
    <w:rsid w:val="00892C61"/>
    <w:rsid w:val="008979EB"/>
    <w:rsid w:val="008A02D6"/>
    <w:rsid w:val="008A0BBA"/>
    <w:rsid w:val="008A34B4"/>
    <w:rsid w:val="008A3B87"/>
    <w:rsid w:val="008A4020"/>
    <w:rsid w:val="008A570C"/>
    <w:rsid w:val="008A6BBA"/>
    <w:rsid w:val="008A71BA"/>
    <w:rsid w:val="008B15FC"/>
    <w:rsid w:val="008B4260"/>
    <w:rsid w:val="008B44DB"/>
    <w:rsid w:val="008B61B5"/>
    <w:rsid w:val="008B6C2F"/>
    <w:rsid w:val="008C1B1D"/>
    <w:rsid w:val="008C5DCC"/>
    <w:rsid w:val="008C7D7E"/>
    <w:rsid w:val="008D1E0D"/>
    <w:rsid w:val="008D386C"/>
    <w:rsid w:val="008D4C60"/>
    <w:rsid w:val="008E0324"/>
    <w:rsid w:val="008E19A0"/>
    <w:rsid w:val="008E39E1"/>
    <w:rsid w:val="008E4A6B"/>
    <w:rsid w:val="008E4BB6"/>
    <w:rsid w:val="008E66DF"/>
    <w:rsid w:val="008F4932"/>
    <w:rsid w:val="00904BAB"/>
    <w:rsid w:val="009077A0"/>
    <w:rsid w:val="0091106D"/>
    <w:rsid w:val="00914BE8"/>
    <w:rsid w:val="00915D5A"/>
    <w:rsid w:val="00916685"/>
    <w:rsid w:val="0091766C"/>
    <w:rsid w:val="00917CB5"/>
    <w:rsid w:val="00920D57"/>
    <w:rsid w:val="009242B8"/>
    <w:rsid w:val="00924566"/>
    <w:rsid w:val="0092521F"/>
    <w:rsid w:val="009255AB"/>
    <w:rsid w:val="00926BDE"/>
    <w:rsid w:val="00927CC0"/>
    <w:rsid w:val="00927E6A"/>
    <w:rsid w:val="009316CE"/>
    <w:rsid w:val="00934F0B"/>
    <w:rsid w:val="00936BF0"/>
    <w:rsid w:val="00936DC6"/>
    <w:rsid w:val="00942CDF"/>
    <w:rsid w:val="0094539A"/>
    <w:rsid w:val="00945A38"/>
    <w:rsid w:val="00945AD3"/>
    <w:rsid w:val="00951002"/>
    <w:rsid w:val="009523BC"/>
    <w:rsid w:val="00953344"/>
    <w:rsid w:val="009537CD"/>
    <w:rsid w:val="00957DF8"/>
    <w:rsid w:val="00960CF0"/>
    <w:rsid w:val="00961989"/>
    <w:rsid w:val="00962D3B"/>
    <w:rsid w:val="0096491E"/>
    <w:rsid w:val="00972191"/>
    <w:rsid w:val="00973D0B"/>
    <w:rsid w:val="00974044"/>
    <w:rsid w:val="00976941"/>
    <w:rsid w:val="00976C10"/>
    <w:rsid w:val="00977A72"/>
    <w:rsid w:val="00981EA2"/>
    <w:rsid w:val="0098260B"/>
    <w:rsid w:val="009872FB"/>
    <w:rsid w:val="00990FC8"/>
    <w:rsid w:val="00992718"/>
    <w:rsid w:val="009A3F4B"/>
    <w:rsid w:val="009A4C27"/>
    <w:rsid w:val="009A69A3"/>
    <w:rsid w:val="009B459F"/>
    <w:rsid w:val="009B5364"/>
    <w:rsid w:val="009C15D9"/>
    <w:rsid w:val="009C3B5A"/>
    <w:rsid w:val="009C5963"/>
    <w:rsid w:val="009C7EBB"/>
    <w:rsid w:val="009D326E"/>
    <w:rsid w:val="009D37B3"/>
    <w:rsid w:val="009D3934"/>
    <w:rsid w:val="009D3ABA"/>
    <w:rsid w:val="009D54D7"/>
    <w:rsid w:val="009D629C"/>
    <w:rsid w:val="009D689D"/>
    <w:rsid w:val="009D72DE"/>
    <w:rsid w:val="009D75B1"/>
    <w:rsid w:val="009E0EA2"/>
    <w:rsid w:val="009E1B2F"/>
    <w:rsid w:val="009E1D83"/>
    <w:rsid w:val="009E3588"/>
    <w:rsid w:val="009E4DB3"/>
    <w:rsid w:val="009E666D"/>
    <w:rsid w:val="009E66AE"/>
    <w:rsid w:val="009F24F8"/>
    <w:rsid w:val="009F2AC3"/>
    <w:rsid w:val="009F2D92"/>
    <w:rsid w:val="00A0021E"/>
    <w:rsid w:val="00A00934"/>
    <w:rsid w:val="00A00CAA"/>
    <w:rsid w:val="00A03F08"/>
    <w:rsid w:val="00A04614"/>
    <w:rsid w:val="00A049D6"/>
    <w:rsid w:val="00A056DB"/>
    <w:rsid w:val="00A06141"/>
    <w:rsid w:val="00A06CF6"/>
    <w:rsid w:val="00A115C9"/>
    <w:rsid w:val="00A11FE6"/>
    <w:rsid w:val="00A20D39"/>
    <w:rsid w:val="00A23AD4"/>
    <w:rsid w:val="00A33035"/>
    <w:rsid w:val="00A357C2"/>
    <w:rsid w:val="00A36BC9"/>
    <w:rsid w:val="00A37BFA"/>
    <w:rsid w:val="00A40E99"/>
    <w:rsid w:val="00A436E6"/>
    <w:rsid w:val="00A4442E"/>
    <w:rsid w:val="00A500BE"/>
    <w:rsid w:val="00A50650"/>
    <w:rsid w:val="00A512BB"/>
    <w:rsid w:val="00A519EA"/>
    <w:rsid w:val="00A54D5A"/>
    <w:rsid w:val="00A55B8A"/>
    <w:rsid w:val="00A56C4D"/>
    <w:rsid w:val="00A61E04"/>
    <w:rsid w:val="00A63F8B"/>
    <w:rsid w:val="00A6450E"/>
    <w:rsid w:val="00A6672D"/>
    <w:rsid w:val="00A66B72"/>
    <w:rsid w:val="00A67D11"/>
    <w:rsid w:val="00A72F1D"/>
    <w:rsid w:val="00A730A4"/>
    <w:rsid w:val="00A741BE"/>
    <w:rsid w:val="00A80E1B"/>
    <w:rsid w:val="00A8290B"/>
    <w:rsid w:val="00A83A7C"/>
    <w:rsid w:val="00A85593"/>
    <w:rsid w:val="00A86E72"/>
    <w:rsid w:val="00A91ECD"/>
    <w:rsid w:val="00A95951"/>
    <w:rsid w:val="00AA13BD"/>
    <w:rsid w:val="00AA1A18"/>
    <w:rsid w:val="00AA2317"/>
    <w:rsid w:val="00AA29FB"/>
    <w:rsid w:val="00AA6401"/>
    <w:rsid w:val="00AB0FA3"/>
    <w:rsid w:val="00AB1938"/>
    <w:rsid w:val="00AB36A8"/>
    <w:rsid w:val="00AB3E07"/>
    <w:rsid w:val="00AB446A"/>
    <w:rsid w:val="00AB4CE1"/>
    <w:rsid w:val="00AB5A95"/>
    <w:rsid w:val="00AB6453"/>
    <w:rsid w:val="00AC0691"/>
    <w:rsid w:val="00AC0A89"/>
    <w:rsid w:val="00AC0ECF"/>
    <w:rsid w:val="00AC2CDF"/>
    <w:rsid w:val="00AC372B"/>
    <w:rsid w:val="00AC6310"/>
    <w:rsid w:val="00AC7A19"/>
    <w:rsid w:val="00AD316E"/>
    <w:rsid w:val="00AE7772"/>
    <w:rsid w:val="00AF4DB4"/>
    <w:rsid w:val="00AF5303"/>
    <w:rsid w:val="00AF7D3C"/>
    <w:rsid w:val="00B026ED"/>
    <w:rsid w:val="00B04C3F"/>
    <w:rsid w:val="00B068DA"/>
    <w:rsid w:val="00B077CF"/>
    <w:rsid w:val="00B1116C"/>
    <w:rsid w:val="00B137B4"/>
    <w:rsid w:val="00B15D0D"/>
    <w:rsid w:val="00B21773"/>
    <w:rsid w:val="00B24A07"/>
    <w:rsid w:val="00B25869"/>
    <w:rsid w:val="00B262B2"/>
    <w:rsid w:val="00B271F8"/>
    <w:rsid w:val="00B41E37"/>
    <w:rsid w:val="00B456CA"/>
    <w:rsid w:val="00B47165"/>
    <w:rsid w:val="00B475BF"/>
    <w:rsid w:val="00B518B3"/>
    <w:rsid w:val="00B55514"/>
    <w:rsid w:val="00B57F5A"/>
    <w:rsid w:val="00B60419"/>
    <w:rsid w:val="00B63961"/>
    <w:rsid w:val="00B6455E"/>
    <w:rsid w:val="00B64FF3"/>
    <w:rsid w:val="00B65C5D"/>
    <w:rsid w:val="00B67001"/>
    <w:rsid w:val="00B679BF"/>
    <w:rsid w:val="00B742B1"/>
    <w:rsid w:val="00B752DA"/>
    <w:rsid w:val="00B7762B"/>
    <w:rsid w:val="00B8046E"/>
    <w:rsid w:val="00B86303"/>
    <w:rsid w:val="00B86D5B"/>
    <w:rsid w:val="00B87A98"/>
    <w:rsid w:val="00B908C2"/>
    <w:rsid w:val="00B91478"/>
    <w:rsid w:val="00B92092"/>
    <w:rsid w:val="00B921E7"/>
    <w:rsid w:val="00B928AF"/>
    <w:rsid w:val="00B95745"/>
    <w:rsid w:val="00B95881"/>
    <w:rsid w:val="00B96C55"/>
    <w:rsid w:val="00BA342A"/>
    <w:rsid w:val="00BA5D84"/>
    <w:rsid w:val="00BB37E4"/>
    <w:rsid w:val="00BB571F"/>
    <w:rsid w:val="00BC019D"/>
    <w:rsid w:val="00BC59F4"/>
    <w:rsid w:val="00BD2940"/>
    <w:rsid w:val="00BD457E"/>
    <w:rsid w:val="00BD4BBA"/>
    <w:rsid w:val="00BD4BC3"/>
    <w:rsid w:val="00BD5A18"/>
    <w:rsid w:val="00BE0BD9"/>
    <w:rsid w:val="00BE2A2F"/>
    <w:rsid w:val="00BE3BD3"/>
    <w:rsid w:val="00BF0552"/>
    <w:rsid w:val="00BF1504"/>
    <w:rsid w:val="00BF28EE"/>
    <w:rsid w:val="00BF3B61"/>
    <w:rsid w:val="00BF62F9"/>
    <w:rsid w:val="00BF6F9A"/>
    <w:rsid w:val="00BF7948"/>
    <w:rsid w:val="00BF7FFC"/>
    <w:rsid w:val="00C061DD"/>
    <w:rsid w:val="00C06C69"/>
    <w:rsid w:val="00C10466"/>
    <w:rsid w:val="00C107E0"/>
    <w:rsid w:val="00C12A10"/>
    <w:rsid w:val="00C158A3"/>
    <w:rsid w:val="00C20463"/>
    <w:rsid w:val="00C211FF"/>
    <w:rsid w:val="00C33F2A"/>
    <w:rsid w:val="00C36059"/>
    <w:rsid w:val="00C37A46"/>
    <w:rsid w:val="00C403BA"/>
    <w:rsid w:val="00C42F01"/>
    <w:rsid w:val="00C46B5E"/>
    <w:rsid w:val="00C53F4D"/>
    <w:rsid w:val="00C577A4"/>
    <w:rsid w:val="00C608B7"/>
    <w:rsid w:val="00C624E2"/>
    <w:rsid w:val="00C651CE"/>
    <w:rsid w:val="00C65268"/>
    <w:rsid w:val="00C70594"/>
    <w:rsid w:val="00C7182C"/>
    <w:rsid w:val="00C71C37"/>
    <w:rsid w:val="00C73267"/>
    <w:rsid w:val="00C772CA"/>
    <w:rsid w:val="00C86652"/>
    <w:rsid w:val="00C86B17"/>
    <w:rsid w:val="00C87658"/>
    <w:rsid w:val="00CA083C"/>
    <w:rsid w:val="00CA19B7"/>
    <w:rsid w:val="00CA48E0"/>
    <w:rsid w:val="00CA6A57"/>
    <w:rsid w:val="00CB0139"/>
    <w:rsid w:val="00CB2CD3"/>
    <w:rsid w:val="00CB6FB3"/>
    <w:rsid w:val="00CC086A"/>
    <w:rsid w:val="00CC2C26"/>
    <w:rsid w:val="00CC3A27"/>
    <w:rsid w:val="00CC746B"/>
    <w:rsid w:val="00CD0C9F"/>
    <w:rsid w:val="00CD26E4"/>
    <w:rsid w:val="00CD7366"/>
    <w:rsid w:val="00CD784C"/>
    <w:rsid w:val="00CE10A1"/>
    <w:rsid w:val="00CE2CF3"/>
    <w:rsid w:val="00CE543A"/>
    <w:rsid w:val="00CF36E4"/>
    <w:rsid w:val="00CF41F7"/>
    <w:rsid w:val="00CF5E50"/>
    <w:rsid w:val="00CF7435"/>
    <w:rsid w:val="00CF7E03"/>
    <w:rsid w:val="00D031F0"/>
    <w:rsid w:val="00D033C6"/>
    <w:rsid w:val="00D053C5"/>
    <w:rsid w:val="00D06E67"/>
    <w:rsid w:val="00D114E4"/>
    <w:rsid w:val="00D11924"/>
    <w:rsid w:val="00D1216A"/>
    <w:rsid w:val="00D13102"/>
    <w:rsid w:val="00D14D1B"/>
    <w:rsid w:val="00D157AD"/>
    <w:rsid w:val="00D22404"/>
    <w:rsid w:val="00D25166"/>
    <w:rsid w:val="00D2558F"/>
    <w:rsid w:val="00D26966"/>
    <w:rsid w:val="00D32969"/>
    <w:rsid w:val="00D334C7"/>
    <w:rsid w:val="00D33BE6"/>
    <w:rsid w:val="00D34160"/>
    <w:rsid w:val="00D408CF"/>
    <w:rsid w:val="00D411A0"/>
    <w:rsid w:val="00D45BD0"/>
    <w:rsid w:val="00D51A06"/>
    <w:rsid w:val="00D52062"/>
    <w:rsid w:val="00D54DE0"/>
    <w:rsid w:val="00D57FF0"/>
    <w:rsid w:val="00D634D8"/>
    <w:rsid w:val="00D63F3C"/>
    <w:rsid w:val="00D7049D"/>
    <w:rsid w:val="00D706BC"/>
    <w:rsid w:val="00D70E8E"/>
    <w:rsid w:val="00D737AB"/>
    <w:rsid w:val="00D8058E"/>
    <w:rsid w:val="00D840DE"/>
    <w:rsid w:val="00D84684"/>
    <w:rsid w:val="00D87176"/>
    <w:rsid w:val="00D91BA4"/>
    <w:rsid w:val="00D9277B"/>
    <w:rsid w:val="00D92B5E"/>
    <w:rsid w:val="00D953CA"/>
    <w:rsid w:val="00D97392"/>
    <w:rsid w:val="00DA0042"/>
    <w:rsid w:val="00DA1D41"/>
    <w:rsid w:val="00DA5142"/>
    <w:rsid w:val="00DA5686"/>
    <w:rsid w:val="00DB0440"/>
    <w:rsid w:val="00DC68E1"/>
    <w:rsid w:val="00DC744E"/>
    <w:rsid w:val="00DD07CC"/>
    <w:rsid w:val="00DD0AB3"/>
    <w:rsid w:val="00DD2812"/>
    <w:rsid w:val="00DD3436"/>
    <w:rsid w:val="00DD3EE7"/>
    <w:rsid w:val="00DD4D2D"/>
    <w:rsid w:val="00DD7B3E"/>
    <w:rsid w:val="00DE2624"/>
    <w:rsid w:val="00DE5117"/>
    <w:rsid w:val="00DE70D1"/>
    <w:rsid w:val="00DF077F"/>
    <w:rsid w:val="00DF2485"/>
    <w:rsid w:val="00DF494B"/>
    <w:rsid w:val="00DF4EF9"/>
    <w:rsid w:val="00DF6665"/>
    <w:rsid w:val="00E01765"/>
    <w:rsid w:val="00E01929"/>
    <w:rsid w:val="00E02650"/>
    <w:rsid w:val="00E03ECD"/>
    <w:rsid w:val="00E046DB"/>
    <w:rsid w:val="00E06777"/>
    <w:rsid w:val="00E07718"/>
    <w:rsid w:val="00E07A75"/>
    <w:rsid w:val="00E12A00"/>
    <w:rsid w:val="00E1532E"/>
    <w:rsid w:val="00E15BD0"/>
    <w:rsid w:val="00E217F6"/>
    <w:rsid w:val="00E222BC"/>
    <w:rsid w:val="00E2394C"/>
    <w:rsid w:val="00E24BA8"/>
    <w:rsid w:val="00E30C3C"/>
    <w:rsid w:val="00E30FB0"/>
    <w:rsid w:val="00E30FFD"/>
    <w:rsid w:val="00E325A1"/>
    <w:rsid w:val="00E33F9A"/>
    <w:rsid w:val="00E34F95"/>
    <w:rsid w:val="00E433F5"/>
    <w:rsid w:val="00E434E6"/>
    <w:rsid w:val="00E45D05"/>
    <w:rsid w:val="00E51072"/>
    <w:rsid w:val="00E5176A"/>
    <w:rsid w:val="00E535D0"/>
    <w:rsid w:val="00E53E6B"/>
    <w:rsid w:val="00E56D27"/>
    <w:rsid w:val="00E6278D"/>
    <w:rsid w:val="00E67921"/>
    <w:rsid w:val="00E7202E"/>
    <w:rsid w:val="00E80309"/>
    <w:rsid w:val="00E81540"/>
    <w:rsid w:val="00E8376A"/>
    <w:rsid w:val="00E8448C"/>
    <w:rsid w:val="00E914B8"/>
    <w:rsid w:val="00E9178F"/>
    <w:rsid w:val="00E9370B"/>
    <w:rsid w:val="00E956EA"/>
    <w:rsid w:val="00E9718F"/>
    <w:rsid w:val="00EA06EC"/>
    <w:rsid w:val="00EA2B53"/>
    <w:rsid w:val="00EA31C2"/>
    <w:rsid w:val="00EA3B79"/>
    <w:rsid w:val="00EA5BFA"/>
    <w:rsid w:val="00EB11DC"/>
    <w:rsid w:val="00EB236F"/>
    <w:rsid w:val="00EB2BB2"/>
    <w:rsid w:val="00EB4493"/>
    <w:rsid w:val="00EB5E87"/>
    <w:rsid w:val="00EB75EA"/>
    <w:rsid w:val="00EC0999"/>
    <w:rsid w:val="00EC4DCD"/>
    <w:rsid w:val="00EC6F19"/>
    <w:rsid w:val="00ED2C1D"/>
    <w:rsid w:val="00ED3C25"/>
    <w:rsid w:val="00ED61A2"/>
    <w:rsid w:val="00ED6633"/>
    <w:rsid w:val="00EE586D"/>
    <w:rsid w:val="00EF13A8"/>
    <w:rsid w:val="00EF33B5"/>
    <w:rsid w:val="00F0013D"/>
    <w:rsid w:val="00F02AC4"/>
    <w:rsid w:val="00F031CC"/>
    <w:rsid w:val="00F0569C"/>
    <w:rsid w:val="00F0683F"/>
    <w:rsid w:val="00F10174"/>
    <w:rsid w:val="00F10929"/>
    <w:rsid w:val="00F1125D"/>
    <w:rsid w:val="00F12226"/>
    <w:rsid w:val="00F13B95"/>
    <w:rsid w:val="00F14636"/>
    <w:rsid w:val="00F15CF7"/>
    <w:rsid w:val="00F160CD"/>
    <w:rsid w:val="00F165D2"/>
    <w:rsid w:val="00F227B1"/>
    <w:rsid w:val="00F25406"/>
    <w:rsid w:val="00F26838"/>
    <w:rsid w:val="00F26AE3"/>
    <w:rsid w:val="00F27E16"/>
    <w:rsid w:val="00F27FE0"/>
    <w:rsid w:val="00F30947"/>
    <w:rsid w:val="00F32C42"/>
    <w:rsid w:val="00F35739"/>
    <w:rsid w:val="00F40F82"/>
    <w:rsid w:val="00F45ADD"/>
    <w:rsid w:val="00F46148"/>
    <w:rsid w:val="00F52B9D"/>
    <w:rsid w:val="00F54CCE"/>
    <w:rsid w:val="00F67782"/>
    <w:rsid w:val="00F708A6"/>
    <w:rsid w:val="00F70B86"/>
    <w:rsid w:val="00F71D96"/>
    <w:rsid w:val="00F74611"/>
    <w:rsid w:val="00F74678"/>
    <w:rsid w:val="00F83A6F"/>
    <w:rsid w:val="00F845F4"/>
    <w:rsid w:val="00F85AFA"/>
    <w:rsid w:val="00F85B17"/>
    <w:rsid w:val="00F86863"/>
    <w:rsid w:val="00F9090D"/>
    <w:rsid w:val="00F90AAC"/>
    <w:rsid w:val="00F910D5"/>
    <w:rsid w:val="00F92EB3"/>
    <w:rsid w:val="00F930FD"/>
    <w:rsid w:val="00F944AB"/>
    <w:rsid w:val="00F9459F"/>
    <w:rsid w:val="00F948DA"/>
    <w:rsid w:val="00F96CFF"/>
    <w:rsid w:val="00F97E7B"/>
    <w:rsid w:val="00FA0941"/>
    <w:rsid w:val="00FA1071"/>
    <w:rsid w:val="00FA2BC8"/>
    <w:rsid w:val="00FA6EFB"/>
    <w:rsid w:val="00FA73B6"/>
    <w:rsid w:val="00FB0441"/>
    <w:rsid w:val="00FB5E82"/>
    <w:rsid w:val="00FB68AF"/>
    <w:rsid w:val="00FB7282"/>
    <w:rsid w:val="00FC01F8"/>
    <w:rsid w:val="00FC4E61"/>
    <w:rsid w:val="00FD34FA"/>
    <w:rsid w:val="00FD416A"/>
    <w:rsid w:val="00FD46E3"/>
    <w:rsid w:val="00FD674C"/>
    <w:rsid w:val="00FD74D6"/>
    <w:rsid w:val="00FE0078"/>
    <w:rsid w:val="00FE0D4E"/>
    <w:rsid w:val="00FE229F"/>
    <w:rsid w:val="00FE4EB7"/>
    <w:rsid w:val="00FE56FD"/>
    <w:rsid w:val="00FF0C3F"/>
    <w:rsid w:val="00FF0FE0"/>
    <w:rsid w:val="00FF227E"/>
    <w:rsid w:val="00FF7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091CE3"/>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71C37"/>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link w:val="Heading2Char"/>
    <w:qFormat/>
    <w:rsid w:val="00B679BF"/>
    <w:pPr>
      <w:keepNext/>
      <w:spacing w:before="140" w:after="8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3011AF"/>
    <w:pPr>
      <w:spacing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C71C37"/>
    <w:pPr>
      <w:numPr>
        <w:numId w:val="29"/>
      </w:numPr>
      <w:ind w:left="357" w:hanging="357"/>
    </w:pPr>
  </w:style>
  <w:style w:type="paragraph" w:styleId="ListBullet2">
    <w:name w:val="List Bullet 2"/>
    <w:basedOn w:val="Normal"/>
    <w:qFormat/>
    <w:rsid w:val="00C71C37"/>
    <w:pPr>
      <w:numPr>
        <w:numId w:val="31"/>
      </w:numPr>
      <w:spacing w:after="100"/>
      <w:ind w:left="641" w:hanging="357"/>
    </w:pPr>
  </w:style>
  <w:style w:type="paragraph" w:styleId="ListBullet3">
    <w:name w:val="List Bullet 3"/>
    <w:basedOn w:val="Normal"/>
    <w:qFormat/>
    <w:rsid w:val="003F3A22"/>
    <w:pPr>
      <w:numPr>
        <w:numId w:val="3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30"/>
      </w:numPr>
    </w:pPr>
  </w:style>
  <w:style w:type="paragraph" w:styleId="ListNumber2">
    <w:name w:val="List Number 2"/>
    <w:basedOn w:val="Normal"/>
    <w:uiPriority w:val="1"/>
    <w:qFormat/>
    <w:rsid w:val="003F3A22"/>
    <w:pPr>
      <w:numPr>
        <w:numId w:val="33"/>
      </w:numPr>
    </w:pPr>
  </w:style>
  <w:style w:type="paragraph" w:styleId="ListNumber3">
    <w:name w:val="List Number 3"/>
    <w:basedOn w:val="Normal"/>
    <w:uiPriority w:val="1"/>
    <w:qFormat/>
    <w:rsid w:val="003F3A22"/>
    <w:pPr>
      <w:numPr>
        <w:numId w:val="3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C71C37"/>
    <w:pPr>
      <w:tabs>
        <w:tab w:val="left" w:pos="284"/>
      </w:tabs>
      <w:spacing w:after="40"/>
      <w:ind w:left="284" w:hanging="284"/>
    </w:pPr>
    <w:rPr>
      <w:sz w:val="18"/>
      <w:szCs w:val="20"/>
    </w:rPr>
  </w:style>
  <w:style w:type="character" w:customStyle="1" w:styleId="FootnoteTextChar">
    <w:name w:val="Footnote Text Char"/>
    <w:link w:val="FootnoteText"/>
    <w:rsid w:val="00C71C37"/>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paragraph" w:customStyle="1" w:styleId="Indent-05cmMP">
    <w:name w:val="Indent - 0.5 cm (MP)"/>
    <w:basedOn w:val="Normal"/>
    <w:qFormat/>
    <w:rsid w:val="00265855"/>
    <w:pPr>
      <w:tabs>
        <w:tab w:val="left" w:pos="284"/>
        <w:tab w:val="left" w:pos="567"/>
      </w:tabs>
      <w:spacing w:before="100" w:after="100" w:line="260" w:lineRule="atLeast"/>
      <w:ind w:left="284" w:hanging="284"/>
    </w:pPr>
    <w:rPr>
      <w:rFonts w:ascii="Arial" w:eastAsiaTheme="majorEastAsia" w:hAnsi="Arial"/>
      <w:color w:val="1C1C1C"/>
      <w:sz w:val="18"/>
      <w:szCs w:val="18"/>
      <w:lang w:eastAsia="en-AU"/>
    </w:rPr>
  </w:style>
  <w:style w:type="paragraph" w:customStyle="1" w:styleId="FootnoteBullet">
    <w:name w:val="Footnote Bullet"/>
    <w:basedOn w:val="FootnoteText"/>
    <w:qFormat/>
    <w:rsid w:val="00265855"/>
    <w:pPr>
      <w:numPr>
        <w:numId w:val="39"/>
      </w:numPr>
      <w:tabs>
        <w:tab w:val="left" w:pos="567"/>
      </w:tabs>
      <w:spacing w:after="0" w:line="260" w:lineRule="atLeast"/>
      <w:ind w:left="284" w:hanging="114"/>
    </w:pPr>
    <w:rPr>
      <w:rFonts w:ascii="Arial" w:hAnsi="Arial"/>
      <w:color w:val="1C1C1C"/>
      <w:spacing w:val="-3"/>
      <w:sz w:val="14"/>
      <w:lang w:eastAsia="en-AU"/>
    </w:rPr>
  </w:style>
  <w:style w:type="character" w:customStyle="1" w:styleId="Heading1Char">
    <w:name w:val="Heading 1 Char"/>
    <w:basedOn w:val="DefaultParagraphFont"/>
    <w:link w:val="Heading1"/>
    <w:rsid w:val="00D706BC"/>
    <w:rPr>
      <w:rFonts w:ascii="Calibri" w:hAnsi="Calibri" w:cs="Arial"/>
      <w:bCs/>
      <w:color w:val="228591"/>
      <w:kern w:val="32"/>
      <w:sz w:val="37"/>
      <w:szCs w:val="32"/>
      <w:lang w:eastAsia="en-US"/>
    </w:rPr>
  </w:style>
  <w:style w:type="character" w:customStyle="1" w:styleId="Heading2Char">
    <w:name w:val="Heading 2 Char"/>
    <w:basedOn w:val="DefaultParagraphFont"/>
    <w:link w:val="Heading2"/>
    <w:rsid w:val="00B679BF"/>
    <w:rPr>
      <w:rFonts w:asciiTheme="minorHAnsi" w:hAnsiTheme="minorHAnsi" w:cs="Arial"/>
      <w:b/>
      <w:bCs/>
      <w:iCs/>
      <w:color w:val="228591"/>
      <w:sz w:val="25"/>
      <w:szCs w:val="28"/>
      <w:lang w:eastAsia="en-US"/>
    </w:rPr>
  </w:style>
  <w:style w:type="paragraph" w:customStyle="1" w:styleId="hangingindent-JB">
    <w:name w:val="hanging indent - JB"/>
    <w:basedOn w:val="Normal"/>
    <w:qFormat/>
    <w:rsid w:val="00091CE3"/>
    <w:pPr>
      <w:tabs>
        <w:tab w:val="left" w:pos="426"/>
      </w:tabs>
      <w:ind w:left="426" w:hanging="426"/>
    </w:pPr>
  </w:style>
  <w:style w:type="paragraph" w:styleId="Revision">
    <w:name w:val="Revision"/>
    <w:hidden/>
    <w:uiPriority w:val="99"/>
    <w:semiHidden/>
    <w:rsid w:val="005D2408"/>
    <w:rPr>
      <w:rFonts w:ascii="Calibri" w:hAnsi="Calibri"/>
      <w:sz w:val="2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091CE3"/>
    <w:pPr>
      <w:spacing w:after="113" w:line="240" w:lineRule="atLeast"/>
    </w:pPr>
    <w:rPr>
      <w:rFonts w:ascii="Calibri" w:hAnsi="Calibri"/>
      <w:sz w:val="21"/>
      <w:szCs w:val="24"/>
      <w:lang w:eastAsia="en-US"/>
    </w:rPr>
  </w:style>
  <w:style w:type="paragraph" w:styleId="Heading1">
    <w:name w:val="heading 1"/>
    <w:basedOn w:val="Normal"/>
    <w:next w:val="Normal"/>
    <w:link w:val="Heading1Char"/>
    <w:qFormat/>
    <w:rsid w:val="00C71C37"/>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link w:val="Heading2Char"/>
    <w:qFormat/>
    <w:rsid w:val="00B679BF"/>
    <w:pPr>
      <w:keepNext/>
      <w:spacing w:before="140" w:after="8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3011AF"/>
    <w:pPr>
      <w:spacing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C71C37"/>
    <w:pPr>
      <w:numPr>
        <w:numId w:val="29"/>
      </w:numPr>
      <w:ind w:left="357" w:hanging="357"/>
    </w:pPr>
  </w:style>
  <w:style w:type="paragraph" w:styleId="ListBullet2">
    <w:name w:val="List Bullet 2"/>
    <w:basedOn w:val="Normal"/>
    <w:qFormat/>
    <w:rsid w:val="00C71C37"/>
    <w:pPr>
      <w:numPr>
        <w:numId w:val="31"/>
      </w:numPr>
      <w:spacing w:after="100"/>
      <w:ind w:left="641" w:hanging="357"/>
    </w:pPr>
  </w:style>
  <w:style w:type="paragraph" w:styleId="ListBullet3">
    <w:name w:val="List Bullet 3"/>
    <w:basedOn w:val="Normal"/>
    <w:qFormat/>
    <w:rsid w:val="003F3A22"/>
    <w:pPr>
      <w:numPr>
        <w:numId w:val="3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30"/>
      </w:numPr>
    </w:pPr>
  </w:style>
  <w:style w:type="paragraph" w:styleId="ListNumber2">
    <w:name w:val="List Number 2"/>
    <w:basedOn w:val="Normal"/>
    <w:uiPriority w:val="1"/>
    <w:qFormat/>
    <w:rsid w:val="003F3A22"/>
    <w:pPr>
      <w:numPr>
        <w:numId w:val="33"/>
      </w:numPr>
    </w:pPr>
  </w:style>
  <w:style w:type="paragraph" w:styleId="ListNumber3">
    <w:name w:val="List Number 3"/>
    <w:basedOn w:val="Normal"/>
    <w:uiPriority w:val="1"/>
    <w:qFormat/>
    <w:rsid w:val="003F3A22"/>
    <w:pPr>
      <w:numPr>
        <w:numId w:val="3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C71C37"/>
    <w:pPr>
      <w:tabs>
        <w:tab w:val="left" w:pos="284"/>
      </w:tabs>
      <w:spacing w:after="40"/>
      <w:ind w:left="284" w:hanging="284"/>
    </w:pPr>
    <w:rPr>
      <w:sz w:val="18"/>
      <w:szCs w:val="20"/>
    </w:rPr>
  </w:style>
  <w:style w:type="character" w:customStyle="1" w:styleId="FootnoteTextChar">
    <w:name w:val="Footnote Text Char"/>
    <w:link w:val="FootnoteText"/>
    <w:rsid w:val="00C71C37"/>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qFormat/>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 w:type="paragraph" w:customStyle="1" w:styleId="Indent-05cmMP">
    <w:name w:val="Indent - 0.5 cm (MP)"/>
    <w:basedOn w:val="Normal"/>
    <w:qFormat/>
    <w:rsid w:val="00265855"/>
    <w:pPr>
      <w:tabs>
        <w:tab w:val="left" w:pos="284"/>
        <w:tab w:val="left" w:pos="567"/>
      </w:tabs>
      <w:spacing w:before="100" w:after="100" w:line="260" w:lineRule="atLeast"/>
      <w:ind w:left="284" w:hanging="284"/>
    </w:pPr>
    <w:rPr>
      <w:rFonts w:ascii="Arial" w:eastAsiaTheme="majorEastAsia" w:hAnsi="Arial"/>
      <w:color w:val="1C1C1C"/>
      <w:sz w:val="18"/>
      <w:szCs w:val="18"/>
      <w:lang w:eastAsia="en-AU"/>
    </w:rPr>
  </w:style>
  <w:style w:type="paragraph" w:customStyle="1" w:styleId="FootnoteBullet">
    <w:name w:val="Footnote Bullet"/>
    <w:basedOn w:val="FootnoteText"/>
    <w:qFormat/>
    <w:rsid w:val="00265855"/>
    <w:pPr>
      <w:numPr>
        <w:numId w:val="39"/>
      </w:numPr>
      <w:tabs>
        <w:tab w:val="left" w:pos="567"/>
      </w:tabs>
      <w:spacing w:after="0" w:line="260" w:lineRule="atLeast"/>
      <w:ind w:left="284" w:hanging="114"/>
    </w:pPr>
    <w:rPr>
      <w:rFonts w:ascii="Arial" w:hAnsi="Arial"/>
      <w:color w:val="1C1C1C"/>
      <w:spacing w:val="-3"/>
      <w:sz w:val="14"/>
      <w:lang w:eastAsia="en-AU"/>
    </w:rPr>
  </w:style>
  <w:style w:type="character" w:customStyle="1" w:styleId="Heading1Char">
    <w:name w:val="Heading 1 Char"/>
    <w:basedOn w:val="DefaultParagraphFont"/>
    <w:link w:val="Heading1"/>
    <w:rsid w:val="00D706BC"/>
    <w:rPr>
      <w:rFonts w:ascii="Calibri" w:hAnsi="Calibri" w:cs="Arial"/>
      <w:bCs/>
      <w:color w:val="228591"/>
      <w:kern w:val="32"/>
      <w:sz w:val="37"/>
      <w:szCs w:val="32"/>
      <w:lang w:eastAsia="en-US"/>
    </w:rPr>
  </w:style>
  <w:style w:type="character" w:customStyle="1" w:styleId="Heading2Char">
    <w:name w:val="Heading 2 Char"/>
    <w:basedOn w:val="DefaultParagraphFont"/>
    <w:link w:val="Heading2"/>
    <w:rsid w:val="00B679BF"/>
    <w:rPr>
      <w:rFonts w:asciiTheme="minorHAnsi" w:hAnsiTheme="minorHAnsi" w:cs="Arial"/>
      <w:b/>
      <w:bCs/>
      <w:iCs/>
      <w:color w:val="228591"/>
      <w:sz w:val="25"/>
      <w:szCs w:val="28"/>
      <w:lang w:eastAsia="en-US"/>
    </w:rPr>
  </w:style>
  <w:style w:type="paragraph" w:customStyle="1" w:styleId="hangingindent-JB">
    <w:name w:val="hanging indent - JB"/>
    <w:basedOn w:val="Normal"/>
    <w:qFormat/>
    <w:rsid w:val="00091CE3"/>
    <w:pPr>
      <w:tabs>
        <w:tab w:val="left" w:pos="426"/>
      </w:tabs>
      <w:ind w:left="426" w:hanging="426"/>
    </w:pPr>
  </w:style>
  <w:style w:type="paragraph" w:styleId="Revision">
    <w:name w:val="Revision"/>
    <w:hidden/>
    <w:uiPriority w:val="99"/>
    <w:semiHidden/>
    <w:rsid w:val="005D2408"/>
    <w:rPr>
      <w:rFonts w:ascii="Calibri" w:hAnsi="Calibr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onboard" TargetMode="External"/><Relationship Id="rId18" Type="http://schemas.openxmlformats.org/officeDocument/2006/relationships/hyperlink" Target="http://www.delwp.vic.gov.au"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hyperlink" Target="http://www.vpsc.vic.gov.au/products/view-products/directors-code-of-conduct-and-guidance-notes.html" TargetMode="External"/><Relationship Id="rId17" Type="http://schemas.openxmlformats.org/officeDocument/2006/relationships/hyperlink" Target="http://www.relayservice.com.au" TargetMode="External"/><Relationship Id="rId25" Type="http://schemas.openxmlformats.org/officeDocument/2006/relationships/hyperlink" Target="http://www.delwp.vic.gov.au/onboa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image" Target="media/image1.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i.vic.gov.au/about-us/boards-and-governance/on-board-governance-guides-and-resources/induction-and-continuing-education" TargetMode="External"/><Relationship Id="rId24" Type="http://schemas.openxmlformats.org/officeDocument/2006/relationships/hyperlink" Target="http://www.delwp.vic.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pi.vic.gov.au/about-us/boards-and-governance/on-board-governance-guides-and-resources/induction-and-continuing-education" TargetMode="External"/><Relationship Id="rId23" Type="http://schemas.openxmlformats.org/officeDocument/2006/relationships/hyperlink" Target="http://www.relayservice.com.au" TargetMode="External"/><Relationship Id="rId28" Type="http://schemas.openxmlformats.org/officeDocument/2006/relationships/header" Target="header1.xml"/><Relationship Id="rId10" Type="http://schemas.openxmlformats.org/officeDocument/2006/relationships/hyperlink" Target="http://www.delwp.vic.gov.au/onboard" TargetMode="External"/><Relationship Id="rId19" Type="http://schemas.openxmlformats.org/officeDocument/2006/relationships/hyperlink" Target="http://www.delwp.vic.gov.au/onboard"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pi.vic.gov.au/about-us/boards-and-governance/on-board-governance-guides-and-resources/induction-and-continuing-education" TargetMode="External"/><Relationship Id="rId14" Type="http://schemas.openxmlformats.org/officeDocument/2006/relationships/hyperlink" Target="http://www.depi.vic.gov.au/about-us/boards-and-governance/on-board-governance-guides-and-resources/induction-and-continuing-education" TargetMode="External"/><Relationship Id="rId22" Type="http://schemas.openxmlformats.org/officeDocument/2006/relationships/hyperlink" Target="mailto:customer.service@delwp.vic.gov.au" TargetMode="External"/><Relationship Id="rId27" Type="http://schemas.openxmlformats.org/officeDocument/2006/relationships/hyperlink" Target="http://creativecommons.org/licenses/by/4.0/"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delwp.vic.gov.au/onboard" TargetMode="External"/><Relationship Id="rId2" Type="http://schemas.openxmlformats.org/officeDocument/2006/relationships/hyperlink" Target="http://www.delwp.vic.gov.au/onboard" TargetMode="External"/><Relationship Id="rId1" Type="http://schemas.openxmlformats.org/officeDocument/2006/relationships/hyperlink" Target="http://www.depi.vic.gov.au/about-us/boards-and-governance/on-board-governance-guides-and-resources/induction-and-continuing-education" TargetMode="External"/><Relationship Id="rId4" Type="http://schemas.openxmlformats.org/officeDocument/2006/relationships/hyperlink" Target="http://www.dpc.vic.gov.au/index.php/policies/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51FB-7B0B-46D0-8A2F-6E6CFDAB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771</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2016-08-25T09:18:00Z</dcterms:created>
  <dcterms:modified xsi:type="dcterms:W3CDTF">2016-09-13T10:05:00Z</dcterms:modified>
</cp:coreProperties>
</file>