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386F" w14:textId="77777777" w:rsidR="00A95A9B" w:rsidRPr="00542CCE" w:rsidRDefault="00A95A9B" w:rsidP="005A4AC6">
      <w:pPr>
        <w:pStyle w:val="Title"/>
        <w:rPr>
          <w:lang w:val="en-AU"/>
        </w:rPr>
      </w:pPr>
      <w:r w:rsidRPr="00542CCE">
        <w:rPr>
          <w:lang w:val="en-AU"/>
        </w:rPr>
        <w:t>LGBTIQA+ Action Plan 2025–2030</w:t>
      </w:r>
    </w:p>
    <w:p w14:paraId="44C1D1DD" w14:textId="2229E12C" w:rsidR="007968FE" w:rsidRPr="00542CCE" w:rsidRDefault="00A95A9B" w:rsidP="005A4AC6">
      <w:pPr>
        <w:pStyle w:val="Subtitle"/>
        <w:spacing w:after="600"/>
      </w:pPr>
      <w:r w:rsidRPr="00542CCE">
        <w:t>A plan for LGBTIQA+ inclusion at DEEC</w:t>
      </w:r>
      <w:r w:rsidR="00EE5F2E">
        <w:t>A</w:t>
      </w:r>
    </w:p>
    <w:p w14:paraId="5A9CD47D" w14:textId="77777777" w:rsidR="00A51AD4" w:rsidRPr="00542CCE" w:rsidRDefault="00A51AD4" w:rsidP="00A51AD4">
      <w:pPr>
        <w:pStyle w:val="TOAHeading"/>
      </w:pPr>
      <w:r w:rsidRPr="00542CCE">
        <w:t>Table of Contents</w:t>
      </w:r>
    </w:p>
    <w:p w14:paraId="54E7CC32" w14:textId="27525FA9" w:rsidR="00930007" w:rsidRDefault="00392051">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207186378" w:history="1">
        <w:r w:rsidR="00930007" w:rsidRPr="000F78C0">
          <w:rPr>
            <w:rStyle w:val="Hyperlink"/>
            <w:noProof/>
          </w:rPr>
          <w:t>Message from the Place of Pride Network</w:t>
        </w:r>
        <w:r w:rsidR="00930007">
          <w:rPr>
            <w:noProof/>
            <w:webHidden/>
          </w:rPr>
          <w:tab/>
        </w:r>
        <w:r w:rsidR="00930007">
          <w:rPr>
            <w:noProof/>
            <w:webHidden/>
          </w:rPr>
          <w:fldChar w:fldCharType="begin"/>
        </w:r>
        <w:r w:rsidR="00930007">
          <w:rPr>
            <w:noProof/>
            <w:webHidden/>
          </w:rPr>
          <w:instrText xml:space="preserve"> PAGEREF _Toc207186378 \h </w:instrText>
        </w:r>
        <w:r w:rsidR="00930007">
          <w:rPr>
            <w:noProof/>
            <w:webHidden/>
          </w:rPr>
        </w:r>
        <w:r w:rsidR="00930007">
          <w:rPr>
            <w:noProof/>
            <w:webHidden/>
          </w:rPr>
          <w:fldChar w:fldCharType="separate"/>
        </w:r>
        <w:r w:rsidR="00930007">
          <w:rPr>
            <w:noProof/>
            <w:webHidden/>
          </w:rPr>
          <w:t>3</w:t>
        </w:r>
        <w:r w:rsidR="00930007">
          <w:rPr>
            <w:noProof/>
            <w:webHidden/>
          </w:rPr>
          <w:fldChar w:fldCharType="end"/>
        </w:r>
      </w:hyperlink>
    </w:p>
    <w:p w14:paraId="5B9180D1" w14:textId="32BF877D"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79" w:history="1">
        <w:r w:rsidRPr="000F78C0">
          <w:rPr>
            <w:rStyle w:val="Hyperlink"/>
            <w:noProof/>
          </w:rPr>
          <w:t>Message from the Secretary</w:t>
        </w:r>
        <w:r>
          <w:rPr>
            <w:noProof/>
            <w:webHidden/>
          </w:rPr>
          <w:tab/>
        </w:r>
        <w:r>
          <w:rPr>
            <w:noProof/>
            <w:webHidden/>
          </w:rPr>
          <w:fldChar w:fldCharType="begin"/>
        </w:r>
        <w:r>
          <w:rPr>
            <w:noProof/>
            <w:webHidden/>
          </w:rPr>
          <w:instrText xml:space="preserve"> PAGEREF _Toc207186379 \h </w:instrText>
        </w:r>
        <w:r>
          <w:rPr>
            <w:noProof/>
            <w:webHidden/>
          </w:rPr>
        </w:r>
        <w:r>
          <w:rPr>
            <w:noProof/>
            <w:webHidden/>
          </w:rPr>
          <w:fldChar w:fldCharType="separate"/>
        </w:r>
        <w:r>
          <w:rPr>
            <w:noProof/>
            <w:webHidden/>
          </w:rPr>
          <w:t>4</w:t>
        </w:r>
        <w:r>
          <w:rPr>
            <w:noProof/>
            <w:webHidden/>
          </w:rPr>
          <w:fldChar w:fldCharType="end"/>
        </w:r>
      </w:hyperlink>
    </w:p>
    <w:p w14:paraId="7807A5EB" w14:textId="1BB42034"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0" w:history="1">
        <w:r w:rsidRPr="000F78C0">
          <w:rPr>
            <w:rStyle w:val="Hyperlink"/>
            <w:noProof/>
          </w:rPr>
          <w:t>Acknowledgement</w:t>
        </w:r>
        <w:r>
          <w:rPr>
            <w:noProof/>
            <w:webHidden/>
          </w:rPr>
          <w:tab/>
        </w:r>
        <w:r>
          <w:rPr>
            <w:noProof/>
            <w:webHidden/>
          </w:rPr>
          <w:fldChar w:fldCharType="begin"/>
        </w:r>
        <w:r>
          <w:rPr>
            <w:noProof/>
            <w:webHidden/>
          </w:rPr>
          <w:instrText xml:space="preserve"> PAGEREF _Toc207186380 \h </w:instrText>
        </w:r>
        <w:r>
          <w:rPr>
            <w:noProof/>
            <w:webHidden/>
          </w:rPr>
        </w:r>
        <w:r>
          <w:rPr>
            <w:noProof/>
            <w:webHidden/>
          </w:rPr>
          <w:fldChar w:fldCharType="separate"/>
        </w:r>
        <w:r>
          <w:rPr>
            <w:noProof/>
            <w:webHidden/>
          </w:rPr>
          <w:t>6</w:t>
        </w:r>
        <w:r>
          <w:rPr>
            <w:noProof/>
            <w:webHidden/>
          </w:rPr>
          <w:fldChar w:fldCharType="end"/>
        </w:r>
      </w:hyperlink>
    </w:p>
    <w:p w14:paraId="587519F6" w14:textId="1A2AF85B"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1" w:history="1">
        <w:r w:rsidRPr="000F78C0">
          <w:rPr>
            <w:rStyle w:val="Hyperlink"/>
            <w:noProof/>
          </w:rPr>
          <w:t>Mission</w:t>
        </w:r>
        <w:r>
          <w:rPr>
            <w:noProof/>
            <w:webHidden/>
          </w:rPr>
          <w:tab/>
        </w:r>
        <w:r>
          <w:rPr>
            <w:noProof/>
            <w:webHidden/>
          </w:rPr>
          <w:fldChar w:fldCharType="begin"/>
        </w:r>
        <w:r>
          <w:rPr>
            <w:noProof/>
            <w:webHidden/>
          </w:rPr>
          <w:instrText xml:space="preserve"> PAGEREF _Toc207186381 \h </w:instrText>
        </w:r>
        <w:r>
          <w:rPr>
            <w:noProof/>
            <w:webHidden/>
          </w:rPr>
        </w:r>
        <w:r>
          <w:rPr>
            <w:noProof/>
            <w:webHidden/>
          </w:rPr>
          <w:fldChar w:fldCharType="separate"/>
        </w:r>
        <w:r>
          <w:rPr>
            <w:noProof/>
            <w:webHidden/>
          </w:rPr>
          <w:t>6</w:t>
        </w:r>
        <w:r>
          <w:rPr>
            <w:noProof/>
            <w:webHidden/>
          </w:rPr>
          <w:fldChar w:fldCharType="end"/>
        </w:r>
      </w:hyperlink>
    </w:p>
    <w:p w14:paraId="1F71DA4C" w14:textId="2A314519"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2" w:history="1">
        <w:r w:rsidRPr="000F78C0">
          <w:rPr>
            <w:rStyle w:val="Hyperlink"/>
            <w:noProof/>
          </w:rPr>
          <w:t>Why this matters</w:t>
        </w:r>
        <w:r>
          <w:rPr>
            <w:noProof/>
            <w:webHidden/>
          </w:rPr>
          <w:tab/>
        </w:r>
        <w:r>
          <w:rPr>
            <w:noProof/>
            <w:webHidden/>
          </w:rPr>
          <w:fldChar w:fldCharType="begin"/>
        </w:r>
        <w:r>
          <w:rPr>
            <w:noProof/>
            <w:webHidden/>
          </w:rPr>
          <w:instrText xml:space="preserve"> PAGEREF _Toc207186382 \h </w:instrText>
        </w:r>
        <w:r>
          <w:rPr>
            <w:noProof/>
            <w:webHidden/>
          </w:rPr>
        </w:r>
        <w:r>
          <w:rPr>
            <w:noProof/>
            <w:webHidden/>
          </w:rPr>
          <w:fldChar w:fldCharType="separate"/>
        </w:r>
        <w:r>
          <w:rPr>
            <w:noProof/>
            <w:webHidden/>
          </w:rPr>
          <w:t>7</w:t>
        </w:r>
        <w:r>
          <w:rPr>
            <w:noProof/>
            <w:webHidden/>
          </w:rPr>
          <w:fldChar w:fldCharType="end"/>
        </w:r>
      </w:hyperlink>
    </w:p>
    <w:p w14:paraId="6DD0469C" w14:textId="5EEC7C7F"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3" w:history="1">
        <w:r w:rsidRPr="000F78C0">
          <w:rPr>
            <w:rStyle w:val="Hyperlink"/>
            <w:noProof/>
          </w:rPr>
          <w:t>How did we get here</w:t>
        </w:r>
        <w:r>
          <w:rPr>
            <w:noProof/>
            <w:webHidden/>
          </w:rPr>
          <w:tab/>
        </w:r>
        <w:r>
          <w:rPr>
            <w:noProof/>
            <w:webHidden/>
          </w:rPr>
          <w:fldChar w:fldCharType="begin"/>
        </w:r>
        <w:r>
          <w:rPr>
            <w:noProof/>
            <w:webHidden/>
          </w:rPr>
          <w:instrText xml:space="preserve"> PAGEREF _Toc207186383 \h </w:instrText>
        </w:r>
        <w:r>
          <w:rPr>
            <w:noProof/>
            <w:webHidden/>
          </w:rPr>
        </w:r>
        <w:r>
          <w:rPr>
            <w:noProof/>
            <w:webHidden/>
          </w:rPr>
          <w:fldChar w:fldCharType="separate"/>
        </w:r>
        <w:r>
          <w:rPr>
            <w:noProof/>
            <w:webHidden/>
          </w:rPr>
          <w:t>7</w:t>
        </w:r>
        <w:r>
          <w:rPr>
            <w:noProof/>
            <w:webHidden/>
          </w:rPr>
          <w:fldChar w:fldCharType="end"/>
        </w:r>
      </w:hyperlink>
    </w:p>
    <w:p w14:paraId="6A31C6EE" w14:textId="560FCE5A"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4" w:history="1">
        <w:r w:rsidRPr="000F78C0">
          <w:rPr>
            <w:rStyle w:val="Hyperlink"/>
            <w:noProof/>
          </w:rPr>
          <w:t>Achieving our mission</w:t>
        </w:r>
        <w:r>
          <w:rPr>
            <w:noProof/>
            <w:webHidden/>
          </w:rPr>
          <w:tab/>
        </w:r>
        <w:r>
          <w:rPr>
            <w:noProof/>
            <w:webHidden/>
          </w:rPr>
          <w:fldChar w:fldCharType="begin"/>
        </w:r>
        <w:r>
          <w:rPr>
            <w:noProof/>
            <w:webHidden/>
          </w:rPr>
          <w:instrText xml:space="preserve"> PAGEREF _Toc207186384 \h </w:instrText>
        </w:r>
        <w:r>
          <w:rPr>
            <w:noProof/>
            <w:webHidden/>
          </w:rPr>
        </w:r>
        <w:r>
          <w:rPr>
            <w:noProof/>
            <w:webHidden/>
          </w:rPr>
          <w:fldChar w:fldCharType="separate"/>
        </w:r>
        <w:r>
          <w:rPr>
            <w:noProof/>
            <w:webHidden/>
          </w:rPr>
          <w:t>8</w:t>
        </w:r>
        <w:r>
          <w:rPr>
            <w:noProof/>
            <w:webHidden/>
          </w:rPr>
          <w:fldChar w:fldCharType="end"/>
        </w:r>
      </w:hyperlink>
    </w:p>
    <w:p w14:paraId="12A986D5" w14:textId="4C798F7E"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5" w:history="1">
        <w:r w:rsidRPr="000F78C0">
          <w:rPr>
            <w:rStyle w:val="Hyperlink"/>
            <w:noProof/>
          </w:rPr>
          <w:t>Focus areas</w:t>
        </w:r>
        <w:r>
          <w:rPr>
            <w:noProof/>
            <w:webHidden/>
          </w:rPr>
          <w:tab/>
        </w:r>
        <w:r>
          <w:rPr>
            <w:noProof/>
            <w:webHidden/>
          </w:rPr>
          <w:fldChar w:fldCharType="begin"/>
        </w:r>
        <w:r>
          <w:rPr>
            <w:noProof/>
            <w:webHidden/>
          </w:rPr>
          <w:instrText xml:space="preserve"> PAGEREF _Toc207186385 \h </w:instrText>
        </w:r>
        <w:r>
          <w:rPr>
            <w:noProof/>
            <w:webHidden/>
          </w:rPr>
        </w:r>
        <w:r>
          <w:rPr>
            <w:noProof/>
            <w:webHidden/>
          </w:rPr>
          <w:fldChar w:fldCharType="separate"/>
        </w:r>
        <w:r>
          <w:rPr>
            <w:noProof/>
            <w:webHidden/>
          </w:rPr>
          <w:t>8</w:t>
        </w:r>
        <w:r>
          <w:rPr>
            <w:noProof/>
            <w:webHidden/>
          </w:rPr>
          <w:fldChar w:fldCharType="end"/>
        </w:r>
      </w:hyperlink>
    </w:p>
    <w:p w14:paraId="0CA66236" w14:textId="26B68B9B"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86" w:history="1">
        <w:r w:rsidRPr="000F78C0">
          <w:rPr>
            <w:rStyle w:val="Hyperlink"/>
            <w:noProof/>
          </w:rPr>
          <w:t>Action Plan</w:t>
        </w:r>
        <w:r>
          <w:rPr>
            <w:noProof/>
            <w:webHidden/>
          </w:rPr>
          <w:tab/>
        </w:r>
        <w:r>
          <w:rPr>
            <w:noProof/>
            <w:webHidden/>
          </w:rPr>
          <w:fldChar w:fldCharType="begin"/>
        </w:r>
        <w:r>
          <w:rPr>
            <w:noProof/>
            <w:webHidden/>
          </w:rPr>
          <w:instrText xml:space="preserve"> PAGEREF _Toc207186386 \h </w:instrText>
        </w:r>
        <w:r>
          <w:rPr>
            <w:noProof/>
            <w:webHidden/>
          </w:rPr>
        </w:r>
        <w:r>
          <w:rPr>
            <w:noProof/>
            <w:webHidden/>
          </w:rPr>
          <w:fldChar w:fldCharType="separate"/>
        </w:r>
        <w:r>
          <w:rPr>
            <w:noProof/>
            <w:webHidden/>
          </w:rPr>
          <w:t>10</w:t>
        </w:r>
        <w:r>
          <w:rPr>
            <w:noProof/>
            <w:webHidden/>
          </w:rPr>
          <w:fldChar w:fldCharType="end"/>
        </w:r>
      </w:hyperlink>
    </w:p>
    <w:p w14:paraId="66127A5F" w14:textId="2DB3D189" w:rsidR="00930007" w:rsidRDefault="00930007">
      <w:pPr>
        <w:pStyle w:val="TOC2"/>
        <w:tabs>
          <w:tab w:val="right" w:leader="dot" w:pos="9628"/>
        </w:tabs>
        <w:rPr>
          <w:rFonts w:cstheme="minorBidi"/>
          <w:bCs w:val="0"/>
          <w:noProof/>
          <w:kern w:val="2"/>
          <w:szCs w:val="24"/>
          <w:lang w:eastAsia="en-GB"/>
          <w14:ligatures w14:val="standardContextual"/>
        </w:rPr>
      </w:pPr>
      <w:hyperlink w:anchor="_Toc207186387" w:history="1">
        <w:r w:rsidRPr="000F78C0">
          <w:rPr>
            <w:rStyle w:val="Hyperlink"/>
            <w:noProof/>
          </w:rPr>
          <w:t>Focus Area 1: Fostering an Inclusive, Safe &amp; Respectful Workplace Culture</w:t>
        </w:r>
        <w:r>
          <w:rPr>
            <w:noProof/>
            <w:webHidden/>
          </w:rPr>
          <w:tab/>
        </w:r>
        <w:r>
          <w:rPr>
            <w:noProof/>
            <w:webHidden/>
          </w:rPr>
          <w:fldChar w:fldCharType="begin"/>
        </w:r>
        <w:r>
          <w:rPr>
            <w:noProof/>
            <w:webHidden/>
          </w:rPr>
          <w:instrText xml:space="preserve"> PAGEREF _Toc207186387 \h </w:instrText>
        </w:r>
        <w:r>
          <w:rPr>
            <w:noProof/>
            <w:webHidden/>
          </w:rPr>
        </w:r>
        <w:r>
          <w:rPr>
            <w:noProof/>
            <w:webHidden/>
          </w:rPr>
          <w:fldChar w:fldCharType="separate"/>
        </w:r>
        <w:r>
          <w:rPr>
            <w:noProof/>
            <w:webHidden/>
          </w:rPr>
          <w:t>10</w:t>
        </w:r>
        <w:r>
          <w:rPr>
            <w:noProof/>
            <w:webHidden/>
          </w:rPr>
          <w:fldChar w:fldCharType="end"/>
        </w:r>
      </w:hyperlink>
    </w:p>
    <w:p w14:paraId="6DED76A9" w14:textId="79DF2E1B" w:rsidR="00930007" w:rsidRDefault="00930007">
      <w:pPr>
        <w:pStyle w:val="TOC2"/>
        <w:tabs>
          <w:tab w:val="right" w:leader="dot" w:pos="9628"/>
        </w:tabs>
        <w:rPr>
          <w:rFonts w:cstheme="minorBidi"/>
          <w:bCs w:val="0"/>
          <w:noProof/>
          <w:kern w:val="2"/>
          <w:szCs w:val="24"/>
          <w:lang w:eastAsia="en-GB"/>
          <w14:ligatures w14:val="standardContextual"/>
        </w:rPr>
      </w:pPr>
      <w:hyperlink w:anchor="_Toc207186388" w:history="1">
        <w:r w:rsidRPr="000F78C0">
          <w:rPr>
            <w:rStyle w:val="Hyperlink"/>
            <w:noProof/>
          </w:rPr>
          <w:t>Focus Area 2: Promoting Awareness and Education</w:t>
        </w:r>
        <w:r>
          <w:rPr>
            <w:noProof/>
            <w:webHidden/>
          </w:rPr>
          <w:tab/>
        </w:r>
        <w:r>
          <w:rPr>
            <w:noProof/>
            <w:webHidden/>
          </w:rPr>
          <w:fldChar w:fldCharType="begin"/>
        </w:r>
        <w:r>
          <w:rPr>
            <w:noProof/>
            <w:webHidden/>
          </w:rPr>
          <w:instrText xml:space="preserve"> PAGEREF _Toc207186388 \h </w:instrText>
        </w:r>
        <w:r>
          <w:rPr>
            <w:noProof/>
            <w:webHidden/>
          </w:rPr>
        </w:r>
        <w:r>
          <w:rPr>
            <w:noProof/>
            <w:webHidden/>
          </w:rPr>
          <w:fldChar w:fldCharType="separate"/>
        </w:r>
        <w:r>
          <w:rPr>
            <w:noProof/>
            <w:webHidden/>
          </w:rPr>
          <w:t>11</w:t>
        </w:r>
        <w:r>
          <w:rPr>
            <w:noProof/>
            <w:webHidden/>
          </w:rPr>
          <w:fldChar w:fldCharType="end"/>
        </w:r>
      </w:hyperlink>
    </w:p>
    <w:p w14:paraId="49EE1DAA" w14:textId="3B832984" w:rsidR="00930007" w:rsidRDefault="00930007">
      <w:pPr>
        <w:pStyle w:val="TOC2"/>
        <w:tabs>
          <w:tab w:val="right" w:leader="dot" w:pos="9628"/>
        </w:tabs>
        <w:rPr>
          <w:rFonts w:cstheme="minorBidi"/>
          <w:bCs w:val="0"/>
          <w:noProof/>
          <w:kern w:val="2"/>
          <w:szCs w:val="24"/>
          <w:lang w:eastAsia="en-GB"/>
          <w14:ligatures w14:val="standardContextual"/>
        </w:rPr>
      </w:pPr>
      <w:hyperlink w:anchor="_Toc207186389" w:history="1">
        <w:r w:rsidRPr="000F78C0">
          <w:rPr>
            <w:rStyle w:val="Hyperlink"/>
            <w:noProof/>
          </w:rPr>
          <w:t>Focus Area 3: Building Connections and Partnerships</w:t>
        </w:r>
        <w:r>
          <w:rPr>
            <w:noProof/>
            <w:webHidden/>
          </w:rPr>
          <w:tab/>
        </w:r>
        <w:r>
          <w:rPr>
            <w:noProof/>
            <w:webHidden/>
          </w:rPr>
          <w:fldChar w:fldCharType="begin"/>
        </w:r>
        <w:r>
          <w:rPr>
            <w:noProof/>
            <w:webHidden/>
          </w:rPr>
          <w:instrText xml:space="preserve"> PAGEREF _Toc207186389 \h </w:instrText>
        </w:r>
        <w:r>
          <w:rPr>
            <w:noProof/>
            <w:webHidden/>
          </w:rPr>
        </w:r>
        <w:r>
          <w:rPr>
            <w:noProof/>
            <w:webHidden/>
          </w:rPr>
          <w:fldChar w:fldCharType="separate"/>
        </w:r>
        <w:r>
          <w:rPr>
            <w:noProof/>
            <w:webHidden/>
          </w:rPr>
          <w:t>13</w:t>
        </w:r>
        <w:r>
          <w:rPr>
            <w:noProof/>
            <w:webHidden/>
          </w:rPr>
          <w:fldChar w:fldCharType="end"/>
        </w:r>
      </w:hyperlink>
    </w:p>
    <w:p w14:paraId="4EF4EEBB" w14:textId="71FB7BA3" w:rsidR="00930007" w:rsidRDefault="00930007">
      <w:pPr>
        <w:pStyle w:val="TOC2"/>
        <w:tabs>
          <w:tab w:val="right" w:leader="dot" w:pos="9628"/>
        </w:tabs>
        <w:rPr>
          <w:rFonts w:cstheme="minorBidi"/>
          <w:bCs w:val="0"/>
          <w:noProof/>
          <w:kern w:val="2"/>
          <w:szCs w:val="24"/>
          <w:lang w:eastAsia="en-GB"/>
          <w14:ligatures w14:val="standardContextual"/>
        </w:rPr>
      </w:pPr>
      <w:hyperlink w:anchor="_Toc207186390" w:history="1">
        <w:r w:rsidRPr="000F78C0">
          <w:rPr>
            <w:rStyle w:val="Hyperlink"/>
            <w:noProof/>
          </w:rPr>
          <w:t>Focus Area 4: LGBTIQA+ Inclusive and Safe Workplaces</w:t>
        </w:r>
        <w:r>
          <w:rPr>
            <w:noProof/>
            <w:webHidden/>
          </w:rPr>
          <w:tab/>
        </w:r>
        <w:r>
          <w:rPr>
            <w:noProof/>
            <w:webHidden/>
          </w:rPr>
          <w:fldChar w:fldCharType="begin"/>
        </w:r>
        <w:r>
          <w:rPr>
            <w:noProof/>
            <w:webHidden/>
          </w:rPr>
          <w:instrText xml:space="preserve"> PAGEREF _Toc207186390 \h </w:instrText>
        </w:r>
        <w:r>
          <w:rPr>
            <w:noProof/>
            <w:webHidden/>
          </w:rPr>
        </w:r>
        <w:r>
          <w:rPr>
            <w:noProof/>
            <w:webHidden/>
          </w:rPr>
          <w:fldChar w:fldCharType="separate"/>
        </w:r>
        <w:r>
          <w:rPr>
            <w:noProof/>
            <w:webHidden/>
          </w:rPr>
          <w:t>14</w:t>
        </w:r>
        <w:r>
          <w:rPr>
            <w:noProof/>
            <w:webHidden/>
          </w:rPr>
          <w:fldChar w:fldCharType="end"/>
        </w:r>
      </w:hyperlink>
    </w:p>
    <w:p w14:paraId="25774BF5" w14:textId="716B5A88" w:rsidR="00930007" w:rsidRDefault="00930007">
      <w:pPr>
        <w:pStyle w:val="TOC2"/>
        <w:tabs>
          <w:tab w:val="right" w:leader="dot" w:pos="9628"/>
        </w:tabs>
        <w:rPr>
          <w:rFonts w:cstheme="minorBidi"/>
          <w:bCs w:val="0"/>
          <w:noProof/>
          <w:kern w:val="2"/>
          <w:szCs w:val="24"/>
          <w:lang w:eastAsia="en-GB"/>
          <w14:ligatures w14:val="standardContextual"/>
        </w:rPr>
      </w:pPr>
      <w:hyperlink w:anchor="_Toc207186391" w:history="1">
        <w:r w:rsidRPr="000F78C0">
          <w:rPr>
            <w:rStyle w:val="Hyperlink"/>
            <w:noProof/>
          </w:rPr>
          <w:t>Focus Area 5: Empowering Inclusion Through Resources and Support</w:t>
        </w:r>
        <w:r>
          <w:rPr>
            <w:noProof/>
            <w:webHidden/>
          </w:rPr>
          <w:tab/>
        </w:r>
        <w:r>
          <w:rPr>
            <w:noProof/>
            <w:webHidden/>
          </w:rPr>
          <w:fldChar w:fldCharType="begin"/>
        </w:r>
        <w:r>
          <w:rPr>
            <w:noProof/>
            <w:webHidden/>
          </w:rPr>
          <w:instrText xml:space="preserve"> PAGEREF _Toc207186391 \h </w:instrText>
        </w:r>
        <w:r>
          <w:rPr>
            <w:noProof/>
            <w:webHidden/>
          </w:rPr>
        </w:r>
        <w:r>
          <w:rPr>
            <w:noProof/>
            <w:webHidden/>
          </w:rPr>
          <w:fldChar w:fldCharType="separate"/>
        </w:r>
        <w:r>
          <w:rPr>
            <w:noProof/>
            <w:webHidden/>
          </w:rPr>
          <w:t>15</w:t>
        </w:r>
        <w:r>
          <w:rPr>
            <w:noProof/>
            <w:webHidden/>
          </w:rPr>
          <w:fldChar w:fldCharType="end"/>
        </w:r>
      </w:hyperlink>
    </w:p>
    <w:p w14:paraId="6CA9CF8A" w14:textId="5DBF8C5A"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92" w:history="1">
        <w:r w:rsidRPr="000F78C0">
          <w:rPr>
            <w:rStyle w:val="Hyperlink"/>
            <w:noProof/>
          </w:rPr>
          <w:t>Governance, Monitoring and Evaluation</w:t>
        </w:r>
        <w:r>
          <w:rPr>
            <w:noProof/>
            <w:webHidden/>
          </w:rPr>
          <w:tab/>
        </w:r>
        <w:r>
          <w:rPr>
            <w:noProof/>
            <w:webHidden/>
          </w:rPr>
          <w:fldChar w:fldCharType="begin"/>
        </w:r>
        <w:r>
          <w:rPr>
            <w:noProof/>
            <w:webHidden/>
          </w:rPr>
          <w:instrText xml:space="preserve"> PAGEREF _Toc207186392 \h </w:instrText>
        </w:r>
        <w:r>
          <w:rPr>
            <w:noProof/>
            <w:webHidden/>
          </w:rPr>
        </w:r>
        <w:r>
          <w:rPr>
            <w:noProof/>
            <w:webHidden/>
          </w:rPr>
          <w:fldChar w:fldCharType="separate"/>
        </w:r>
        <w:r>
          <w:rPr>
            <w:noProof/>
            <w:webHidden/>
          </w:rPr>
          <w:t>16</w:t>
        </w:r>
        <w:r>
          <w:rPr>
            <w:noProof/>
            <w:webHidden/>
          </w:rPr>
          <w:fldChar w:fldCharType="end"/>
        </w:r>
      </w:hyperlink>
    </w:p>
    <w:p w14:paraId="498BE3A8" w14:textId="5AB26FD7"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93" w:history="1">
        <w:r w:rsidRPr="000F78C0">
          <w:rPr>
            <w:rStyle w:val="Hyperlink"/>
            <w:noProof/>
          </w:rPr>
          <w:t>Glossary</w:t>
        </w:r>
        <w:r>
          <w:rPr>
            <w:noProof/>
            <w:webHidden/>
          </w:rPr>
          <w:tab/>
        </w:r>
        <w:r>
          <w:rPr>
            <w:noProof/>
            <w:webHidden/>
          </w:rPr>
          <w:fldChar w:fldCharType="begin"/>
        </w:r>
        <w:r>
          <w:rPr>
            <w:noProof/>
            <w:webHidden/>
          </w:rPr>
          <w:instrText xml:space="preserve"> PAGEREF _Toc207186393 \h </w:instrText>
        </w:r>
        <w:r>
          <w:rPr>
            <w:noProof/>
            <w:webHidden/>
          </w:rPr>
        </w:r>
        <w:r>
          <w:rPr>
            <w:noProof/>
            <w:webHidden/>
          </w:rPr>
          <w:fldChar w:fldCharType="separate"/>
        </w:r>
        <w:r>
          <w:rPr>
            <w:noProof/>
            <w:webHidden/>
          </w:rPr>
          <w:t>17</w:t>
        </w:r>
        <w:r>
          <w:rPr>
            <w:noProof/>
            <w:webHidden/>
          </w:rPr>
          <w:fldChar w:fldCharType="end"/>
        </w:r>
      </w:hyperlink>
    </w:p>
    <w:p w14:paraId="16A98DE8" w14:textId="6EDD412D" w:rsidR="00930007" w:rsidRDefault="00930007">
      <w:pPr>
        <w:pStyle w:val="TOC1"/>
        <w:tabs>
          <w:tab w:val="right" w:leader="dot" w:pos="9628"/>
        </w:tabs>
        <w:rPr>
          <w:rFonts w:asciiTheme="minorHAnsi" w:hAnsiTheme="minorHAnsi" w:cstheme="minorBidi"/>
          <w:b w:val="0"/>
          <w:bCs w:val="0"/>
          <w:noProof/>
          <w:kern w:val="2"/>
          <w:lang w:eastAsia="en-GB"/>
          <w14:ligatures w14:val="standardContextual"/>
        </w:rPr>
      </w:pPr>
      <w:hyperlink w:anchor="_Toc207186394" w:history="1">
        <w:r w:rsidRPr="000F78C0">
          <w:rPr>
            <w:rStyle w:val="Hyperlink"/>
            <w:noProof/>
          </w:rPr>
          <w:t>Publication information</w:t>
        </w:r>
        <w:r>
          <w:rPr>
            <w:noProof/>
            <w:webHidden/>
          </w:rPr>
          <w:tab/>
        </w:r>
        <w:r>
          <w:rPr>
            <w:noProof/>
            <w:webHidden/>
          </w:rPr>
          <w:fldChar w:fldCharType="begin"/>
        </w:r>
        <w:r>
          <w:rPr>
            <w:noProof/>
            <w:webHidden/>
          </w:rPr>
          <w:instrText xml:space="preserve"> PAGEREF _Toc207186394 \h </w:instrText>
        </w:r>
        <w:r>
          <w:rPr>
            <w:noProof/>
            <w:webHidden/>
          </w:rPr>
        </w:r>
        <w:r>
          <w:rPr>
            <w:noProof/>
            <w:webHidden/>
          </w:rPr>
          <w:fldChar w:fldCharType="separate"/>
        </w:r>
        <w:r>
          <w:rPr>
            <w:noProof/>
            <w:webHidden/>
          </w:rPr>
          <w:t>22</w:t>
        </w:r>
        <w:r>
          <w:rPr>
            <w:noProof/>
            <w:webHidden/>
          </w:rPr>
          <w:fldChar w:fldCharType="end"/>
        </w:r>
      </w:hyperlink>
    </w:p>
    <w:p w14:paraId="339A966F" w14:textId="534A2096" w:rsidR="00B165A7" w:rsidRPr="00542CCE" w:rsidRDefault="00392051">
      <w:pPr>
        <w:suppressAutoHyphens w:val="0"/>
        <w:spacing w:after="160"/>
        <w:rPr>
          <w:rFonts w:asciiTheme="majorHAnsi" w:hAnsiTheme="majorHAnsi" w:cstheme="majorHAnsi"/>
          <w:szCs w:val="24"/>
        </w:rPr>
        <w:sectPr w:rsidR="00B165A7" w:rsidRPr="00542CCE"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6C164AB7" w14:textId="77777777" w:rsidR="00970073" w:rsidRPr="00542CCE" w:rsidRDefault="00970073" w:rsidP="00970073">
      <w:pPr>
        <w:pStyle w:val="Heading1"/>
        <w:pageBreakBefore/>
        <w:rPr>
          <w:lang w:val="en-AU"/>
        </w:rPr>
      </w:pPr>
      <w:bookmarkStart w:id="0" w:name="_Toc207186378"/>
      <w:r w:rsidRPr="00542CCE">
        <w:rPr>
          <w:lang w:val="en-AU"/>
        </w:rPr>
        <w:lastRenderedPageBreak/>
        <w:t>Message from the Place of Pride Network</w:t>
      </w:r>
      <w:bookmarkEnd w:id="0"/>
    </w:p>
    <w:p w14:paraId="7F3A35C0" w14:textId="36C1D724" w:rsidR="00970073" w:rsidRPr="00542CCE" w:rsidRDefault="00970073" w:rsidP="00970073">
      <w:pPr>
        <w:pStyle w:val="BodyText"/>
        <w:rPr>
          <w:b/>
          <w:bCs/>
          <w:lang w:val="en-AU"/>
        </w:rPr>
      </w:pPr>
      <w:r w:rsidRPr="00542CCE">
        <w:rPr>
          <w:b/>
          <w:bCs/>
          <w:lang w:val="en-AU"/>
        </w:rPr>
        <w:t>We are proud to present the LGBTIQA+ Action Plan, an important milestone in our journey toward a workplace that is inclusive, equitable and empowering for all LGBTIQA+ people.</w:t>
      </w:r>
    </w:p>
    <w:p w14:paraId="772D0C6B" w14:textId="40F7C72C" w:rsidR="00970073" w:rsidRPr="00542CCE" w:rsidRDefault="00970073" w:rsidP="00970073">
      <w:pPr>
        <w:pStyle w:val="BodyText"/>
        <w:rPr>
          <w:lang w:val="en-AU"/>
        </w:rPr>
      </w:pPr>
      <w:r w:rsidRPr="00542CCE">
        <w:rPr>
          <w:lang w:val="en-AU"/>
        </w:rPr>
        <w:t xml:space="preserve">This </w:t>
      </w:r>
      <w:r w:rsidR="0056319B">
        <w:rPr>
          <w:lang w:val="en-AU"/>
        </w:rPr>
        <w:t>P</w:t>
      </w:r>
      <w:r w:rsidRPr="00542CCE">
        <w:rPr>
          <w:lang w:val="en-AU"/>
        </w:rPr>
        <w:t>lan exists because of the tireless work of our staff network and the many individuals, past and present, who have advocated for change, often in the face of resistance and exclusion. Their courage, persistence, and leadership have helped lay the foundation for the progress we are now building on.</w:t>
      </w:r>
    </w:p>
    <w:p w14:paraId="164266E0" w14:textId="77777777" w:rsidR="00970073" w:rsidRPr="00542CCE" w:rsidRDefault="00970073" w:rsidP="00970073">
      <w:pPr>
        <w:pStyle w:val="BodyText"/>
        <w:rPr>
          <w:lang w:val="en-AU"/>
        </w:rPr>
      </w:pPr>
      <w:r w:rsidRPr="00542CCE">
        <w:rPr>
          <w:lang w:val="en-AU"/>
        </w:rPr>
        <w:t>We acknowledge the deep and lasting impact of past and ongoing discrimination on the lives, careers and wellbeing of LGBTIQA+ people. Too many have had</w:t>
      </w:r>
    </w:p>
    <w:p w14:paraId="0C71588C" w14:textId="77777777" w:rsidR="00970073" w:rsidRPr="00542CCE" w:rsidRDefault="00970073" w:rsidP="00970073">
      <w:pPr>
        <w:pStyle w:val="BodyText"/>
        <w:rPr>
          <w:lang w:val="en-AU"/>
        </w:rPr>
      </w:pPr>
      <w:r w:rsidRPr="00542CCE">
        <w:rPr>
          <w:lang w:val="en-AU"/>
        </w:rPr>
        <w:t>to navigate workplaces where they were not safe to be themselves. That history drives our determination to ensure a better future.</w:t>
      </w:r>
    </w:p>
    <w:p w14:paraId="1486FBBB" w14:textId="3EDD2C4A" w:rsidR="00970073" w:rsidRPr="00542CCE" w:rsidRDefault="00970073" w:rsidP="00970073">
      <w:pPr>
        <w:pStyle w:val="BodyText"/>
        <w:rPr>
          <w:lang w:val="en-AU"/>
        </w:rPr>
      </w:pPr>
      <w:r w:rsidRPr="00542CCE">
        <w:rPr>
          <w:lang w:val="en-AU"/>
        </w:rPr>
        <w:t xml:space="preserve">This </w:t>
      </w:r>
      <w:r w:rsidR="0056319B">
        <w:rPr>
          <w:lang w:val="en-AU"/>
        </w:rPr>
        <w:t>P</w:t>
      </w:r>
      <w:r w:rsidRPr="00542CCE">
        <w:rPr>
          <w:lang w:val="en-AU"/>
        </w:rPr>
        <w:t>lan represents our commitment to doing better, all of us across the department, together. It sets out practical, meaningful actions to help ensure that all LGBTIQA+ staff feel valued, respected, and able to thrive.</w:t>
      </w:r>
    </w:p>
    <w:p w14:paraId="11317898" w14:textId="5605615B" w:rsidR="00970073" w:rsidRPr="00542CCE" w:rsidRDefault="00970073" w:rsidP="00970073">
      <w:pPr>
        <w:pStyle w:val="BodyText"/>
        <w:rPr>
          <w:lang w:val="en-AU"/>
        </w:rPr>
      </w:pPr>
      <w:r w:rsidRPr="00542CCE">
        <w:rPr>
          <w:lang w:val="en-AU"/>
        </w:rPr>
        <w:t>We know that true inclusion is an ongoing journey. This is not just a document, it’s a call to action. Lasting change will require the commitment of everyone, and especially the visible leadership and accountability of leaders across the organisation.</w:t>
      </w:r>
    </w:p>
    <w:p w14:paraId="31EC079B" w14:textId="77777777" w:rsidR="00970073" w:rsidRPr="00542CCE" w:rsidRDefault="00970073" w:rsidP="00970073">
      <w:pPr>
        <w:pStyle w:val="BodyText"/>
        <w:rPr>
          <w:lang w:val="en-AU"/>
        </w:rPr>
      </w:pPr>
      <w:r w:rsidRPr="00542CCE">
        <w:rPr>
          <w:lang w:val="en-AU"/>
        </w:rPr>
        <w:t>Together with our allies, we look forward to turning these commitments into meaningful, sustainable progress.</w:t>
      </w:r>
    </w:p>
    <w:p w14:paraId="46EC9B7A" w14:textId="77777777" w:rsidR="00970073" w:rsidRPr="00542CCE" w:rsidRDefault="00970073" w:rsidP="00970073">
      <w:pPr>
        <w:pStyle w:val="BodyText"/>
        <w:rPr>
          <w:lang w:val="en-AU"/>
        </w:rPr>
      </w:pPr>
      <w:r w:rsidRPr="00542CCE">
        <w:rPr>
          <w:lang w:val="en-AU"/>
        </w:rPr>
        <w:t>With pride and solidarity,</w:t>
      </w:r>
    </w:p>
    <w:p w14:paraId="48C03D30" w14:textId="1F3AD84F" w:rsidR="00930007" w:rsidRDefault="00970073" w:rsidP="00970073">
      <w:pPr>
        <w:pStyle w:val="BodyText"/>
        <w:rPr>
          <w:b/>
          <w:bCs/>
          <w:lang w:val="en-AU"/>
        </w:rPr>
      </w:pPr>
      <w:r w:rsidRPr="00542CCE">
        <w:rPr>
          <w:b/>
          <w:bCs/>
          <w:lang w:val="en-AU"/>
        </w:rPr>
        <w:t>DEECA LGBTIQA+ Staff Network</w:t>
      </w:r>
      <w:r w:rsidR="00930007">
        <w:rPr>
          <w:b/>
          <w:bCs/>
          <w:lang w:val="en-AU"/>
        </w:rPr>
        <w:br w:type="page"/>
      </w:r>
    </w:p>
    <w:p w14:paraId="320B5BA5" w14:textId="77777777" w:rsidR="00930007" w:rsidRPr="00542CCE" w:rsidRDefault="00930007" w:rsidP="00930007">
      <w:pPr>
        <w:pStyle w:val="Heading1"/>
        <w:rPr>
          <w:lang w:val="en-AU"/>
        </w:rPr>
      </w:pPr>
      <w:bookmarkStart w:id="1" w:name="_Toc207186379"/>
      <w:r w:rsidRPr="00542CCE">
        <w:rPr>
          <w:lang w:val="en-AU"/>
        </w:rPr>
        <w:lastRenderedPageBreak/>
        <w:t>Message from the Secretary</w:t>
      </w:r>
      <w:bookmarkEnd w:id="1"/>
    </w:p>
    <w:p w14:paraId="78C78A34" w14:textId="77777777" w:rsidR="00930007" w:rsidRPr="00542CCE" w:rsidRDefault="00930007" w:rsidP="00930007">
      <w:pPr>
        <w:pStyle w:val="BodyText"/>
        <w:rPr>
          <w:b/>
          <w:bCs/>
          <w:lang w:val="en-AU"/>
        </w:rPr>
      </w:pPr>
      <w:r w:rsidRPr="00542CCE">
        <w:rPr>
          <w:b/>
          <w:bCs/>
          <w:lang w:val="en-AU"/>
        </w:rPr>
        <w:t>The Department of Energy, Environment and Climate Action (DEECA) is committed to a workplace where all staff – regardless of sexuality, gender identity, or expression – can feel seen, supported, and safe to thrive.</w:t>
      </w:r>
    </w:p>
    <w:p w14:paraId="1A0DE5C1" w14:textId="77777777" w:rsidR="00930007" w:rsidRPr="009B27FA" w:rsidRDefault="00930007" w:rsidP="00930007">
      <w:pPr>
        <w:pStyle w:val="BodyText"/>
        <w:rPr>
          <w:lang w:val="en-AU"/>
        </w:rPr>
      </w:pPr>
      <w:r w:rsidRPr="009B27FA">
        <w:rPr>
          <w:lang w:val="en-AU"/>
        </w:rPr>
        <w:t>Our inaugural LGBTIQA+ Action Plan 2025–2030 sets out how we will work together to strengthen diversity and equity. With a focus on the experiences of our lesbian, gay, bisexual, trans and gender-diverse, intersex, queer, and asexual staff, the Plan highlights where focused improvements will improve the experience of our staff.</w:t>
      </w:r>
    </w:p>
    <w:p w14:paraId="2233D024" w14:textId="77777777" w:rsidR="00930007" w:rsidRPr="009B27FA" w:rsidRDefault="00930007" w:rsidP="00930007">
      <w:pPr>
        <w:pStyle w:val="BodyText"/>
        <w:rPr>
          <w:lang w:val="en-AU"/>
        </w:rPr>
      </w:pPr>
      <w:r w:rsidRPr="009B27FA">
        <w:rPr>
          <w:lang w:val="en-AU"/>
        </w:rPr>
        <w:t>The Plan sits alongside DEECA’s Gender Equality Action Plan and aligns with the Victorian Government’s Pride in Our Future: LGBTIQA+ Strategy 2022–2032.</w:t>
      </w:r>
    </w:p>
    <w:p w14:paraId="38C4C34E" w14:textId="77777777" w:rsidR="00930007" w:rsidRPr="009B27FA" w:rsidRDefault="00930007" w:rsidP="00930007">
      <w:pPr>
        <w:pStyle w:val="BodyText"/>
        <w:rPr>
          <w:lang w:val="en-AU"/>
        </w:rPr>
      </w:pPr>
      <w:r w:rsidRPr="009B27FA">
        <w:rPr>
          <w:lang w:val="en-AU"/>
        </w:rPr>
        <w:t xml:space="preserve">The Plan's development has been led and shaped by our LGBTIQA+ staff and networks across DEECA. It builds upon our Place of Pride staff-led network action plan to embed inclusion across all levels of the department - from policy to </w:t>
      </w:r>
      <w:proofErr w:type="gramStart"/>
      <w:r w:rsidRPr="009B27FA">
        <w:rPr>
          <w:lang w:val="en-AU"/>
        </w:rPr>
        <w:t>practice;</w:t>
      </w:r>
      <w:proofErr w:type="gramEnd"/>
      <w:r w:rsidRPr="009B27FA">
        <w:rPr>
          <w:lang w:val="en-AU"/>
        </w:rPr>
        <w:t xml:space="preserve"> and from the office to the field.</w:t>
      </w:r>
    </w:p>
    <w:p w14:paraId="6F855316" w14:textId="77777777" w:rsidR="00930007" w:rsidRPr="009B27FA" w:rsidRDefault="00930007" w:rsidP="00930007">
      <w:pPr>
        <w:pStyle w:val="BodyText"/>
        <w:rPr>
          <w:lang w:val="en-AU"/>
        </w:rPr>
      </w:pPr>
      <w:r w:rsidRPr="009B27FA">
        <w:rPr>
          <w:lang w:val="en-AU"/>
        </w:rPr>
        <w:t>Importantly, the Plan aligns with the kind of organisation we want to be - one with respect at its core. An organisation where diversity is celebrated and staff feel safe to bring their whole selves to work.</w:t>
      </w:r>
    </w:p>
    <w:p w14:paraId="68D16555" w14:textId="77777777" w:rsidR="00930007" w:rsidRPr="009B27FA" w:rsidRDefault="00930007" w:rsidP="00930007">
      <w:pPr>
        <w:pStyle w:val="BodyText"/>
        <w:rPr>
          <w:lang w:val="en-AU"/>
        </w:rPr>
      </w:pPr>
      <w:r w:rsidRPr="009B27FA">
        <w:rPr>
          <w:lang w:val="en-AU"/>
        </w:rPr>
        <w:t>The Plan’s key actions include empowering staff to be active allies for LGBTIQA+ individuals and for leaders to acknowledge intersectionality, model respect, and amplify visibility to foster a culture of psychological safety.</w:t>
      </w:r>
    </w:p>
    <w:p w14:paraId="44294EC3" w14:textId="77777777" w:rsidR="00930007" w:rsidRPr="009B27FA" w:rsidRDefault="00930007" w:rsidP="00930007">
      <w:pPr>
        <w:pStyle w:val="BodyText"/>
        <w:rPr>
          <w:lang w:val="en-AU"/>
        </w:rPr>
      </w:pPr>
      <w:r w:rsidRPr="009B27FA">
        <w:rPr>
          <w:lang w:val="en-AU"/>
        </w:rPr>
        <w:t xml:space="preserve">Inclusion is fundamental to our workplace culture and expectations at DEECA. It makes us a stronger organisation, better positioned to meet the needs of Victorian communities. </w:t>
      </w:r>
    </w:p>
    <w:p w14:paraId="7FBF635B" w14:textId="77777777" w:rsidR="00930007" w:rsidRPr="009B27FA" w:rsidRDefault="00930007" w:rsidP="00930007">
      <w:pPr>
        <w:pStyle w:val="BodyText"/>
        <w:rPr>
          <w:lang w:val="en-AU"/>
        </w:rPr>
      </w:pPr>
      <w:r w:rsidRPr="009B27FA">
        <w:rPr>
          <w:lang w:val="en-AU"/>
        </w:rPr>
        <w:lastRenderedPageBreak/>
        <w:t xml:space="preserve">Don’t underestimate your ability to shape a kinder, more inclusive working environment for your colleagues. Even when we don’t think anyone is noticing, our individual actions are incredibly powerful. </w:t>
      </w:r>
    </w:p>
    <w:p w14:paraId="6C539610" w14:textId="77777777" w:rsidR="00930007" w:rsidRPr="009B27FA" w:rsidRDefault="00930007" w:rsidP="00930007">
      <w:pPr>
        <w:pStyle w:val="BodyText"/>
        <w:rPr>
          <w:lang w:val="en-AU"/>
        </w:rPr>
      </w:pPr>
      <w:r w:rsidRPr="009B27FA">
        <w:rPr>
          <w:lang w:val="en-AU"/>
        </w:rPr>
        <w:t>How we show support for inclusion through our behaviour, our language and meaningful engagement with staff with lived experiences sends a strong message that inclusion matters.</w:t>
      </w:r>
    </w:p>
    <w:p w14:paraId="5DB0D554" w14:textId="77777777" w:rsidR="00930007" w:rsidRPr="009B27FA" w:rsidRDefault="00930007" w:rsidP="00930007">
      <w:pPr>
        <w:pStyle w:val="BodyText"/>
        <w:rPr>
          <w:lang w:val="en-AU"/>
        </w:rPr>
      </w:pPr>
      <w:r w:rsidRPr="009B27FA">
        <w:rPr>
          <w:lang w:val="en-AU"/>
        </w:rPr>
        <w:t xml:space="preserve">These visible actions build trust and create an environment where all staff can feel safe and valued. This not only helps shape the experiences of our people, </w:t>
      </w:r>
      <w:proofErr w:type="gramStart"/>
      <w:r w:rsidRPr="009B27FA">
        <w:rPr>
          <w:lang w:val="en-AU"/>
        </w:rPr>
        <w:t>it</w:t>
      </w:r>
      <w:proofErr w:type="gramEnd"/>
      <w:r w:rsidRPr="009B27FA">
        <w:rPr>
          <w:lang w:val="en-AU"/>
        </w:rPr>
        <w:t xml:space="preserve"> informs the way we serve Victorian communities.</w:t>
      </w:r>
    </w:p>
    <w:p w14:paraId="63F4D88C" w14:textId="77777777" w:rsidR="00930007" w:rsidRDefault="00930007" w:rsidP="00930007">
      <w:pPr>
        <w:pStyle w:val="BodyText"/>
        <w:rPr>
          <w:lang w:val="en-AU"/>
        </w:rPr>
      </w:pPr>
      <w:r w:rsidRPr="009B27FA">
        <w:rPr>
          <w:lang w:val="en-AU"/>
        </w:rPr>
        <w:t>Thank you to everyone who shaped this Plan. DEECA's Board is proud to endorse it and look forward to working alongside all staff to bring it to life, creating a safer, stronger, and more inclusive workplace for everyone.</w:t>
      </w:r>
    </w:p>
    <w:p w14:paraId="43245551" w14:textId="77777777" w:rsidR="00930007" w:rsidRPr="00542CCE" w:rsidRDefault="00930007" w:rsidP="00930007">
      <w:pPr>
        <w:pStyle w:val="BodyText"/>
        <w:spacing w:before="720" w:after="0"/>
        <w:rPr>
          <w:lang w:val="en-AU"/>
        </w:rPr>
      </w:pPr>
      <w:r w:rsidRPr="00542CCE">
        <w:rPr>
          <w:b/>
          <w:bCs/>
          <w:lang w:val="en-AU"/>
        </w:rPr>
        <w:t>John Bradley</w:t>
      </w:r>
      <w:r w:rsidRPr="00542CCE">
        <w:rPr>
          <w:lang w:val="en-AU"/>
        </w:rPr>
        <w:t xml:space="preserve"> (He/Him)</w:t>
      </w:r>
    </w:p>
    <w:p w14:paraId="2F891429" w14:textId="1C237DD8" w:rsidR="00970073" w:rsidRPr="00930007" w:rsidRDefault="00930007" w:rsidP="00970073">
      <w:pPr>
        <w:pStyle w:val="BodyText"/>
        <w:rPr>
          <w:lang w:val="en-AU"/>
        </w:rPr>
      </w:pPr>
      <w:r w:rsidRPr="00542CCE">
        <w:rPr>
          <w:lang w:val="en-AU"/>
        </w:rPr>
        <w:t>DEECA Secretary</w:t>
      </w:r>
    </w:p>
    <w:p w14:paraId="4AD9AD7E" w14:textId="77777777" w:rsidR="00970073" w:rsidRPr="00542CCE" w:rsidRDefault="00970073" w:rsidP="0034499C">
      <w:pPr>
        <w:pStyle w:val="Heading1"/>
        <w:pageBreakBefore/>
        <w:rPr>
          <w:lang w:val="en-AU"/>
        </w:rPr>
      </w:pPr>
      <w:bookmarkStart w:id="2" w:name="_Toc207186380"/>
      <w:r w:rsidRPr="00542CCE">
        <w:rPr>
          <w:lang w:val="en-AU"/>
        </w:rPr>
        <w:lastRenderedPageBreak/>
        <w:t>Acknowledgement</w:t>
      </w:r>
      <w:bookmarkEnd w:id="2"/>
    </w:p>
    <w:p w14:paraId="1BE19C8F" w14:textId="77777777" w:rsidR="00970073" w:rsidRPr="00542CCE" w:rsidRDefault="00970073" w:rsidP="00970073">
      <w:pPr>
        <w:pStyle w:val="BodyText"/>
        <w:rPr>
          <w:b/>
          <w:bCs/>
          <w:lang w:val="en-AU"/>
        </w:rPr>
      </w:pPr>
      <w:r w:rsidRPr="00542CCE">
        <w:rPr>
          <w:b/>
          <w:bCs/>
          <w:lang w:val="en-AU"/>
        </w:rPr>
        <w:t>We proudly recognise Victoria’s First Nations peoples and their enduring strength in maintaining the world’s oldest living culture.</w:t>
      </w:r>
    </w:p>
    <w:p w14:paraId="5FF4FD8D" w14:textId="356ECE0C" w:rsidR="00970073" w:rsidRPr="00542CCE" w:rsidRDefault="00970073" w:rsidP="00970073">
      <w:pPr>
        <w:pStyle w:val="BodyText"/>
        <w:rPr>
          <w:lang w:val="en-AU"/>
        </w:rPr>
      </w:pPr>
      <w:r w:rsidRPr="00542CCE">
        <w:rPr>
          <w:lang w:val="en-AU"/>
        </w:rPr>
        <w:t>We honour the Traditional Owners of the lands and waters where we live and work, and extend our respect to their Elders, past and present. We also acknowledge the unique perspectives, cultures, and expressions of identity of Aboriginal and Torres Strait Islander people of diverse genders and sexualities. We commit to supporting and celebrating these aspects through collaboration with the DEECA Aboriginal staff network, creating opportunities for truth-telling and cultural celebration.</w:t>
      </w:r>
    </w:p>
    <w:p w14:paraId="54B00029" w14:textId="77777777" w:rsidR="00970073" w:rsidRPr="00542CCE" w:rsidRDefault="00970073" w:rsidP="00970073">
      <w:pPr>
        <w:pStyle w:val="Heading1"/>
        <w:rPr>
          <w:lang w:val="en-AU"/>
        </w:rPr>
      </w:pPr>
      <w:bookmarkStart w:id="3" w:name="_Toc207186381"/>
      <w:r w:rsidRPr="00542CCE">
        <w:rPr>
          <w:lang w:val="en-AU"/>
        </w:rPr>
        <w:t>Mission</w:t>
      </w:r>
      <w:bookmarkEnd w:id="3"/>
    </w:p>
    <w:p w14:paraId="75C2ABF2" w14:textId="1A7EEAB8" w:rsidR="00970073" w:rsidRPr="00542CCE" w:rsidRDefault="00970073" w:rsidP="00970073">
      <w:pPr>
        <w:pStyle w:val="BodyText"/>
        <w:rPr>
          <w:b/>
          <w:bCs/>
          <w:lang w:val="en-AU"/>
        </w:rPr>
      </w:pPr>
      <w:r w:rsidRPr="00542CCE">
        <w:rPr>
          <w:b/>
          <w:bCs/>
          <w:lang w:val="en-AU"/>
        </w:rPr>
        <w:t>We are committed to making DEECA a place where equality is a fundamental value, LGBTIQA+ staff are treated with fairness and trusted leadership fosters an inclusive culture.</w:t>
      </w:r>
    </w:p>
    <w:p w14:paraId="484B6B22" w14:textId="77777777" w:rsidR="00970073" w:rsidRPr="00542CCE" w:rsidRDefault="00970073" w:rsidP="00970073">
      <w:pPr>
        <w:pStyle w:val="BodyText"/>
        <w:rPr>
          <w:lang w:val="en-AU"/>
        </w:rPr>
      </w:pPr>
      <w:r w:rsidRPr="00542CCE">
        <w:rPr>
          <w:lang w:val="en-AU"/>
        </w:rPr>
        <w:t>Where LGBTIQA+ staff are treated with fairness and feel comfortable being their authentic selves. Where we celebrate diversity and build inclusive communities for LGBTIQA+ individuals. This policy is vital for DEECA to achieve its mission of equality, fairness, and inclusivity for LGBTIQA+ staff.</w:t>
      </w:r>
    </w:p>
    <w:p w14:paraId="44C475F3" w14:textId="4C23C9E1" w:rsidR="00970073" w:rsidRPr="00542CCE" w:rsidRDefault="00970073" w:rsidP="00970073">
      <w:pPr>
        <w:pStyle w:val="BodyText"/>
        <w:rPr>
          <w:lang w:val="en-AU"/>
        </w:rPr>
      </w:pPr>
      <w:r w:rsidRPr="00542CCE">
        <w:rPr>
          <w:lang w:val="en-AU"/>
        </w:rPr>
        <w:t xml:space="preserve">It supports the organisations alignment with broader whole of government </w:t>
      </w:r>
      <w:r w:rsidRPr="00542CCE">
        <w:rPr>
          <w:i/>
          <w:iCs/>
          <w:lang w:val="en-AU"/>
        </w:rPr>
        <w:t>‘Pride in our future:</w:t>
      </w:r>
      <w:r w:rsidR="0034499C" w:rsidRPr="00542CCE">
        <w:rPr>
          <w:i/>
          <w:iCs/>
          <w:lang w:val="en-AU"/>
        </w:rPr>
        <w:t xml:space="preserve"> </w:t>
      </w:r>
      <w:r w:rsidRPr="00542CCE">
        <w:rPr>
          <w:i/>
          <w:iCs/>
          <w:lang w:val="en-AU"/>
        </w:rPr>
        <w:t>Victoria’s LGBTIQA+ strategy 2022–32’</w:t>
      </w:r>
      <w:r w:rsidRPr="00542CCE">
        <w:rPr>
          <w:lang w:val="en-AU"/>
        </w:rPr>
        <w:t xml:space="preserve"> initiatives and internal standards, enhancing both the culture and DEECA’s overall effectiveness as a diverse and inclusive workplace. This aspirational commitment demonstrates our desire and ongoing dedication to continuous improvement in creating an inclusive workspace for everyone.</w:t>
      </w:r>
    </w:p>
    <w:p w14:paraId="15BA9D1F" w14:textId="77777777" w:rsidR="0034499C" w:rsidRPr="00542CCE" w:rsidRDefault="0034499C" w:rsidP="0034499C">
      <w:pPr>
        <w:pStyle w:val="Heading1"/>
        <w:rPr>
          <w:lang w:val="en-AU"/>
        </w:rPr>
      </w:pPr>
      <w:bookmarkStart w:id="4" w:name="_Toc207186382"/>
      <w:r w:rsidRPr="00542CCE">
        <w:rPr>
          <w:lang w:val="en-AU"/>
        </w:rPr>
        <w:lastRenderedPageBreak/>
        <w:t xml:space="preserve">Why </w:t>
      </w:r>
      <w:proofErr w:type="gramStart"/>
      <w:r w:rsidRPr="00542CCE">
        <w:rPr>
          <w:lang w:val="en-AU"/>
        </w:rPr>
        <w:t>this matters</w:t>
      </w:r>
      <w:bookmarkEnd w:id="4"/>
      <w:proofErr w:type="gramEnd"/>
    </w:p>
    <w:p w14:paraId="332A761E" w14:textId="57B1859B" w:rsidR="0034499C" w:rsidRPr="00542CCE" w:rsidRDefault="0034499C" w:rsidP="0034499C">
      <w:pPr>
        <w:pStyle w:val="BodyText"/>
        <w:rPr>
          <w:lang w:val="en-AU"/>
        </w:rPr>
      </w:pPr>
      <w:r w:rsidRPr="00542CCE">
        <w:rPr>
          <w:lang w:val="en-AU"/>
        </w:rPr>
        <w:t>In Australia, only 32% of organisations have active LGBTQIA+ inclusion strategies, and over a third of LGBTQIA+ employees still feel unable to</w:t>
      </w:r>
      <w:r w:rsidR="000A1FCE">
        <w:rPr>
          <w:lang w:val="en-AU"/>
        </w:rPr>
        <w:t xml:space="preserve"> </w:t>
      </w:r>
      <w:r w:rsidRPr="00542CCE">
        <w:rPr>
          <w:lang w:val="en-AU"/>
        </w:rPr>
        <w:t>be</w:t>
      </w:r>
      <w:r w:rsidR="000A1FCE">
        <w:rPr>
          <w:lang w:val="en-AU"/>
        </w:rPr>
        <w:t xml:space="preserve"> </w:t>
      </w:r>
      <w:r w:rsidRPr="00542CCE">
        <w:rPr>
          <w:lang w:val="en-AU"/>
        </w:rPr>
        <w:t>themselves at work (The Hatchery, 2025).</w:t>
      </w:r>
    </w:p>
    <w:p w14:paraId="0D84E64A" w14:textId="7F023E27" w:rsidR="0034499C" w:rsidRPr="00542CCE" w:rsidRDefault="0034499C" w:rsidP="0034499C">
      <w:pPr>
        <w:pStyle w:val="BodyText"/>
        <w:rPr>
          <w:lang w:val="en-AU"/>
        </w:rPr>
      </w:pPr>
      <w:r w:rsidRPr="00542CCE">
        <w:rPr>
          <w:lang w:val="en-AU"/>
        </w:rPr>
        <w:t>The 2025 People Matter Survey provided crucial insights into the experiences of DEECA’s LGBTIQA+ colleagues, highlighting areas where focused improvements are necessary:</w:t>
      </w:r>
    </w:p>
    <w:p w14:paraId="7E55476C" w14:textId="464B419F" w:rsidR="0034499C" w:rsidRPr="00542CCE" w:rsidRDefault="0034499C" w:rsidP="0034499C">
      <w:pPr>
        <w:pStyle w:val="ListBullet"/>
        <w:rPr>
          <w:lang w:val="en-AU"/>
        </w:rPr>
      </w:pPr>
      <w:r w:rsidRPr="00542CCE">
        <w:rPr>
          <w:b/>
          <w:bCs/>
          <w:lang w:val="en-AU"/>
        </w:rPr>
        <w:t>83%</w:t>
      </w:r>
      <w:r w:rsidRPr="00542CCE">
        <w:rPr>
          <w:lang w:val="en-AU"/>
        </w:rPr>
        <w:t xml:space="preserve"> of DEECA employees reported feeling they can be</w:t>
      </w:r>
      <w:r w:rsidR="000A1FCE">
        <w:rPr>
          <w:lang w:val="en-AU"/>
        </w:rPr>
        <w:t xml:space="preserve"> </w:t>
      </w:r>
      <w:r w:rsidRPr="00542CCE">
        <w:rPr>
          <w:lang w:val="en-AU"/>
        </w:rPr>
        <w:t>themselves at work, leaving</w:t>
      </w:r>
      <w:r w:rsidR="000A1FCE">
        <w:rPr>
          <w:lang w:val="en-AU"/>
        </w:rPr>
        <w:t xml:space="preserve"> </w:t>
      </w:r>
      <w:r w:rsidRPr="00542CCE">
        <w:rPr>
          <w:lang w:val="en-AU"/>
        </w:rPr>
        <w:t>room</w:t>
      </w:r>
      <w:r w:rsidR="000A1FCE">
        <w:rPr>
          <w:lang w:val="en-AU"/>
        </w:rPr>
        <w:t xml:space="preserve"> </w:t>
      </w:r>
      <w:r w:rsidRPr="00542CCE">
        <w:rPr>
          <w:lang w:val="en-AU"/>
        </w:rPr>
        <w:t>to ensure full authenticity is</w:t>
      </w:r>
      <w:r w:rsidR="000A1FCE">
        <w:rPr>
          <w:lang w:val="en-AU"/>
        </w:rPr>
        <w:t xml:space="preserve"> </w:t>
      </w:r>
      <w:r w:rsidRPr="00542CCE">
        <w:rPr>
          <w:lang w:val="en-AU"/>
        </w:rPr>
        <w:t>universally felt.</w:t>
      </w:r>
    </w:p>
    <w:p w14:paraId="0C6856C5" w14:textId="78C7D081" w:rsidR="0034499C" w:rsidRPr="00542CCE" w:rsidRDefault="0034499C" w:rsidP="0034499C">
      <w:pPr>
        <w:pStyle w:val="LastBulletinList"/>
        <w:rPr>
          <w:lang w:val="en-AU"/>
        </w:rPr>
      </w:pPr>
      <w:r w:rsidRPr="00542CCE">
        <w:rPr>
          <w:b/>
          <w:bCs/>
          <w:lang w:val="en-AU"/>
        </w:rPr>
        <w:t>73%</w:t>
      </w:r>
      <w:r w:rsidRPr="00542CCE">
        <w:rPr>
          <w:lang w:val="en-AU"/>
        </w:rPr>
        <w:t xml:space="preserve"> felt a sense of belonging within DEECA, indicating opportunities to strengthen inclusion across our workplaces.</w:t>
      </w:r>
    </w:p>
    <w:p w14:paraId="495D8BB0" w14:textId="480337CB" w:rsidR="0034499C" w:rsidRPr="00542CCE" w:rsidRDefault="0034499C" w:rsidP="006F2294">
      <w:pPr>
        <w:pStyle w:val="BodyText"/>
        <w:spacing w:after="480"/>
        <w:rPr>
          <w:lang w:val="en-AU"/>
        </w:rPr>
      </w:pPr>
      <w:r w:rsidRPr="00542CCE">
        <w:rPr>
          <w:lang w:val="en-AU"/>
        </w:rPr>
        <w:t>Notably, the survey identified significant barriers related to discrimination, bullying, and exclusion based on gender identity and sexual orientation, highlighting the ongoing need for proactive measures and supportive frameworks.</w:t>
      </w:r>
    </w:p>
    <w:p w14:paraId="4F3B3ED6" w14:textId="77777777" w:rsidR="006F2294" w:rsidRPr="00542CCE" w:rsidRDefault="006F2294" w:rsidP="006F2294">
      <w:pPr>
        <w:pStyle w:val="Heading1"/>
        <w:rPr>
          <w:lang w:val="en-AU"/>
        </w:rPr>
      </w:pPr>
      <w:bookmarkStart w:id="5" w:name="_Toc207186383"/>
      <w:r w:rsidRPr="00542CCE">
        <w:rPr>
          <w:lang w:val="en-AU"/>
        </w:rPr>
        <w:t>How did we get here</w:t>
      </w:r>
      <w:bookmarkEnd w:id="5"/>
    </w:p>
    <w:p w14:paraId="2EE67148" w14:textId="3767C830" w:rsidR="006F2294" w:rsidRPr="00542CCE" w:rsidRDefault="006F2294" w:rsidP="006F2294">
      <w:pPr>
        <w:pStyle w:val="BodyText"/>
        <w:rPr>
          <w:b/>
          <w:bCs/>
          <w:lang w:val="en-AU"/>
        </w:rPr>
      </w:pPr>
      <w:r w:rsidRPr="00542CCE">
        <w:rPr>
          <w:b/>
          <w:bCs/>
          <w:lang w:val="en-AU"/>
        </w:rPr>
        <w:t>The development of our mission and LGBTIQA+ Action Plan involved extensive consultations throughout 2024, engaging DEECA’s Place of</w:t>
      </w:r>
      <w:r w:rsidR="000A1FCE">
        <w:rPr>
          <w:b/>
          <w:bCs/>
          <w:lang w:val="en-AU"/>
        </w:rPr>
        <w:t xml:space="preserve"> </w:t>
      </w:r>
      <w:r w:rsidRPr="00542CCE">
        <w:rPr>
          <w:b/>
          <w:bCs/>
          <w:lang w:val="en-AU"/>
        </w:rPr>
        <w:t>Pride</w:t>
      </w:r>
      <w:r w:rsidR="000A1FCE">
        <w:rPr>
          <w:b/>
          <w:bCs/>
          <w:lang w:val="en-AU"/>
        </w:rPr>
        <w:t xml:space="preserve"> </w:t>
      </w:r>
      <w:r w:rsidRPr="00542CCE">
        <w:rPr>
          <w:b/>
          <w:bCs/>
          <w:lang w:val="en-AU"/>
        </w:rPr>
        <w:t>Network members, broader staff networks</w:t>
      </w:r>
      <w:r w:rsidR="000A1FCE">
        <w:rPr>
          <w:b/>
          <w:bCs/>
          <w:lang w:val="en-AU"/>
        </w:rPr>
        <w:t xml:space="preserve"> </w:t>
      </w:r>
      <w:r w:rsidRPr="00542CCE">
        <w:rPr>
          <w:b/>
          <w:bCs/>
          <w:lang w:val="en-AU"/>
        </w:rPr>
        <w:t>and senior leadership.</w:t>
      </w:r>
    </w:p>
    <w:p w14:paraId="5994B351" w14:textId="77777777" w:rsidR="006F2294" w:rsidRPr="00542CCE" w:rsidRDefault="006F2294" w:rsidP="006F2294">
      <w:pPr>
        <w:pStyle w:val="Normalbeforebullets"/>
      </w:pPr>
      <w:r w:rsidRPr="00542CCE">
        <w:t>Key feedback from these engagements emphasised:</w:t>
      </w:r>
    </w:p>
    <w:p w14:paraId="38B0144D" w14:textId="3BEF3A09" w:rsidR="006F2294" w:rsidRPr="00542CCE" w:rsidRDefault="006F2294" w:rsidP="006F2294">
      <w:pPr>
        <w:pStyle w:val="ListBullet"/>
        <w:rPr>
          <w:lang w:val="en-AU"/>
        </w:rPr>
      </w:pPr>
      <w:r w:rsidRPr="00542CCE">
        <w:rPr>
          <w:lang w:val="en-AU"/>
        </w:rPr>
        <w:t>The importance of visible leadership commitment and active allyship to</w:t>
      </w:r>
      <w:r w:rsidR="000A1FCE">
        <w:rPr>
          <w:lang w:val="en-AU"/>
        </w:rPr>
        <w:t xml:space="preserve"> </w:t>
      </w:r>
      <w:r w:rsidRPr="00542CCE">
        <w:rPr>
          <w:lang w:val="en-AU"/>
        </w:rPr>
        <w:t>drive cultural change across both metropolitan and regional worksites.</w:t>
      </w:r>
    </w:p>
    <w:p w14:paraId="56079AB3" w14:textId="77777777" w:rsidR="006F2294" w:rsidRPr="00542CCE" w:rsidRDefault="006F2294" w:rsidP="006F2294">
      <w:pPr>
        <w:pStyle w:val="ListBullet"/>
        <w:rPr>
          <w:lang w:val="en-AU"/>
        </w:rPr>
      </w:pPr>
      <w:r w:rsidRPr="00542CCE">
        <w:rPr>
          <w:lang w:val="en-AU"/>
        </w:rPr>
        <w:lastRenderedPageBreak/>
        <w:t>The ongoing need for targeted educational initiatives addressing unconscious bias, inclusion and respectful workplace practices.</w:t>
      </w:r>
    </w:p>
    <w:p w14:paraId="7CC69EDD" w14:textId="7D01F9E2" w:rsidR="006F2294" w:rsidRPr="00542CCE" w:rsidRDefault="006F2294" w:rsidP="006F2294">
      <w:pPr>
        <w:pStyle w:val="LastBulletinList"/>
        <w:rPr>
          <w:lang w:val="en-AU"/>
        </w:rPr>
      </w:pPr>
      <w:r w:rsidRPr="00542CCE">
        <w:rPr>
          <w:lang w:val="en-AU"/>
        </w:rPr>
        <w:t>Clear calls for enhancing psychological safety and</w:t>
      </w:r>
      <w:r w:rsidR="000A1FCE">
        <w:rPr>
          <w:lang w:val="en-AU"/>
        </w:rPr>
        <w:t xml:space="preserve"> </w:t>
      </w:r>
      <w:r w:rsidRPr="00542CCE">
        <w:rPr>
          <w:lang w:val="en-AU"/>
        </w:rPr>
        <w:t>promoting inclusive practices, particularly benefiting trans and gender diverse employees.</w:t>
      </w:r>
    </w:p>
    <w:p w14:paraId="6AC97C51" w14:textId="537A3D3D" w:rsidR="006F2294" w:rsidRPr="00542CCE" w:rsidRDefault="006F2294" w:rsidP="006F2294">
      <w:pPr>
        <w:pStyle w:val="Heading1"/>
        <w:rPr>
          <w:lang w:val="en-AU"/>
        </w:rPr>
      </w:pPr>
      <w:bookmarkStart w:id="6" w:name="_Toc207186384"/>
      <w:r w:rsidRPr="00542CCE">
        <w:rPr>
          <w:lang w:val="en-AU"/>
        </w:rPr>
        <w:t>Achieving our</w:t>
      </w:r>
      <w:r w:rsidR="000A1FCE">
        <w:rPr>
          <w:lang w:val="en-AU"/>
        </w:rPr>
        <w:t xml:space="preserve"> </w:t>
      </w:r>
      <w:r w:rsidRPr="00542CCE">
        <w:rPr>
          <w:lang w:val="en-AU"/>
        </w:rPr>
        <w:t>mission</w:t>
      </w:r>
      <w:bookmarkEnd w:id="6"/>
    </w:p>
    <w:p w14:paraId="4EB32F2E" w14:textId="2377984E" w:rsidR="006F2294" w:rsidRPr="00542CCE" w:rsidRDefault="006F2294" w:rsidP="006F2294">
      <w:pPr>
        <w:pStyle w:val="BodyText"/>
        <w:rPr>
          <w:b/>
          <w:bCs/>
          <w:lang w:val="en-AU"/>
        </w:rPr>
      </w:pPr>
      <w:r w:rsidRPr="00542CCE">
        <w:rPr>
          <w:b/>
          <w:bCs/>
          <w:lang w:val="en-AU"/>
        </w:rPr>
        <w:t>Our mission is further informed by</w:t>
      </w:r>
      <w:r w:rsidR="000A1FCE">
        <w:rPr>
          <w:b/>
          <w:bCs/>
          <w:lang w:val="en-AU"/>
        </w:rPr>
        <w:t xml:space="preserve"> </w:t>
      </w:r>
      <w:r w:rsidRPr="00542CCE">
        <w:rPr>
          <w:b/>
          <w:bCs/>
          <w:lang w:val="en-AU"/>
        </w:rPr>
        <w:t>both VPS and DEECA’s broader frameworks and strategies.</w:t>
      </w:r>
    </w:p>
    <w:p w14:paraId="4B25C603" w14:textId="3E1AAB06" w:rsidR="006F2294" w:rsidRPr="00542CCE" w:rsidRDefault="006F2294" w:rsidP="006F2294">
      <w:pPr>
        <w:pStyle w:val="BodyText"/>
        <w:rPr>
          <w:lang w:val="en-AU"/>
        </w:rPr>
      </w:pPr>
      <w:r w:rsidRPr="00542CCE">
        <w:rPr>
          <w:lang w:val="en-AU"/>
        </w:rPr>
        <w:t>These strategies recognise the compounded barriers faced by individuals experiencing intersectional identities,</w:t>
      </w:r>
      <w:r w:rsidR="000A1FCE">
        <w:rPr>
          <w:lang w:val="en-AU"/>
        </w:rPr>
        <w:t xml:space="preserve"> </w:t>
      </w:r>
      <w:r w:rsidRPr="00542CCE">
        <w:rPr>
          <w:lang w:val="en-AU"/>
        </w:rPr>
        <w:t>such as LGBTIQA+ individuals who also navigate barriers related to disability, ethnicity, gender</w:t>
      </w:r>
      <w:r w:rsidR="000A1FCE">
        <w:rPr>
          <w:lang w:val="en-AU"/>
        </w:rPr>
        <w:t xml:space="preserve"> </w:t>
      </w:r>
      <w:r w:rsidRPr="00542CCE">
        <w:rPr>
          <w:lang w:val="en-AU"/>
        </w:rPr>
        <w:t>and</w:t>
      </w:r>
      <w:r w:rsidR="000A1FCE">
        <w:rPr>
          <w:lang w:val="en-AU"/>
        </w:rPr>
        <w:t xml:space="preserve"> </w:t>
      </w:r>
      <w:r w:rsidRPr="00542CCE">
        <w:rPr>
          <w:lang w:val="en-AU"/>
        </w:rPr>
        <w:t>cultural background. By linking our LGBTIQA+ Action Plan with these existing frameworks, we</w:t>
      </w:r>
      <w:r w:rsidR="000A1FCE">
        <w:rPr>
          <w:lang w:val="en-AU"/>
        </w:rPr>
        <w:t xml:space="preserve"> </w:t>
      </w:r>
      <w:r w:rsidRPr="00542CCE">
        <w:rPr>
          <w:lang w:val="en-AU"/>
        </w:rPr>
        <w:t>demonstrate</w:t>
      </w:r>
      <w:r w:rsidR="000A1FCE">
        <w:rPr>
          <w:lang w:val="en-AU"/>
        </w:rPr>
        <w:t xml:space="preserve"> </w:t>
      </w:r>
      <w:r w:rsidRPr="00542CCE">
        <w:rPr>
          <w:lang w:val="en-AU"/>
        </w:rPr>
        <w:t>a</w:t>
      </w:r>
      <w:r w:rsidR="000A1FCE">
        <w:rPr>
          <w:lang w:val="en-AU"/>
        </w:rPr>
        <w:t xml:space="preserve"> </w:t>
      </w:r>
      <w:r w:rsidRPr="00542CCE">
        <w:rPr>
          <w:lang w:val="en-AU"/>
        </w:rPr>
        <w:t>holistic commitment to</w:t>
      </w:r>
      <w:r w:rsidR="000A1FCE">
        <w:rPr>
          <w:lang w:val="en-AU"/>
        </w:rPr>
        <w:t xml:space="preserve"> </w:t>
      </w:r>
      <w:r w:rsidRPr="00542CCE">
        <w:rPr>
          <w:lang w:val="en-AU"/>
        </w:rPr>
        <w:t>intersectionality and acknowledge heightened barriers</w:t>
      </w:r>
      <w:r w:rsidR="000A1FCE">
        <w:rPr>
          <w:lang w:val="en-AU"/>
        </w:rPr>
        <w:t xml:space="preserve"> </w:t>
      </w:r>
      <w:r w:rsidRPr="00542CCE">
        <w:rPr>
          <w:lang w:val="en-AU"/>
        </w:rPr>
        <w:t>faced by</w:t>
      </w:r>
      <w:r w:rsidR="000A1FCE">
        <w:rPr>
          <w:lang w:val="en-AU"/>
        </w:rPr>
        <w:t xml:space="preserve"> </w:t>
      </w:r>
      <w:r w:rsidRPr="00542CCE">
        <w:rPr>
          <w:lang w:val="en-AU"/>
        </w:rPr>
        <w:t>those</w:t>
      </w:r>
      <w:r w:rsidR="000A1FCE">
        <w:rPr>
          <w:lang w:val="en-AU"/>
        </w:rPr>
        <w:t xml:space="preserve"> </w:t>
      </w:r>
      <w:r w:rsidRPr="00542CCE">
        <w:rPr>
          <w:lang w:val="en-AU"/>
        </w:rPr>
        <w:t>with intersecting</w:t>
      </w:r>
      <w:r w:rsidR="000A1FCE">
        <w:rPr>
          <w:lang w:val="en-AU"/>
        </w:rPr>
        <w:t xml:space="preserve"> </w:t>
      </w:r>
      <w:r w:rsidRPr="00542CCE">
        <w:rPr>
          <w:lang w:val="en-AU"/>
        </w:rPr>
        <w:t>identities.</w:t>
      </w:r>
    </w:p>
    <w:p w14:paraId="7360FA33" w14:textId="325F2844" w:rsidR="006F2294" w:rsidRPr="00542CCE" w:rsidRDefault="006F2294" w:rsidP="006F2294">
      <w:pPr>
        <w:pStyle w:val="BodyText"/>
        <w:rPr>
          <w:lang w:val="en-AU"/>
        </w:rPr>
      </w:pPr>
      <w:r w:rsidRPr="00542CCE">
        <w:rPr>
          <w:lang w:val="en-AU"/>
        </w:rPr>
        <w:t>Our goal is to equitably build an inclusive, culturally informed workforce that reflects a</w:t>
      </w:r>
      <w:r w:rsidR="000A1FCE">
        <w:rPr>
          <w:lang w:val="en-AU"/>
        </w:rPr>
        <w:t xml:space="preserve"> </w:t>
      </w:r>
      <w:r w:rsidRPr="00542CCE">
        <w:rPr>
          <w:lang w:val="en-AU"/>
        </w:rPr>
        <w:t>diverse range of</w:t>
      </w:r>
      <w:r w:rsidR="000A1FCE">
        <w:rPr>
          <w:lang w:val="en-AU"/>
        </w:rPr>
        <w:t xml:space="preserve"> </w:t>
      </w:r>
      <w:r w:rsidRPr="00542CCE">
        <w:rPr>
          <w:lang w:val="en-AU"/>
        </w:rPr>
        <w:t>backgrounds, experiences, and perspectives. This</w:t>
      </w:r>
      <w:r w:rsidR="000A1FCE">
        <w:rPr>
          <w:lang w:val="en-AU"/>
        </w:rPr>
        <w:t xml:space="preserve"> </w:t>
      </w:r>
      <w:r w:rsidRPr="00542CCE">
        <w:rPr>
          <w:lang w:val="en-AU"/>
        </w:rPr>
        <w:t>diversity enriches creativity, problem-solving and innovation. An</w:t>
      </w:r>
      <w:r w:rsidR="000A1FCE">
        <w:rPr>
          <w:lang w:val="en-AU"/>
        </w:rPr>
        <w:t xml:space="preserve"> </w:t>
      </w:r>
      <w:r w:rsidRPr="00542CCE">
        <w:rPr>
          <w:lang w:val="en-AU"/>
        </w:rPr>
        <w:t>inclusive workplace is one where everyone feels they can be their full self and are safe to</w:t>
      </w:r>
      <w:r w:rsidR="000A1FCE">
        <w:rPr>
          <w:lang w:val="en-AU"/>
        </w:rPr>
        <w:t xml:space="preserve"> </w:t>
      </w:r>
      <w:r w:rsidRPr="00542CCE">
        <w:rPr>
          <w:lang w:val="en-AU"/>
        </w:rPr>
        <w:t>do so.</w:t>
      </w:r>
    </w:p>
    <w:p w14:paraId="440ADFC8" w14:textId="201FD1FC" w:rsidR="006F2294" w:rsidRPr="00542CCE" w:rsidRDefault="006F2294" w:rsidP="006F2294">
      <w:pPr>
        <w:pStyle w:val="Heading1"/>
        <w:rPr>
          <w:lang w:val="en-AU"/>
        </w:rPr>
      </w:pPr>
      <w:bookmarkStart w:id="7" w:name="_Toc207186385"/>
      <w:r w:rsidRPr="00542CCE">
        <w:rPr>
          <w:lang w:val="en-AU"/>
        </w:rPr>
        <w:t>Focus areas</w:t>
      </w:r>
      <w:bookmarkEnd w:id="7"/>
    </w:p>
    <w:p w14:paraId="7037C5D5" w14:textId="7FC76AFD" w:rsidR="006F2294" w:rsidRPr="00542CCE" w:rsidRDefault="006F2294" w:rsidP="006F2294">
      <w:pPr>
        <w:pStyle w:val="BodyText"/>
        <w:ind w:right="-143"/>
        <w:rPr>
          <w:b/>
          <w:bCs/>
          <w:lang w:val="en-AU"/>
        </w:rPr>
      </w:pPr>
      <w:r w:rsidRPr="00542CCE">
        <w:rPr>
          <w:b/>
          <w:bCs/>
          <w:lang w:val="en-AU"/>
        </w:rPr>
        <w:t>The Place of Pride Network Action Plan (reviewed annually by the Place</w:t>
      </w:r>
      <w:r w:rsidR="000A1FCE">
        <w:rPr>
          <w:b/>
          <w:bCs/>
          <w:lang w:val="en-AU"/>
        </w:rPr>
        <w:t xml:space="preserve"> </w:t>
      </w:r>
      <w:r w:rsidRPr="00542CCE">
        <w:rPr>
          <w:b/>
          <w:bCs/>
          <w:lang w:val="en-AU"/>
        </w:rPr>
        <w:t>of Pride Network) is the department’s dedicated LGBTIQA+ staff</w:t>
      </w:r>
      <w:r w:rsidR="000A1FCE">
        <w:rPr>
          <w:b/>
          <w:bCs/>
          <w:lang w:val="en-AU"/>
        </w:rPr>
        <w:t xml:space="preserve"> </w:t>
      </w:r>
      <w:r w:rsidRPr="00542CCE">
        <w:rPr>
          <w:b/>
          <w:bCs/>
          <w:lang w:val="en-AU"/>
        </w:rPr>
        <w:t>and ally network action plan.</w:t>
      </w:r>
    </w:p>
    <w:p w14:paraId="0F8F0116" w14:textId="662A706C" w:rsidR="006F2294" w:rsidRPr="00542CCE" w:rsidRDefault="006F2294" w:rsidP="006F2294">
      <w:pPr>
        <w:pStyle w:val="BodyText"/>
        <w:rPr>
          <w:lang w:val="en-AU"/>
        </w:rPr>
      </w:pPr>
      <w:r w:rsidRPr="00542CCE">
        <w:rPr>
          <w:lang w:val="en-AU"/>
        </w:rPr>
        <w:t xml:space="preserve">It specifically outlines targeted actions and strategies to empower DEECA as an organisation where LGBTIQA+ employees feel comfortable and proud to be their whole </w:t>
      </w:r>
      <w:r w:rsidRPr="00542CCE">
        <w:rPr>
          <w:lang w:val="en-AU"/>
        </w:rPr>
        <w:lastRenderedPageBreak/>
        <w:t>selves at work. The plan is inspired by the three core strategic priorities, each designed to promote an inclusive workplace culture, enhance awareness of LGBTIQA+ issues and foster meaningful connections within DEECA and the broader community.</w:t>
      </w:r>
    </w:p>
    <w:p w14:paraId="65AA8022" w14:textId="77777777" w:rsidR="006F2294" w:rsidRPr="00542CCE" w:rsidRDefault="006F2294" w:rsidP="00A7327D">
      <w:pPr>
        <w:pStyle w:val="HighlightBox"/>
        <w:spacing w:after="0"/>
        <w:rPr>
          <w:b/>
          <w:bCs/>
          <w:lang w:val="en-AU"/>
        </w:rPr>
      </w:pPr>
      <w:r w:rsidRPr="00542CCE">
        <w:rPr>
          <w:b/>
          <w:bCs/>
          <w:lang w:val="en-AU"/>
        </w:rPr>
        <w:t>Inclusion (Work Together)</w:t>
      </w:r>
    </w:p>
    <w:p w14:paraId="65ADDD9E" w14:textId="590276E9" w:rsidR="006F2294" w:rsidRPr="00542CCE" w:rsidRDefault="006F2294" w:rsidP="00A7327D">
      <w:pPr>
        <w:pStyle w:val="HighlightBox"/>
        <w:spacing w:before="0" w:after="0"/>
        <w:rPr>
          <w:lang w:val="en-AU"/>
        </w:rPr>
      </w:pPr>
      <w:r w:rsidRPr="00542CCE">
        <w:rPr>
          <w:lang w:val="en-AU"/>
        </w:rPr>
        <w:t>We connect with others and work together to create an inclusive culture, no matter where you are located.</w:t>
      </w:r>
    </w:p>
    <w:p w14:paraId="68FF34C6" w14:textId="77777777" w:rsidR="00A7327D" w:rsidRPr="00542CCE" w:rsidRDefault="00A7327D" w:rsidP="00A7327D">
      <w:pPr>
        <w:pStyle w:val="BodyText"/>
        <w:spacing w:line="240" w:lineRule="auto"/>
        <w:rPr>
          <w:lang w:val="en-AU"/>
        </w:rPr>
      </w:pPr>
    </w:p>
    <w:p w14:paraId="4B5201D1" w14:textId="6AFF8C2C" w:rsidR="00A7327D" w:rsidRPr="00542CCE" w:rsidRDefault="00A7327D" w:rsidP="00A7327D">
      <w:pPr>
        <w:pStyle w:val="HighlightBox"/>
        <w:spacing w:after="0"/>
        <w:rPr>
          <w:b/>
          <w:bCs/>
          <w:lang w:val="en-AU"/>
        </w:rPr>
      </w:pPr>
      <w:r w:rsidRPr="00542CCE">
        <w:rPr>
          <w:b/>
          <w:bCs/>
          <w:lang w:val="en-AU"/>
        </w:rPr>
        <w:t>Connections (Do What Matters)</w:t>
      </w:r>
    </w:p>
    <w:p w14:paraId="778F34DF" w14:textId="241C90EF" w:rsidR="00A7327D" w:rsidRPr="00542CCE" w:rsidRDefault="00A7327D" w:rsidP="00A7327D">
      <w:pPr>
        <w:pStyle w:val="HighlightBox"/>
        <w:spacing w:before="0" w:after="0"/>
        <w:rPr>
          <w:lang w:val="en-AU"/>
        </w:rPr>
      </w:pPr>
      <w:r w:rsidRPr="00542CCE">
        <w:rPr>
          <w:lang w:val="en-AU"/>
        </w:rPr>
        <w:t>We prioritise thriving communities by connecting our people.</w:t>
      </w:r>
    </w:p>
    <w:p w14:paraId="2B26F5ED" w14:textId="77777777" w:rsidR="00A7327D" w:rsidRPr="00542CCE" w:rsidRDefault="00A7327D" w:rsidP="00A7327D">
      <w:pPr>
        <w:pStyle w:val="BodyText"/>
        <w:spacing w:line="240" w:lineRule="auto"/>
        <w:rPr>
          <w:lang w:val="en-AU"/>
        </w:rPr>
      </w:pPr>
    </w:p>
    <w:p w14:paraId="42719D33" w14:textId="77777777" w:rsidR="00A7327D" w:rsidRPr="00542CCE" w:rsidRDefault="00A7327D" w:rsidP="00A7327D">
      <w:pPr>
        <w:pStyle w:val="HighlightBox"/>
        <w:spacing w:after="0"/>
        <w:rPr>
          <w:b/>
          <w:bCs/>
          <w:lang w:val="en-AU"/>
        </w:rPr>
      </w:pPr>
      <w:r w:rsidRPr="00542CCE">
        <w:rPr>
          <w:b/>
          <w:bCs/>
          <w:lang w:val="en-AU"/>
        </w:rPr>
        <w:t>Awareness (Make a Difference)</w:t>
      </w:r>
    </w:p>
    <w:p w14:paraId="0C67FFD5" w14:textId="1D75D37D" w:rsidR="00A7327D" w:rsidRPr="00542CCE" w:rsidRDefault="00A7327D" w:rsidP="00A7327D">
      <w:pPr>
        <w:pStyle w:val="HighlightBox"/>
        <w:spacing w:before="0"/>
        <w:rPr>
          <w:lang w:val="en-AU"/>
        </w:rPr>
      </w:pPr>
      <w:r w:rsidRPr="00542CCE">
        <w:rPr>
          <w:lang w:val="en-AU"/>
        </w:rPr>
        <w:t>We make a difference by speaking</w:t>
      </w:r>
      <w:r w:rsidR="000A1FCE">
        <w:rPr>
          <w:lang w:val="en-AU"/>
        </w:rPr>
        <w:t xml:space="preserve"> </w:t>
      </w:r>
      <w:r w:rsidRPr="00542CCE">
        <w:rPr>
          <w:lang w:val="en-AU"/>
        </w:rPr>
        <w:t>up on LGBTIQA+ issues and advocating for change.</w:t>
      </w:r>
    </w:p>
    <w:p w14:paraId="68915032" w14:textId="77777777" w:rsidR="00CA7AAD" w:rsidRPr="00542CCE" w:rsidRDefault="00CA7AAD" w:rsidP="00CA7AAD">
      <w:pPr>
        <w:pStyle w:val="Heading1"/>
        <w:pageBreakBefore/>
        <w:rPr>
          <w:lang w:val="en-AU"/>
        </w:rPr>
      </w:pPr>
      <w:bookmarkStart w:id="8" w:name="_Toc207186386"/>
      <w:r w:rsidRPr="00542CCE">
        <w:rPr>
          <w:lang w:val="en-AU"/>
        </w:rPr>
        <w:lastRenderedPageBreak/>
        <w:t>Action Plan</w:t>
      </w:r>
      <w:bookmarkEnd w:id="8"/>
    </w:p>
    <w:p w14:paraId="71005448" w14:textId="29BE7F88" w:rsidR="00A7327D" w:rsidRPr="00542CCE" w:rsidRDefault="00CA7AAD" w:rsidP="00CA7AAD">
      <w:pPr>
        <w:pStyle w:val="BodyText"/>
        <w:rPr>
          <w:b/>
          <w:bCs/>
          <w:lang w:val="en-AU"/>
        </w:rPr>
      </w:pPr>
      <w:r w:rsidRPr="00542CCE">
        <w:rPr>
          <w:b/>
          <w:bCs/>
          <w:lang w:val="en-AU"/>
        </w:rPr>
        <w:t>To achieve our mission, we will concentrate on the following Focus Areas and Actions, inspired and established by Place of Pride’s focus areas:</w:t>
      </w:r>
    </w:p>
    <w:p w14:paraId="2129D0CB" w14:textId="72C76ADB" w:rsidR="00CA7AAD" w:rsidRPr="00542CCE" w:rsidRDefault="00CA7AAD" w:rsidP="00CA7AAD">
      <w:pPr>
        <w:pStyle w:val="Heading2"/>
        <w:rPr>
          <w:lang w:val="en-AU"/>
        </w:rPr>
      </w:pPr>
      <w:bookmarkStart w:id="9" w:name="_Toc207186387"/>
      <w:r w:rsidRPr="00542CCE">
        <w:rPr>
          <w:lang w:val="en-AU"/>
        </w:rPr>
        <w:t>Focus Area 1</w:t>
      </w:r>
      <w:r w:rsidR="000A1FCE">
        <w:rPr>
          <w:lang w:val="en-AU"/>
        </w:rPr>
        <w:t>:</w:t>
      </w:r>
      <w:r w:rsidRPr="00542CCE">
        <w:rPr>
          <w:lang w:val="en-AU"/>
        </w:rPr>
        <w:t xml:space="preserve"> Fostering an Inclusive, Safe &amp; Respectful Workplace Culture</w:t>
      </w:r>
      <w:bookmarkEnd w:id="9"/>
    </w:p>
    <w:p w14:paraId="27481410" w14:textId="55F67921" w:rsidR="00392051" w:rsidRPr="00542CCE" w:rsidRDefault="00CA7AAD" w:rsidP="00392051">
      <w:pPr>
        <w:pStyle w:val="BodyText"/>
        <w:spacing w:after="0"/>
        <w:rPr>
          <w:lang w:val="en-AU"/>
        </w:rPr>
      </w:pPr>
      <w:r w:rsidRPr="00542CCE">
        <w:rPr>
          <w:lang w:val="en-AU"/>
        </w:rPr>
        <w:t>Create a supportive and inclusive environment across all DEECA locations, including metropolitan, regional, office, field staff and emergency deployments, with all levels of DEECA proactively preventing and responding to instances of homophobia, transphobia and biphobia.</w:t>
      </w:r>
    </w:p>
    <w:p w14:paraId="52B566F2" w14:textId="0E73B45F" w:rsidR="00392051" w:rsidRDefault="00392051" w:rsidP="00392051">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92051">
        <w:rPr>
          <w:b w:val="0"/>
          <w:bCs/>
        </w:rPr>
        <w:t>Focus Area 1 – Outcomes, key actions, timeline and accountability</w:t>
      </w:r>
    </w:p>
    <w:tbl>
      <w:tblPr>
        <w:tblStyle w:val="Style2"/>
        <w:tblW w:w="5000" w:type="pct"/>
        <w:tblLook w:val="0020" w:firstRow="1" w:lastRow="0" w:firstColumn="0" w:lastColumn="0" w:noHBand="0" w:noVBand="0"/>
        <w:tblCaption w:val="Table 1: Focus Area 1 – Outcomes, key actions, timeline and accountability"/>
        <w:tblDescription w:val="Table 1: Focus Area 1 – Outcomes, key actions, timeline and accountability"/>
      </w:tblPr>
      <w:tblGrid>
        <w:gridCol w:w="2143"/>
        <w:gridCol w:w="3847"/>
        <w:gridCol w:w="1372"/>
        <w:gridCol w:w="2256"/>
      </w:tblGrid>
      <w:tr w:rsidR="00930007" w:rsidRPr="00542CCE" w14:paraId="563624E4" w14:textId="77777777" w:rsidTr="00CA7AAD">
        <w:trPr>
          <w:cnfStyle w:val="100000000000" w:firstRow="1" w:lastRow="0" w:firstColumn="0" w:lastColumn="0" w:oddVBand="0" w:evenVBand="0" w:oddHBand="0" w:evenHBand="0" w:firstRowFirstColumn="0" w:firstRowLastColumn="0" w:lastRowFirstColumn="0" w:lastRowLastColumn="0"/>
          <w:cantSplit/>
          <w:trHeight w:val="60"/>
          <w:tblHeader/>
        </w:trPr>
        <w:tc>
          <w:tcPr>
            <w:tcW w:w="1114" w:type="pct"/>
          </w:tcPr>
          <w:p w14:paraId="611CA0B2" w14:textId="77777777" w:rsidR="00CA7AAD" w:rsidRPr="00542CCE" w:rsidRDefault="00CA7AAD" w:rsidP="00CA7AAD">
            <w:pPr>
              <w:pStyle w:val="Tabletext"/>
              <w:spacing w:line="240" w:lineRule="auto"/>
              <w:rPr>
                <w:sz w:val="22"/>
                <w:lang w:val="en-AU"/>
              </w:rPr>
            </w:pPr>
            <w:r w:rsidRPr="00542CCE">
              <w:rPr>
                <w:sz w:val="22"/>
                <w:lang w:val="en-AU"/>
              </w:rPr>
              <w:t>Outcome</w:t>
            </w:r>
          </w:p>
        </w:tc>
        <w:tc>
          <w:tcPr>
            <w:tcW w:w="2000" w:type="pct"/>
          </w:tcPr>
          <w:p w14:paraId="224DA947" w14:textId="77777777" w:rsidR="00CA7AAD" w:rsidRPr="00542CCE" w:rsidRDefault="00CA7AAD" w:rsidP="00CA7AAD">
            <w:pPr>
              <w:pStyle w:val="Tabletext"/>
              <w:spacing w:line="240" w:lineRule="auto"/>
              <w:rPr>
                <w:sz w:val="22"/>
                <w:lang w:val="en-AU"/>
              </w:rPr>
            </w:pPr>
            <w:r w:rsidRPr="00542CCE">
              <w:rPr>
                <w:sz w:val="22"/>
                <w:lang w:val="en-AU"/>
              </w:rPr>
              <w:t>Key Actions</w:t>
            </w:r>
          </w:p>
        </w:tc>
        <w:tc>
          <w:tcPr>
            <w:tcW w:w="713" w:type="pct"/>
          </w:tcPr>
          <w:p w14:paraId="1863DB38" w14:textId="77777777" w:rsidR="00CA7AAD" w:rsidRPr="00542CCE" w:rsidRDefault="00CA7AAD" w:rsidP="00CA7AAD">
            <w:pPr>
              <w:pStyle w:val="Tabletext"/>
              <w:spacing w:line="240" w:lineRule="auto"/>
              <w:rPr>
                <w:sz w:val="22"/>
                <w:lang w:val="en-AU"/>
              </w:rPr>
            </w:pPr>
            <w:r w:rsidRPr="00542CCE">
              <w:rPr>
                <w:sz w:val="22"/>
                <w:lang w:val="en-AU"/>
              </w:rPr>
              <w:t>Timeline</w:t>
            </w:r>
          </w:p>
        </w:tc>
        <w:tc>
          <w:tcPr>
            <w:tcW w:w="1173" w:type="pct"/>
          </w:tcPr>
          <w:p w14:paraId="49DD9F54" w14:textId="77777777" w:rsidR="00CA7AAD" w:rsidRPr="00542CCE" w:rsidRDefault="00CA7AAD" w:rsidP="00CA7AAD">
            <w:pPr>
              <w:pStyle w:val="Tabletext"/>
              <w:spacing w:line="240" w:lineRule="auto"/>
              <w:rPr>
                <w:sz w:val="22"/>
                <w:lang w:val="en-AU"/>
              </w:rPr>
            </w:pPr>
            <w:r w:rsidRPr="00542CCE">
              <w:rPr>
                <w:sz w:val="22"/>
                <w:lang w:val="en-AU"/>
              </w:rPr>
              <w:t>Accountability</w:t>
            </w:r>
          </w:p>
        </w:tc>
      </w:tr>
      <w:tr w:rsidR="00CA7AAD" w:rsidRPr="00542CCE" w14:paraId="6904C340" w14:textId="77777777" w:rsidTr="00CA7AAD">
        <w:trPr>
          <w:trHeight w:val="60"/>
        </w:trPr>
        <w:tc>
          <w:tcPr>
            <w:tcW w:w="1114" w:type="pct"/>
          </w:tcPr>
          <w:p w14:paraId="763234B0" w14:textId="178A57DF" w:rsidR="00CA7AAD" w:rsidRPr="00542CCE" w:rsidRDefault="00CA7AAD" w:rsidP="00CA7AAD">
            <w:pPr>
              <w:pStyle w:val="Tabletext"/>
              <w:rPr>
                <w:sz w:val="22"/>
                <w:lang w:val="en-AU"/>
              </w:rPr>
            </w:pPr>
            <w:r w:rsidRPr="00542CCE">
              <w:rPr>
                <w:b/>
                <w:bCs/>
                <w:sz w:val="22"/>
                <w:lang w:val="en-AU"/>
              </w:rPr>
              <w:t>1.1</w:t>
            </w:r>
            <w:r w:rsidRPr="00542CCE">
              <w:rPr>
                <w:sz w:val="22"/>
                <w:lang w:val="en-AU"/>
              </w:rPr>
              <w:t xml:space="preserve"> </w:t>
            </w:r>
            <w:r w:rsidRPr="00542CCE">
              <w:rPr>
                <w:sz w:val="22"/>
                <w:lang w:val="en-AU"/>
              </w:rPr>
              <w:br/>
              <w:t>DEECA proactively prevents</w:t>
            </w:r>
            <w:r w:rsidR="000A1FCE">
              <w:rPr>
                <w:sz w:val="22"/>
                <w:lang w:val="en-AU"/>
              </w:rPr>
              <w:t xml:space="preserve"> </w:t>
            </w:r>
            <w:r w:rsidRPr="00542CCE">
              <w:rPr>
                <w:sz w:val="22"/>
                <w:lang w:val="en-AU"/>
              </w:rPr>
              <w:t>and responds to</w:t>
            </w:r>
            <w:r w:rsidR="000A1FCE">
              <w:rPr>
                <w:sz w:val="22"/>
                <w:lang w:val="en-AU"/>
              </w:rPr>
              <w:t xml:space="preserve"> </w:t>
            </w:r>
            <w:r w:rsidRPr="00542CCE">
              <w:rPr>
                <w:sz w:val="22"/>
                <w:lang w:val="en-AU"/>
              </w:rPr>
              <w:t>discrimination and</w:t>
            </w:r>
            <w:r w:rsidR="000A1FCE">
              <w:rPr>
                <w:sz w:val="22"/>
                <w:lang w:val="en-AU"/>
              </w:rPr>
              <w:t xml:space="preserve"> </w:t>
            </w:r>
            <w:r w:rsidRPr="00542CCE">
              <w:rPr>
                <w:sz w:val="22"/>
                <w:lang w:val="en-AU"/>
              </w:rPr>
              <w:t>harassment</w:t>
            </w:r>
          </w:p>
        </w:tc>
        <w:tc>
          <w:tcPr>
            <w:tcW w:w="2000" w:type="pct"/>
          </w:tcPr>
          <w:p w14:paraId="7F1C396C" w14:textId="5E9A4F20" w:rsidR="00CA7AAD" w:rsidRPr="00542CCE" w:rsidRDefault="00CA7AAD" w:rsidP="00CA7AAD">
            <w:pPr>
              <w:pStyle w:val="Tabletext"/>
              <w:rPr>
                <w:sz w:val="22"/>
                <w:lang w:val="en-AU"/>
              </w:rPr>
            </w:pPr>
            <w:r w:rsidRPr="00542CCE">
              <w:rPr>
                <w:b/>
                <w:bCs/>
                <w:sz w:val="22"/>
                <w:lang w:val="en-AU"/>
              </w:rPr>
              <w:t>1.1.1</w:t>
            </w:r>
            <w:r w:rsidRPr="00542CCE">
              <w:rPr>
                <w:sz w:val="22"/>
                <w:lang w:val="en-AU"/>
              </w:rPr>
              <w:t xml:space="preserve"> </w:t>
            </w:r>
            <w:r w:rsidRPr="00542CCE">
              <w:rPr>
                <w:sz w:val="22"/>
                <w:lang w:val="en-AU"/>
              </w:rPr>
              <w:br/>
              <w:t>Revise and update workplace behaviour</w:t>
            </w:r>
            <w:r w:rsidR="000A1FCE">
              <w:rPr>
                <w:sz w:val="22"/>
                <w:lang w:val="en-AU"/>
              </w:rPr>
              <w:t xml:space="preserve"> </w:t>
            </w:r>
            <w:r w:rsidRPr="00542CCE">
              <w:rPr>
                <w:sz w:val="22"/>
                <w:lang w:val="en-AU"/>
              </w:rPr>
              <w:t xml:space="preserve">policies to explicitly include homophobia, transphobia, biphobia and to align with best practice policies and tools such as the </w:t>
            </w:r>
            <w:hyperlink r:id="rId10" w:anchor=":~:text=The%20guideline%20includes%20helpful%20information%20on%20the%20law,their%20positive%20duty%20under%20the%20Equal%20Opportunity%20Act" w:tooltip="Hyperlink to Victorian Equal Opportunity and Human Rights Commission website" w:history="1">
              <w:r w:rsidRPr="00542CCE">
                <w:rPr>
                  <w:rStyle w:val="Hyperlink"/>
                  <w:sz w:val="22"/>
                  <w:lang w:val="en-AU"/>
                </w:rPr>
                <w:t>LGBTIQA+ Inclusive Workplaces Guideline</w:t>
              </w:r>
            </w:hyperlink>
            <w:r w:rsidRPr="00542CCE">
              <w:rPr>
                <w:sz w:val="22"/>
                <w:lang w:val="en-AU"/>
              </w:rPr>
              <w:t xml:space="preserve"> by the Victorian Equal Opportunity and Human Rights Commission’.</w:t>
            </w:r>
          </w:p>
        </w:tc>
        <w:tc>
          <w:tcPr>
            <w:tcW w:w="713" w:type="pct"/>
          </w:tcPr>
          <w:p w14:paraId="78D3DD3E" w14:textId="77777777" w:rsidR="00CA7AAD" w:rsidRPr="00542CCE" w:rsidRDefault="00CA7AAD" w:rsidP="00CA7AAD">
            <w:pPr>
              <w:pStyle w:val="Tabletext"/>
              <w:rPr>
                <w:sz w:val="22"/>
                <w:lang w:val="en-AU"/>
              </w:rPr>
            </w:pPr>
            <w:r w:rsidRPr="00542CCE">
              <w:rPr>
                <w:sz w:val="22"/>
                <w:lang w:val="en-AU"/>
              </w:rPr>
              <w:t xml:space="preserve">Q2 2025 – </w:t>
            </w:r>
            <w:r w:rsidRPr="00542CCE">
              <w:rPr>
                <w:sz w:val="22"/>
                <w:lang w:val="en-AU"/>
              </w:rPr>
              <w:br/>
              <w:t>Q2 2027</w:t>
            </w:r>
          </w:p>
        </w:tc>
        <w:tc>
          <w:tcPr>
            <w:tcW w:w="1173" w:type="pct"/>
          </w:tcPr>
          <w:p w14:paraId="72DB7AD9" w14:textId="77777777" w:rsidR="00CA7AAD" w:rsidRPr="00542CCE" w:rsidRDefault="00CA7AAD" w:rsidP="00CA7AAD">
            <w:pPr>
              <w:pStyle w:val="Tabletext"/>
              <w:rPr>
                <w:sz w:val="22"/>
                <w:lang w:val="en-AU"/>
              </w:rPr>
            </w:pPr>
            <w:r w:rsidRPr="00542CCE">
              <w:rPr>
                <w:sz w:val="22"/>
                <w:lang w:val="en-AU"/>
              </w:rPr>
              <w:t>Corporate Services Group, Diversity &amp; Inclusion</w:t>
            </w:r>
          </w:p>
        </w:tc>
      </w:tr>
      <w:tr w:rsidR="00CA7AAD" w:rsidRPr="00542CCE" w14:paraId="730B7C67" w14:textId="77777777" w:rsidTr="00CA7AAD">
        <w:trPr>
          <w:trHeight w:val="60"/>
        </w:trPr>
        <w:tc>
          <w:tcPr>
            <w:tcW w:w="1114" w:type="pct"/>
          </w:tcPr>
          <w:p w14:paraId="76C36828" w14:textId="3751F2EF" w:rsidR="00CA7AAD" w:rsidRPr="00542CCE" w:rsidRDefault="00CA7AAD" w:rsidP="00CA7AAD">
            <w:pPr>
              <w:pStyle w:val="Tabletext"/>
              <w:rPr>
                <w:sz w:val="22"/>
                <w:lang w:val="en-AU"/>
              </w:rPr>
            </w:pPr>
            <w:r w:rsidRPr="00542CCE">
              <w:rPr>
                <w:b/>
                <w:bCs/>
                <w:sz w:val="22"/>
                <w:lang w:val="en-AU"/>
              </w:rPr>
              <w:t>1.2</w:t>
            </w:r>
            <w:r w:rsidRPr="00542CCE">
              <w:rPr>
                <w:sz w:val="22"/>
                <w:lang w:val="en-AU"/>
              </w:rPr>
              <w:t xml:space="preserve"> </w:t>
            </w:r>
            <w:r w:rsidRPr="00542CCE">
              <w:rPr>
                <w:sz w:val="22"/>
                <w:lang w:val="en-AU"/>
              </w:rPr>
              <w:br/>
              <w:t>Create visibly inclusive environments across all</w:t>
            </w:r>
            <w:r w:rsidR="000A1FCE">
              <w:rPr>
                <w:sz w:val="22"/>
                <w:lang w:val="en-AU"/>
              </w:rPr>
              <w:t xml:space="preserve"> </w:t>
            </w:r>
            <w:r w:rsidRPr="00542CCE">
              <w:rPr>
                <w:sz w:val="22"/>
                <w:lang w:val="en-AU"/>
              </w:rPr>
              <w:t>work locations</w:t>
            </w:r>
          </w:p>
        </w:tc>
        <w:tc>
          <w:tcPr>
            <w:tcW w:w="2000" w:type="pct"/>
          </w:tcPr>
          <w:p w14:paraId="417FB4AD" w14:textId="2EFD72DE" w:rsidR="00CA7AAD" w:rsidRPr="00542CCE" w:rsidRDefault="00CA7AAD" w:rsidP="00CA7AAD">
            <w:pPr>
              <w:pStyle w:val="Tabletext"/>
              <w:rPr>
                <w:sz w:val="22"/>
                <w:lang w:val="en-AU"/>
              </w:rPr>
            </w:pPr>
            <w:r w:rsidRPr="00542CCE">
              <w:rPr>
                <w:b/>
                <w:bCs/>
                <w:sz w:val="22"/>
                <w:lang w:val="en-AU"/>
              </w:rPr>
              <w:t>1.2.1</w:t>
            </w:r>
            <w:r w:rsidRPr="00542CCE">
              <w:rPr>
                <w:sz w:val="22"/>
                <w:lang w:val="en-AU"/>
              </w:rPr>
              <w:t xml:space="preserve"> </w:t>
            </w:r>
            <w:r w:rsidRPr="00542CCE">
              <w:rPr>
                <w:sz w:val="22"/>
                <w:lang w:val="en-AU"/>
              </w:rPr>
              <w:br/>
              <w:t>Make the workplace more inclusive by adding</w:t>
            </w:r>
            <w:r w:rsidR="000A1FCE">
              <w:rPr>
                <w:sz w:val="22"/>
                <w:lang w:val="en-AU"/>
              </w:rPr>
              <w:t xml:space="preserve"> </w:t>
            </w:r>
            <w:r w:rsidRPr="00542CCE">
              <w:rPr>
                <w:sz w:val="22"/>
                <w:lang w:val="en-AU"/>
              </w:rPr>
              <w:t>welcome signs, providing accessible all-gender bathrooms, and ensuring events, equipment, travel, and accommodation are inclusive of all gender identities.</w:t>
            </w:r>
          </w:p>
        </w:tc>
        <w:tc>
          <w:tcPr>
            <w:tcW w:w="713" w:type="pct"/>
          </w:tcPr>
          <w:p w14:paraId="5B432B23" w14:textId="77777777" w:rsidR="00CA7AAD" w:rsidRPr="00542CCE" w:rsidRDefault="00CA7AAD" w:rsidP="00CA7AAD">
            <w:pPr>
              <w:pStyle w:val="Tabletext"/>
              <w:rPr>
                <w:sz w:val="22"/>
                <w:lang w:val="en-AU"/>
              </w:rPr>
            </w:pPr>
            <w:r w:rsidRPr="00542CCE">
              <w:rPr>
                <w:sz w:val="22"/>
                <w:lang w:val="en-AU"/>
              </w:rPr>
              <w:t xml:space="preserve">Q2 2025 – </w:t>
            </w:r>
            <w:r w:rsidRPr="00542CCE">
              <w:rPr>
                <w:sz w:val="22"/>
                <w:lang w:val="en-AU"/>
              </w:rPr>
              <w:br/>
              <w:t>Q3 2028</w:t>
            </w:r>
          </w:p>
        </w:tc>
        <w:tc>
          <w:tcPr>
            <w:tcW w:w="1173" w:type="pct"/>
          </w:tcPr>
          <w:p w14:paraId="3ADAB2D6" w14:textId="77777777" w:rsidR="00CA7AAD" w:rsidRPr="00542CCE" w:rsidRDefault="00CA7AAD" w:rsidP="00CA7AAD">
            <w:pPr>
              <w:pStyle w:val="Tabletext"/>
              <w:rPr>
                <w:sz w:val="22"/>
                <w:lang w:val="en-AU"/>
              </w:rPr>
            </w:pPr>
            <w:r w:rsidRPr="00542CCE">
              <w:rPr>
                <w:sz w:val="22"/>
                <w:lang w:val="en-AU"/>
              </w:rPr>
              <w:t>Corporate Services Group, Diversity &amp; Inclusion</w:t>
            </w:r>
          </w:p>
        </w:tc>
      </w:tr>
    </w:tbl>
    <w:p w14:paraId="611FF35E" w14:textId="77777777" w:rsidR="005F4ADC" w:rsidRPr="00542CCE" w:rsidRDefault="005F4ADC" w:rsidP="00392051">
      <w:pPr>
        <w:pStyle w:val="Heading2"/>
        <w:pageBreakBefore/>
        <w:rPr>
          <w:lang w:val="en-AU"/>
        </w:rPr>
      </w:pPr>
      <w:bookmarkStart w:id="10" w:name="_Toc207186388"/>
      <w:r w:rsidRPr="00542CCE">
        <w:rPr>
          <w:lang w:val="en-AU"/>
        </w:rPr>
        <w:lastRenderedPageBreak/>
        <w:t>Focus Area 2: Promoting Awareness and Education</w:t>
      </w:r>
      <w:bookmarkEnd w:id="10"/>
    </w:p>
    <w:p w14:paraId="19D37A82" w14:textId="602A1B5C" w:rsidR="005F4ADC" w:rsidRPr="00542CCE" w:rsidRDefault="005F4ADC" w:rsidP="00175520">
      <w:pPr>
        <w:pStyle w:val="BodyText"/>
        <w:spacing w:after="120"/>
        <w:rPr>
          <w:lang w:val="en-AU"/>
        </w:rPr>
      </w:pPr>
      <w:r w:rsidRPr="00542CCE">
        <w:rPr>
          <w:lang w:val="en-AU"/>
        </w:rPr>
        <w:t>Raise awareness and provide educational opportunities related to</w:t>
      </w:r>
      <w:r w:rsidR="000A1FCE">
        <w:rPr>
          <w:lang w:val="en-AU"/>
        </w:rPr>
        <w:t xml:space="preserve"> </w:t>
      </w:r>
      <w:r w:rsidRPr="00542CCE">
        <w:rPr>
          <w:lang w:val="en-AU"/>
        </w:rPr>
        <w:t>LGBTIQA+ issues.</w:t>
      </w:r>
    </w:p>
    <w:p w14:paraId="19158C42" w14:textId="19867A91" w:rsidR="00392051" w:rsidRDefault="00392051" w:rsidP="00392051">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392051">
        <w:rPr>
          <w:b w:val="0"/>
          <w:bCs/>
        </w:rPr>
        <w:t>Focus Area 2 – Outcomes, key actions, timeline and accountability</w:t>
      </w:r>
    </w:p>
    <w:tbl>
      <w:tblPr>
        <w:tblStyle w:val="Style2"/>
        <w:tblW w:w="5000" w:type="pct"/>
        <w:tblLook w:val="0020" w:firstRow="1" w:lastRow="0" w:firstColumn="0" w:lastColumn="0" w:noHBand="0" w:noVBand="0"/>
        <w:tblCaption w:val="Table 2: Focus Area 2 – Outcomes, key actions, timeline and accountability"/>
        <w:tblDescription w:val="Table 2: Focus Area 2 – Outcomes, key actions, timeline and accountability"/>
      </w:tblPr>
      <w:tblGrid>
        <w:gridCol w:w="2447"/>
        <w:gridCol w:w="3626"/>
        <w:gridCol w:w="1431"/>
        <w:gridCol w:w="2114"/>
      </w:tblGrid>
      <w:tr w:rsidR="00930007" w:rsidRPr="00542CCE" w14:paraId="47DE874F" w14:textId="77777777" w:rsidTr="00EA34AA">
        <w:trPr>
          <w:cnfStyle w:val="100000000000" w:firstRow="1" w:lastRow="0" w:firstColumn="0" w:lastColumn="0" w:oddVBand="0" w:evenVBand="0" w:oddHBand="0" w:evenHBand="0" w:firstRowFirstColumn="0" w:firstRowLastColumn="0" w:lastRowFirstColumn="0" w:lastRowLastColumn="0"/>
          <w:cantSplit/>
          <w:trHeight w:val="60"/>
          <w:tblHeader/>
        </w:trPr>
        <w:tc>
          <w:tcPr>
            <w:tcW w:w="1272" w:type="pct"/>
          </w:tcPr>
          <w:p w14:paraId="2A4A1579" w14:textId="77777777" w:rsidR="001D6DB2" w:rsidRPr="00542CCE" w:rsidRDefault="001D6DB2" w:rsidP="00EA34AA">
            <w:pPr>
              <w:pStyle w:val="Tabletext"/>
              <w:spacing w:line="240" w:lineRule="auto"/>
              <w:rPr>
                <w:sz w:val="22"/>
                <w:lang w:val="en-AU"/>
              </w:rPr>
            </w:pPr>
            <w:r w:rsidRPr="00542CCE">
              <w:rPr>
                <w:sz w:val="22"/>
                <w:lang w:val="en-AU"/>
              </w:rPr>
              <w:t>Outcome</w:t>
            </w:r>
          </w:p>
        </w:tc>
        <w:tc>
          <w:tcPr>
            <w:tcW w:w="1885" w:type="pct"/>
          </w:tcPr>
          <w:p w14:paraId="77267DB3" w14:textId="77777777" w:rsidR="001D6DB2" w:rsidRPr="00542CCE" w:rsidRDefault="001D6DB2" w:rsidP="00EA34AA">
            <w:pPr>
              <w:pStyle w:val="Tabletext"/>
              <w:spacing w:line="240" w:lineRule="auto"/>
              <w:rPr>
                <w:sz w:val="22"/>
                <w:lang w:val="en-AU"/>
              </w:rPr>
            </w:pPr>
            <w:r w:rsidRPr="00542CCE">
              <w:rPr>
                <w:sz w:val="22"/>
                <w:lang w:val="en-AU"/>
              </w:rPr>
              <w:t>Key Actions</w:t>
            </w:r>
          </w:p>
        </w:tc>
        <w:tc>
          <w:tcPr>
            <w:tcW w:w="744" w:type="pct"/>
          </w:tcPr>
          <w:p w14:paraId="1AB12574" w14:textId="77777777" w:rsidR="001D6DB2" w:rsidRPr="00542CCE" w:rsidRDefault="001D6DB2" w:rsidP="00EA34AA">
            <w:pPr>
              <w:pStyle w:val="Tabletext"/>
              <w:spacing w:line="240" w:lineRule="auto"/>
              <w:rPr>
                <w:sz w:val="22"/>
                <w:lang w:val="en-AU"/>
              </w:rPr>
            </w:pPr>
            <w:r w:rsidRPr="00542CCE">
              <w:rPr>
                <w:sz w:val="22"/>
                <w:lang w:val="en-AU"/>
              </w:rPr>
              <w:t>Timeline</w:t>
            </w:r>
          </w:p>
        </w:tc>
        <w:tc>
          <w:tcPr>
            <w:tcW w:w="1100" w:type="pct"/>
          </w:tcPr>
          <w:p w14:paraId="18F69C80" w14:textId="77777777" w:rsidR="001D6DB2" w:rsidRPr="00542CCE" w:rsidRDefault="001D6DB2" w:rsidP="00EA34AA">
            <w:pPr>
              <w:pStyle w:val="Tabletext"/>
              <w:spacing w:line="240" w:lineRule="auto"/>
              <w:rPr>
                <w:sz w:val="22"/>
                <w:lang w:val="en-AU"/>
              </w:rPr>
            </w:pPr>
            <w:r w:rsidRPr="00542CCE">
              <w:rPr>
                <w:sz w:val="22"/>
                <w:lang w:val="en-AU"/>
              </w:rPr>
              <w:t>Accountability</w:t>
            </w:r>
          </w:p>
        </w:tc>
      </w:tr>
      <w:tr w:rsidR="00EA34AA" w:rsidRPr="00542CCE" w14:paraId="2507BAC7" w14:textId="77777777" w:rsidTr="00EA34AA">
        <w:trPr>
          <w:trHeight w:val="60"/>
        </w:trPr>
        <w:tc>
          <w:tcPr>
            <w:tcW w:w="1272" w:type="pct"/>
            <w:tcBorders>
              <w:bottom w:val="nil"/>
            </w:tcBorders>
          </w:tcPr>
          <w:p w14:paraId="3EF9AD01" w14:textId="2877D206" w:rsidR="001D6DB2" w:rsidRPr="00542CCE" w:rsidRDefault="001D6DB2" w:rsidP="00EA34AA">
            <w:pPr>
              <w:pStyle w:val="Tabletext"/>
              <w:rPr>
                <w:sz w:val="22"/>
                <w:lang w:val="en-AU"/>
              </w:rPr>
            </w:pPr>
            <w:r w:rsidRPr="00542CCE">
              <w:rPr>
                <w:b/>
                <w:bCs/>
                <w:sz w:val="22"/>
                <w:lang w:val="en-AU"/>
              </w:rPr>
              <w:t>2.1</w:t>
            </w:r>
            <w:r w:rsidRPr="00542CCE">
              <w:rPr>
                <w:sz w:val="22"/>
                <w:lang w:val="en-AU"/>
              </w:rPr>
              <w:t xml:space="preserve"> </w:t>
            </w:r>
            <w:r w:rsidRPr="00542CCE">
              <w:rPr>
                <w:sz w:val="22"/>
                <w:lang w:val="en-AU"/>
              </w:rPr>
              <w:br/>
              <w:t>All staff improve their understanding of LGBTIQA+</w:t>
            </w:r>
            <w:r w:rsidR="000A1FCE">
              <w:rPr>
                <w:sz w:val="22"/>
                <w:lang w:val="en-AU"/>
              </w:rPr>
              <w:t xml:space="preserve"> </w:t>
            </w:r>
            <w:r w:rsidRPr="00542CCE">
              <w:rPr>
                <w:sz w:val="22"/>
                <w:lang w:val="en-AU"/>
              </w:rPr>
              <w:t>challenges</w:t>
            </w:r>
          </w:p>
        </w:tc>
        <w:tc>
          <w:tcPr>
            <w:tcW w:w="1885" w:type="pct"/>
          </w:tcPr>
          <w:p w14:paraId="0B6EC7E6" w14:textId="6AE1D2D9" w:rsidR="001D6DB2" w:rsidRPr="00542CCE" w:rsidRDefault="001D6DB2" w:rsidP="00EA34AA">
            <w:pPr>
              <w:pStyle w:val="Tabletext"/>
              <w:rPr>
                <w:sz w:val="22"/>
                <w:lang w:val="en-AU"/>
              </w:rPr>
            </w:pPr>
            <w:r w:rsidRPr="00542CCE">
              <w:rPr>
                <w:b/>
                <w:bCs/>
                <w:sz w:val="22"/>
                <w:lang w:val="en-AU"/>
              </w:rPr>
              <w:t>2.1.1</w:t>
            </w:r>
            <w:r w:rsidRPr="00542CCE">
              <w:rPr>
                <w:sz w:val="22"/>
                <w:lang w:val="en-AU"/>
              </w:rPr>
              <w:t xml:space="preserve"> </w:t>
            </w:r>
            <w:r w:rsidRPr="00542CCE">
              <w:rPr>
                <w:sz w:val="22"/>
                <w:lang w:val="en-AU"/>
              </w:rPr>
              <w:br/>
              <w:t>Deliver facilitated allyship and inclusion via</w:t>
            </w:r>
            <w:r w:rsidR="000A1FCE">
              <w:rPr>
                <w:sz w:val="22"/>
                <w:lang w:val="en-AU"/>
              </w:rPr>
              <w:t xml:space="preserve"> </w:t>
            </w:r>
            <w:r w:rsidRPr="00542CCE">
              <w:rPr>
                <w:sz w:val="22"/>
                <w:lang w:val="en-AU"/>
              </w:rPr>
              <w:t>Safe</w:t>
            </w:r>
            <w:r w:rsidR="000A1FCE">
              <w:rPr>
                <w:sz w:val="22"/>
                <w:lang w:val="en-AU"/>
              </w:rPr>
              <w:t xml:space="preserve"> </w:t>
            </w:r>
            <w:r w:rsidRPr="00542CCE">
              <w:rPr>
                <w:sz w:val="22"/>
                <w:lang w:val="en-AU"/>
              </w:rPr>
              <w:t>&amp;</w:t>
            </w:r>
            <w:r w:rsidR="000A1FCE">
              <w:rPr>
                <w:sz w:val="22"/>
                <w:lang w:val="en-AU"/>
              </w:rPr>
              <w:t xml:space="preserve"> </w:t>
            </w:r>
            <w:r w:rsidRPr="00542CCE">
              <w:rPr>
                <w:sz w:val="22"/>
                <w:lang w:val="en-AU"/>
              </w:rPr>
              <w:t>Respectful Workplaces Program</w:t>
            </w:r>
          </w:p>
        </w:tc>
        <w:tc>
          <w:tcPr>
            <w:tcW w:w="744" w:type="pct"/>
          </w:tcPr>
          <w:p w14:paraId="33F76F70" w14:textId="77777777" w:rsidR="001D6DB2" w:rsidRPr="00542CCE" w:rsidRDefault="001D6DB2" w:rsidP="00EA34AA">
            <w:pPr>
              <w:pStyle w:val="Tabletext"/>
              <w:rPr>
                <w:sz w:val="22"/>
                <w:lang w:val="en-AU"/>
              </w:rPr>
            </w:pPr>
            <w:r w:rsidRPr="00542CCE">
              <w:rPr>
                <w:sz w:val="22"/>
                <w:lang w:val="en-AU"/>
              </w:rPr>
              <w:t xml:space="preserve">Q1 2025 – </w:t>
            </w:r>
            <w:r w:rsidRPr="00542CCE">
              <w:rPr>
                <w:sz w:val="22"/>
                <w:lang w:val="en-AU"/>
              </w:rPr>
              <w:br/>
              <w:t>Q4 2027</w:t>
            </w:r>
          </w:p>
        </w:tc>
        <w:tc>
          <w:tcPr>
            <w:tcW w:w="1100" w:type="pct"/>
          </w:tcPr>
          <w:p w14:paraId="367AEDF6" w14:textId="77777777" w:rsidR="001D6DB2" w:rsidRPr="00542CCE" w:rsidRDefault="001D6DB2" w:rsidP="00EA34AA">
            <w:pPr>
              <w:pStyle w:val="Tabletext"/>
              <w:rPr>
                <w:sz w:val="22"/>
                <w:lang w:val="en-AU"/>
              </w:rPr>
            </w:pPr>
            <w:r w:rsidRPr="00542CCE">
              <w:rPr>
                <w:sz w:val="22"/>
                <w:lang w:val="en-AU"/>
              </w:rPr>
              <w:t>Corporate Services Group, Diversity &amp; Inclusion</w:t>
            </w:r>
          </w:p>
        </w:tc>
      </w:tr>
      <w:tr w:rsidR="00EA34AA" w:rsidRPr="00542CCE" w14:paraId="7945E2D3" w14:textId="77777777" w:rsidTr="00EA34AA">
        <w:trPr>
          <w:trHeight w:val="60"/>
        </w:trPr>
        <w:tc>
          <w:tcPr>
            <w:tcW w:w="1272" w:type="pct"/>
            <w:tcBorders>
              <w:top w:val="nil"/>
              <w:bottom w:val="nil"/>
            </w:tcBorders>
          </w:tcPr>
          <w:p w14:paraId="349537EA" w14:textId="77777777" w:rsidR="001D6DB2" w:rsidRPr="00542CCE" w:rsidRDefault="001D6DB2" w:rsidP="00EA34AA">
            <w:pPr>
              <w:pStyle w:val="Tabletext"/>
              <w:rPr>
                <w:sz w:val="22"/>
                <w:lang w:val="en-AU"/>
              </w:rPr>
            </w:pPr>
          </w:p>
        </w:tc>
        <w:tc>
          <w:tcPr>
            <w:tcW w:w="1885" w:type="pct"/>
          </w:tcPr>
          <w:p w14:paraId="5B8EDAC2" w14:textId="0D208448" w:rsidR="001D6DB2" w:rsidRPr="00542CCE" w:rsidRDefault="001D6DB2" w:rsidP="00EA34AA">
            <w:pPr>
              <w:pStyle w:val="Tabletext"/>
              <w:rPr>
                <w:sz w:val="22"/>
                <w:lang w:val="en-AU"/>
              </w:rPr>
            </w:pPr>
            <w:r w:rsidRPr="00542CCE">
              <w:rPr>
                <w:b/>
                <w:bCs/>
                <w:sz w:val="22"/>
                <w:lang w:val="en-AU"/>
              </w:rPr>
              <w:t>2.1.2</w:t>
            </w:r>
            <w:r w:rsidRPr="00542CCE">
              <w:rPr>
                <w:sz w:val="22"/>
                <w:lang w:val="en-AU"/>
              </w:rPr>
              <w:t xml:space="preserve"> </w:t>
            </w:r>
            <w:r w:rsidRPr="00542CCE">
              <w:rPr>
                <w:sz w:val="22"/>
                <w:lang w:val="en-AU"/>
              </w:rPr>
              <w:br/>
              <w:t>Regularly update and deliver LGBTIQA+ Awareness eLearn training while integrating current allyship and trans inclusion awareness</w:t>
            </w:r>
            <w:r w:rsidR="000A1FCE">
              <w:rPr>
                <w:sz w:val="22"/>
                <w:lang w:val="en-AU"/>
              </w:rPr>
              <w:t xml:space="preserve"> </w:t>
            </w:r>
            <w:r w:rsidRPr="00542CCE">
              <w:rPr>
                <w:sz w:val="22"/>
                <w:lang w:val="en-AU"/>
              </w:rPr>
              <w:t>content</w:t>
            </w:r>
          </w:p>
        </w:tc>
        <w:tc>
          <w:tcPr>
            <w:tcW w:w="744" w:type="pct"/>
          </w:tcPr>
          <w:p w14:paraId="126B1AA6" w14:textId="77777777" w:rsidR="001D6DB2" w:rsidRPr="00542CCE" w:rsidRDefault="001D6DB2" w:rsidP="00EA34AA">
            <w:pPr>
              <w:pStyle w:val="Tabletext"/>
              <w:rPr>
                <w:sz w:val="22"/>
                <w:lang w:val="en-AU"/>
              </w:rPr>
            </w:pPr>
            <w:r w:rsidRPr="00542CCE">
              <w:rPr>
                <w:sz w:val="22"/>
                <w:lang w:val="en-AU"/>
              </w:rPr>
              <w:t xml:space="preserve">Q2 2025 – </w:t>
            </w:r>
            <w:r w:rsidRPr="00542CCE">
              <w:rPr>
                <w:sz w:val="22"/>
                <w:lang w:val="en-AU"/>
              </w:rPr>
              <w:br/>
              <w:t>Q4 2027</w:t>
            </w:r>
          </w:p>
        </w:tc>
        <w:tc>
          <w:tcPr>
            <w:tcW w:w="1100" w:type="pct"/>
          </w:tcPr>
          <w:p w14:paraId="31EA0170" w14:textId="3CACD4B6" w:rsidR="001D6DB2" w:rsidRPr="00542CCE" w:rsidRDefault="001D6DB2" w:rsidP="00EA34AA">
            <w:pPr>
              <w:pStyle w:val="Tabletext"/>
              <w:rPr>
                <w:sz w:val="22"/>
                <w:lang w:val="en-AU"/>
              </w:rPr>
            </w:pPr>
            <w:r w:rsidRPr="00542CCE">
              <w:rPr>
                <w:sz w:val="22"/>
                <w:lang w:val="en-AU"/>
              </w:rPr>
              <w:t>Corporate Services Group,</w:t>
            </w:r>
            <w:r w:rsidR="000A1FCE">
              <w:rPr>
                <w:sz w:val="22"/>
                <w:lang w:val="en-AU"/>
              </w:rPr>
              <w:t xml:space="preserve"> </w:t>
            </w:r>
            <w:r w:rsidRPr="00542CCE">
              <w:rPr>
                <w:sz w:val="22"/>
                <w:lang w:val="en-AU"/>
              </w:rPr>
              <w:t>Organisational Development</w:t>
            </w:r>
          </w:p>
        </w:tc>
      </w:tr>
      <w:tr w:rsidR="00EA34AA" w:rsidRPr="00542CCE" w14:paraId="31E0E006" w14:textId="77777777" w:rsidTr="00EA34AA">
        <w:trPr>
          <w:trHeight w:val="60"/>
        </w:trPr>
        <w:tc>
          <w:tcPr>
            <w:tcW w:w="1272" w:type="pct"/>
            <w:tcBorders>
              <w:top w:val="nil"/>
              <w:bottom w:val="single" w:sz="4" w:space="0" w:color="auto"/>
            </w:tcBorders>
          </w:tcPr>
          <w:p w14:paraId="091BC140" w14:textId="77777777" w:rsidR="001D6DB2" w:rsidRPr="00542CCE" w:rsidRDefault="001D6DB2" w:rsidP="00EA34AA">
            <w:pPr>
              <w:pStyle w:val="Tabletext"/>
              <w:rPr>
                <w:sz w:val="22"/>
                <w:lang w:val="en-AU"/>
              </w:rPr>
            </w:pPr>
          </w:p>
        </w:tc>
        <w:tc>
          <w:tcPr>
            <w:tcW w:w="1885" w:type="pct"/>
          </w:tcPr>
          <w:p w14:paraId="08D16CD3" w14:textId="77777777" w:rsidR="001D6DB2" w:rsidRPr="00542CCE" w:rsidRDefault="001D6DB2" w:rsidP="00EA34AA">
            <w:pPr>
              <w:pStyle w:val="Tabletext"/>
              <w:rPr>
                <w:sz w:val="22"/>
                <w:lang w:val="en-AU"/>
              </w:rPr>
            </w:pPr>
            <w:r w:rsidRPr="00542CCE">
              <w:rPr>
                <w:b/>
                <w:bCs/>
                <w:sz w:val="22"/>
                <w:lang w:val="en-AU"/>
              </w:rPr>
              <w:t>2.1.3</w:t>
            </w:r>
            <w:r w:rsidRPr="00542CCE">
              <w:rPr>
                <w:sz w:val="22"/>
                <w:lang w:val="en-AU"/>
              </w:rPr>
              <w:t xml:space="preserve"> </w:t>
            </w:r>
            <w:r w:rsidRPr="00542CCE">
              <w:rPr>
                <w:sz w:val="22"/>
                <w:lang w:val="en-AU"/>
              </w:rPr>
              <w:br/>
              <w:t>Enable effective delivery of authentic, sustainable, and cost-effective LGBITQA+ Awareness training delivered by our internal staff across work centres.</w:t>
            </w:r>
          </w:p>
        </w:tc>
        <w:tc>
          <w:tcPr>
            <w:tcW w:w="744" w:type="pct"/>
          </w:tcPr>
          <w:p w14:paraId="65489372" w14:textId="77777777" w:rsidR="001D6DB2" w:rsidRPr="00542CCE" w:rsidRDefault="001D6DB2" w:rsidP="00EA34AA">
            <w:pPr>
              <w:pStyle w:val="Tabletext"/>
              <w:rPr>
                <w:sz w:val="22"/>
                <w:lang w:val="en-AU"/>
              </w:rPr>
            </w:pPr>
            <w:r w:rsidRPr="00542CCE">
              <w:rPr>
                <w:sz w:val="22"/>
                <w:lang w:val="en-AU"/>
              </w:rPr>
              <w:t xml:space="preserve">Q2 2025 – </w:t>
            </w:r>
            <w:r w:rsidRPr="00542CCE">
              <w:rPr>
                <w:sz w:val="22"/>
                <w:lang w:val="en-AU"/>
              </w:rPr>
              <w:br/>
              <w:t>Q3 2027</w:t>
            </w:r>
          </w:p>
        </w:tc>
        <w:tc>
          <w:tcPr>
            <w:tcW w:w="1100" w:type="pct"/>
          </w:tcPr>
          <w:p w14:paraId="2C4D707B" w14:textId="1BAC2D3F" w:rsidR="001D6DB2" w:rsidRPr="00542CCE" w:rsidRDefault="001D6DB2" w:rsidP="00EA34AA">
            <w:pPr>
              <w:pStyle w:val="Tabletext"/>
              <w:rPr>
                <w:sz w:val="22"/>
                <w:lang w:val="en-AU"/>
              </w:rPr>
            </w:pPr>
            <w:r w:rsidRPr="00542CCE">
              <w:rPr>
                <w:sz w:val="22"/>
                <w:lang w:val="en-AU"/>
              </w:rPr>
              <w:t>Diversity &amp; Inclusion, Organisational Development,</w:t>
            </w:r>
            <w:r w:rsidR="00BA3EEC">
              <w:rPr>
                <w:sz w:val="22"/>
                <w:lang w:val="en-AU"/>
              </w:rPr>
              <w:t xml:space="preserve"> </w:t>
            </w:r>
            <w:r w:rsidRPr="00542CCE">
              <w:rPr>
                <w:sz w:val="22"/>
                <w:lang w:val="en-AU"/>
              </w:rPr>
              <w:t>Place of</w:t>
            </w:r>
            <w:r w:rsidR="000A1FCE">
              <w:rPr>
                <w:sz w:val="22"/>
                <w:lang w:val="en-AU"/>
              </w:rPr>
              <w:t xml:space="preserve"> </w:t>
            </w:r>
            <w:r w:rsidR="00BA3EEC">
              <w:rPr>
                <w:sz w:val="22"/>
                <w:lang w:val="en-AU"/>
              </w:rPr>
              <w:t>Pride</w:t>
            </w:r>
            <w:r w:rsidRPr="00542CCE">
              <w:rPr>
                <w:sz w:val="22"/>
                <w:lang w:val="en-AU"/>
              </w:rPr>
              <w:t xml:space="preserve"> Network</w:t>
            </w:r>
          </w:p>
        </w:tc>
      </w:tr>
      <w:tr w:rsidR="00EA34AA" w:rsidRPr="00542CCE" w14:paraId="3798FAA7" w14:textId="77777777" w:rsidTr="00EA34AA">
        <w:trPr>
          <w:trHeight w:val="60"/>
        </w:trPr>
        <w:tc>
          <w:tcPr>
            <w:tcW w:w="1272" w:type="pct"/>
            <w:tcBorders>
              <w:top w:val="single" w:sz="4" w:space="0" w:color="auto"/>
              <w:bottom w:val="nil"/>
            </w:tcBorders>
          </w:tcPr>
          <w:p w14:paraId="1AFF08A5" w14:textId="77777777" w:rsidR="001D6DB2" w:rsidRPr="00542CCE" w:rsidRDefault="001D6DB2" w:rsidP="00EA34AA">
            <w:pPr>
              <w:pStyle w:val="Tabletext"/>
              <w:rPr>
                <w:sz w:val="22"/>
                <w:lang w:val="en-AU"/>
              </w:rPr>
            </w:pPr>
            <w:r w:rsidRPr="00542CCE">
              <w:rPr>
                <w:b/>
                <w:bCs/>
                <w:sz w:val="22"/>
                <w:lang w:val="en-AU"/>
              </w:rPr>
              <w:t>2.2</w:t>
            </w:r>
            <w:r w:rsidRPr="00542CCE">
              <w:rPr>
                <w:sz w:val="22"/>
                <w:lang w:val="en-AU"/>
              </w:rPr>
              <w:t xml:space="preserve"> </w:t>
            </w:r>
            <w:r w:rsidRPr="00542CCE">
              <w:rPr>
                <w:sz w:val="22"/>
                <w:lang w:val="en-AU"/>
              </w:rPr>
              <w:br/>
              <w:t>Encourage leadership visibility and commitment</w:t>
            </w:r>
          </w:p>
        </w:tc>
        <w:tc>
          <w:tcPr>
            <w:tcW w:w="1885" w:type="pct"/>
          </w:tcPr>
          <w:p w14:paraId="44FB59D7" w14:textId="486B4DB3" w:rsidR="001D6DB2" w:rsidRPr="00542CCE" w:rsidRDefault="001D6DB2" w:rsidP="00EA34AA">
            <w:pPr>
              <w:pStyle w:val="Tabletext"/>
              <w:rPr>
                <w:sz w:val="22"/>
                <w:lang w:val="en-AU"/>
              </w:rPr>
            </w:pPr>
            <w:r w:rsidRPr="00542CCE">
              <w:rPr>
                <w:b/>
                <w:bCs/>
                <w:sz w:val="22"/>
                <w:lang w:val="en-AU"/>
              </w:rPr>
              <w:t>2.2.1</w:t>
            </w:r>
            <w:r w:rsidRPr="00542CCE">
              <w:rPr>
                <w:sz w:val="22"/>
                <w:lang w:val="en-AU"/>
              </w:rPr>
              <w:t xml:space="preserve"> </w:t>
            </w:r>
            <w:r w:rsidRPr="00542CCE">
              <w:rPr>
                <w:sz w:val="22"/>
                <w:lang w:val="en-AU"/>
              </w:rPr>
              <w:br/>
              <w:t>Senior leaders, inclusion champions and people managers actively participate</w:t>
            </w:r>
            <w:r w:rsidR="000A1FCE">
              <w:rPr>
                <w:sz w:val="22"/>
                <w:lang w:val="en-AU"/>
              </w:rPr>
              <w:t xml:space="preserve"> </w:t>
            </w:r>
            <w:r w:rsidRPr="00542CCE">
              <w:rPr>
                <w:sz w:val="22"/>
                <w:lang w:val="en-AU"/>
              </w:rPr>
              <w:t>in LGBTIQA+ inclusion training and awareness sessions, ensuring they stay</w:t>
            </w:r>
            <w:r w:rsidR="000A1FCE">
              <w:rPr>
                <w:sz w:val="22"/>
                <w:lang w:val="en-AU"/>
              </w:rPr>
              <w:t xml:space="preserve"> </w:t>
            </w:r>
            <w:r w:rsidRPr="00542CCE">
              <w:rPr>
                <w:sz w:val="22"/>
                <w:lang w:val="en-AU"/>
              </w:rPr>
              <w:t>informed about best practices.</w:t>
            </w:r>
          </w:p>
        </w:tc>
        <w:tc>
          <w:tcPr>
            <w:tcW w:w="744" w:type="pct"/>
          </w:tcPr>
          <w:p w14:paraId="79B253E9" w14:textId="77777777" w:rsidR="001D6DB2" w:rsidRPr="00542CCE" w:rsidRDefault="001D6DB2" w:rsidP="00EA34AA">
            <w:pPr>
              <w:pStyle w:val="Tabletext"/>
              <w:rPr>
                <w:sz w:val="22"/>
                <w:lang w:val="en-AU"/>
              </w:rPr>
            </w:pPr>
            <w:r w:rsidRPr="00542CCE">
              <w:rPr>
                <w:sz w:val="22"/>
                <w:lang w:val="en-AU"/>
              </w:rPr>
              <w:t xml:space="preserve">Q1 2025 – </w:t>
            </w:r>
            <w:r w:rsidRPr="00542CCE">
              <w:rPr>
                <w:sz w:val="22"/>
                <w:lang w:val="en-AU"/>
              </w:rPr>
              <w:br/>
              <w:t>Q4 2029</w:t>
            </w:r>
          </w:p>
        </w:tc>
        <w:tc>
          <w:tcPr>
            <w:tcW w:w="1100" w:type="pct"/>
          </w:tcPr>
          <w:p w14:paraId="494A046F" w14:textId="77777777" w:rsidR="001D6DB2" w:rsidRPr="00542CCE" w:rsidRDefault="001D6DB2" w:rsidP="00EA34AA">
            <w:pPr>
              <w:pStyle w:val="Tabletext"/>
              <w:rPr>
                <w:sz w:val="22"/>
                <w:lang w:val="en-AU"/>
              </w:rPr>
            </w:pPr>
            <w:r w:rsidRPr="00542CCE">
              <w:rPr>
                <w:sz w:val="22"/>
                <w:lang w:val="en-AU"/>
              </w:rPr>
              <w:t>All DEECA people leaders</w:t>
            </w:r>
          </w:p>
        </w:tc>
      </w:tr>
      <w:tr w:rsidR="00EA34AA" w:rsidRPr="00542CCE" w14:paraId="2880AE68" w14:textId="77777777" w:rsidTr="00EA34AA">
        <w:trPr>
          <w:trHeight w:val="60"/>
        </w:trPr>
        <w:tc>
          <w:tcPr>
            <w:tcW w:w="1272" w:type="pct"/>
            <w:tcBorders>
              <w:top w:val="nil"/>
            </w:tcBorders>
          </w:tcPr>
          <w:p w14:paraId="02D4BAD4" w14:textId="77777777" w:rsidR="001D6DB2" w:rsidRPr="00542CCE" w:rsidRDefault="001D6DB2" w:rsidP="00EA34AA">
            <w:pPr>
              <w:pStyle w:val="Tabletext"/>
              <w:rPr>
                <w:sz w:val="22"/>
                <w:lang w:val="en-AU"/>
              </w:rPr>
            </w:pPr>
          </w:p>
        </w:tc>
        <w:tc>
          <w:tcPr>
            <w:tcW w:w="1885" w:type="pct"/>
          </w:tcPr>
          <w:p w14:paraId="3610088B" w14:textId="65291345" w:rsidR="001D6DB2" w:rsidRPr="00542CCE" w:rsidRDefault="001D6DB2" w:rsidP="00EA34AA">
            <w:pPr>
              <w:pStyle w:val="Tabletext"/>
              <w:rPr>
                <w:sz w:val="22"/>
                <w:lang w:val="en-AU"/>
              </w:rPr>
            </w:pPr>
            <w:r w:rsidRPr="00542CCE">
              <w:rPr>
                <w:sz w:val="22"/>
                <w:lang w:val="en-AU"/>
              </w:rPr>
              <w:t xml:space="preserve">2.2.2 </w:t>
            </w:r>
            <w:r w:rsidRPr="00542CCE">
              <w:rPr>
                <w:sz w:val="22"/>
                <w:lang w:val="en-AU"/>
              </w:rPr>
              <w:br/>
            </w:r>
            <w:r w:rsidR="0056319B" w:rsidRPr="0056319B">
              <w:rPr>
                <w:sz w:val="22"/>
                <w:lang w:val="en-AU"/>
              </w:rPr>
              <w:t xml:space="preserve">Business areas will mark days of significance with activities that </w:t>
            </w:r>
            <w:r w:rsidR="0056319B" w:rsidRPr="0056319B">
              <w:rPr>
                <w:sz w:val="22"/>
                <w:lang w:val="en-AU"/>
              </w:rPr>
              <w:lastRenderedPageBreak/>
              <w:t>highlight senior leader sponsorship and visibility (e.g. leader-hosted panel discussions, storytelling sessions and visible Secretary messages). Activities will be developed in partnership with the Place of Pride Network and/or People and Culture to ensure they are meaningful, inclusive and extend beyond traditional formats.</w:t>
            </w:r>
          </w:p>
        </w:tc>
        <w:tc>
          <w:tcPr>
            <w:tcW w:w="744" w:type="pct"/>
          </w:tcPr>
          <w:p w14:paraId="202498D0" w14:textId="77777777" w:rsidR="001D6DB2" w:rsidRPr="00542CCE" w:rsidRDefault="001D6DB2" w:rsidP="00EA34AA">
            <w:pPr>
              <w:pStyle w:val="Tabletext"/>
              <w:rPr>
                <w:sz w:val="22"/>
                <w:lang w:val="en-AU"/>
              </w:rPr>
            </w:pPr>
            <w:r w:rsidRPr="00542CCE">
              <w:rPr>
                <w:sz w:val="22"/>
                <w:lang w:val="en-AU"/>
              </w:rPr>
              <w:lastRenderedPageBreak/>
              <w:t xml:space="preserve">Q1 2025 – </w:t>
            </w:r>
            <w:r w:rsidRPr="00542CCE">
              <w:rPr>
                <w:sz w:val="22"/>
                <w:lang w:val="en-AU"/>
              </w:rPr>
              <w:br/>
              <w:t>Q4 2029</w:t>
            </w:r>
          </w:p>
        </w:tc>
        <w:tc>
          <w:tcPr>
            <w:tcW w:w="1100" w:type="pct"/>
          </w:tcPr>
          <w:p w14:paraId="370725A6" w14:textId="77777777" w:rsidR="001D6DB2" w:rsidRPr="00542CCE" w:rsidRDefault="001D6DB2" w:rsidP="00EA34AA">
            <w:pPr>
              <w:pStyle w:val="Tabletext"/>
              <w:rPr>
                <w:sz w:val="22"/>
                <w:lang w:val="en-AU"/>
              </w:rPr>
            </w:pPr>
            <w:r w:rsidRPr="00542CCE">
              <w:rPr>
                <w:sz w:val="22"/>
                <w:lang w:val="en-AU"/>
              </w:rPr>
              <w:t>Senior Executive Leadership team</w:t>
            </w:r>
          </w:p>
          <w:p w14:paraId="283C3316" w14:textId="2662F103" w:rsidR="001D6DB2" w:rsidRPr="00542CCE" w:rsidRDefault="001D6DB2" w:rsidP="00EA34AA">
            <w:pPr>
              <w:pStyle w:val="Tabletext"/>
              <w:rPr>
                <w:sz w:val="22"/>
                <w:lang w:val="en-AU"/>
              </w:rPr>
            </w:pPr>
            <w:r w:rsidRPr="00542CCE">
              <w:rPr>
                <w:sz w:val="22"/>
                <w:lang w:val="en-AU"/>
              </w:rPr>
              <w:lastRenderedPageBreak/>
              <w:t>Corporate Services Group,</w:t>
            </w:r>
            <w:r w:rsidR="000A1FCE">
              <w:rPr>
                <w:sz w:val="22"/>
                <w:lang w:val="en-AU"/>
              </w:rPr>
              <w:t xml:space="preserve"> </w:t>
            </w:r>
            <w:r w:rsidRPr="00542CCE">
              <w:rPr>
                <w:sz w:val="22"/>
                <w:lang w:val="en-AU"/>
              </w:rPr>
              <w:t>Corporate Communications and Diversity and Inclusion</w:t>
            </w:r>
          </w:p>
        </w:tc>
      </w:tr>
      <w:tr w:rsidR="000A1FCE" w:rsidRPr="00542CCE" w14:paraId="5991DF3B" w14:textId="77777777" w:rsidTr="00EA34AA">
        <w:trPr>
          <w:trHeight w:val="60"/>
        </w:trPr>
        <w:tc>
          <w:tcPr>
            <w:tcW w:w="1272" w:type="pct"/>
          </w:tcPr>
          <w:p w14:paraId="6BAF9655" w14:textId="77777777" w:rsidR="001D6DB2" w:rsidRPr="00542CCE" w:rsidRDefault="001D6DB2" w:rsidP="00EA34AA">
            <w:pPr>
              <w:pStyle w:val="Tabletext"/>
              <w:rPr>
                <w:sz w:val="22"/>
                <w:lang w:val="en-AU"/>
              </w:rPr>
            </w:pPr>
            <w:r w:rsidRPr="00542CCE">
              <w:rPr>
                <w:b/>
                <w:bCs/>
                <w:sz w:val="22"/>
                <w:lang w:val="en-AU"/>
              </w:rPr>
              <w:lastRenderedPageBreak/>
              <w:t>2.3</w:t>
            </w:r>
            <w:r w:rsidRPr="00542CCE">
              <w:rPr>
                <w:sz w:val="22"/>
                <w:lang w:val="en-AU"/>
              </w:rPr>
              <w:t xml:space="preserve"> </w:t>
            </w:r>
            <w:r w:rsidRPr="00542CCE">
              <w:rPr>
                <w:sz w:val="22"/>
                <w:lang w:val="en-AU"/>
              </w:rPr>
              <w:br/>
              <w:t>Inclusive communication is embedded in DEECA culture</w:t>
            </w:r>
          </w:p>
        </w:tc>
        <w:tc>
          <w:tcPr>
            <w:tcW w:w="1885" w:type="pct"/>
          </w:tcPr>
          <w:p w14:paraId="4A2730D1" w14:textId="0FC395B2" w:rsidR="001D6DB2" w:rsidRPr="00542CCE" w:rsidRDefault="001D6DB2" w:rsidP="00EA34AA">
            <w:pPr>
              <w:pStyle w:val="Tabletext"/>
              <w:rPr>
                <w:sz w:val="22"/>
                <w:lang w:val="en-AU"/>
              </w:rPr>
            </w:pPr>
            <w:r w:rsidRPr="00542CCE">
              <w:rPr>
                <w:b/>
                <w:bCs/>
                <w:sz w:val="22"/>
                <w:lang w:val="en-AU"/>
              </w:rPr>
              <w:t>2.3.1</w:t>
            </w:r>
            <w:r w:rsidRPr="00542CCE">
              <w:rPr>
                <w:sz w:val="22"/>
                <w:lang w:val="en-AU"/>
              </w:rPr>
              <w:t xml:space="preserve"> </w:t>
            </w:r>
            <w:r w:rsidRPr="00542CCE">
              <w:rPr>
                <w:sz w:val="22"/>
                <w:lang w:val="en-AU"/>
              </w:rPr>
              <w:br/>
              <w:t>Promote the use of inclusive language</w:t>
            </w:r>
            <w:r w:rsidR="000A1FCE">
              <w:rPr>
                <w:sz w:val="22"/>
                <w:lang w:val="en-AU"/>
              </w:rPr>
              <w:t xml:space="preserve"> </w:t>
            </w:r>
            <w:r w:rsidRPr="00542CCE">
              <w:rPr>
                <w:sz w:val="22"/>
                <w:lang w:val="en-AU"/>
              </w:rPr>
              <w:t>in</w:t>
            </w:r>
            <w:r w:rsidR="000A1FCE">
              <w:rPr>
                <w:sz w:val="22"/>
                <w:lang w:val="en-AU"/>
              </w:rPr>
              <w:t xml:space="preserve"> </w:t>
            </w:r>
            <w:r w:rsidRPr="00542CCE">
              <w:rPr>
                <w:sz w:val="22"/>
                <w:lang w:val="en-AU"/>
              </w:rPr>
              <w:t>internal and external communication guidelines</w:t>
            </w:r>
          </w:p>
        </w:tc>
        <w:tc>
          <w:tcPr>
            <w:tcW w:w="744" w:type="pct"/>
          </w:tcPr>
          <w:p w14:paraId="5C889804" w14:textId="77777777" w:rsidR="001D6DB2" w:rsidRPr="00542CCE" w:rsidRDefault="001D6DB2" w:rsidP="00EA34AA">
            <w:pPr>
              <w:pStyle w:val="Tabletext"/>
              <w:rPr>
                <w:sz w:val="22"/>
                <w:lang w:val="en-AU"/>
              </w:rPr>
            </w:pPr>
            <w:r w:rsidRPr="00542CCE">
              <w:rPr>
                <w:sz w:val="22"/>
                <w:lang w:val="en-AU"/>
              </w:rPr>
              <w:t xml:space="preserve">Q3 2025 – </w:t>
            </w:r>
            <w:r w:rsidRPr="00542CCE">
              <w:rPr>
                <w:sz w:val="22"/>
                <w:lang w:val="en-AU"/>
              </w:rPr>
              <w:br/>
              <w:t>Q4 2027</w:t>
            </w:r>
          </w:p>
        </w:tc>
        <w:tc>
          <w:tcPr>
            <w:tcW w:w="1100" w:type="pct"/>
          </w:tcPr>
          <w:p w14:paraId="7F3CC656" w14:textId="3FF4E1FA" w:rsidR="001D6DB2" w:rsidRPr="00542CCE" w:rsidRDefault="001D6DB2" w:rsidP="00EA34AA">
            <w:pPr>
              <w:pStyle w:val="Tabletext"/>
              <w:rPr>
                <w:sz w:val="22"/>
                <w:lang w:val="en-AU"/>
              </w:rPr>
            </w:pPr>
            <w:r w:rsidRPr="00542CCE">
              <w:rPr>
                <w:sz w:val="22"/>
                <w:lang w:val="en-AU"/>
              </w:rPr>
              <w:t>Corporate Services Group,</w:t>
            </w:r>
            <w:r w:rsidR="000A1FCE">
              <w:rPr>
                <w:sz w:val="22"/>
                <w:lang w:val="en-AU"/>
              </w:rPr>
              <w:t xml:space="preserve"> </w:t>
            </w:r>
            <w:r w:rsidRPr="00542CCE">
              <w:rPr>
                <w:sz w:val="22"/>
                <w:lang w:val="en-AU"/>
              </w:rPr>
              <w:t>Corporate Communications and Diversity &amp; Inclusion</w:t>
            </w:r>
          </w:p>
        </w:tc>
      </w:tr>
    </w:tbl>
    <w:p w14:paraId="57FE8615" w14:textId="766FE883" w:rsidR="005F4ADC" w:rsidRPr="00542CCE" w:rsidRDefault="005F4ADC">
      <w:pPr>
        <w:suppressAutoHyphens w:val="0"/>
        <w:spacing w:after="160"/>
        <w:rPr>
          <w:rFonts w:cs="Times New Roman (Body CS)"/>
          <w:kern w:val="24"/>
        </w:rPr>
      </w:pPr>
      <w:r w:rsidRPr="00542CCE">
        <w:br w:type="page"/>
      </w:r>
    </w:p>
    <w:p w14:paraId="3E050539" w14:textId="77777777" w:rsidR="005F4ADC" w:rsidRPr="00542CCE" w:rsidRDefault="005F4ADC" w:rsidP="005F4ADC">
      <w:pPr>
        <w:pStyle w:val="Heading2"/>
        <w:rPr>
          <w:lang w:val="en-AU"/>
        </w:rPr>
      </w:pPr>
      <w:bookmarkStart w:id="11" w:name="_Toc207186389"/>
      <w:r w:rsidRPr="00542CCE">
        <w:rPr>
          <w:lang w:val="en-AU"/>
        </w:rPr>
        <w:lastRenderedPageBreak/>
        <w:t>Focus Area 3: Building Connections and Partnerships</w:t>
      </w:r>
      <w:bookmarkEnd w:id="11"/>
    </w:p>
    <w:p w14:paraId="668329F9" w14:textId="281B33A0" w:rsidR="005F4ADC" w:rsidRPr="00542CCE" w:rsidRDefault="005F4ADC" w:rsidP="00392051">
      <w:pPr>
        <w:pStyle w:val="BodyText"/>
        <w:spacing w:after="0"/>
        <w:rPr>
          <w:lang w:val="en-AU"/>
        </w:rPr>
      </w:pPr>
      <w:r w:rsidRPr="00542CCE">
        <w:rPr>
          <w:lang w:val="en-AU"/>
        </w:rPr>
        <w:t>Strengthen internal and external connections to support and</w:t>
      </w:r>
      <w:r w:rsidR="000A1FCE">
        <w:rPr>
          <w:lang w:val="en-AU"/>
        </w:rPr>
        <w:t xml:space="preserve"> </w:t>
      </w:r>
      <w:r w:rsidRPr="00542CCE">
        <w:rPr>
          <w:lang w:val="en-AU"/>
        </w:rPr>
        <w:t>celebrate</w:t>
      </w:r>
      <w:r w:rsidR="000A1FCE">
        <w:rPr>
          <w:lang w:val="en-AU"/>
        </w:rPr>
        <w:t xml:space="preserve"> </w:t>
      </w:r>
      <w:r w:rsidRPr="00542CCE">
        <w:rPr>
          <w:lang w:val="en-AU"/>
        </w:rPr>
        <w:t>diversity.</w:t>
      </w:r>
    </w:p>
    <w:p w14:paraId="7DB5C6B5" w14:textId="6D6DE927" w:rsidR="00392051" w:rsidRDefault="00392051" w:rsidP="00392051">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392051">
        <w:rPr>
          <w:b w:val="0"/>
          <w:bCs/>
        </w:rPr>
        <w:t>Focus Area 3 – Outcomes, key actions, timeline and accountability</w:t>
      </w:r>
    </w:p>
    <w:tbl>
      <w:tblPr>
        <w:tblStyle w:val="Style2"/>
        <w:tblW w:w="5000" w:type="pct"/>
        <w:tblLook w:val="0020" w:firstRow="1" w:lastRow="0" w:firstColumn="0" w:lastColumn="0" w:noHBand="0" w:noVBand="0"/>
        <w:tblCaption w:val="Table 3: Focus Area 3 – Outcomes, key actions, timeline and accountability"/>
        <w:tblDescription w:val="Table 3: Focus Area 3 – Outcomes, key actions, timeline and accountability"/>
      </w:tblPr>
      <w:tblGrid>
        <w:gridCol w:w="2143"/>
        <w:gridCol w:w="3847"/>
        <w:gridCol w:w="1372"/>
        <w:gridCol w:w="2256"/>
      </w:tblGrid>
      <w:tr w:rsidR="00930007" w:rsidRPr="00542CCE" w14:paraId="799F2162" w14:textId="77777777" w:rsidTr="00175520">
        <w:trPr>
          <w:cnfStyle w:val="100000000000" w:firstRow="1" w:lastRow="0" w:firstColumn="0" w:lastColumn="0" w:oddVBand="0" w:evenVBand="0" w:oddHBand="0" w:evenHBand="0" w:firstRowFirstColumn="0" w:firstRowLastColumn="0" w:lastRowFirstColumn="0" w:lastRowLastColumn="0"/>
          <w:cantSplit/>
          <w:trHeight w:val="60"/>
          <w:tblHeader/>
        </w:trPr>
        <w:tc>
          <w:tcPr>
            <w:tcW w:w="1114" w:type="pct"/>
          </w:tcPr>
          <w:p w14:paraId="590E2DF1" w14:textId="77777777" w:rsidR="001D6DB2" w:rsidRPr="00542CCE" w:rsidRDefault="001D6DB2" w:rsidP="00175520">
            <w:pPr>
              <w:pStyle w:val="Tabletext"/>
              <w:spacing w:line="240" w:lineRule="auto"/>
              <w:rPr>
                <w:sz w:val="22"/>
                <w:lang w:val="en-AU"/>
              </w:rPr>
            </w:pPr>
            <w:r w:rsidRPr="00542CCE">
              <w:rPr>
                <w:sz w:val="22"/>
                <w:lang w:val="en-AU"/>
              </w:rPr>
              <w:t>Outcome</w:t>
            </w:r>
          </w:p>
        </w:tc>
        <w:tc>
          <w:tcPr>
            <w:tcW w:w="2000" w:type="pct"/>
          </w:tcPr>
          <w:p w14:paraId="10054BE6" w14:textId="77777777" w:rsidR="001D6DB2" w:rsidRPr="00542CCE" w:rsidRDefault="001D6DB2" w:rsidP="00175520">
            <w:pPr>
              <w:pStyle w:val="Tabletext"/>
              <w:spacing w:line="240" w:lineRule="auto"/>
              <w:rPr>
                <w:sz w:val="22"/>
                <w:lang w:val="en-AU"/>
              </w:rPr>
            </w:pPr>
            <w:r w:rsidRPr="00542CCE">
              <w:rPr>
                <w:sz w:val="22"/>
                <w:lang w:val="en-AU"/>
              </w:rPr>
              <w:t>Key Actions</w:t>
            </w:r>
          </w:p>
        </w:tc>
        <w:tc>
          <w:tcPr>
            <w:tcW w:w="713" w:type="pct"/>
          </w:tcPr>
          <w:p w14:paraId="363D65C3" w14:textId="77777777" w:rsidR="001D6DB2" w:rsidRPr="00542CCE" w:rsidRDefault="001D6DB2" w:rsidP="00175520">
            <w:pPr>
              <w:pStyle w:val="Tabletext"/>
              <w:spacing w:line="240" w:lineRule="auto"/>
              <w:rPr>
                <w:sz w:val="22"/>
                <w:lang w:val="en-AU"/>
              </w:rPr>
            </w:pPr>
            <w:r w:rsidRPr="00542CCE">
              <w:rPr>
                <w:sz w:val="22"/>
                <w:lang w:val="en-AU"/>
              </w:rPr>
              <w:t>Timeline</w:t>
            </w:r>
          </w:p>
        </w:tc>
        <w:tc>
          <w:tcPr>
            <w:tcW w:w="1173" w:type="pct"/>
          </w:tcPr>
          <w:p w14:paraId="6C75ADF3" w14:textId="77777777" w:rsidR="001D6DB2" w:rsidRPr="00542CCE" w:rsidRDefault="001D6DB2" w:rsidP="00175520">
            <w:pPr>
              <w:pStyle w:val="Tabletext"/>
              <w:spacing w:line="240" w:lineRule="auto"/>
              <w:rPr>
                <w:sz w:val="22"/>
                <w:lang w:val="en-AU"/>
              </w:rPr>
            </w:pPr>
            <w:r w:rsidRPr="00542CCE">
              <w:rPr>
                <w:sz w:val="22"/>
                <w:lang w:val="en-AU"/>
              </w:rPr>
              <w:t>Accountability</w:t>
            </w:r>
          </w:p>
        </w:tc>
      </w:tr>
      <w:tr w:rsidR="001D6DB2" w:rsidRPr="00542CCE" w14:paraId="598127A6" w14:textId="77777777" w:rsidTr="00175520">
        <w:trPr>
          <w:trHeight w:val="60"/>
        </w:trPr>
        <w:tc>
          <w:tcPr>
            <w:tcW w:w="1114" w:type="pct"/>
            <w:tcBorders>
              <w:bottom w:val="nil"/>
            </w:tcBorders>
          </w:tcPr>
          <w:p w14:paraId="68D0B232" w14:textId="77777777" w:rsidR="001D6DB2" w:rsidRPr="00542CCE" w:rsidRDefault="001D6DB2" w:rsidP="00EA34AA">
            <w:pPr>
              <w:pStyle w:val="Tabletext"/>
              <w:rPr>
                <w:sz w:val="22"/>
                <w:lang w:val="en-AU"/>
              </w:rPr>
            </w:pPr>
            <w:r w:rsidRPr="00542CCE">
              <w:rPr>
                <w:b/>
                <w:bCs/>
                <w:sz w:val="22"/>
                <w:lang w:val="en-AU"/>
              </w:rPr>
              <w:t>3.1</w:t>
            </w:r>
            <w:r w:rsidRPr="00542CCE">
              <w:rPr>
                <w:sz w:val="22"/>
                <w:lang w:val="en-AU"/>
              </w:rPr>
              <w:t xml:space="preserve"> </w:t>
            </w:r>
            <w:r w:rsidRPr="00542CCE">
              <w:rPr>
                <w:sz w:val="22"/>
                <w:lang w:val="en-AU"/>
              </w:rPr>
              <w:br/>
              <w:t>Strengthen internal networks and support</w:t>
            </w:r>
          </w:p>
        </w:tc>
        <w:tc>
          <w:tcPr>
            <w:tcW w:w="2000" w:type="pct"/>
          </w:tcPr>
          <w:p w14:paraId="29512346" w14:textId="77777777" w:rsidR="001D6DB2" w:rsidRPr="00542CCE" w:rsidRDefault="001D6DB2" w:rsidP="00175520">
            <w:pPr>
              <w:pStyle w:val="Tabletext"/>
              <w:spacing w:after="240"/>
              <w:rPr>
                <w:sz w:val="22"/>
                <w:lang w:val="en-AU"/>
              </w:rPr>
            </w:pPr>
            <w:r w:rsidRPr="00542CCE">
              <w:rPr>
                <w:b/>
                <w:bCs/>
                <w:sz w:val="22"/>
                <w:lang w:val="en-AU"/>
              </w:rPr>
              <w:t>3.1.1</w:t>
            </w:r>
            <w:r w:rsidRPr="00542CCE">
              <w:rPr>
                <w:sz w:val="22"/>
                <w:lang w:val="en-AU"/>
              </w:rPr>
              <w:t xml:space="preserve"> </w:t>
            </w:r>
            <w:r w:rsidRPr="00542CCE">
              <w:rPr>
                <w:sz w:val="22"/>
                <w:lang w:val="en-AU"/>
              </w:rPr>
              <w:br/>
              <w:t>Establish and maintain a connected, visible and inclusive network of LGBTIQA+ support across regional and metro locations by strengthening local groups, cross-network collaboration and access to trained allies.</w:t>
            </w:r>
          </w:p>
        </w:tc>
        <w:tc>
          <w:tcPr>
            <w:tcW w:w="713" w:type="pct"/>
          </w:tcPr>
          <w:p w14:paraId="28C2F89E" w14:textId="77777777" w:rsidR="001D6DB2" w:rsidRPr="00542CCE" w:rsidRDefault="001D6DB2" w:rsidP="00EA34AA">
            <w:pPr>
              <w:pStyle w:val="Tabletext"/>
              <w:rPr>
                <w:sz w:val="22"/>
                <w:lang w:val="en-AU"/>
              </w:rPr>
            </w:pPr>
            <w:r w:rsidRPr="00542CCE">
              <w:rPr>
                <w:sz w:val="22"/>
                <w:lang w:val="en-AU"/>
              </w:rPr>
              <w:t>Q1 2026 –</w:t>
            </w:r>
            <w:r w:rsidRPr="00542CCE">
              <w:rPr>
                <w:sz w:val="22"/>
                <w:lang w:val="en-AU"/>
              </w:rPr>
              <w:br/>
              <w:t>Q4 2027</w:t>
            </w:r>
          </w:p>
        </w:tc>
        <w:tc>
          <w:tcPr>
            <w:tcW w:w="1173" w:type="pct"/>
          </w:tcPr>
          <w:p w14:paraId="5AC8841D" w14:textId="77777777" w:rsidR="001D6DB2" w:rsidRPr="00542CCE" w:rsidRDefault="001D6DB2" w:rsidP="00EA34AA">
            <w:pPr>
              <w:pStyle w:val="Tabletext"/>
              <w:rPr>
                <w:sz w:val="22"/>
                <w:lang w:val="en-AU"/>
              </w:rPr>
            </w:pPr>
            <w:r w:rsidRPr="00542CCE">
              <w:rPr>
                <w:sz w:val="22"/>
                <w:lang w:val="en-AU"/>
              </w:rPr>
              <w:t>Corporate Services Group, Diversity &amp; Inclusion and Place of Pride Network</w:t>
            </w:r>
          </w:p>
        </w:tc>
      </w:tr>
      <w:tr w:rsidR="001D6DB2" w:rsidRPr="00542CCE" w14:paraId="56256D4A" w14:textId="77777777" w:rsidTr="00175520">
        <w:trPr>
          <w:trHeight w:val="60"/>
        </w:trPr>
        <w:tc>
          <w:tcPr>
            <w:tcW w:w="1114" w:type="pct"/>
            <w:tcBorders>
              <w:top w:val="nil"/>
            </w:tcBorders>
          </w:tcPr>
          <w:p w14:paraId="4ADAE059" w14:textId="77777777" w:rsidR="001D6DB2" w:rsidRPr="00542CCE" w:rsidRDefault="001D6DB2" w:rsidP="00EA34AA">
            <w:pPr>
              <w:pStyle w:val="Tabletext"/>
              <w:rPr>
                <w:sz w:val="22"/>
                <w:lang w:val="en-AU"/>
              </w:rPr>
            </w:pPr>
          </w:p>
        </w:tc>
        <w:tc>
          <w:tcPr>
            <w:tcW w:w="2000" w:type="pct"/>
          </w:tcPr>
          <w:p w14:paraId="49DD9664" w14:textId="77777777" w:rsidR="001D6DB2" w:rsidRPr="00542CCE" w:rsidRDefault="001D6DB2" w:rsidP="00175520">
            <w:pPr>
              <w:pStyle w:val="Tabletext"/>
              <w:spacing w:after="240"/>
              <w:rPr>
                <w:sz w:val="22"/>
                <w:lang w:val="en-AU"/>
              </w:rPr>
            </w:pPr>
            <w:r w:rsidRPr="00542CCE">
              <w:rPr>
                <w:b/>
                <w:bCs/>
                <w:sz w:val="22"/>
                <w:lang w:val="en-AU"/>
              </w:rPr>
              <w:t>3.1.2</w:t>
            </w:r>
            <w:r w:rsidRPr="00542CCE">
              <w:rPr>
                <w:sz w:val="22"/>
                <w:lang w:val="en-AU"/>
              </w:rPr>
              <w:t xml:space="preserve"> </w:t>
            </w:r>
            <w:r w:rsidRPr="00542CCE">
              <w:rPr>
                <w:sz w:val="22"/>
                <w:lang w:val="en-AU"/>
              </w:rPr>
              <w:br/>
              <w:t xml:space="preserve">Partner with the VPS Pride Network to organise DEECA’s involvement in </w:t>
            </w:r>
            <w:proofErr w:type="spellStart"/>
            <w:r w:rsidRPr="00542CCE">
              <w:rPr>
                <w:sz w:val="22"/>
                <w:lang w:val="en-AU"/>
              </w:rPr>
              <w:t>Midsumma</w:t>
            </w:r>
            <w:proofErr w:type="spellEnd"/>
            <w:r w:rsidRPr="00542CCE">
              <w:rPr>
                <w:sz w:val="22"/>
                <w:lang w:val="en-AU"/>
              </w:rPr>
              <w:t xml:space="preserve"> Carnival, Pride March, </w:t>
            </w:r>
            <w:proofErr w:type="spellStart"/>
            <w:r w:rsidRPr="00542CCE">
              <w:rPr>
                <w:sz w:val="22"/>
                <w:lang w:val="en-AU"/>
              </w:rPr>
              <w:t>ChillOut</w:t>
            </w:r>
            <w:proofErr w:type="spellEnd"/>
            <w:r w:rsidRPr="00542CCE">
              <w:rPr>
                <w:sz w:val="22"/>
                <w:lang w:val="en-AU"/>
              </w:rPr>
              <w:t>, and various regional pride events</w:t>
            </w:r>
          </w:p>
        </w:tc>
        <w:tc>
          <w:tcPr>
            <w:tcW w:w="713" w:type="pct"/>
          </w:tcPr>
          <w:p w14:paraId="54DF4EEC" w14:textId="77777777" w:rsidR="001D6DB2" w:rsidRPr="00542CCE" w:rsidRDefault="001D6DB2" w:rsidP="00EA34AA">
            <w:pPr>
              <w:pStyle w:val="Tabletext"/>
              <w:rPr>
                <w:sz w:val="22"/>
                <w:lang w:val="en-AU"/>
              </w:rPr>
            </w:pPr>
            <w:r w:rsidRPr="00542CCE">
              <w:rPr>
                <w:sz w:val="22"/>
                <w:lang w:val="en-AU"/>
              </w:rPr>
              <w:t>Q2 2026 –</w:t>
            </w:r>
            <w:r w:rsidRPr="00542CCE">
              <w:rPr>
                <w:sz w:val="22"/>
                <w:lang w:val="en-AU"/>
              </w:rPr>
              <w:br/>
              <w:t>Q3 2027</w:t>
            </w:r>
          </w:p>
        </w:tc>
        <w:tc>
          <w:tcPr>
            <w:tcW w:w="1173" w:type="pct"/>
          </w:tcPr>
          <w:p w14:paraId="15E39059" w14:textId="77777777" w:rsidR="001D6DB2" w:rsidRPr="00542CCE" w:rsidRDefault="001D6DB2" w:rsidP="00EA34AA">
            <w:pPr>
              <w:pStyle w:val="Tabletext"/>
              <w:rPr>
                <w:sz w:val="22"/>
                <w:lang w:val="en-AU"/>
              </w:rPr>
            </w:pPr>
            <w:r w:rsidRPr="00542CCE">
              <w:rPr>
                <w:sz w:val="22"/>
                <w:lang w:val="en-AU"/>
              </w:rPr>
              <w:t>Place of Pride Network, Diversity &amp; Inclusion</w:t>
            </w:r>
          </w:p>
        </w:tc>
      </w:tr>
      <w:tr w:rsidR="001D6DB2" w:rsidRPr="00542CCE" w14:paraId="1BB87B36" w14:textId="77777777" w:rsidTr="00175520">
        <w:trPr>
          <w:trHeight w:val="60"/>
        </w:trPr>
        <w:tc>
          <w:tcPr>
            <w:tcW w:w="1114" w:type="pct"/>
          </w:tcPr>
          <w:p w14:paraId="74DE8A3E" w14:textId="77777777" w:rsidR="001D6DB2" w:rsidRPr="00542CCE" w:rsidRDefault="001D6DB2" w:rsidP="00EA34AA">
            <w:pPr>
              <w:pStyle w:val="Tabletext"/>
              <w:rPr>
                <w:sz w:val="22"/>
                <w:lang w:val="en-AU"/>
              </w:rPr>
            </w:pPr>
            <w:r w:rsidRPr="00542CCE">
              <w:rPr>
                <w:b/>
                <w:bCs/>
                <w:sz w:val="22"/>
                <w:lang w:val="en-AU"/>
              </w:rPr>
              <w:t>3.2</w:t>
            </w:r>
            <w:r w:rsidRPr="00542CCE">
              <w:rPr>
                <w:sz w:val="22"/>
                <w:lang w:val="en-AU"/>
              </w:rPr>
              <w:t xml:space="preserve"> </w:t>
            </w:r>
            <w:r w:rsidRPr="00542CCE">
              <w:rPr>
                <w:sz w:val="22"/>
                <w:lang w:val="en-AU"/>
              </w:rPr>
              <w:br/>
              <w:t>Sustainable partnerships support long-term inclusion goals</w:t>
            </w:r>
          </w:p>
        </w:tc>
        <w:tc>
          <w:tcPr>
            <w:tcW w:w="2000" w:type="pct"/>
          </w:tcPr>
          <w:p w14:paraId="186A6EFA" w14:textId="77777777" w:rsidR="001D6DB2" w:rsidRPr="00542CCE" w:rsidRDefault="001D6DB2" w:rsidP="00175520">
            <w:pPr>
              <w:pStyle w:val="Tabletext"/>
              <w:spacing w:after="240"/>
              <w:rPr>
                <w:sz w:val="22"/>
                <w:lang w:val="en-AU"/>
              </w:rPr>
            </w:pPr>
            <w:r w:rsidRPr="00542CCE">
              <w:rPr>
                <w:b/>
                <w:bCs/>
                <w:sz w:val="22"/>
                <w:lang w:val="en-AU"/>
              </w:rPr>
              <w:t>3.2.1</w:t>
            </w:r>
            <w:r w:rsidRPr="00542CCE">
              <w:rPr>
                <w:sz w:val="22"/>
                <w:lang w:val="en-AU"/>
              </w:rPr>
              <w:t xml:space="preserve"> </w:t>
            </w:r>
            <w:r w:rsidRPr="00542CCE">
              <w:rPr>
                <w:sz w:val="22"/>
                <w:lang w:val="en-AU"/>
              </w:rPr>
              <w:br/>
              <w:t>Build partnerships with the Australian Workplace Equality Index to ensure feedback loop and ongoing consultation</w:t>
            </w:r>
          </w:p>
        </w:tc>
        <w:tc>
          <w:tcPr>
            <w:tcW w:w="713" w:type="pct"/>
          </w:tcPr>
          <w:p w14:paraId="46302970" w14:textId="77777777" w:rsidR="001D6DB2" w:rsidRPr="00542CCE" w:rsidRDefault="001D6DB2" w:rsidP="00EA34AA">
            <w:pPr>
              <w:pStyle w:val="Tabletext"/>
              <w:rPr>
                <w:sz w:val="22"/>
                <w:lang w:val="en-AU"/>
              </w:rPr>
            </w:pPr>
            <w:r w:rsidRPr="00542CCE">
              <w:rPr>
                <w:sz w:val="22"/>
                <w:lang w:val="en-AU"/>
              </w:rPr>
              <w:t>Q1 2026 –</w:t>
            </w:r>
            <w:r w:rsidRPr="00542CCE">
              <w:rPr>
                <w:sz w:val="22"/>
                <w:lang w:val="en-AU"/>
              </w:rPr>
              <w:br/>
              <w:t>Q2 2028</w:t>
            </w:r>
          </w:p>
        </w:tc>
        <w:tc>
          <w:tcPr>
            <w:tcW w:w="1173" w:type="pct"/>
          </w:tcPr>
          <w:p w14:paraId="40B28581" w14:textId="77777777" w:rsidR="001D6DB2" w:rsidRPr="00542CCE" w:rsidRDefault="001D6DB2" w:rsidP="00EA34AA">
            <w:pPr>
              <w:pStyle w:val="Tabletext"/>
              <w:rPr>
                <w:sz w:val="22"/>
                <w:lang w:val="en-AU"/>
              </w:rPr>
            </w:pPr>
            <w:r w:rsidRPr="00542CCE">
              <w:rPr>
                <w:sz w:val="22"/>
                <w:lang w:val="en-AU"/>
              </w:rPr>
              <w:t>Corporate Services Group, Diversity &amp; Inclusion</w:t>
            </w:r>
          </w:p>
        </w:tc>
      </w:tr>
      <w:tr w:rsidR="001D6DB2" w:rsidRPr="00542CCE" w14:paraId="0D52B056" w14:textId="77777777" w:rsidTr="00175520">
        <w:trPr>
          <w:trHeight w:val="60"/>
        </w:trPr>
        <w:tc>
          <w:tcPr>
            <w:tcW w:w="1114" w:type="pct"/>
          </w:tcPr>
          <w:p w14:paraId="0F5B75D3" w14:textId="77777777" w:rsidR="001D6DB2" w:rsidRPr="00542CCE" w:rsidRDefault="001D6DB2" w:rsidP="00EA34AA">
            <w:pPr>
              <w:pStyle w:val="Tabletext"/>
              <w:rPr>
                <w:sz w:val="22"/>
                <w:lang w:val="en-AU"/>
              </w:rPr>
            </w:pPr>
            <w:r w:rsidRPr="00542CCE">
              <w:rPr>
                <w:b/>
                <w:bCs/>
                <w:sz w:val="22"/>
                <w:lang w:val="en-AU"/>
              </w:rPr>
              <w:t>3.3</w:t>
            </w:r>
            <w:r w:rsidRPr="00542CCE">
              <w:rPr>
                <w:sz w:val="22"/>
                <w:lang w:val="en-AU"/>
              </w:rPr>
              <w:t xml:space="preserve"> </w:t>
            </w:r>
            <w:r w:rsidRPr="00542CCE">
              <w:rPr>
                <w:sz w:val="22"/>
                <w:lang w:val="en-AU"/>
              </w:rPr>
              <w:br/>
              <w:t>Partner with external LGBTIQA+ organisations</w:t>
            </w:r>
          </w:p>
        </w:tc>
        <w:tc>
          <w:tcPr>
            <w:tcW w:w="2000" w:type="pct"/>
          </w:tcPr>
          <w:p w14:paraId="42C3E3C3" w14:textId="77777777" w:rsidR="001D6DB2" w:rsidRPr="00542CCE" w:rsidRDefault="001D6DB2" w:rsidP="00175520">
            <w:pPr>
              <w:pStyle w:val="Tabletext"/>
              <w:spacing w:after="240"/>
              <w:rPr>
                <w:sz w:val="22"/>
                <w:lang w:val="en-AU"/>
              </w:rPr>
            </w:pPr>
            <w:r w:rsidRPr="00542CCE">
              <w:rPr>
                <w:b/>
                <w:bCs/>
                <w:sz w:val="22"/>
                <w:lang w:val="en-AU"/>
              </w:rPr>
              <w:t>3.3.1</w:t>
            </w:r>
            <w:r w:rsidRPr="00542CCE">
              <w:rPr>
                <w:sz w:val="22"/>
                <w:lang w:val="en-AU"/>
              </w:rPr>
              <w:t xml:space="preserve"> </w:t>
            </w:r>
            <w:r w:rsidRPr="00542CCE">
              <w:rPr>
                <w:sz w:val="22"/>
                <w:lang w:val="en-AU"/>
              </w:rPr>
              <w:br/>
              <w:t>Collaborate with other government agencies such as Pride in Water, Emergency Management Pride Network Victoria, CPSU to increase regional reach and join/share inclusion events</w:t>
            </w:r>
          </w:p>
        </w:tc>
        <w:tc>
          <w:tcPr>
            <w:tcW w:w="713" w:type="pct"/>
          </w:tcPr>
          <w:p w14:paraId="70058DF2" w14:textId="77777777" w:rsidR="001D6DB2" w:rsidRPr="00542CCE" w:rsidRDefault="001D6DB2" w:rsidP="00EA34AA">
            <w:pPr>
              <w:pStyle w:val="Tabletext"/>
              <w:rPr>
                <w:sz w:val="22"/>
                <w:lang w:val="en-AU"/>
              </w:rPr>
            </w:pPr>
            <w:r w:rsidRPr="00542CCE">
              <w:rPr>
                <w:sz w:val="22"/>
                <w:lang w:val="en-AU"/>
              </w:rPr>
              <w:t>Q3 2026 –</w:t>
            </w:r>
            <w:r w:rsidRPr="00542CCE">
              <w:rPr>
                <w:sz w:val="22"/>
                <w:lang w:val="en-AU"/>
              </w:rPr>
              <w:br/>
              <w:t>Q2 2028</w:t>
            </w:r>
          </w:p>
        </w:tc>
        <w:tc>
          <w:tcPr>
            <w:tcW w:w="1173" w:type="pct"/>
          </w:tcPr>
          <w:p w14:paraId="20238283" w14:textId="77777777" w:rsidR="001D6DB2" w:rsidRPr="00542CCE" w:rsidRDefault="001D6DB2" w:rsidP="00EA34AA">
            <w:pPr>
              <w:pStyle w:val="Tabletext"/>
              <w:rPr>
                <w:sz w:val="22"/>
                <w:lang w:val="en-AU"/>
              </w:rPr>
            </w:pPr>
            <w:r w:rsidRPr="00542CCE">
              <w:rPr>
                <w:sz w:val="22"/>
                <w:lang w:val="en-AU"/>
              </w:rPr>
              <w:t>Place of Pride Network</w:t>
            </w:r>
          </w:p>
        </w:tc>
      </w:tr>
    </w:tbl>
    <w:p w14:paraId="390F1703" w14:textId="77777777" w:rsidR="005F4ADC" w:rsidRPr="00542CCE" w:rsidRDefault="005F4ADC" w:rsidP="00392051">
      <w:pPr>
        <w:pStyle w:val="Heading2"/>
        <w:pageBreakBefore/>
        <w:rPr>
          <w:lang w:val="en-AU"/>
        </w:rPr>
      </w:pPr>
      <w:bookmarkStart w:id="12" w:name="_Toc207186390"/>
      <w:r w:rsidRPr="00542CCE">
        <w:rPr>
          <w:lang w:val="en-AU"/>
        </w:rPr>
        <w:lastRenderedPageBreak/>
        <w:t>Focus Area 4: LGBTIQA+ Inclusive and Safe Workplaces</w:t>
      </w:r>
      <w:bookmarkEnd w:id="12"/>
    </w:p>
    <w:p w14:paraId="15226308" w14:textId="3F2EE6F6" w:rsidR="005F4ADC" w:rsidRPr="00542CCE" w:rsidRDefault="005F4ADC" w:rsidP="005F4ADC">
      <w:pPr>
        <w:pStyle w:val="BodyText"/>
        <w:rPr>
          <w:lang w:val="en-AU"/>
        </w:rPr>
      </w:pPr>
      <w:r w:rsidRPr="00542CCE">
        <w:rPr>
          <w:lang w:val="en-AU"/>
        </w:rPr>
        <w:t>Build inclusive and safe workplaces where diversity and inclusion flourish,</w:t>
      </w:r>
      <w:r w:rsidR="000A1FCE">
        <w:rPr>
          <w:lang w:val="en-AU"/>
        </w:rPr>
        <w:t xml:space="preserve"> </w:t>
      </w:r>
      <w:r w:rsidRPr="00542CCE">
        <w:rPr>
          <w:lang w:val="en-AU"/>
        </w:rPr>
        <w:t>and where every LGBTIQA+ individual feels valued, respected,</w:t>
      </w:r>
      <w:r w:rsidR="000A1FCE">
        <w:rPr>
          <w:lang w:val="en-AU"/>
        </w:rPr>
        <w:t xml:space="preserve"> </w:t>
      </w:r>
      <w:r w:rsidRPr="00542CCE">
        <w:rPr>
          <w:lang w:val="en-AU"/>
        </w:rPr>
        <w:t>and empowered to contribute their whole selves.</w:t>
      </w:r>
    </w:p>
    <w:p w14:paraId="1C06F604" w14:textId="375070FB" w:rsidR="00392051" w:rsidRDefault="00392051" w:rsidP="00392051">
      <w:pPr>
        <w:pStyle w:val="Caption"/>
        <w:keepNext/>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392051">
        <w:rPr>
          <w:b w:val="0"/>
          <w:bCs/>
        </w:rPr>
        <w:t>Focus Area 4 – Outcomes, key actions, timeline and accountability</w:t>
      </w:r>
    </w:p>
    <w:tbl>
      <w:tblPr>
        <w:tblStyle w:val="Style2"/>
        <w:tblW w:w="5000" w:type="pct"/>
        <w:tblLook w:val="0020" w:firstRow="1" w:lastRow="0" w:firstColumn="0" w:lastColumn="0" w:noHBand="0" w:noVBand="0"/>
        <w:tblCaption w:val="Table 4: Focus Area 4 – Outcomes, key actions, timeline and accountability"/>
        <w:tblDescription w:val="Table 4: Focus Area 4 – Outcomes, key actions, timeline and accountability"/>
      </w:tblPr>
      <w:tblGrid>
        <w:gridCol w:w="2143"/>
        <w:gridCol w:w="3847"/>
        <w:gridCol w:w="1372"/>
        <w:gridCol w:w="2256"/>
      </w:tblGrid>
      <w:tr w:rsidR="00930007" w:rsidRPr="00542CCE" w14:paraId="748447B8" w14:textId="77777777" w:rsidTr="00265498">
        <w:trPr>
          <w:cnfStyle w:val="100000000000" w:firstRow="1" w:lastRow="0" w:firstColumn="0" w:lastColumn="0" w:oddVBand="0" w:evenVBand="0" w:oddHBand="0" w:evenHBand="0" w:firstRowFirstColumn="0" w:firstRowLastColumn="0" w:lastRowFirstColumn="0" w:lastRowLastColumn="0"/>
          <w:cantSplit/>
          <w:trHeight w:val="60"/>
          <w:tblHeader/>
        </w:trPr>
        <w:tc>
          <w:tcPr>
            <w:tcW w:w="1114" w:type="pct"/>
          </w:tcPr>
          <w:p w14:paraId="2D0D2AC8" w14:textId="77777777" w:rsidR="001D6DB2" w:rsidRPr="00542CCE" w:rsidRDefault="001D6DB2" w:rsidP="00265498">
            <w:pPr>
              <w:pStyle w:val="Tabletext"/>
              <w:spacing w:line="240" w:lineRule="auto"/>
              <w:rPr>
                <w:sz w:val="22"/>
                <w:lang w:val="en-AU"/>
              </w:rPr>
            </w:pPr>
            <w:r w:rsidRPr="00542CCE">
              <w:rPr>
                <w:sz w:val="22"/>
                <w:lang w:val="en-AU"/>
              </w:rPr>
              <w:t>Outcome</w:t>
            </w:r>
          </w:p>
        </w:tc>
        <w:tc>
          <w:tcPr>
            <w:tcW w:w="2000" w:type="pct"/>
          </w:tcPr>
          <w:p w14:paraId="6D2F13AB" w14:textId="77777777" w:rsidR="001D6DB2" w:rsidRPr="00542CCE" w:rsidRDefault="001D6DB2" w:rsidP="00265498">
            <w:pPr>
              <w:pStyle w:val="Tabletext"/>
              <w:spacing w:line="240" w:lineRule="auto"/>
              <w:rPr>
                <w:sz w:val="22"/>
                <w:lang w:val="en-AU"/>
              </w:rPr>
            </w:pPr>
            <w:r w:rsidRPr="00542CCE">
              <w:rPr>
                <w:sz w:val="22"/>
                <w:lang w:val="en-AU"/>
              </w:rPr>
              <w:t>Key Actions</w:t>
            </w:r>
          </w:p>
        </w:tc>
        <w:tc>
          <w:tcPr>
            <w:tcW w:w="713" w:type="pct"/>
          </w:tcPr>
          <w:p w14:paraId="42127F3B" w14:textId="77777777" w:rsidR="001D6DB2" w:rsidRPr="00542CCE" w:rsidRDefault="001D6DB2" w:rsidP="00265498">
            <w:pPr>
              <w:pStyle w:val="Tabletext"/>
              <w:spacing w:line="240" w:lineRule="auto"/>
              <w:rPr>
                <w:sz w:val="22"/>
                <w:lang w:val="en-AU"/>
              </w:rPr>
            </w:pPr>
            <w:r w:rsidRPr="00542CCE">
              <w:rPr>
                <w:sz w:val="22"/>
                <w:lang w:val="en-AU"/>
              </w:rPr>
              <w:t>Timeline</w:t>
            </w:r>
          </w:p>
        </w:tc>
        <w:tc>
          <w:tcPr>
            <w:tcW w:w="1173" w:type="pct"/>
          </w:tcPr>
          <w:p w14:paraId="5AA7DADD" w14:textId="77777777" w:rsidR="001D6DB2" w:rsidRPr="00542CCE" w:rsidRDefault="001D6DB2" w:rsidP="00265498">
            <w:pPr>
              <w:pStyle w:val="Tabletext"/>
              <w:spacing w:line="240" w:lineRule="auto"/>
              <w:rPr>
                <w:sz w:val="22"/>
                <w:lang w:val="en-AU"/>
              </w:rPr>
            </w:pPr>
            <w:r w:rsidRPr="00542CCE">
              <w:rPr>
                <w:sz w:val="22"/>
                <w:lang w:val="en-AU"/>
              </w:rPr>
              <w:t>Accountability</w:t>
            </w:r>
          </w:p>
        </w:tc>
      </w:tr>
      <w:tr w:rsidR="001D6DB2" w:rsidRPr="00542CCE" w14:paraId="7B5D958F" w14:textId="77777777" w:rsidTr="00265498">
        <w:trPr>
          <w:trHeight w:val="60"/>
        </w:trPr>
        <w:tc>
          <w:tcPr>
            <w:tcW w:w="1114" w:type="pct"/>
          </w:tcPr>
          <w:p w14:paraId="11C04C37" w14:textId="77777777" w:rsidR="001D6DB2" w:rsidRPr="00542CCE" w:rsidRDefault="001D6DB2" w:rsidP="00265498">
            <w:pPr>
              <w:pStyle w:val="Tabletext"/>
              <w:spacing w:after="240"/>
              <w:rPr>
                <w:sz w:val="22"/>
                <w:lang w:val="en-AU"/>
              </w:rPr>
            </w:pPr>
            <w:r w:rsidRPr="00542CCE">
              <w:rPr>
                <w:b/>
                <w:bCs/>
                <w:sz w:val="22"/>
                <w:lang w:val="en-AU"/>
              </w:rPr>
              <w:t>4.1</w:t>
            </w:r>
            <w:r w:rsidRPr="00542CCE">
              <w:rPr>
                <w:sz w:val="22"/>
                <w:lang w:val="en-AU"/>
              </w:rPr>
              <w:t xml:space="preserve"> </w:t>
            </w:r>
            <w:r w:rsidRPr="00542CCE">
              <w:rPr>
                <w:sz w:val="22"/>
                <w:lang w:val="en-AU"/>
              </w:rPr>
              <w:br/>
              <w:t>Staff are empowered to become active allies for LGBTIQA+ individuals</w:t>
            </w:r>
          </w:p>
        </w:tc>
        <w:tc>
          <w:tcPr>
            <w:tcW w:w="2000" w:type="pct"/>
          </w:tcPr>
          <w:p w14:paraId="1938A2E3" w14:textId="2FBE78A8" w:rsidR="001D6DB2" w:rsidRPr="00542CCE" w:rsidRDefault="001D6DB2" w:rsidP="00EA34AA">
            <w:pPr>
              <w:pStyle w:val="Tabletext"/>
              <w:rPr>
                <w:sz w:val="22"/>
                <w:lang w:val="en-AU"/>
              </w:rPr>
            </w:pPr>
            <w:r w:rsidRPr="00542CCE">
              <w:rPr>
                <w:b/>
                <w:bCs/>
                <w:sz w:val="22"/>
                <w:lang w:val="en-AU"/>
              </w:rPr>
              <w:t>4.1.1</w:t>
            </w:r>
            <w:r w:rsidRPr="00542CCE">
              <w:rPr>
                <w:sz w:val="22"/>
                <w:lang w:val="en-AU"/>
              </w:rPr>
              <w:t xml:space="preserve"> </w:t>
            </w:r>
            <w:r w:rsidRPr="00542CCE">
              <w:rPr>
                <w:sz w:val="22"/>
                <w:lang w:val="en-AU"/>
              </w:rPr>
              <w:br/>
              <w:t>Communicate and promote the use of Diversity</w:t>
            </w:r>
            <w:r w:rsidR="000A1FCE">
              <w:rPr>
                <w:sz w:val="22"/>
                <w:lang w:val="en-AU"/>
              </w:rPr>
              <w:t xml:space="preserve"> </w:t>
            </w:r>
            <w:r w:rsidRPr="00542CCE">
              <w:rPr>
                <w:sz w:val="22"/>
                <w:lang w:val="en-AU"/>
              </w:rPr>
              <w:t>and Inclusion PDP goals, including LGBTIQA+ inclusion PDP goals</w:t>
            </w:r>
          </w:p>
        </w:tc>
        <w:tc>
          <w:tcPr>
            <w:tcW w:w="713" w:type="pct"/>
          </w:tcPr>
          <w:p w14:paraId="2CCDAE31" w14:textId="77777777" w:rsidR="001D6DB2" w:rsidRPr="00542CCE" w:rsidRDefault="001D6DB2" w:rsidP="00EA34AA">
            <w:pPr>
              <w:pStyle w:val="Tabletext"/>
              <w:rPr>
                <w:sz w:val="22"/>
                <w:lang w:val="en-AU"/>
              </w:rPr>
            </w:pPr>
            <w:r w:rsidRPr="00542CCE">
              <w:rPr>
                <w:sz w:val="22"/>
                <w:lang w:val="en-AU"/>
              </w:rPr>
              <w:t xml:space="preserve">Q2 2025 – </w:t>
            </w:r>
            <w:r w:rsidRPr="00542CCE">
              <w:rPr>
                <w:sz w:val="22"/>
                <w:lang w:val="en-AU"/>
              </w:rPr>
              <w:br/>
              <w:t>Q4 2029</w:t>
            </w:r>
          </w:p>
        </w:tc>
        <w:tc>
          <w:tcPr>
            <w:tcW w:w="1173" w:type="pct"/>
          </w:tcPr>
          <w:p w14:paraId="69A04B77" w14:textId="77777777" w:rsidR="001D6DB2" w:rsidRPr="00542CCE" w:rsidRDefault="001D6DB2" w:rsidP="00EA34AA">
            <w:pPr>
              <w:pStyle w:val="Tabletext"/>
              <w:rPr>
                <w:sz w:val="22"/>
                <w:lang w:val="en-AU"/>
              </w:rPr>
            </w:pPr>
            <w:r w:rsidRPr="00542CCE">
              <w:rPr>
                <w:sz w:val="22"/>
                <w:lang w:val="en-AU"/>
              </w:rPr>
              <w:t>Corporate Services Group, Operations</w:t>
            </w:r>
          </w:p>
          <w:p w14:paraId="457C00E0" w14:textId="77777777" w:rsidR="001D6DB2" w:rsidRPr="00542CCE" w:rsidRDefault="001D6DB2" w:rsidP="00EA34AA">
            <w:pPr>
              <w:pStyle w:val="Tabletext"/>
              <w:rPr>
                <w:sz w:val="22"/>
                <w:lang w:val="en-AU"/>
              </w:rPr>
            </w:pPr>
            <w:r w:rsidRPr="00542CCE">
              <w:rPr>
                <w:sz w:val="22"/>
                <w:lang w:val="en-AU"/>
              </w:rPr>
              <w:t>Corporate Services Group, Diversity and Inclusion</w:t>
            </w:r>
          </w:p>
          <w:p w14:paraId="413A79C0" w14:textId="77777777" w:rsidR="001D6DB2" w:rsidRPr="00542CCE" w:rsidRDefault="001D6DB2" w:rsidP="00EA34AA">
            <w:pPr>
              <w:pStyle w:val="Tabletext"/>
              <w:rPr>
                <w:sz w:val="22"/>
                <w:lang w:val="en-AU"/>
              </w:rPr>
            </w:pPr>
          </w:p>
        </w:tc>
      </w:tr>
      <w:tr w:rsidR="001D6DB2" w:rsidRPr="00542CCE" w14:paraId="0DD2D45F" w14:textId="77777777" w:rsidTr="00265498">
        <w:trPr>
          <w:trHeight w:val="60"/>
        </w:trPr>
        <w:tc>
          <w:tcPr>
            <w:tcW w:w="1114" w:type="pct"/>
          </w:tcPr>
          <w:p w14:paraId="503F94D8" w14:textId="3D21040D" w:rsidR="001D6DB2" w:rsidRPr="00542CCE" w:rsidRDefault="001D6DB2" w:rsidP="00EA34AA">
            <w:pPr>
              <w:pStyle w:val="Tabletext"/>
              <w:rPr>
                <w:sz w:val="22"/>
                <w:lang w:val="en-AU"/>
              </w:rPr>
            </w:pPr>
            <w:r w:rsidRPr="00542CCE">
              <w:rPr>
                <w:b/>
                <w:bCs/>
                <w:sz w:val="22"/>
                <w:lang w:val="en-AU"/>
              </w:rPr>
              <w:t>4.2</w:t>
            </w:r>
            <w:r w:rsidRPr="00542CCE">
              <w:rPr>
                <w:sz w:val="22"/>
                <w:lang w:val="en-AU"/>
              </w:rPr>
              <w:t xml:space="preserve"> </w:t>
            </w:r>
            <w:r w:rsidRPr="00542CCE">
              <w:rPr>
                <w:sz w:val="22"/>
                <w:lang w:val="en-AU"/>
              </w:rPr>
              <w:br/>
              <w:t>Inclusive systems and</w:t>
            </w:r>
            <w:r w:rsidR="000A1FCE">
              <w:rPr>
                <w:sz w:val="22"/>
                <w:lang w:val="en-AU"/>
              </w:rPr>
              <w:t xml:space="preserve"> </w:t>
            </w:r>
            <w:r w:rsidRPr="00542CCE">
              <w:rPr>
                <w:sz w:val="22"/>
                <w:lang w:val="en-AU"/>
              </w:rPr>
              <w:t>reporting</w:t>
            </w:r>
          </w:p>
        </w:tc>
        <w:tc>
          <w:tcPr>
            <w:tcW w:w="2000" w:type="pct"/>
          </w:tcPr>
          <w:p w14:paraId="323E1316" w14:textId="03385FAC" w:rsidR="001D6DB2" w:rsidRPr="00542CCE" w:rsidRDefault="001D6DB2" w:rsidP="00265498">
            <w:pPr>
              <w:pStyle w:val="Tabletext"/>
              <w:spacing w:after="240"/>
              <w:rPr>
                <w:sz w:val="22"/>
                <w:lang w:val="en-AU"/>
              </w:rPr>
            </w:pPr>
            <w:r w:rsidRPr="00542CCE">
              <w:rPr>
                <w:b/>
                <w:bCs/>
                <w:sz w:val="22"/>
                <w:lang w:val="en-AU"/>
              </w:rPr>
              <w:t>4.2.2</w:t>
            </w:r>
            <w:r w:rsidRPr="00542CCE">
              <w:rPr>
                <w:sz w:val="22"/>
                <w:lang w:val="en-AU"/>
              </w:rPr>
              <w:t xml:space="preserve"> </w:t>
            </w:r>
            <w:r w:rsidRPr="00542CCE">
              <w:rPr>
                <w:sz w:val="22"/>
                <w:lang w:val="en-AU"/>
              </w:rPr>
              <w:br/>
              <w:t>Develop dashboard data tracker (Microsoft Power</w:t>
            </w:r>
            <w:r w:rsidR="000A1FCE">
              <w:rPr>
                <w:sz w:val="22"/>
                <w:lang w:val="en-AU"/>
              </w:rPr>
              <w:t xml:space="preserve"> </w:t>
            </w:r>
            <w:r w:rsidRPr="00542CCE">
              <w:rPr>
                <w:sz w:val="22"/>
                <w:lang w:val="en-AU"/>
              </w:rPr>
              <w:t>BI) for reporting LGBTIQA+ outcomes (as</w:t>
            </w:r>
            <w:r w:rsidR="000A1FCE">
              <w:rPr>
                <w:sz w:val="22"/>
                <w:lang w:val="en-AU"/>
              </w:rPr>
              <w:t xml:space="preserve"> </w:t>
            </w:r>
            <w:r w:rsidRPr="00542CCE">
              <w:rPr>
                <w:sz w:val="22"/>
                <w:lang w:val="en-AU"/>
              </w:rPr>
              <w:t>part of Diversity and Inclusion reporting)</w:t>
            </w:r>
          </w:p>
        </w:tc>
        <w:tc>
          <w:tcPr>
            <w:tcW w:w="713" w:type="pct"/>
          </w:tcPr>
          <w:p w14:paraId="126F0D0F" w14:textId="77777777" w:rsidR="001D6DB2" w:rsidRPr="00542CCE" w:rsidRDefault="001D6DB2" w:rsidP="00EA34AA">
            <w:pPr>
              <w:pStyle w:val="Tabletext"/>
              <w:rPr>
                <w:sz w:val="22"/>
                <w:lang w:val="en-AU"/>
              </w:rPr>
            </w:pPr>
            <w:r w:rsidRPr="00542CCE">
              <w:rPr>
                <w:sz w:val="22"/>
                <w:lang w:val="en-AU"/>
              </w:rPr>
              <w:t xml:space="preserve">Q2 2026 – </w:t>
            </w:r>
            <w:r w:rsidRPr="00542CCE">
              <w:rPr>
                <w:sz w:val="22"/>
                <w:lang w:val="en-AU"/>
              </w:rPr>
              <w:br/>
              <w:t>Q4 2029</w:t>
            </w:r>
          </w:p>
        </w:tc>
        <w:tc>
          <w:tcPr>
            <w:tcW w:w="1173" w:type="pct"/>
          </w:tcPr>
          <w:p w14:paraId="4954B8AA" w14:textId="77777777" w:rsidR="001D6DB2" w:rsidRPr="00542CCE" w:rsidRDefault="001D6DB2" w:rsidP="00EA34AA">
            <w:pPr>
              <w:pStyle w:val="Tabletext"/>
              <w:rPr>
                <w:sz w:val="22"/>
                <w:lang w:val="en-AU"/>
              </w:rPr>
            </w:pPr>
            <w:r w:rsidRPr="00542CCE">
              <w:rPr>
                <w:sz w:val="22"/>
                <w:lang w:val="en-AU"/>
              </w:rPr>
              <w:t>Corporate Services Group, Diversity and Inclusion</w:t>
            </w:r>
          </w:p>
          <w:p w14:paraId="523D1EC9" w14:textId="77777777" w:rsidR="001D6DB2" w:rsidRPr="00542CCE" w:rsidRDefault="001D6DB2" w:rsidP="00EA34AA">
            <w:pPr>
              <w:pStyle w:val="Tabletext"/>
              <w:rPr>
                <w:sz w:val="22"/>
                <w:lang w:val="en-AU"/>
              </w:rPr>
            </w:pPr>
          </w:p>
        </w:tc>
      </w:tr>
      <w:tr w:rsidR="001D6DB2" w:rsidRPr="00542CCE" w14:paraId="26BCC650" w14:textId="77777777" w:rsidTr="00265498">
        <w:trPr>
          <w:trHeight w:val="60"/>
        </w:trPr>
        <w:tc>
          <w:tcPr>
            <w:tcW w:w="1114" w:type="pct"/>
          </w:tcPr>
          <w:p w14:paraId="6C2A01B2" w14:textId="77777777" w:rsidR="001D6DB2" w:rsidRPr="00542CCE" w:rsidRDefault="001D6DB2" w:rsidP="00EA34AA">
            <w:pPr>
              <w:pStyle w:val="Tabletext"/>
              <w:rPr>
                <w:sz w:val="22"/>
                <w:lang w:val="en-AU"/>
              </w:rPr>
            </w:pPr>
            <w:r w:rsidRPr="00542CCE">
              <w:rPr>
                <w:b/>
                <w:bCs/>
                <w:sz w:val="22"/>
                <w:lang w:val="en-AU"/>
              </w:rPr>
              <w:t>4.3</w:t>
            </w:r>
            <w:r w:rsidRPr="00542CCE">
              <w:rPr>
                <w:sz w:val="22"/>
                <w:lang w:val="en-AU"/>
              </w:rPr>
              <w:t xml:space="preserve"> </w:t>
            </w:r>
            <w:r w:rsidRPr="00542CCE">
              <w:rPr>
                <w:sz w:val="22"/>
                <w:lang w:val="en-AU"/>
              </w:rPr>
              <w:br/>
              <w:t>Gender affirmation practices are embedded and equitable</w:t>
            </w:r>
          </w:p>
        </w:tc>
        <w:tc>
          <w:tcPr>
            <w:tcW w:w="2000" w:type="pct"/>
          </w:tcPr>
          <w:p w14:paraId="22900AEB" w14:textId="77777777" w:rsidR="001D6DB2" w:rsidRPr="00542CCE" w:rsidRDefault="001D6DB2" w:rsidP="00265498">
            <w:pPr>
              <w:pStyle w:val="Tabletext"/>
              <w:spacing w:after="240"/>
              <w:rPr>
                <w:sz w:val="22"/>
                <w:lang w:val="en-AU"/>
              </w:rPr>
            </w:pPr>
            <w:r w:rsidRPr="00542CCE">
              <w:rPr>
                <w:b/>
                <w:bCs/>
                <w:sz w:val="22"/>
                <w:lang w:val="en-AU"/>
              </w:rPr>
              <w:t>4.3.1</w:t>
            </w:r>
            <w:r w:rsidRPr="00542CCE">
              <w:rPr>
                <w:sz w:val="22"/>
                <w:lang w:val="en-AU"/>
              </w:rPr>
              <w:t xml:space="preserve"> </w:t>
            </w:r>
            <w:r w:rsidRPr="00542CCE">
              <w:rPr>
                <w:sz w:val="22"/>
                <w:lang w:val="en-AU"/>
              </w:rPr>
              <w:br/>
              <w:t xml:space="preserve">Review gender affirmation </w:t>
            </w:r>
            <w:proofErr w:type="gramStart"/>
            <w:r w:rsidRPr="00542CCE">
              <w:rPr>
                <w:sz w:val="22"/>
                <w:lang w:val="en-AU"/>
              </w:rPr>
              <w:t>leave</w:t>
            </w:r>
            <w:proofErr w:type="gramEnd"/>
            <w:r w:rsidRPr="00542CCE">
              <w:rPr>
                <w:sz w:val="22"/>
                <w:lang w:val="en-AU"/>
              </w:rPr>
              <w:t xml:space="preserve"> and associated gender affirming treatment leave within the DEECA’s Gender Affirmation Policy.</w:t>
            </w:r>
          </w:p>
        </w:tc>
        <w:tc>
          <w:tcPr>
            <w:tcW w:w="713" w:type="pct"/>
          </w:tcPr>
          <w:p w14:paraId="0AFF9997" w14:textId="77777777" w:rsidR="001D6DB2" w:rsidRPr="00542CCE" w:rsidRDefault="001D6DB2" w:rsidP="00EA34AA">
            <w:pPr>
              <w:pStyle w:val="Tabletext"/>
              <w:rPr>
                <w:sz w:val="22"/>
                <w:lang w:val="en-AU"/>
              </w:rPr>
            </w:pPr>
            <w:r w:rsidRPr="00542CCE">
              <w:rPr>
                <w:sz w:val="22"/>
                <w:lang w:val="en-AU"/>
              </w:rPr>
              <w:t xml:space="preserve">Q4 2025 – </w:t>
            </w:r>
            <w:r w:rsidRPr="00542CCE">
              <w:rPr>
                <w:sz w:val="22"/>
                <w:lang w:val="en-AU"/>
              </w:rPr>
              <w:br/>
              <w:t>Q2 2029</w:t>
            </w:r>
          </w:p>
        </w:tc>
        <w:tc>
          <w:tcPr>
            <w:tcW w:w="1173" w:type="pct"/>
          </w:tcPr>
          <w:p w14:paraId="0AB3DC86" w14:textId="77777777" w:rsidR="001D6DB2" w:rsidRPr="00542CCE" w:rsidRDefault="001D6DB2" w:rsidP="00EA34AA">
            <w:pPr>
              <w:pStyle w:val="Tabletext"/>
              <w:rPr>
                <w:sz w:val="22"/>
                <w:lang w:val="en-AU"/>
              </w:rPr>
            </w:pPr>
            <w:r w:rsidRPr="00542CCE">
              <w:rPr>
                <w:sz w:val="22"/>
                <w:lang w:val="en-AU"/>
              </w:rPr>
              <w:t>Corporate Services Group, Diversity and Inclusion</w:t>
            </w:r>
          </w:p>
          <w:p w14:paraId="311FA9AB" w14:textId="77777777" w:rsidR="001D6DB2" w:rsidRPr="00542CCE" w:rsidRDefault="001D6DB2" w:rsidP="00EA34AA">
            <w:pPr>
              <w:pStyle w:val="Tabletext"/>
              <w:rPr>
                <w:sz w:val="22"/>
                <w:lang w:val="en-AU"/>
              </w:rPr>
            </w:pPr>
          </w:p>
        </w:tc>
      </w:tr>
    </w:tbl>
    <w:p w14:paraId="6F6557BF" w14:textId="0D028BBA" w:rsidR="005F4ADC" w:rsidRPr="00542CCE" w:rsidRDefault="001D6DB2">
      <w:pPr>
        <w:suppressAutoHyphens w:val="0"/>
        <w:spacing w:after="160"/>
        <w:rPr>
          <w:rFonts w:cs="Times New Roman (Body CS)"/>
          <w:kern w:val="24"/>
        </w:rPr>
      </w:pPr>
      <w:r w:rsidRPr="00542CCE">
        <w:t xml:space="preserve"> </w:t>
      </w:r>
      <w:r w:rsidR="005F4ADC" w:rsidRPr="00542CCE">
        <w:br w:type="page"/>
      </w:r>
    </w:p>
    <w:p w14:paraId="364F2C58" w14:textId="33312A6F" w:rsidR="005F4ADC" w:rsidRPr="00542CCE" w:rsidRDefault="005F4ADC" w:rsidP="005F4ADC">
      <w:pPr>
        <w:pStyle w:val="Heading2"/>
        <w:rPr>
          <w:lang w:val="en-AU"/>
        </w:rPr>
      </w:pPr>
      <w:bookmarkStart w:id="13" w:name="_Toc207186391"/>
      <w:r w:rsidRPr="00542CCE">
        <w:rPr>
          <w:lang w:val="en-AU"/>
        </w:rPr>
        <w:lastRenderedPageBreak/>
        <w:t>Focus Area 5: Empowering Inclusion Through Resources and</w:t>
      </w:r>
      <w:r w:rsidR="000A1FCE">
        <w:rPr>
          <w:lang w:val="en-AU"/>
        </w:rPr>
        <w:t xml:space="preserve"> </w:t>
      </w:r>
      <w:r w:rsidRPr="00542CCE">
        <w:rPr>
          <w:lang w:val="en-AU"/>
        </w:rPr>
        <w:t>Support</w:t>
      </w:r>
      <w:bookmarkEnd w:id="13"/>
    </w:p>
    <w:p w14:paraId="1E7E4541" w14:textId="5967418D" w:rsidR="005F4ADC" w:rsidRPr="00542CCE" w:rsidRDefault="005F4ADC" w:rsidP="005F4ADC">
      <w:pPr>
        <w:pStyle w:val="BodyText"/>
        <w:rPr>
          <w:lang w:val="en-AU"/>
        </w:rPr>
      </w:pPr>
      <w:r w:rsidRPr="00542CCE">
        <w:rPr>
          <w:lang w:val="en-AU"/>
        </w:rPr>
        <w:t>Proactively remove barriers to inclusion by providing equitable funding, streamlining support from line management, and fostering local initiatives.</w:t>
      </w:r>
    </w:p>
    <w:p w14:paraId="55AA1162" w14:textId="5B17DCF1" w:rsidR="00392051" w:rsidRDefault="00392051" w:rsidP="00392051">
      <w:pPr>
        <w:pStyle w:val="Caption"/>
        <w:keepNext/>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392051">
        <w:rPr>
          <w:b w:val="0"/>
          <w:bCs/>
        </w:rPr>
        <w:t>Focus Area 5 – Outcomes, key actions, timeline and accountability</w:t>
      </w:r>
    </w:p>
    <w:tbl>
      <w:tblPr>
        <w:tblStyle w:val="Style2"/>
        <w:tblpPr w:leftFromText="181" w:rightFromText="181" w:bottomFromText="567" w:vertAnchor="text" w:tblpY="1"/>
        <w:tblOverlap w:val="never"/>
        <w:tblW w:w="5000" w:type="pct"/>
        <w:tblLook w:val="0020" w:firstRow="1" w:lastRow="0" w:firstColumn="0" w:lastColumn="0" w:noHBand="0" w:noVBand="0"/>
        <w:tblCaption w:val="Table 5: Focus Area 5 – Outcomes, key actions, timeline and accountability"/>
        <w:tblDescription w:val="Table 5: Focus Area 5 – Outcomes, key actions, timeline and accountability"/>
      </w:tblPr>
      <w:tblGrid>
        <w:gridCol w:w="2143"/>
        <w:gridCol w:w="3847"/>
        <w:gridCol w:w="1372"/>
        <w:gridCol w:w="2256"/>
      </w:tblGrid>
      <w:tr w:rsidR="00930007" w:rsidRPr="00542CCE" w14:paraId="4E75CE84" w14:textId="77777777" w:rsidTr="00392051">
        <w:trPr>
          <w:cnfStyle w:val="100000000000" w:firstRow="1" w:lastRow="0" w:firstColumn="0" w:lastColumn="0" w:oddVBand="0" w:evenVBand="0" w:oddHBand="0" w:evenHBand="0" w:firstRowFirstColumn="0" w:firstRowLastColumn="0" w:lastRowFirstColumn="0" w:lastRowLastColumn="0"/>
          <w:trHeight w:val="60"/>
          <w:tblHeader/>
        </w:trPr>
        <w:tc>
          <w:tcPr>
            <w:tcW w:w="1114" w:type="pct"/>
          </w:tcPr>
          <w:p w14:paraId="31121B88" w14:textId="77777777" w:rsidR="001D6DB2" w:rsidRPr="00542CCE" w:rsidRDefault="001D6DB2" w:rsidP="00265498">
            <w:pPr>
              <w:pStyle w:val="Tabletext"/>
              <w:spacing w:line="240" w:lineRule="auto"/>
              <w:rPr>
                <w:sz w:val="22"/>
                <w:lang w:val="en-AU"/>
              </w:rPr>
            </w:pPr>
            <w:r w:rsidRPr="00542CCE">
              <w:rPr>
                <w:sz w:val="22"/>
                <w:lang w:val="en-AU"/>
              </w:rPr>
              <w:t>Outcome</w:t>
            </w:r>
          </w:p>
        </w:tc>
        <w:tc>
          <w:tcPr>
            <w:tcW w:w="2000" w:type="pct"/>
          </w:tcPr>
          <w:p w14:paraId="1EB7072D" w14:textId="77777777" w:rsidR="001D6DB2" w:rsidRPr="00542CCE" w:rsidRDefault="001D6DB2" w:rsidP="00265498">
            <w:pPr>
              <w:pStyle w:val="Tabletext"/>
              <w:spacing w:line="240" w:lineRule="auto"/>
              <w:rPr>
                <w:sz w:val="22"/>
                <w:lang w:val="en-AU"/>
              </w:rPr>
            </w:pPr>
            <w:r w:rsidRPr="00542CCE">
              <w:rPr>
                <w:sz w:val="22"/>
                <w:lang w:val="en-AU"/>
              </w:rPr>
              <w:t>Key Actions</w:t>
            </w:r>
          </w:p>
        </w:tc>
        <w:tc>
          <w:tcPr>
            <w:tcW w:w="713" w:type="pct"/>
          </w:tcPr>
          <w:p w14:paraId="6E9B09DC" w14:textId="77777777" w:rsidR="001D6DB2" w:rsidRPr="00542CCE" w:rsidRDefault="001D6DB2" w:rsidP="00265498">
            <w:pPr>
              <w:pStyle w:val="Tabletext"/>
              <w:spacing w:line="240" w:lineRule="auto"/>
              <w:rPr>
                <w:sz w:val="22"/>
                <w:lang w:val="en-AU"/>
              </w:rPr>
            </w:pPr>
            <w:r w:rsidRPr="00542CCE">
              <w:rPr>
                <w:sz w:val="22"/>
                <w:lang w:val="en-AU"/>
              </w:rPr>
              <w:t>Timeline</w:t>
            </w:r>
          </w:p>
        </w:tc>
        <w:tc>
          <w:tcPr>
            <w:tcW w:w="1173" w:type="pct"/>
          </w:tcPr>
          <w:p w14:paraId="4CD625D2" w14:textId="77777777" w:rsidR="001D6DB2" w:rsidRPr="00542CCE" w:rsidRDefault="001D6DB2" w:rsidP="00265498">
            <w:pPr>
              <w:pStyle w:val="Tabletext"/>
              <w:spacing w:line="240" w:lineRule="auto"/>
              <w:rPr>
                <w:sz w:val="22"/>
                <w:lang w:val="en-AU"/>
              </w:rPr>
            </w:pPr>
            <w:r w:rsidRPr="00542CCE">
              <w:rPr>
                <w:sz w:val="22"/>
                <w:lang w:val="en-AU"/>
              </w:rPr>
              <w:t>Accountability</w:t>
            </w:r>
          </w:p>
        </w:tc>
      </w:tr>
      <w:tr w:rsidR="00542CCE" w:rsidRPr="00542CCE" w14:paraId="0B9F0A81" w14:textId="77777777" w:rsidTr="00392051">
        <w:trPr>
          <w:trHeight w:val="60"/>
        </w:trPr>
        <w:tc>
          <w:tcPr>
            <w:tcW w:w="1114" w:type="pct"/>
          </w:tcPr>
          <w:p w14:paraId="18808701" w14:textId="496A0BF6" w:rsidR="001D6DB2" w:rsidRPr="00542CCE" w:rsidRDefault="001D6DB2" w:rsidP="00EA34AA">
            <w:pPr>
              <w:pStyle w:val="Tabletext"/>
              <w:rPr>
                <w:sz w:val="22"/>
                <w:lang w:val="en-AU"/>
              </w:rPr>
            </w:pPr>
            <w:r w:rsidRPr="00542CCE">
              <w:rPr>
                <w:b/>
                <w:bCs/>
                <w:sz w:val="22"/>
                <w:lang w:val="en-AU"/>
              </w:rPr>
              <w:t>5.1</w:t>
            </w:r>
            <w:r w:rsidRPr="00542CCE">
              <w:rPr>
                <w:sz w:val="22"/>
                <w:lang w:val="en-AU"/>
              </w:rPr>
              <w:t xml:space="preserve"> </w:t>
            </w:r>
            <w:r w:rsidRPr="00542CCE">
              <w:rPr>
                <w:sz w:val="22"/>
                <w:lang w:val="en-AU"/>
              </w:rPr>
              <w:br/>
              <w:t>Staff are supported and</w:t>
            </w:r>
            <w:r w:rsidR="000A1FCE">
              <w:rPr>
                <w:sz w:val="22"/>
                <w:lang w:val="en-AU"/>
              </w:rPr>
              <w:t xml:space="preserve"> </w:t>
            </w:r>
            <w:r w:rsidRPr="00542CCE">
              <w:rPr>
                <w:sz w:val="22"/>
                <w:lang w:val="en-AU"/>
              </w:rPr>
              <w:t>resourced to lead</w:t>
            </w:r>
            <w:r w:rsidR="000A1FCE">
              <w:rPr>
                <w:sz w:val="22"/>
                <w:lang w:val="en-AU"/>
              </w:rPr>
              <w:t xml:space="preserve"> </w:t>
            </w:r>
            <w:r w:rsidRPr="00542CCE">
              <w:rPr>
                <w:sz w:val="22"/>
                <w:lang w:val="en-AU"/>
              </w:rPr>
              <w:t>inclusivity</w:t>
            </w:r>
          </w:p>
        </w:tc>
        <w:tc>
          <w:tcPr>
            <w:tcW w:w="2000" w:type="pct"/>
          </w:tcPr>
          <w:p w14:paraId="15C7FE2B" w14:textId="04627035" w:rsidR="001D6DB2" w:rsidRPr="00542CCE" w:rsidRDefault="001D6DB2" w:rsidP="00265498">
            <w:pPr>
              <w:pStyle w:val="Tabletext"/>
              <w:spacing w:after="240"/>
              <w:rPr>
                <w:sz w:val="22"/>
                <w:lang w:val="en-AU"/>
              </w:rPr>
            </w:pPr>
            <w:r w:rsidRPr="00542CCE">
              <w:rPr>
                <w:b/>
                <w:bCs/>
                <w:sz w:val="22"/>
                <w:lang w:val="en-AU"/>
              </w:rPr>
              <w:t>5.1.1</w:t>
            </w:r>
            <w:r w:rsidRPr="00542CCE">
              <w:rPr>
                <w:sz w:val="22"/>
                <w:lang w:val="en-AU"/>
              </w:rPr>
              <w:t xml:space="preserve"> </w:t>
            </w:r>
            <w:r w:rsidRPr="00542CCE">
              <w:rPr>
                <w:sz w:val="22"/>
                <w:lang w:val="en-AU"/>
              </w:rPr>
              <w:br/>
              <w:t>Develop and maintain an up-to-date and</w:t>
            </w:r>
            <w:r w:rsidR="000A1FCE">
              <w:rPr>
                <w:sz w:val="22"/>
                <w:lang w:val="en-AU"/>
              </w:rPr>
              <w:t xml:space="preserve"> </w:t>
            </w:r>
            <w:r w:rsidRPr="00542CCE">
              <w:rPr>
                <w:sz w:val="22"/>
                <w:lang w:val="en-AU"/>
              </w:rPr>
              <w:t xml:space="preserve">easily accessible directory of trained LGBTIQA+ allies, peer supporters, executive sponsors and Safe &amp; Respectful Workplace Champions on the ADA </w:t>
            </w:r>
            <w:proofErr w:type="gramStart"/>
            <w:r w:rsidRPr="00542CCE">
              <w:rPr>
                <w:sz w:val="22"/>
                <w:lang w:val="en-AU"/>
              </w:rPr>
              <w:t>intranet, and</w:t>
            </w:r>
            <w:proofErr w:type="gramEnd"/>
            <w:r w:rsidRPr="00542CCE">
              <w:rPr>
                <w:sz w:val="22"/>
                <w:lang w:val="en-AU"/>
              </w:rPr>
              <w:t xml:space="preserve"> ensure that all accompanying LGBTIQA+ support information is tailored for both</w:t>
            </w:r>
            <w:r w:rsidR="000A1FCE">
              <w:rPr>
                <w:sz w:val="22"/>
                <w:lang w:val="en-AU"/>
              </w:rPr>
              <w:t xml:space="preserve"> </w:t>
            </w:r>
            <w:r w:rsidRPr="00542CCE">
              <w:rPr>
                <w:sz w:val="22"/>
                <w:lang w:val="en-AU"/>
              </w:rPr>
              <w:t>metropolitan and regional contexts.</w:t>
            </w:r>
          </w:p>
        </w:tc>
        <w:tc>
          <w:tcPr>
            <w:tcW w:w="713" w:type="pct"/>
          </w:tcPr>
          <w:p w14:paraId="346E7211" w14:textId="77777777" w:rsidR="001D6DB2" w:rsidRPr="00542CCE" w:rsidRDefault="001D6DB2" w:rsidP="00EA34AA">
            <w:pPr>
              <w:pStyle w:val="Tabletext"/>
              <w:rPr>
                <w:sz w:val="22"/>
                <w:lang w:val="en-AU"/>
              </w:rPr>
            </w:pPr>
            <w:r w:rsidRPr="00542CCE">
              <w:rPr>
                <w:sz w:val="22"/>
                <w:lang w:val="en-AU"/>
              </w:rPr>
              <w:t xml:space="preserve">Q4 2025 – </w:t>
            </w:r>
            <w:r w:rsidRPr="00542CCE">
              <w:rPr>
                <w:sz w:val="22"/>
                <w:lang w:val="en-AU"/>
              </w:rPr>
              <w:br/>
              <w:t>Q4 2027</w:t>
            </w:r>
          </w:p>
        </w:tc>
        <w:tc>
          <w:tcPr>
            <w:tcW w:w="1173" w:type="pct"/>
          </w:tcPr>
          <w:p w14:paraId="4454FDF2" w14:textId="2C48FB7E" w:rsidR="001D6DB2" w:rsidRPr="00542CCE" w:rsidRDefault="001D6DB2" w:rsidP="00EA34AA">
            <w:pPr>
              <w:pStyle w:val="Tabletext"/>
              <w:rPr>
                <w:sz w:val="22"/>
                <w:lang w:val="en-AU"/>
              </w:rPr>
            </w:pPr>
            <w:r w:rsidRPr="00542CCE">
              <w:rPr>
                <w:sz w:val="22"/>
                <w:lang w:val="en-AU"/>
              </w:rPr>
              <w:t>Corporate Services Group, Diversity and Inclusion</w:t>
            </w:r>
          </w:p>
        </w:tc>
      </w:tr>
    </w:tbl>
    <w:p w14:paraId="694AB030" w14:textId="6FE64EB2" w:rsidR="005F4ADC" w:rsidRPr="00542CCE" w:rsidRDefault="001D6DB2" w:rsidP="001D6DB2">
      <w:pPr>
        <w:pStyle w:val="BodyText"/>
        <w:rPr>
          <w:lang w:val="en-AU"/>
        </w:rPr>
      </w:pPr>
      <w:r w:rsidRPr="00542CCE">
        <w:rPr>
          <w:lang w:val="en-AU"/>
        </w:rPr>
        <w:t>We will approach this with a commitment to accountability and resilience, continuously improving to create</w:t>
      </w:r>
      <w:r w:rsidR="000A1FCE">
        <w:rPr>
          <w:lang w:val="en-AU"/>
        </w:rPr>
        <w:t xml:space="preserve"> </w:t>
      </w:r>
      <w:r w:rsidRPr="00542CCE">
        <w:rPr>
          <w:lang w:val="en-AU"/>
        </w:rPr>
        <w:t>a</w:t>
      </w:r>
      <w:r w:rsidR="000A1FCE">
        <w:rPr>
          <w:lang w:val="en-AU"/>
        </w:rPr>
        <w:t xml:space="preserve"> </w:t>
      </w:r>
      <w:r w:rsidRPr="00542CCE">
        <w:rPr>
          <w:lang w:val="en-AU"/>
        </w:rPr>
        <w:t xml:space="preserve">safe and inclusive environment. The activities will be guided by strategic priorities and actions. </w:t>
      </w:r>
      <w:r w:rsidR="005F4ADC" w:rsidRPr="00542CCE">
        <w:rPr>
          <w:lang w:val="en-AU"/>
        </w:rPr>
        <w:br w:type="page"/>
      </w:r>
    </w:p>
    <w:p w14:paraId="59F66FEE" w14:textId="71F32B88" w:rsidR="005F4ADC" w:rsidRPr="00542CCE" w:rsidRDefault="005F4ADC" w:rsidP="005F4ADC">
      <w:pPr>
        <w:pStyle w:val="Heading1"/>
        <w:rPr>
          <w:lang w:val="en-AU"/>
        </w:rPr>
      </w:pPr>
      <w:bookmarkStart w:id="14" w:name="_Toc207186392"/>
      <w:r w:rsidRPr="00542CCE">
        <w:rPr>
          <w:lang w:val="en-AU"/>
        </w:rPr>
        <w:lastRenderedPageBreak/>
        <w:t>Governance, Monitoring and</w:t>
      </w:r>
      <w:r w:rsidR="000A1FCE">
        <w:rPr>
          <w:lang w:val="en-AU"/>
        </w:rPr>
        <w:t xml:space="preserve"> </w:t>
      </w:r>
      <w:r w:rsidRPr="00542CCE">
        <w:rPr>
          <w:lang w:val="en-AU"/>
        </w:rPr>
        <w:t>Evaluation</w:t>
      </w:r>
      <w:bookmarkEnd w:id="14"/>
    </w:p>
    <w:p w14:paraId="5E30F1C0" w14:textId="06E4E273" w:rsidR="005F4ADC" w:rsidRPr="00542CCE" w:rsidRDefault="005F4ADC" w:rsidP="005F4ADC">
      <w:pPr>
        <w:pStyle w:val="BodyText"/>
        <w:rPr>
          <w:lang w:val="en-AU"/>
        </w:rPr>
      </w:pPr>
      <w:r w:rsidRPr="00542CCE">
        <w:rPr>
          <w:lang w:val="en-AU"/>
        </w:rPr>
        <w:t>To ensure accountability and track the success of initiatives outlined in this LGBTIQA+ Action Plan, DEECA will employ a comprehensive and adaptive monitoring and evaluation framework.</w:t>
      </w:r>
    </w:p>
    <w:p w14:paraId="16B728FF" w14:textId="4AE2F1A5" w:rsidR="005F4ADC" w:rsidRPr="00542CCE" w:rsidRDefault="005F4ADC" w:rsidP="005F4ADC">
      <w:pPr>
        <w:pStyle w:val="BodyText"/>
        <w:rPr>
          <w:lang w:val="en-AU"/>
        </w:rPr>
      </w:pPr>
      <w:r w:rsidRPr="00542CCE">
        <w:rPr>
          <w:lang w:val="en-AU"/>
        </w:rPr>
        <w:t>This framework will focus on measuring progress against strategic priorities and assessing the impact of actions, aligning with the organisation’s mission of</w:t>
      </w:r>
      <w:r w:rsidR="000A1FCE">
        <w:rPr>
          <w:lang w:val="en-AU"/>
        </w:rPr>
        <w:t xml:space="preserve"> </w:t>
      </w:r>
      <w:r w:rsidRPr="00542CCE">
        <w:rPr>
          <w:lang w:val="en-AU"/>
        </w:rPr>
        <w:t>achieving equality, fairness, and inclusivity for LGBTIQA+ staff.</w:t>
      </w:r>
    </w:p>
    <w:p w14:paraId="0BAC74BD" w14:textId="32DC2909" w:rsidR="005F4ADC" w:rsidRPr="00542CCE" w:rsidRDefault="005F4ADC" w:rsidP="005F4ADC">
      <w:pPr>
        <w:pStyle w:val="BodyText"/>
        <w:rPr>
          <w:lang w:val="en-AU"/>
        </w:rPr>
      </w:pPr>
      <w:r w:rsidRPr="00542CCE">
        <w:rPr>
          <w:lang w:val="en-AU"/>
        </w:rPr>
        <w:t>The Diversity and Inclusion team will lead the coordination of this plan, with DEECA’s Diversity and Inclusion manager overseeing its implementation in</w:t>
      </w:r>
      <w:r w:rsidR="000A1FCE">
        <w:rPr>
          <w:lang w:val="en-AU"/>
        </w:rPr>
        <w:t xml:space="preserve"> </w:t>
      </w:r>
      <w:r w:rsidRPr="00542CCE">
        <w:rPr>
          <w:lang w:val="en-AU"/>
        </w:rPr>
        <w:t>partnership with responsible leads.</w:t>
      </w:r>
    </w:p>
    <w:p w14:paraId="71761096" w14:textId="65531828" w:rsidR="006F2294" w:rsidRPr="00542CCE" w:rsidRDefault="005F4ADC" w:rsidP="005F4ADC">
      <w:pPr>
        <w:pStyle w:val="BodyText"/>
        <w:rPr>
          <w:lang w:val="en-AU"/>
        </w:rPr>
      </w:pPr>
      <w:r w:rsidRPr="00542CCE">
        <w:rPr>
          <w:lang w:val="en-AU"/>
        </w:rPr>
        <w:t>Any reviews and adjustments to the plan will be assessed by the Executive Board, with a final evaluation of the plan completed at the end of year five.</w:t>
      </w:r>
      <w:r w:rsidR="0056319B" w:rsidRPr="0056319B">
        <w:rPr>
          <w:rFonts w:ascii="AdobeClean-Regular" w:hAnsi="AdobeClean-Regular" w:cs="AdobeClean-Regular"/>
          <w:color w:val="000000"/>
          <w:kern w:val="0"/>
          <w:sz w:val="28"/>
          <w:szCs w:val="28"/>
        </w:rPr>
        <w:t xml:space="preserve"> </w:t>
      </w:r>
      <w:r w:rsidR="0056319B" w:rsidRPr="0056319B">
        <w:rPr>
          <w:lang w:val="en-AU"/>
        </w:rPr>
        <w:t>An annual progress report will be shared with all staff.</w:t>
      </w:r>
    </w:p>
    <w:p w14:paraId="3F291497" w14:textId="77777777" w:rsidR="005F4ADC" w:rsidRPr="00542CCE" w:rsidRDefault="005F4ADC" w:rsidP="005F4ADC">
      <w:pPr>
        <w:pStyle w:val="Heading1"/>
        <w:pageBreakBefore/>
        <w:rPr>
          <w:lang w:val="en-AU"/>
        </w:rPr>
      </w:pPr>
      <w:bookmarkStart w:id="15" w:name="_Toc207186393"/>
      <w:r w:rsidRPr="00542CCE">
        <w:rPr>
          <w:lang w:val="en-AU"/>
        </w:rPr>
        <w:lastRenderedPageBreak/>
        <w:t>Glossary</w:t>
      </w:r>
      <w:bookmarkEnd w:id="15"/>
    </w:p>
    <w:p w14:paraId="2607B69B" w14:textId="15D008CE" w:rsidR="005F4ADC" w:rsidRPr="00542CCE" w:rsidRDefault="005F4ADC" w:rsidP="005F4ADC">
      <w:pPr>
        <w:pStyle w:val="BodyText"/>
        <w:rPr>
          <w:b/>
          <w:bCs/>
          <w:lang w:val="en-AU"/>
        </w:rPr>
      </w:pPr>
      <w:r w:rsidRPr="00542CCE">
        <w:rPr>
          <w:b/>
          <w:bCs/>
          <w:lang w:val="en-AU"/>
        </w:rPr>
        <w:t xml:space="preserve">Language and terms for LGBTIQA+ communities and identities </w:t>
      </w:r>
      <w:r w:rsidR="00542CCE" w:rsidRPr="00542CCE">
        <w:rPr>
          <w:b/>
          <w:bCs/>
          <w:lang w:val="en-AU"/>
        </w:rPr>
        <w:t>–</w:t>
      </w:r>
      <w:r w:rsidRPr="00542CCE">
        <w:rPr>
          <w:b/>
          <w:bCs/>
          <w:lang w:val="en-AU"/>
        </w:rPr>
        <w:t xml:space="preserve"> as well as understanding those terms </w:t>
      </w:r>
      <w:r w:rsidR="00265498" w:rsidRPr="00542CCE">
        <w:rPr>
          <w:b/>
          <w:bCs/>
          <w:lang w:val="en-AU"/>
        </w:rPr>
        <w:t>–</w:t>
      </w:r>
      <w:r w:rsidRPr="00542CCE">
        <w:rPr>
          <w:b/>
          <w:bCs/>
          <w:lang w:val="en-AU"/>
        </w:rPr>
        <w:t xml:space="preserve"> evolve over time. The following glossary of key terms is not an exhaustive list and has been drawn from the Victorian Government's LGBTIQA+ Inclusive Language Guide.</w:t>
      </w:r>
    </w:p>
    <w:p w14:paraId="10F5124E" w14:textId="68EE950F" w:rsidR="005F4ADC" w:rsidRPr="00542CCE" w:rsidRDefault="005F4ADC" w:rsidP="00602DD3">
      <w:pPr>
        <w:pStyle w:val="GlossaryTerm"/>
      </w:pPr>
      <w:r w:rsidRPr="00542CCE">
        <w:t>Asexual</w:t>
      </w:r>
    </w:p>
    <w:p w14:paraId="24CC0471" w14:textId="23D95291" w:rsidR="005F4ADC" w:rsidRPr="00542CCE" w:rsidRDefault="005F4ADC" w:rsidP="00542CCE">
      <w:pPr>
        <w:pStyle w:val="BodyText"/>
        <w:spacing w:after="120"/>
        <w:rPr>
          <w:lang w:val="en-AU"/>
        </w:rPr>
      </w:pPr>
      <w:r w:rsidRPr="00542CCE">
        <w:rPr>
          <w:lang w:val="en-AU"/>
        </w:rPr>
        <w:t>Not being sexually attracted to anyone or having low</w:t>
      </w:r>
      <w:r w:rsidR="000A1FCE">
        <w:rPr>
          <w:lang w:val="en-AU"/>
        </w:rPr>
        <w:t xml:space="preserve"> </w:t>
      </w:r>
      <w:r w:rsidRPr="00542CCE">
        <w:rPr>
          <w:lang w:val="en-AU"/>
        </w:rPr>
        <w:t>or absent interest in sexual activity.</w:t>
      </w:r>
    </w:p>
    <w:p w14:paraId="41D32F2E" w14:textId="634150A7" w:rsidR="005F4ADC" w:rsidRPr="00542CCE" w:rsidRDefault="005F4ADC" w:rsidP="00602DD3">
      <w:pPr>
        <w:pStyle w:val="GlossaryTerm"/>
      </w:pPr>
      <w:r w:rsidRPr="00542CCE">
        <w:t>Intersex</w:t>
      </w:r>
    </w:p>
    <w:p w14:paraId="5DC5C02A" w14:textId="5BBFF78D" w:rsidR="005F4ADC" w:rsidRPr="00542CCE" w:rsidRDefault="005F4ADC" w:rsidP="00542CCE">
      <w:pPr>
        <w:pStyle w:val="BodyText"/>
        <w:spacing w:after="120"/>
        <w:rPr>
          <w:lang w:val="en-AU"/>
        </w:rPr>
      </w:pPr>
      <w:r w:rsidRPr="00542CCE">
        <w:rPr>
          <w:lang w:val="en-AU"/>
        </w:rPr>
        <w:t>People who have genetic, hormonal or physical characteristics that are not exclusively ‘male’ or</w:t>
      </w:r>
      <w:r w:rsidR="000A1FCE">
        <w:rPr>
          <w:lang w:val="en-AU"/>
        </w:rPr>
        <w:t xml:space="preserve"> </w:t>
      </w:r>
      <w:r w:rsidRPr="00542CCE">
        <w:rPr>
          <w:lang w:val="en-AU"/>
        </w:rPr>
        <w:t>‘female’. A person who is intersex may identify as</w:t>
      </w:r>
      <w:r w:rsidR="000A1FCE">
        <w:rPr>
          <w:lang w:val="en-AU"/>
        </w:rPr>
        <w:t xml:space="preserve"> </w:t>
      </w:r>
      <w:r w:rsidRPr="00542CCE">
        <w:rPr>
          <w:lang w:val="en-AU"/>
        </w:rPr>
        <w:t>male, female, intersex or as being of indeterminate</w:t>
      </w:r>
      <w:r w:rsidR="000A1FCE">
        <w:rPr>
          <w:lang w:val="en-AU"/>
        </w:rPr>
        <w:t xml:space="preserve"> </w:t>
      </w:r>
      <w:r w:rsidRPr="00542CCE">
        <w:rPr>
          <w:lang w:val="en-AU"/>
        </w:rPr>
        <w:t>sex.</w:t>
      </w:r>
    </w:p>
    <w:p w14:paraId="0669FDE7" w14:textId="6E88B0BD" w:rsidR="005F4ADC" w:rsidRPr="00542CCE" w:rsidRDefault="005F4ADC" w:rsidP="00602DD3">
      <w:pPr>
        <w:pStyle w:val="GlossaryTerm"/>
      </w:pPr>
      <w:r w:rsidRPr="00542CCE">
        <w:t>Bisexual</w:t>
      </w:r>
    </w:p>
    <w:p w14:paraId="2B3E36F3" w14:textId="321DEB63" w:rsidR="005F4ADC" w:rsidRPr="00542CCE" w:rsidRDefault="005F4ADC" w:rsidP="00542CCE">
      <w:pPr>
        <w:pStyle w:val="BodyText"/>
        <w:spacing w:after="120"/>
        <w:rPr>
          <w:lang w:val="en-AU"/>
        </w:rPr>
      </w:pPr>
      <w:r w:rsidRPr="00542CCE">
        <w:rPr>
          <w:lang w:val="en-AU"/>
        </w:rPr>
        <w:t>Describes a person who is sexually and emotionally attracted to more than one gender.</w:t>
      </w:r>
    </w:p>
    <w:p w14:paraId="0CCECC51" w14:textId="1DFDF147" w:rsidR="005F4ADC" w:rsidRPr="00542CCE" w:rsidRDefault="005F4ADC" w:rsidP="00602DD3">
      <w:pPr>
        <w:pStyle w:val="GlossaryTerm"/>
      </w:pPr>
      <w:r w:rsidRPr="00542CCE">
        <w:t>Intersectionality</w:t>
      </w:r>
    </w:p>
    <w:p w14:paraId="7480F034" w14:textId="40DC1074" w:rsidR="005F4ADC" w:rsidRPr="00542CCE" w:rsidRDefault="005F4ADC" w:rsidP="00542CCE">
      <w:pPr>
        <w:pStyle w:val="BodyText"/>
        <w:spacing w:after="0"/>
        <w:ind w:right="-427"/>
        <w:rPr>
          <w:lang w:val="en-AU"/>
        </w:rPr>
      </w:pPr>
      <w:r w:rsidRPr="00542CCE">
        <w:rPr>
          <w:lang w:val="en-AU"/>
        </w:rPr>
        <w:t>An approach to understanding how different aspects of a person’s identity that can expose [that person/ or group] to overlapping forms of discrimination and</w:t>
      </w:r>
      <w:r w:rsidR="000A1FCE">
        <w:rPr>
          <w:lang w:val="en-AU"/>
        </w:rPr>
        <w:t xml:space="preserve"> </w:t>
      </w:r>
      <w:r w:rsidRPr="00542CCE">
        <w:rPr>
          <w:lang w:val="en-AU"/>
        </w:rPr>
        <w:t>marginalisation. This creates different layers and</w:t>
      </w:r>
      <w:r w:rsidR="000A1FCE">
        <w:rPr>
          <w:lang w:val="en-AU"/>
        </w:rPr>
        <w:t xml:space="preserve"> </w:t>
      </w:r>
      <w:r w:rsidRPr="00542CCE">
        <w:rPr>
          <w:lang w:val="en-AU"/>
        </w:rPr>
        <w:t>types of discrimination or disadvantage for</w:t>
      </w:r>
      <w:r w:rsidR="000A1FCE">
        <w:rPr>
          <w:lang w:val="en-AU"/>
        </w:rPr>
        <w:t xml:space="preserve"> </w:t>
      </w:r>
      <w:r w:rsidRPr="00542CCE">
        <w:rPr>
          <w:lang w:val="en-AU"/>
        </w:rPr>
        <w:t>either an</w:t>
      </w:r>
      <w:r w:rsidR="000A1FCE">
        <w:rPr>
          <w:lang w:val="en-AU"/>
        </w:rPr>
        <w:t xml:space="preserve"> </w:t>
      </w:r>
      <w:r w:rsidRPr="00542CCE">
        <w:rPr>
          <w:lang w:val="en-AU"/>
        </w:rPr>
        <w:t>individual or group.</w:t>
      </w:r>
    </w:p>
    <w:p w14:paraId="118BDE40" w14:textId="557003A9" w:rsidR="005F4ADC" w:rsidRPr="00542CCE" w:rsidRDefault="005F4ADC" w:rsidP="00542CCE">
      <w:pPr>
        <w:pStyle w:val="ListBullet"/>
        <w:spacing w:line="276" w:lineRule="auto"/>
        <w:rPr>
          <w:lang w:val="en-AU"/>
        </w:rPr>
      </w:pPr>
      <w:r w:rsidRPr="00542CCE">
        <w:rPr>
          <w:lang w:val="en-AU"/>
        </w:rPr>
        <w:t>Categories include:</w:t>
      </w:r>
    </w:p>
    <w:p w14:paraId="3DD9EB2E" w14:textId="45495C36" w:rsidR="005F4ADC" w:rsidRPr="00542CCE" w:rsidRDefault="005F4ADC" w:rsidP="00542CCE">
      <w:pPr>
        <w:pStyle w:val="ListBullet"/>
        <w:spacing w:line="276" w:lineRule="auto"/>
        <w:rPr>
          <w:lang w:val="en-AU"/>
        </w:rPr>
      </w:pPr>
      <w:r w:rsidRPr="00542CCE">
        <w:rPr>
          <w:lang w:val="en-AU"/>
        </w:rPr>
        <w:t>gender</w:t>
      </w:r>
    </w:p>
    <w:p w14:paraId="6C202ACF" w14:textId="2A635A16" w:rsidR="005F4ADC" w:rsidRPr="00542CCE" w:rsidRDefault="005F4ADC" w:rsidP="00542CCE">
      <w:pPr>
        <w:pStyle w:val="ListBullet"/>
        <w:spacing w:line="276" w:lineRule="auto"/>
        <w:rPr>
          <w:lang w:val="en-AU"/>
        </w:rPr>
      </w:pPr>
      <w:r w:rsidRPr="00542CCE">
        <w:rPr>
          <w:lang w:val="en-AU"/>
        </w:rPr>
        <w:t>sexual orientation</w:t>
      </w:r>
    </w:p>
    <w:p w14:paraId="29174501" w14:textId="4083C8FF" w:rsidR="005F4ADC" w:rsidRPr="00542CCE" w:rsidRDefault="005F4ADC" w:rsidP="00542CCE">
      <w:pPr>
        <w:pStyle w:val="ListBullet"/>
        <w:spacing w:line="276" w:lineRule="auto"/>
        <w:rPr>
          <w:lang w:val="en-AU"/>
        </w:rPr>
      </w:pPr>
      <w:r w:rsidRPr="00542CCE">
        <w:rPr>
          <w:lang w:val="en-AU"/>
        </w:rPr>
        <w:t>sex characteristics</w:t>
      </w:r>
    </w:p>
    <w:p w14:paraId="7CBF104D" w14:textId="1AC2B1A9" w:rsidR="005F4ADC" w:rsidRPr="00542CCE" w:rsidRDefault="005F4ADC" w:rsidP="00542CCE">
      <w:pPr>
        <w:pStyle w:val="ListBullet"/>
        <w:spacing w:line="276" w:lineRule="auto"/>
        <w:rPr>
          <w:lang w:val="en-AU"/>
        </w:rPr>
      </w:pPr>
      <w:r w:rsidRPr="00542CCE">
        <w:rPr>
          <w:lang w:val="en-AU"/>
        </w:rPr>
        <w:t>race</w:t>
      </w:r>
    </w:p>
    <w:p w14:paraId="6CE7D29C" w14:textId="77777777" w:rsidR="000A1FCE" w:rsidRDefault="005F4ADC" w:rsidP="00542CCE">
      <w:pPr>
        <w:pStyle w:val="ListBullet"/>
        <w:spacing w:line="276" w:lineRule="auto"/>
        <w:rPr>
          <w:lang w:val="en-AU"/>
        </w:rPr>
      </w:pPr>
      <w:r w:rsidRPr="00542CCE">
        <w:rPr>
          <w:lang w:val="en-AU"/>
        </w:rPr>
        <w:t>ethnicity, language and faith</w:t>
      </w:r>
    </w:p>
    <w:p w14:paraId="329971CC" w14:textId="77777777" w:rsidR="000A1FCE" w:rsidRDefault="005F4ADC" w:rsidP="00542CCE">
      <w:pPr>
        <w:pStyle w:val="ListBullet"/>
        <w:spacing w:line="276" w:lineRule="auto"/>
        <w:rPr>
          <w:lang w:val="en-AU"/>
        </w:rPr>
      </w:pPr>
      <w:r w:rsidRPr="00542CCE">
        <w:rPr>
          <w:lang w:val="en-AU"/>
        </w:rPr>
        <w:t>class and socioeconomic status</w:t>
      </w:r>
    </w:p>
    <w:p w14:paraId="3C0247FF" w14:textId="77777777" w:rsidR="000A1FCE" w:rsidRDefault="005F4ADC" w:rsidP="00542CCE">
      <w:pPr>
        <w:pStyle w:val="ListBullet"/>
        <w:spacing w:line="276" w:lineRule="auto"/>
        <w:rPr>
          <w:lang w:val="en-AU"/>
        </w:rPr>
      </w:pPr>
      <w:r w:rsidRPr="00542CCE">
        <w:rPr>
          <w:lang w:val="en-AU"/>
        </w:rPr>
        <w:t>ability</w:t>
      </w:r>
    </w:p>
    <w:p w14:paraId="542CE0EB" w14:textId="77777777" w:rsidR="000A1FCE" w:rsidRDefault="005F4ADC" w:rsidP="00542CCE">
      <w:pPr>
        <w:pStyle w:val="ListBullet"/>
        <w:spacing w:line="276" w:lineRule="auto"/>
        <w:rPr>
          <w:lang w:val="en-AU"/>
        </w:rPr>
      </w:pPr>
      <w:r w:rsidRPr="00542CCE">
        <w:rPr>
          <w:lang w:val="en-AU"/>
        </w:rPr>
        <w:t>age</w:t>
      </w:r>
    </w:p>
    <w:p w14:paraId="75E0DF78" w14:textId="77777777" w:rsidR="000A1FCE" w:rsidRDefault="005F4ADC" w:rsidP="00602DD3">
      <w:pPr>
        <w:pStyle w:val="GlossaryTerm"/>
      </w:pPr>
      <w:r w:rsidRPr="00542CCE">
        <w:lastRenderedPageBreak/>
        <w:t>Biphobia</w:t>
      </w:r>
    </w:p>
    <w:p w14:paraId="7FAA6341" w14:textId="77777777" w:rsidR="000A1FCE" w:rsidRDefault="005F4ADC" w:rsidP="005F4ADC">
      <w:pPr>
        <w:pStyle w:val="BodyText"/>
        <w:rPr>
          <w:lang w:val="en-AU"/>
        </w:rPr>
      </w:pPr>
      <w:r w:rsidRPr="00542CCE">
        <w:rPr>
          <w:lang w:val="en-AU"/>
        </w:rPr>
        <w:t>The fear, hatred and misunderstanding of bisexual people and their sexual desires and practices.</w:t>
      </w:r>
    </w:p>
    <w:p w14:paraId="3838DDA4" w14:textId="77777777" w:rsidR="000A1FCE" w:rsidRDefault="005F4ADC" w:rsidP="00602DD3">
      <w:pPr>
        <w:pStyle w:val="GlossaryTerm"/>
      </w:pPr>
      <w:r w:rsidRPr="00542CCE">
        <w:t>Lesbian</w:t>
      </w:r>
    </w:p>
    <w:p w14:paraId="07112B4D" w14:textId="77777777" w:rsidR="000A1FCE" w:rsidRDefault="005F4ADC" w:rsidP="005F4ADC">
      <w:pPr>
        <w:pStyle w:val="BodyText"/>
        <w:rPr>
          <w:lang w:val="en-AU"/>
        </w:rPr>
      </w:pPr>
      <w:r w:rsidRPr="00542CCE">
        <w:rPr>
          <w:lang w:val="en-AU"/>
        </w:rPr>
        <w:t>A woman whose primary emotional and sexual attraction is towards other women.</w:t>
      </w:r>
    </w:p>
    <w:p w14:paraId="57B5D629" w14:textId="77777777" w:rsidR="000A1FCE" w:rsidRDefault="005F4ADC" w:rsidP="00602DD3">
      <w:pPr>
        <w:pStyle w:val="GlossaryTerm"/>
      </w:pPr>
      <w:r w:rsidRPr="00542CCE">
        <w:t>Cisgender (or cis) (pronounced ‘sis’)</w:t>
      </w:r>
    </w:p>
    <w:p w14:paraId="0894D4D6" w14:textId="77777777" w:rsidR="000A1FCE" w:rsidRDefault="005F4ADC" w:rsidP="005F4ADC">
      <w:pPr>
        <w:pStyle w:val="BodyText"/>
        <w:rPr>
          <w:lang w:val="en-AU"/>
        </w:rPr>
      </w:pPr>
      <w:r w:rsidRPr="00542CCE">
        <w:rPr>
          <w:lang w:val="en-AU"/>
        </w:rPr>
        <w:t xml:space="preserve">Where a person’s experiences of their own gender </w:t>
      </w:r>
      <w:proofErr w:type="gramStart"/>
      <w:r w:rsidRPr="00542CCE">
        <w:rPr>
          <w:lang w:val="en-AU"/>
        </w:rPr>
        <w:t>matches</w:t>
      </w:r>
      <w:proofErr w:type="gramEnd"/>
      <w:r w:rsidRPr="00542CCE">
        <w:rPr>
          <w:lang w:val="en-AU"/>
        </w:rPr>
        <w:t xml:space="preserve"> the </w:t>
      </w:r>
      <w:proofErr w:type="gramStart"/>
      <w:r w:rsidRPr="00542CCE">
        <w:rPr>
          <w:lang w:val="en-AU"/>
        </w:rPr>
        <w:t>sex</w:t>
      </w:r>
      <w:proofErr w:type="gramEnd"/>
      <w:r w:rsidRPr="00542CCE">
        <w:rPr>
          <w:lang w:val="en-AU"/>
        </w:rPr>
        <w:t xml:space="preserve"> they were assigned at birth.</w:t>
      </w:r>
    </w:p>
    <w:p w14:paraId="69067A3D" w14:textId="77777777" w:rsidR="000A1FCE" w:rsidRDefault="005F4ADC" w:rsidP="00602DD3">
      <w:pPr>
        <w:pStyle w:val="GlossaryTerm"/>
      </w:pPr>
      <w:r w:rsidRPr="00542CCE">
        <w:t>LGBTIQA+</w:t>
      </w:r>
    </w:p>
    <w:p w14:paraId="7BDFCAE8" w14:textId="77777777" w:rsidR="000A1FCE" w:rsidRDefault="005F4ADC" w:rsidP="005F4ADC">
      <w:pPr>
        <w:pStyle w:val="BodyText"/>
        <w:rPr>
          <w:lang w:val="en-AU"/>
        </w:rPr>
      </w:pPr>
      <w:r w:rsidRPr="00542CCE">
        <w:rPr>
          <w:lang w:val="en-AU"/>
        </w:rPr>
        <w:t>An internationally recognised initialism used to</w:t>
      </w:r>
      <w:r w:rsidR="000A1FCE">
        <w:rPr>
          <w:lang w:val="en-AU"/>
        </w:rPr>
        <w:t xml:space="preserve"> </w:t>
      </w:r>
      <w:r w:rsidRPr="00542CCE">
        <w:rPr>
          <w:lang w:val="en-AU"/>
        </w:rPr>
        <w:t>describe lesbian, gay, bisexual, trans and gender diverse, intersex and queer and questioning and asexual people collectively.</w:t>
      </w:r>
    </w:p>
    <w:p w14:paraId="43E1EF5D" w14:textId="77777777" w:rsidR="000A1FCE" w:rsidRDefault="005F4ADC" w:rsidP="00602DD3">
      <w:pPr>
        <w:pStyle w:val="GlossaryTerm"/>
      </w:pPr>
      <w:r w:rsidRPr="00542CCE">
        <w:t>Cisnormativity</w:t>
      </w:r>
    </w:p>
    <w:p w14:paraId="56966E6E" w14:textId="77777777" w:rsidR="000A1FCE" w:rsidRDefault="005F4ADC" w:rsidP="005F4ADC">
      <w:pPr>
        <w:pStyle w:val="BodyText"/>
        <w:rPr>
          <w:lang w:val="en-AU"/>
        </w:rPr>
      </w:pPr>
      <w:r w:rsidRPr="00542CCE">
        <w:rPr>
          <w:lang w:val="en-AU"/>
        </w:rPr>
        <w:t>Denoting or relating to an attitude that promotes the</w:t>
      </w:r>
      <w:r w:rsidR="000A1FCE">
        <w:rPr>
          <w:lang w:val="en-AU"/>
        </w:rPr>
        <w:t xml:space="preserve"> </w:t>
      </w:r>
      <w:r w:rsidRPr="00542CCE">
        <w:rPr>
          <w:lang w:val="en-AU"/>
        </w:rPr>
        <w:t>assumption that a person’s gender identity matches their biological sex.</w:t>
      </w:r>
    </w:p>
    <w:p w14:paraId="6B8A773D" w14:textId="77777777" w:rsidR="000A1FCE" w:rsidRDefault="005F4ADC" w:rsidP="00602DD3">
      <w:pPr>
        <w:pStyle w:val="GlossaryTerm"/>
      </w:pPr>
      <w:r w:rsidRPr="00542CCE">
        <w:t>Non-binary</w:t>
      </w:r>
    </w:p>
    <w:p w14:paraId="2C52B881" w14:textId="77777777" w:rsidR="000A1FCE" w:rsidRDefault="005F4ADC" w:rsidP="005F4ADC">
      <w:pPr>
        <w:pStyle w:val="BodyText"/>
        <w:rPr>
          <w:lang w:val="en-AU"/>
        </w:rPr>
      </w:pPr>
      <w:r w:rsidRPr="00542CCE">
        <w:rPr>
          <w:lang w:val="en-AU"/>
        </w:rPr>
        <w:t>People who do not fall within the traditional binary notions of sex and gender, such as man and woman.</w:t>
      </w:r>
    </w:p>
    <w:p w14:paraId="616330FC" w14:textId="77777777" w:rsidR="000A1FCE" w:rsidRDefault="005F4ADC" w:rsidP="00542CCE">
      <w:pPr>
        <w:pStyle w:val="Normalbeforebullets"/>
      </w:pPr>
      <w:r w:rsidRPr="00542CCE">
        <w:t>This may include people:</w:t>
      </w:r>
    </w:p>
    <w:p w14:paraId="0613E77A" w14:textId="77777777" w:rsidR="000A1FCE" w:rsidRDefault="005F4ADC" w:rsidP="00542CCE">
      <w:pPr>
        <w:pStyle w:val="ListBullet"/>
        <w:spacing w:after="0"/>
        <w:rPr>
          <w:lang w:val="en-AU"/>
        </w:rPr>
      </w:pPr>
      <w:r w:rsidRPr="00542CCE">
        <w:rPr>
          <w:lang w:val="en-AU"/>
        </w:rPr>
        <w:t>who identify as a gender different from their birth sex</w:t>
      </w:r>
    </w:p>
    <w:p w14:paraId="61C55028" w14:textId="77777777" w:rsidR="000A1FCE" w:rsidRDefault="005F4ADC" w:rsidP="00542CCE">
      <w:pPr>
        <w:pStyle w:val="ListBullet"/>
        <w:spacing w:after="0"/>
        <w:rPr>
          <w:lang w:val="en-AU"/>
        </w:rPr>
      </w:pPr>
      <w:r w:rsidRPr="00542CCE">
        <w:rPr>
          <w:lang w:val="en-AU"/>
        </w:rPr>
        <w:t>who identify as neither man nor woman</w:t>
      </w:r>
    </w:p>
    <w:p w14:paraId="5D55924D" w14:textId="77777777" w:rsidR="000A1FCE" w:rsidRDefault="005F4ADC" w:rsidP="00542CCE">
      <w:pPr>
        <w:pStyle w:val="ListBullet"/>
        <w:ind w:right="-143"/>
        <w:rPr>
          <w:lang w:val="en-AU"/>
        </w:rPr>
      </w:pPr>
      <w:r w:rsidRPr="00542CCE">
        <w:rPr>
          <w:lang w:val="en-AU"/>
        </w:rPr>
        <w:t>whose cultures may have their own terms for</w:t>
      </w:r>
      <w:r w:rsidR="000A1FCE">
        <w:rPr>
          <w:lang w:val="en-AU"/>
        </w:rPr>
        <w:t xml:space="preserve"> </w:t>
      </w:r>
      <w:r w:rsidRPr="00542CCE">
        <w:rPr>
          <w:lang w:val="en-AU"/>
        </w:rPr>
        <w:t>gender identities outside male and female.</w:t>
      </w:r>
    </w:p>
    <w:p w14:paraId="791A6389" w14:textId="77777777" w:rsidR="000A1FCE" w:rsidRDefault="005F4ADC" w:rsidP="00602DD3">
      <w:pPr>
        <w:pStyle w:val="GlossaryTerm"/>
      </w:pPr>
      <w:r w:rsidRPr="00542CCE">
        <w:lastRenderedPageBreak/>
        <w:t>Gay</w:t>
      </w:r>
    </w:p>
    <w:p w14:paraId="5D86B038" w14:textId="77777777" w:rsidR="000A1FCE" w:rsidRDefault="005F4ADC" w:rsidP="005F4ADC">
      <w:pPr>
        <w:pStyle w:val="BodyText"/>
        <w:rPr>
          <w:lang w:val="en-AU"/>
        </w:rPr>
      </w:pPr>
      <w:r w:rsidRPr="00542CCE">
        <w:rPr>
          <w:lang w:val="en-AU"/>
        </w:rPr>
        <w:t>A person whose primary emotional and sexual attraction is towards people of the same sex. The</w:t>
      </w:r>
      <w:r w:rsidR="000A1FCE">
        <w:rPr>
          <w:lang w:val="en-AU"/>
        </w:rPr>
        <w:t xml:space="preserve"> </w:t>
      </w:r>
      <w:r w:rsidRPr="00542CCE">
        <w:rPr>
          <w:lang w:val="en-AU"/>
        </w:rPr>
        <w:t xml:space="preserve">term is </w:t>
      </w:r>
      <w:proofErr w:type="gramStart"/>
      <w:r w:rsidRPr="00542CCE">
        <w:rPr>
          <w:lang w:val="en-AU"/>
        </w:rPr>
        <w:t>most commonly applied</w:t>
      </w:r>
      <w:proofErr w:type="gramEnd"/>
      <w:r w:rsidRPr="00542CCE">
        <w:rPr>
          <w:lang w:val="en-AU"/>
        </w:rPr>
        <w:t xml:space="preserve"> to men, although</w:t>
      </w:r>
      <w:r w:rsidR="000A1FCE">
        <w:rPr>
          <w:lang w:val="en-AU"/>
        </w:rPr>
        <w:t xml:space="preserve"> </w:t>
      </w:r>
      <w:r w:rsidRPr="00542CCE">
        <w:rPr>
          <w:lang w:val="en-AU"/>
        </w:rPr>
        <w:t>some women use this term.</w:t>
      </w:r>
    </w:p>
    <w:p w14:paraId="4C753BC8" w14:textId="77777777" w:rsidR="000A1FCE" w:rsidRDefault="005F4ADC" w:rsidP="00602DD3">
      <w:pPr>
        <w:pStyle w:val="GlossaryTerm"/>
      </w:pPr>
      <w:r w:rsidRPr="00542CCE">
        <w:t>Non-heterosexual</w:t>
      </w:r>
    </w:p>
    <w:p w14:paraId="706000B1" w14:textId="77777777" w:rsidR="000A1FCE" w:rsidRDefault="005F4ADC" w:rsidP="005F4ADC">
      <w:pPr>
        <w:pStyle w:val="BodyText"/>
        <w:rPr>
          <w:lang w:val="en-AU"/>
        </w:rPr>
      </w:pPr>
      <w:r w:rsidRPr="00542CCE">
        <w:rPr>
          <w:lang w:val="en-AU"/>
        </w:rPr>
        <w:t>People whose sexual orientation and/or identity is</w:t>
      </w:r>
      <w:r w:rsidR="000A1FCE">
        <w:rPr>
          <w:lang w:val="en-AU"/>
        </w:rPr>
        <w:t xml:space="preserve"> </w:t>
      </w:r>
      <w:r w:rsidRPr="00542CCE">
        <w:rPr>
          <w:lang w:val="en-AU"/>
        </w:rPr>
        <w:t>not</w:t>
      </w:r>
      <w:r w:rsidR="000A1FCE">
        <w:rPr>
          <w:lang w:val="en-AU"/>
        </w:rPr>
        <w:t xml:space="preserve"> </w:t>
      </w:r>
      <w:r w:rsidRPr="00542CCE">
        <w:rPr>
          <w:lang w:val="en-AU"/>
        </w:rPr>
        <w:t>heterosexual including homosexual, bisexual, pansexual and asexual people.</w:t>
      </w:r>
    </w:p>
    <w:p w14:paraId="6F8F4DC0" w14:textId="77777777" w:rsidR="000A1FCE" w:rsidRDefault="005F4ADC" w:rsidP="00602DD3">
      <w:pPr>
        <w:pStyle w:val="GlossaryTerm"/>
      </w:pPr>
      <w:r w:rsidRPr="00542CCE">
        <w:t>Gender</w:t>
      </w:r>
    </w:p>
    <w:p w14:paraId="02998C96" w14:textId="77777777" w:rsidR="000A1FCE" w:rsidRDefault="005F4ADC" w:rsidP="005F4ADC">
      <w:pPr>
        <w:pStyle w:val="BodyText"/>
        <w:rPr>
          <w:lang w:val="en-AU"/>
        </w:rPr>
      </w:pPr>
      <w:r w:rsidRPr="00542CCE">
        <w:rPr>
          <w:lang w:val="en-AU"/>
        </w:rPr>
        <w:t>Part of how you understand who you are and how you</w:t>
      </w:r>
      <w:r w:rsidR="000A1FCE">
        <w:rPr>
          <w:lang w:val="en-AU"/>
        </w:rPr>
        <w:t xml:space="preserve"> </w:t>
      </w:r>
      <w:r w:rsidRPr="00542CCE">
        <w:rPr>
          <w:lang w:val="en-AU"/>
        </w:rPr>
        <w:t>interact with other people. Many people understand their gender as being a man or woman. Some people understand their gender as a mix of</w:t>
      </w:r>
      <w:r w:rsidR="000A1FCE">
        <w:rPr>
          <w:lang w:val="en-AU"/>
        </w:rPr>
        <w:t xml:space="preserve"> </w:t>
      </w:r>
      <w:r w:rsidRPr="00542CCE">
        <w:rPr>
          <w:lang w:val="en-AU"/>
        </w:rPr>
        <w:t>these or neither. A person’s gender and their expression of their gender can show up in different ways, such as through behaviour or physical appearance.</w:t>
      </w:r>
    </w:p>
    <w:p w14:paraId="07E33FAE" w14:textId="77777777" w:rsidR="000A1FCE" w:rsidRDefault="005F4ADC" w:rsidP="00602DD3">
      <w:pPr>
        <w:pStyle w:val="GlossaryTerm"/>
      </w:pPr>
      <w:r w:rsidRPr="00542CCE">
        <w:t>Pansexual</w:t>
      </w:r>
    </w:p>
    <w:p w14:paraId="3311C548" w14:textId="77777777" w:rsidR="000A1FCE" w:rsidRDefault="005F4ADC" w:rsidP="005F4ADC">
      <w:pPr>
        <w:pStyle w:val="BodyText"/>
        <w:rPr>
          <w:lang w:val="en-AU"/>
        </w:rPr>
      </w:pPr>
      <w:r w:rsidRPr="00542CCE">
        <w:rPr>
          <w:lang w:val="en-AU"/>
        </w:rPr>
        <w:t>A person who is sexually and emotionally attracted to</w:t>
      </w:r>
      <w:r w:rsidR="000A1FCE">
        <w:rPr>
          <w:lang w:val="en-AU"/>
        </w:rPr>
        <w:t xml:space="preserve"> </w:t>
      </w:r>
      <w:r w:rsidRPr="00542CCE">
        <w:rPr>
          <w:lang w:val="en-AU"/>
        </w:rPr>
        <w:t>people of any sex or gender identity.</w:t>
      </w:r>
    </w:p>
    <w:p w14:paraId="250A0736" w14:textId="77777777" w:rsidR="000A1FCE" w:rsidRDefault="005F4ADC" w:rsidP="00602DD3">
      <w:pPr>
        <w:pStyle w:val="GlossaryTerm"/>
      </w:pPr>
      <w:r w:rsidRPr="00542CCE">
        <w:t>Gender diverse</w:t>
      </w:r>
    </w:p>
    <w:p w14:paraId="3EB35268" w14:textId="77777777" w:rsidR="000A1FCE" w:rsidRDefault="005F4ADC" w:rsidP="005F4ADC">
      <w:pPr>
        <w:pStyle w:val="BodyText"/>
        <w:rPr>
          <w:lang w:val="en-AU"/>
        </w:rPr>
      </w:pPr>
      <w:r w:rsidRPr="00542CCE">
        <w:rPr>
          <w:lang w:val="en-AU"/>
        </w:rPr>
        <w:t>Term for a range of genders expressed in different ways. Gender diverse people use many terms to</w:t>
      </w:r>
      <w:r w:rsidR="000A1FCE">
        <w:rPr>
          <w:lang w:val="en-AU"/>
        </w:rPr>
        <w:t xml:space="preserve"> </w:t>
      </w:r>
      <w:r w:rsidRPr="00542CCE">
        <w:rPr>
          <w:lang w:val="en-AU"/>
        </w:rPr>
        <w:t>describe themselves. Language in this area is</w:t>
      </w:r>
      <w:r w:rsidR="000A1FCE">
        <w:rPr>
          <w:lang w:val="en-AU"/>
        </w:rPr>
        <w:t xml:space="preserve"> </w:t>
      </w:r>
      <w:r w:rsidRPr="00542CCE">
        <w:rPr>
          <w:lang w:val="en-AU"/>
        </w:rPr>
        <w:t>dynamic, particularly among young people, who are</w:t>
      </w:r>
      <w:r w:rsidR="000A1FCE">
        <w:rPr>
          <w:lang w:val="en-AU"/>
        </w:rPr>
        <w:t xml:space="preserve"> </w:t>
      </w:r>
      <w:r w:rsidRPr="00542CCE">
        <w:rPr>
          <w:lang w:val="en-AU"/>
        </w:rPr>
        <w:t>more likely to describe themselves as non-binary.</w:t>
      </w:r>
    </w:p>
    <w:p w14:paraId="77B5EC89" w14:textId="77777777" w:rsidR="000A1FCE" w:rsidRDefault="005F4ADC" w:rsidP="00602DD3">
      <w:pPr>
        <w:pStyle w:val="GlossaryTerm"/>
      </w:pPr>
      <w:r w:rsidRPr="00542CCE">
        <w:t>People with intersex variations</w:t>
      </w:r>
    </w:p>
    <w:p w14:paraId="51A4C2C8" w14:textId="77777777" w:rsidR="000A1FCE" w:rsidRDefault="005F4ADC" w:rsidP="005F4ADC">
      <w:pPr>
        <w:pStyle w:val="BodyText"/>
        <w:rPr>
          <w:lang w:val="en-AU"/>
        </w:rPr>
      </w:pPr>
      <w:r w:rsidRPr="00542CCE">
        <w:rPr>
          <w:lang w:val="en-AU"/>
        </w:rPr>
        <w:t>A term for people born with natural variations to sex</w:t>
      </w:r>
      <w:r w:rsidR="000A1FCE">
        <w:rPr>
          <w:lang w:val="en-AU"/>
        </w:rPr>
        <w:t xml:space="preserve"> </w:t>
      </w:r>
      <w:r w:rsidRPr="00542CCE">
        <w:rPr>
          <w:lang w:val="en-AU"/>
        </w:rPr>
        <w:t>characteristics. This includes physical features relating to sex including genitalia and other sexual and reproductive parts of the person’s anatomy. It</w:t>
      </w:r>
      <w:r w:rsidR="000A1FCE">
        <w:rPr>
          <w:lang w:val="en-AU"/>
        </w:rPr>
        <w:t xml:space="preserve"> </w:t>
      </w:r>
      <w:r w:rsidRPr="00542CCE">
        <w:rPr>
          <w:lang w:val="en-AU"/>
        </w:rPr>
        <w:t xml:space="preserve">might also refer to the person’s chromosomes, hormones and secondary physical features emerging </w:t>
      </w:r>
      <w:proofErr w:type="gramStart"/>
      <w:r w:rsidRPr="00542CCE">
        <w:rPr>
          <w:lang w:val="en-AU"/>
        </w:rPr>
        <w:t>as a result of</w:t>
      </w:r>
      <w:proofErr w:type="gramEnd"/>
      <w:r w:rsidRPr="00542CCE">
        <w:rPr>
          <w:lang w:val="en-AU"/>
        </w:rPr>
        <w:t xml:space="preserve"> puberty. Some people with intersex variations describe themselves according to their specific intersex variation or use other </w:t>
      </w:r>
      <w:proofErr w:type="spellStart"/>
      <w:r w:rsidRPr="00542CCE">
        <w:rPr>
          <w:lang w:val="en-AU"/>
        </w:rPr>
        <w:t>contextdependent</w:t>
      </w:r>
      <w:proofErr w:type="spellEnd"/>
      <w:r w:rsidRPr="00542CCE">
        <w:rPr>
          <w:lang w:val="en-AU"/>
        </w:rPr>
        <w:t xml:space="preserve"> language. For example, someone may say they have Klinefelter (a </w:t>
      </w:r>
      <w:r w:rsidRPr="00542CCE">
        <w:rPr>
          <w:lang w:val="en-AU"/>
        </w:rPr>
        <w:lastRenderedPageBreak/>
        <w:t>common variation). Most people with intersex variations are cisgender and identify as male or female.</w:t>
      </w:r>
    </w:p>
    <w:p w14:paraId="5205C393" w14:textId="77777777" w:rsidR="000A1FCE" w:rsidRDefault="005F4ADC" w:rsidP="00602DD3">
      <w:pPr>
        <w:pStyle w:val="GlossaryTerm"/>
      </w:pPr>
      <w:r w:rsidRPr="00542CCE">
        <w:t>Gender expression</w:t>
      </w:r>
    </w:p>
    <w:p w14:paraId="47BC1EAC" w14:textId="77777777" w:rsidR="000A1FCE" w:rsidRDefault="005F4ADC" w:rsidP="005F4ADC">
      <w:pPr>
        <w:pStyle w:val="BodyText"/>
        <w:rPr>
          <w:lang w:val="en-AU"/>
        </w:rPr>
      </w:pPr>
      <w:r w:rsidRPr="00542CCE">
        <w:rPr>
          <w:lang w:val="en-AU"/>
        </w:rPr>
        <w:t>The way in which a person externally expresses their</w:t>
      </w:r>
      <w:r w:rsidR="000A1FCE">
        <w:rPr>
          <w:lang w:val="en-AU"/>
        </w:rPr>
        <w:t xml:space="preserve"> </w:t>
      </w:r>
      <w:r w:rsidRPr="00542CCE">
        <w:rPr>
          <w:lang w:val="en-AU"/>
        </w:rPr>
        <w:t>gender or how others perceive them.</w:t>
      </w:r>
    </w:p>
    <w:p w14:paraId="48F1E463" w14:textId="77777777" w:rsidR="000A1FCE" w:rsidRDefault="005F4ADC" w:rsidP="00602DD3">
      <w:pPr>
        <w:pStyle w:val="GlossaryTerm"/>
      </w:pPr>
      <w:r w:rsidRPr="00542CCE">
        <w:t>Queer</w:t>
      </w:r>
    </w:p>
    <w:p w14:paraId="07D8E2FC" w14:textId="77777777" w:rsidR="000A1FCE" w:rsidRDefault="005F4ADC" w:rsidP="005F4ADC">
      <w:pPr>
        <w:pStyle w:val="BodyText"/>
        <w:rPr>
          <w:lang w:val="en-AU"/>
        </w:rPr>
      </w:pPr>
      <w:r w:rsidRPr="00542CCE">
        <w:rPr>
          <w:lang w:val="en-AU"/>
        </w:rPr>
        <w:t>Queer is often used as an umbrella term for diverse genders or sexualities. Some people use queer to describe their own gender or sexuality, as an identity that does not correspond to heterosexual norms. For</w:t>
      </w:r>
      <w:r w:rsidR="000A1FCE">
        <w:rPr>
          <w:lang w:val="en-AU"/>
        </w:rPr>
        <w:t xml:space="preserve"> </w:t>
      </w:r>
      <w:r w:rsidRPr="00542CCE">
        <w:rPr>
          <w:lang w:val="en-AU"/>
        </w:rPr>
        <w:t>some people, especially older people, ‘queer’ has</w:t>
      </w:r>
      <w:r w:rsidR="000A1FCE">
        <w:rPr>
          <w:lang w:val="en-AU"/>
        </w:rPr>
        <w:t xml:space="preserve"> </w:t>
      </w:r>
      <w:r w:rsidRPr="00542CCE">
        <w:rPr>
          <w:lang w:val="en-AU"/>
        </w:rPr>
        <w:t>negative connotations, because in the past it</w:t>
      </w:r>
      <w:r w:rsidR="000A1FCE">
        <w:rPr>
          <w:lang w:val="en-AU"/>
        </w:rPr>
        <w:t xml:space="preserve"> </w:t>
      </w:r>
      <w:r w:rsidRPr="00542CCE">
        <w:rPr>
          <w:lang w:val="en-AU"/>
        </w:rPr>
        <w:t>was</w:t>
      </w:r>
      <w:r w:rsidR="000A1FCE">
        <w:rPr>
          <w:lang w:val="en-AU"/>
        </w:rPr>
        <w:t xml:space="preserve"> </w:t>
      </w:r>
      <w:r w:rsidRPr="00542CCE">
        <w:rPr>
          <w:lang w:val="en-AU"/>
        </w:rPr>
        <w:t>used as a discriminatory term.</w:t>
      </w:r>
    </w:p>
    <w:p w14:paraId="6180CCB6" w14:textId="77777777" w:rsidR="000A1FCE" w:rsidRDefault="005F4ADC" w:rsidP="00602DD3">
      <w:pPr>
        <w:pStyle w:val="GlossaryTerm"/>
      </w:pPr>
      <w:r w:rsidRPr="00542CCE">
        <w:t>Gender identity</w:t>
      </w:r>
    </w:p>
    <w:p w14:paraId="4A9FF3A9" w14:textId="77777777" w:rsidR="000A1FCE" w:rsidRDefault="005F4ADC" w:rsidP="005F4ADC">
      <w:pPr>
        <w:pStyle w:val="BodyText"/>
        <w:rPr>
          <w:lang w:val="en-AU"/>
        </w:rPr>
      </w:pPr>
      <w:r w:rsidRPr="00542CCE">
        <w:rPr>
          <w:lang w:val="en-AU"/>
        </w:rPr>
        <w:t xml:space="preserve">A </w:t>
      </w:r>
      <w:proofErr w:type="gramStart"/>
      <w:r w:rsidRPr="00542CCE">
        <w:rPr>
          <w:lang w:val="en-AU"/>
        </w:rPr>
        <w:t>person’s</w:t>
      </w:r>
      <w:proofErr w:type="gramEnd"/>
      <w:r w:rsidRPr="00542CCE">
        <w:rPr>
          <w:lang w:val="en-AU"/>
        </w:rPr>
        <w:t xml:space="preserve"> deeply held internal and individual sense of gender.</w:t>
      </w:r>
    </w:p>
    <w:p w14:paraId="1CB61DF2" w14:textId="77777777" w:rsidR="000A1FCE" w:rsidRDefault="005F4ADC" w:rsidP="00602DD3">
      <w:pPr>
        <w:pStyle w:val="GlossaryTerm"/>
      </w:pPr>
      <w:r w:rsidRPr="00542CCE">
        <w:t>Sex assigned at birth</w:t>
      </w:r>
    </w:p>
    <w:p w14:paraId="65EEE037" w14:textId="77777777" w:rsidR="000A1FCE" w:rsidRDefault="005F4ADC" w:rsidP="005F4ADC">
      <w:pPr>
        <w:pStyle w:val="BodyText"/>
        <w:rPr>
          <w:lang w:val="en-AU"/>
        </w:rPr>
      </w:pPr>
      <w:r w:rsidRPr="00542CCE">
        <w:rPr>
          <w:lang w:val="en-AU"/>
        </w:rPr>
        <w:t>Sex recorded at birth Data collection often refers to</w:t>
      </w:r>
      <w:r w:rsidR="000A1FCE">
        <w:rPr>
          <w:lang w:val="en-AU"/>
        </w:rPr>
        <w:t xml:space="preserve"> </w:t>
      </w:r>
      <w:r w:rsidRPr="00542CCE">
        <w:rPr>
          <w:lang w:val="en-AU"/>
        </w:rPr>
        <w:t>sex recorded at birth. This is based upon a</w:t>
      </w:r>
      <w:r w:rsidR="00542CCE" w:rsidRPr="00542CCE">
        <w:rPr>
          <w:lang w:val="en-AU"/>
        </w:rPr>
        <w:t xml:space="preserve"> </w:t>
      </w:r>
      <w:r w:rsidRPr="00542CCE">
        <w:rPr>
          <w:lang w:val="en-AU"/>
        </w:rPr>
        <w:t>person’s sex characteristics and reproductive organs observed at, or soon after, birth.</w:t>
      </w:r>
    </w:p>
    <w:p w14:paraId="1CB3C556" w14:textId="77777777" w:rsidR="000A1FCE" w:rsidRDefault="005F4ADC" w:rsidP="00602DD3">
      <w:pPr>
        <w:pStyle w:val="GlossaryTerm"/>
      </w:pPr>
      <w:r w:rsidRPr="00542CCE">
        <w:t>Heteronormativity</w:t>
      </w:r>
    </w:p>
    <w:p w14:paraId="7D17C676" w14:textId="77777777" w:rsidR="000A1FCE" w:rsidRDefault="005F4ADC" w:rsidP="005F4ADC">
      <w:pPr>
        <w:pStyle w:val="BodyText"/>
        <w:rPr>
          <w:lang w:val="en-AU"/>
        </w:rPr>
      </w:pPr>
      <w:r w:rsidRPr="00542CCE">
        <w:rPr>
          <w:lang w:val="en-AU"/>
        </w:rPr>
        <w:t>Denoting or relating to an attitude that promotes heterosexuality as the normal or preferred sexual orientation.</w:t>
      </w:r>
    </w:p>
    <w:p w14:paraId="7EF9B075" w14:textId="77777777" w:rsidR="000A1FCE" w:rsidRDefault="005F4ADC" w:rsidP="00602DD3">
      <w:pPr>
        <w:pStyle w:val="GlossaryTerm"/>
      </w:pPr>
      <w:r w:rsidRPr="00542CCE">
        <w:t>Sexuality or sexual orientation</w:t>
      </w:r>
    </w:p>
    <w:p w14:paraId="58A68FB0" w14:textId="77777777" w:rsidR="000A1FCE" w:rsidRDefault="005F4ADC" w:rsidP="005F4ADC">
      <w:pPr>
        <w:pStyle w:val="BodyText"/>
        <w:rPr>
          <w:lang w:val="en-AU"/>
        </w:rPr>
      </w:pPr>
      <w:r w:rsidRPr="00542CCE">
        <w:rPr>
          <w:lang w:val="en-AU"/>
        </w:rPr>
        <w:t xml:space="preserve">A person’s emotional or sexual attraction to another person including, among others, the following identities: heterosexual, gay, lesbian, bisexual, pansexual, asexual or </w:t>
      </w:r>
      <w:proofErr w:type="gramStart"/>
      <w:r w:rsidRPr="00542CCE">
        <w:rPr>
          <w:lang w:val="en-AU"/>
        </w:rPr>
        <w:t>same-sex</w:t>
      </w:r>
      <w:proofErr w:type="gramEnd"/>
      <w:r w:rsidRPr="00542CCE">
        <w:rPr>
          <w:lang w:val="en-AU"/>
        </w:rPr>
        <w:t xml:space="preserve"> attracted.</w:t>
      </w:r>
    </w:p>
    <w:p w14:paraId="11BD577D" w14:textId="77777777" w:rsidR="000A1FCE" w:rsidRDefault="005F4ADC" w:rsidP="00602DD3">
      <w:pPr>
        <w:pStyle w:val="GlossaryTerm"/>
      </w:pPr>
      <w:r w:rsidRPr="00542CCE">
        <w:lastRenderedPageBreak/>
        <w:t>Heterosexual</w:t>
      </w:r>
    </w:p>
    <w:p w14:paraId="41EBA2F4" w14:textId="77777777" w:rsidR="000A1FCE" w:rsidRDefault="005F4ADC" w:rsidP="005F4ADC">
      <w:pPr>
        <w:pStyle w:val="BodyText"/>
        <w:rPr>
          <w:lang w:val="en-AU"/>
        </w:rPr>
      </w:pPr>
      <w:r w:rsidRPr="00542CCE">
        <w:rPr>
          <w:lang w:val="en-AU"/>
        </w:rPr>
        <w:t>A person whose sexual orientation is primarily or</w:t>
      </w:r>
      <w:r w:rsidR="000A1FCE">
        <w:rPr>
          <w:lang w:val="en-AU"/>
        </w:rPr>
        <w:t xml:space="preserve"> </w:t>
      </w:r>
      <w:r w:rsidRPr="00542CCE">
        <w:rPr>
          <w:lang w:val="en-AU"/>
        </w:rPr>
        <w:t>exclusively towards people of the opposite sex.</w:t>
      </w:r>
    </w:p>
    <w:p w14:paraId="67D85AF3" w14:textId="77777777" w:rsidR="000A1FCE" w:rsidRDefault="005F4ADC" w:rsidP="00602DD3">
      <w:pPr>
        <w:pStyle w:val="GlossaryTerm"/>
      </w:pPr>
      <w:r w:rsidRPr="00542CCE">
        <w:t>Transgender</w:t>
      </w:r>
    </w:p>
    <w:p w14:paraId="380EAFAA" w14:textId="77777777" w:rsidR="000A1FCE" w:rsidRDefault="005F4ADC" w:rsidP="005F4ADC">
      <w:pPr>
        <w:pStyle w:val="BodyText"/>
        <w:rPr>
          <w:lang w:val="en-AU"/>
        </w:rPr>
      </w:pPr>
      <w:r w:rsidRPr="00542CCE">
        <w:rPr>
          <w:lang w:val="en-AU"/>
        </w:rPr>
        <w:t>A person whose gender identity is different from their</w:t>
      </w:r>
      <w:r w:rsidR="000A1FCE">
        <w:rPr>
          <w:lang w:val="en-AU"/>
        </w:rPr>
        <w:t xml:space="preserve"> </w:t>
      </w:r>
      <w:r w:rsidRPr="00542CCE">
        <w:rPr>
          <w:lang w:val="en-AU"/>
        </w:rPr>
        <w:t>sex assigned at birth. A trans person may take steps to live permanently in their nominated sex with or without medical treatment.</w:t>
      </w:r>
    </w:p>
    <w:p w14:paraId="102E3A85" w14:textId="77777777" w:rsidR="000A1FCE" w:rsidRDefault="005F4ADC" w:rsidP="00602DD3">
      <w:pPr>
        <w:pStyle w:val="GlossaryTerm"/>
      </w:pPr>
      <w:r w:rsidRPr="00542CCE">
        <w:t>Homophobia</w:t>
      </w:r>
    </w:p>
    <w:p w14:paraId="6808EEC1" w14:textId="2675CC60" w:rsidR="005F4ADC" w:rsidRPr="00542CCE" w:rsidRDefault="005F4ADC" w:rsidP="005F4ADC">
      <w:pPr>
        <w:pStyle w:val="BodyText"/>
        <w:rPr>
          <w:lang w:val="en-AU"/>
        </w:rPr>
      </w:pPr>
      <w:r w:rsidRPr="00542CCE">
        <w:rPr>
          <w:lang w:val="en-AU"/>
        </w:rPr>
        <w:t>The fear, hatred and misunderstanding of lesbians and gay men and their sexual desires and practices.</w:t>
      </w:r>
    </w:p>
    <w:p w14:paraId="6C679D9E" w14:textId="77777777" w:rsidR="000A1FCE" w:rsidRDefault="005F4ADC" w:rsidP="00602DD3">
      <w:pPr>
        <w:pStyle w:val="GlossaryTerm"/>
      </w:pPr>
      <w:r w:rsidRPr="00542CCE">
        <w:t>Transphobia</w:t>
      </w:r>
    </w:p>
    <w:p w14:paraId="27095379" w14:textId="77777777" w:rsidR="000A1FCE" w:rsidRDefault="005F4ADC" w:rsidP="005F4ADC">
      <w:pPr>
        <w:pStyle w:val="BodyText"/>
        <w:rPr>
          <w:lang w:val="en-AU"/>
        </w:rPr>
      </w:pPr>
      <w:r w:rsidRPr="00542CCE">
        <w:rPr>
          <w:lang w:val="en-AU"/>
        </w:rPr>
        <w:t>The fear, hatred and misunderstanding felt or</w:t>
      </w:r>
      <w:r w:rsidR="000A1FCE">
        <w:rPr>
          <w:lang w:val="en-AU"/>
        </w:rPr>
        <w:t xml:space="preserve"> </w:t>
      </w:r>
      <w:r w:rsidRPr="00542CCE">
        <w:rPr>
          <w:lang w:val="en-AU"/>
        </w:rPr>
        <w:t>expressed towards people who do not conform to</w:t>
      </w:r>
      <w:r w:rsidR="000A1FCE">
        <w:rPr>
          <w:lang w:val="en-AU"/>
        </w:rPr>
        <w:t xml:space="preserve"> </w:t>
      </w:r>
      <w:r w:rsidRPr="00542CCE">
        <w:rPr>
          <w:lang w:val="en-AU"/>
        </w:rPr>
        <w:t>society’s gender expectations.</w:t>
      </w:r>
    </w:p>
    <w:p w14:paraId="001D4DC4" w14:textId="77777777" w:rsidR="000A1FCE" w:rsidRDefault="005F4ADC" w:rsidP="00602DD3">
      <w:pPr>
        <w:pStyle w:val="GlossaryTerm"/>
      </w:pPr>
      <w:r w:rsidRPr="00542CCE">
        <w:t>Homosexual</w:t>
      </w:r>
    </w:p>
    <w:p w14:paraId="630D0E5C" w14:textId="77777777" w:rsidR="000A1FCE" w:rsidRDefault="005F4ADC" w:rsidP="005F4ADC">
      <w:pPr>
        <w:pStyle w:val="BodyText"/>
        <w:rPr>
          <w:lang w:val="en-AU"/>
        </w:rPr>
      </w:pPr>
      <w:r w:rsidRPr="00542CCE">
        <w:rPr>
          <w:lang w:val="en-AU"/>
        </w:rPr>
        <w:t>A person whose sexual orientation is primarily or</w:t>
      </w:r>
      <w:r w:rsidR="000A1FCE">
        <w:rPr>
          <w:lang w:val="en-AU"/>
        </w:rPr>
        <w:t xml:space="preserve"> </w:t>
      </w:r>
      <w:r w:rsidRPr="00542CCE">
        <w:rPr>
          <w:lang w:val="en-AU"/>
        </w:rPr>
        <w:t>exclusively towards people of the same sex.</w:t>
      </w:r>
    </w:p>
    <w:p w14:paraId="294C3866" w14:textId="77777777" w:rsidR="000A1FCE" w:rsidRDefault="005F4ADC" w:rsidP="00602DD3">
      <w:pPr>
        <w:pStyle w:val="GlossaryTerm"/>
      </w:pPr>
      <w:r w:rsidRPr="00542CCE">
        <w:t>Variation of sex / sex characteristics</w:t>
      </w:r>
    </w:p>
    <w:p w14:paraId="00A402B8" w14:textId="5B42B5FB" w:rsidR="005F4ADC" w:rsidRPr="00542CCE" w:rsidRDefault="005F4ADC" w:rsidP="005F4ADC">
      <w:pPr>
        <w:pStyle w:val="BodyText"/>
        <w:rPr>
          <w:lang w:val="en-AU"/>
        </w:rPr>
      </w:pPr>
      <w:r w:rsidRPr="00542CCE">
        <w:rPr>
          <w:lang w:val="en-AU"/>
        </w:rPr>
        <w:t>Some people are born with a variation to physical or</w:t>
      </w:r>
      <w:r w:rsidR="000A1FCE">
        <w:rPr>
          <w:lang w:val="en-AU"/>
        </w:rPr>
        <w:t xml:space="preserve"> </w:t>
      </w:r>
      <w:r w:rsidRPr="00542CCE">
        <w:rPr>
          <w:lang w:val="en-AU"/>
        </w:rPr>
        <w:t>biological sex characteristics including chromosomes, hormones or anatomy. These</w:t>
      </w:r>
      <w:r w:rsidR="000A1FCE">
        <w:rPr>
          <w:lang w:val="en-AU"/>
        </w:rPr>
        <w:t xml:space="preserve"> </w:t>
      </w:r>
      <w:r w:rsidRPr="00542CCE">
        <w:rPr>
          <w:lang w:val="en-AU"/>
        </w:rPr>
        <w:t>are often called intersex variations. There are many different intersex variations that can be identified prenatally, at birth, puberty or</w:t>
      </w:r>
      <w:r w:rsidR="000A1FCE">
        <w:rPr>
          <w:lang w:val="en-AU"/>
        </w:rPr>
        <w:t xml:space="preserve"> </w:t>
      </w:r>
      <w:r w:rsidRPr="00542CCE">
        <w:rPr>
          <w:lang w:val="en-AU"/>
        </w:rPr>
        <w:t>adulthood. People with</w:t>
      </w:r>
      <w:r w:rsidR="000A1FCE">
        <w:rPr>
          <w:lang w:val="en-AU"/>
        </w:rPr>
        <w:t xml:space="preserve"> </w:t>
      </w:r>
      <w:r w:rsidRPr="00542CCE">
        <w:rPr>
          <w:lang w:val="en-AU"/>
        </w:rPr>
        <w:t>intersex variations use a range of different terminology to name their bodies and experiences. Some use the term ‘intersex’, others do not connect to\</w:t>
      </w:r>
      <w:r w:rsidR="000A1FCE">
        <w:rPr>
          <w:lang w:val="en-AU"/>
        </w:rPr>
        <w:t xml:space="preserve"> </w:t>
      </w:r>
      <w:r w:rsidRPr="00542CCE">
        <w:rPr>
          <w:lang w:val="en-AU"/>
        </w:rPr>
        <w:t>the term ‘intersex’ or</w:t>
      </w:r>
      <w:r w:rsidR="000A1FCE">
        <w:rPr>
          <w:lang w:val="en-AU"/>
        </w:rPr>
        <w:t xml:space="preserve"> </w:t>
      </w:r>
      <w:r w:rsidRPr="00542CCE">
        <w:rPr>
          <w:lang w:val="en-AU"/>
        </w:rPr>
        <w:t>with the acronym LGBTIQA+. Intersex people can have any gender identity or</w:t>
      </w:r>
      <w:r w:rsidR="000A1FCE">
        <w:rPr>
          <w:lang w:val="en-AU"/>
        </w:rPr>
        <w:t xml:space="preserve"> </w:t>
      </w:r>
      <w:r w:rsidRPr="00542CCE">
        <w:rPr>
          <w:lang w:val="en-AU"/>
        </w:rPr>
        <w:t>sexuality.</w:t>
      </w:r>
    </w:p>
    <w:p w14:paraId="76F34C8A" w14:textId="77777777" w:rsidR="00222FF2" w:rsidRPr="00542CCE" w:rsidRDefault="00222FF2" w:rsidP="000A1FCE">
      <w:pPr>
        <w:pStyle w:val="Heading1"/>
        <w:pageBreakBefore/>
        <w:rPr>
          <w:lang w:val="en-AU"/>
        </w:rPr>
      </w:pPr>
      <w:bookmarkStart w:id="16" w:name="_Toc184285036"/>
      <w:bookmarkStart w:id="17" w:name="_Toc207186394"/>
      <w:r w:rsidRPr="00542CCE">
        <w:rPr>
          <w:lang w:val="en-AU"/>
        </w:rPr>
        <w:lastRenderedPageBreak/>
        <w:t>Publication information</w:t>
      </w:r>
      <w:bookmarkEnd w:id="16"/>
      <w:bookmarkEnd w:id="17"/>
    </w:p>
    <w:p w14:paraId="6ECC41CA" w14:textId="77777777" w:rsidR="00222FF2" w:rsidRPr="00542CCE" w:rsidRDefault="00222FF2" w:rsidP="000A1FCE">
      <w:pPr>
        <w:pStyle w:val="Heading2"/>
        <w:spacing w:before="0" w:after="40" w:line="360" w:lineRule="auto"/>
        <w:rPr>
          <w:szCs w:val="32"/>
          <w:lang w:val="en-AU"/>
        </w:rPr>
      </w:pPr>
      <w:bookmarkStart w:id="18" w:name="_Toc206059541"/>
      <w:bookmarkStart w:id="19" w:name="_Toc207186395"/>
      <w:r w:rsidRPr="00542CCE">
        <w:rPr>
          <w:szCs w:val="32"/>
          <w:lang w:val="en-AU"/>
        </w:rPr>
        <w:t>Acknowledgements</w:t>
      </w:r>
      <w:bookmarkEnd w:id="18"/>
      <w:bookmarkEnd w:id="19"/>
    </w:p>
    <w:p w14:paraId="2D04E5BC" w14:textId="77777777" w:rsidR="00FF45EB" w:rsidRPr="00542CCE" w:rsidRDefault="00FF45EB" w:rsidP="00FF45EB">
      <w:pPr>
        <w:pStyle w:val="BodyText"/>
        <w:spacing w:after="120"/>
        <w:rPr>
          <w:lang w:val="en-AU"/>
        </w:rPr>
      </w:pPr>
      <w:r w:rsidRPr="00542CCE">
        <w:rPr>
          <w:lang w:val="en-AU"/>
        </w:rPr>
        <w:t>We acknowledge and respect Victorian Traditional Owners as the original custodians of Victoria’s land and waters, their unique ability to care for Country and deep spiritual connection to it.</w:t>
      </w:r>
    </w:p>
    <w:p w14:paraId="2FEE20CF" w14:textId="77777777" w:rsidR="00FF45EB" w:rsidRPr="00542CCE" w:rsidRDefault="00FF45EB" w:rsidP="00FF45EB">
      <w:pPr>
        <w:pStyle w:val="BodyText"/>
        <w:spacing w:after="120"/>
        <w:rPr>
          <w:lang w:val="en-AU"/>
        </w:rPr>
      </w:pPr>
      <w:r w:rsidRPr="00542CCE">
        <w:rPr>
          <w:lang w:val="en-AU"/>
        </w:rPr>
        <w:t xml:space="preserve">We honour Elders past and present whose </w:t>
      </w:r>
      <w:proofErr w:type="gramStart"/>
      <w:r w:rsidRPr="00542CCE">
        <w:rPr>
          <w:lang w:val="en-AU"/>
        </w:rPr>
        <w:t>knowledge</w:t>
      </w:r>
      <w:proofErr w:type="gramEnd"/>
      <w:r w:rsidRPr="00542CCE">
        <w:rPr>
          <w:lang w:val="en-AU"/>
        </w:rPr>
        <w:t xml:space="preserve"> and wisdom has ensured the continuation of culture and traditional practices.</w:t>
      </w:r>
    </w:p>
    <w:p w14:paraId="5D6D71ED" w14:textId="77777777" w:rsidR="00222FF2" w:rsidRPr="00542CCE" w:rsidRDefault="00FF45EB" w:rsidP="00C51A83">
      <w:pPr>
        <w:pStyle w:val="BodyText"/>
        <w:spacing w:after="120"/>
        <w:rPr>
          <w:lang w:val="en-AU"/>
        </w:rPr>
      </w:pPr>
      <w:r w:rsidRPr="00542CCE">
        <w:rPr>
          <w:lang w:val="en-AU"/>
        </w:rPr>
        <w:t>DEECA is committed to genuinely partnering with Victorian Traditional Owners and Victoria’s Aboriginal community to progress their aspirations.</w:t>
      </w:r>
    </w:p>
    <w:p w14:paraId="4AB86AF0" w14:textId="77777777" w:rsidR="00222FF2" w:rsidRPr="00542CCE" w:rsidRDefault="00222FF2" w:rsidP="000A1FCE">
      <w:pPr>
        <w:pStyle w:val="Heading2"/>
        <w:spacing w:before="0" w:after="40" w:line="360" w:lineRule="auto"/>
        <w:rPr>
          <w:szCs w:val="32"/>
          <w:lang w:val="en-AU"/>
        </w:rPr>
      </w:pPr>
      <w:bookmarkStart w:id="20" w:name="_Toc206059542"/>
      <w:bookmarkStart w:id="21" w:name="_Toc207186396"/>
      <w:r w:rsidRPr="00542CCE">
        <w:rPr>
          <w:szCs w:val="32"/>
          <w:lang w:val="en-AU"/>
        </w:rPr>
        <w:t>Copyright</w:t>
      </w:r>
      <w:bookmarkEnd w:id="20"/>
      <w:bookmarkEnd w:id="21"/>
    </w:p>
    <w:p w14:paraId="1FEB4ADD" w14:textId="59F16E91" w:rsidR="00222FF2" w:rsidRPr="00542CCE" w:rsidRDefault="00222FF2" w:rsidP="00C51A83">
      <w:pPr>
        <w:pStyle w:val="BodyText"/>
        <w:spacing w:after="120"/>
        <w:ind w:right="-285"/>
        <w:rPr>
          <w:lang w:val="en-AU"/>
        </w:rPr>
      </w:pPr>
      <w:r w:rsidRPr="00542CCE">
        <w:rPr>
          <w:lang w:val="en-AU"/>
        </w:rPr>
        <w:t xml:space="preserve">© The State of Victoria Department of Energy, Environment and Climate Action, </w:t>
      </w:r>
      <w:r w:rsidR="005A4AC6" w:rsidRPr="00542CCE">
        <w:rPr>
          <w:color w:val="000000" w:themeColor="text1"/>
          <w:lang w:val="en-AU"/>
        </w:rPr>
        <w:t>August</w:t>
      </w:r>
      <w:r w:rsidRPr="00542CCE">
        <w:rPr>
          <w:color w:val="000000" w:themeColor="text1"/>
          <w:lang w:val="en-AU"/>
        </w:rPr>
        <w:t xml:space="preserve"> </w:t>
      </w:r>
      <w:r w:rsidRPr="00542CCE">
        <w:rPr>
          <w:lang w:val="en-AU"/>
        </w:rPr>
        <w:t>202</w:t>
      </w:r>
      <w:r w:rsidR="00FF45EB" w:rsidRPr="00542CCE">
        <w:rPr>
          <w:lang w:val="en-AU"/>
        </w:rPr>
        <w:t>5</w:t>
      </w:r>
      <w:r w:rsidRPr="00542CCE">
        <w:rPr>
          <w:lang w:val="en-AU"/>
        </w:rPr>
        <w:t>.</w:t>
      </w:r>
    </w:p>
    <w:p w14:paraId="20A3B350" w14:textId="77777777" w:rsidR="00222FF2" w:rsidRPr="00542CCE" w:rsidRDefault="00222FF2" w:rsidP="000A1FCE">
      <w:pPr>
        <w:pStyle w:val="Heading2"/>
        <w:spacing w:before="0" w:after="40" w:line="360" w:lineRule="auto"/>
        <w:rPr>
          <w:szCs w:val="32"/>
          <w:lang w:val="en-AU"/>
        </w:rPr>
      </w:pPr>
      <w:bookmarkStart w:id="22" w:name="_Toc206059543"/>
      <w:bookmarkStart w:id="23" w:name="_Toc207186397"/>
      <w:r w:rsidRPr="00542CCE">
        <w:rPr>
          <w:szCs w:val="32"/>
          <w:lang w:val="en-AU"/>
        </w:rPr>
        <w:t>Creative Commons</w:t>
      </w:r>
      <w:bookmarkEnd w:id="22"/>
      <w:bookmarkEnd w:id="23"/>
    </w:p>
    <w:p w14:paraId="4322D24A" w14:textId="52278940" w:rsidR="00222FF2" w:rsidRPr="00542CCE" w:rsidRDefault="00222FF2" w:rsidP="00222FF2">
      <w:pPr>
        <w:pStyle w:val="BodyText"/>
        <w:ind w:right="-285"/>
        <w:rPr>
          <w:lang w:val="en-AU"/>
        </w:rPr>
      </w:pPr>
      <w:r w:rsidRPr="00542CCE">
        <w:rPr>
          <w:lang w:val="en-AU"/>
        </w:rPr>
        <w:t xml:space="preserve">This work is licensed under a Creative Commons Attribution 4.0 International licence, visit the </w:t>
      </w:r>
      <w:hyperlink r:id="rId11" w:tooltip="Hyperlink to Creative Commons website" w:history="1">
        <w:r w:rsidRPr="00542CCE">
          <w:rPr>
            <w:rStyle w:val="Hyperlink"/>
            <w:lang w:val="en-AU"/>
          </w:rPr>
          <w:t>Creative</w:t>
        </w:r>
        <w:r w:rsidR="000A1FCE">
          <w:rPr>
            <w:rStyle w:val="Hyperlink"/>
            <w:lang w:val="en-AU"/>
          </w:rPr>
          <w:t xml:space="preserve"> </w:t>
        </w:r>
        <w:r w:rsidRPr="00542CCE">
          <w:rPr>
            <w:rStyle w:val="Hyperlink"/>
            <w:lang w:val="en-AU"/>
          </w:rPr>
          <w:t>Commons website</w:t>
        </w:r>
      </w:hyperlink>
      <w:r w:rsidRPr="00542CCE">
        <w:rPr>
          <w:lang w:val="en-AU"/>
        </w:rPr>
        <w:t xml:space="preserve"> (</w:t>
      </w:r>
      <w:hyperlink r:id="rId12" w:tooltip="Hyperlink to Creative Commons website" w:history="1">
        <w:r w:rsidRPr="00542CCE">
          <w:rPr>
            <w:rStyle w:val="Hyperlink"/>
            <w:lang w:val="en-AU"/>
          </w:rPr>
          <w:t>http://creativecommons.org/licenses/by/4.0/</w:t>
        </w:r>
      </w:hyperlink>
      <w:r w:rsidRPr="00542CCE">
        <w:rPr>
          <w:lang w:val="en-AU"/>
        </w:rPr>
        <w:t>).</w:t>
      </w:r>
    </w:p>
    <w:p w14:paraId="29EA2CA3" w14:textId="2D9D5401" w:rsidR="00222FF2" w:rsidRPr="00542CCE" w:rsidRDefault="00222FF2" w:rsidP="00222FF2">
      <w:pPr>
        <w:pStyle w:val="BodyText"/>
        <w:ind w:right="-285"/>
        <w:rPr>
          <w:lang w:val="en-AU"/>
        </w:rPr>
      </w:pPr>
      <w:r w:rsidRPr="00542CCE">
        <w:rPr>
          <w:lang w:val="en-AU"/>
        </w:rPr>
        <w:t>You are free to re-use the work under that licence, on the condition that you credit the State of Victoria as author. The licence does not apply to any images, photographs or branding, including the</w:t>
      </w:r>
      <w:r w:rsidR="000A1FCE">
        <w:rPr>
          <w:lang w:val="en-AU"/>
        </w:rPr>
        <w:t xml:space="preserve"> </w:t>
      </w:r>
      <w:r w:rsidRPr="00542CCE">
        <w:rPr>
          <w:lang w:val="en-AU"/>
        </w:rPr>
        <w:t>Victorian Coat of Arms, and the Victorian Government and Department logos.</w:t>
      </w:r>
    </w:p>
    <w:p w14:paraId="17BF3532" w14:textId="42B0889B" w:rsidR="00222FF2" w:rsidRPr="00542CCE" w:rsidRDefault="00222FF2" w:rsidP="00C51A83">
      <w:pPr>
        <w:pStyle w:val="BodyText"/>
        <w:spacing w:after="120" w:line="276" w:lineRule="auto"/>
        <w:ind w:right="-285"/>
        <w:rPr>
          <w:lang w:val="en-AU"/>
        </w:rPr>
      </w:pPr>
      <w:r w:rsidRPr="00542CCE">
        <w:rPr>
          <w:b/>
          <w:bCs/>
          <w:lang w:val="en-AU"/>
        </w:rPr>
        <w:t>ISBN</w:t>
      </w:r>
      <w:r w:rsidRPr="00542CCE">
        <w:rPr>
          <w:lang w:val="en-AU"/>
        </w:rPr>
        <w:t xml:space="preserve"> </w:t>
      </w:r>
      <w:r w:rsidR="007F0A86" w:rsidRPr="007F0A86">
        <w:rPr>
          <w:lang w:val="en-AU"/>
        </w:rPr>
        <w:t>978-1-76176-579-7</w:t>
      </w:r>
      <w:r w:rsidR="007F0A86" w:rsidRPr="007F0A86">
        <w:rPr>
          <w:b/>
          <w:bCs/>
          <w:lang w:val="en-AU"/>
        </w:rPr>
        <w:t xml:space="preserve"> </w:t>
      </w:r>
      <w:r w:rsidRPr="00542CCE">
        <w:rPr>
          <w:b/>
          <w:bCs/>
          <w:lang w:val="en-AU"/>
        </w:rPr>
        <w:t>(print)</w:t>
      </w:r>
    </w:p>
    <w:p w14:paraId="1D6879AF" w14:textId="7BAF72A8" w:rsidR="00222FF2" w:rsidRPr="00542CCE" w:rsidRDefault="00222FF2" w:rsidP="00C51A83">
      <w:pPr>
        <w:pStyle w:val="BodyText"/>
        <w:spacing w:after="120"/>
        <w:ind w:right="-285"/>
        <w:rPr>
          <w:lang w:val="en-AU"/>
        </w:rPr>
      </w:pPr>
      <w:r w:rsidRPr="00542CCE">
        <w:rPr>
          <w:b/>
          <w:bCs/>
          <w:lang w:val="en-AU"/>
        </w:rPr>
        <w:t>ISBN</w:t>
      </w:r>
      <w:r w:rsidRPr="00542CCE">
        <w:rPr>
          <w:lang w:val="en-AU"/>
        </w:rPr>
        <w:t xml:space="preserve"> </w:t>
      </w:r>
      <w:r w:rsidR="007F0A86" w:rsidRPr="007F0A86">
        <w:rPr>
          <w:lang w:val="en-AU"/>
        </w:rPr>
        <w:t>978-1-76176-484-4</w:t>
      </w:r>
      <w:r w:rsidR="007F0A86" w:rsidRPr="007F0A86">
        <w:rPr>
          <w:b/>
          <w:bCs/>
          <w:lang w:val="en-AU"/>
        </w:rPr>
        <w:t xml:space="preserve"> </w:t>
      </w:r>
      <w:r w:rsidRPr="00542CCE">
        <w:rPr>
          <w:b/>
          <w:bCs/>
          <w:lang w:val="en-AU"/>
        </w:rPr>
        <w:t>(pdf)</w:t>
      </w:r>
    </w:p>
    <w:p w14:paraId="4C110318" w14:textId="77777777" w:rsidR="00222FF2" w:rsidRPr="00542CCE" w:rsidRDefault="00222FF2" w:rsidP="000A1FCE">
      <w:pPr>
        <w:pStyle w:val="Heading2"/>
        <w:spacing w:before="0" w:after="40" w:line="360" w:lineRule="auto"/>
        <w:rPr>
          <w:szCs w:val="32"/>
          <w:lang w:val="en-AU"/>
        </w:rPr>
      </w:pPr>
      <w:bookmarkStart w:id="24" w:name="_Toc206059544"/>
      <w:bookmarkStart w:id="25" w:name="_Toc207186398"/>
      <w:r w:rsidRPr="00542CCE">
        <w:rPr>
          <w:szCs w:val="32"/>
          <w:lang w:val="en-AU"/>
        </w:rPr>
        <w:t>Disclaimer</w:t>
      </w:r>
      <w:bookmarkEnd w:id="24"/>
      <w:bookmarkEnd w:id="25"/>
    </w:p>
    <w:p w14:paraId="43B0855D" w14:textId="77777777" w:rsidR="00222FF2" w:rsidRPr="00542CCE" w:rsidRDefault="00222FF2" w:rsidP="00C51A83">
      <w:pPr>
        <w:pStyle w:val="BodyText"/>
        <w:spacing w:after="120"/>
        <w:rPr>
          <w:lang w:val="en-AU"/>
        </w:rPr>
      </w:pPr>
      <w:r w:rsidRPr="00542CCE">
        <w:rPr>
          <w:lang w:val="en-AU"/>
        </w:rPr>
        <w:t xml:space="preserve">This publication may be of assistance to </w:t>
      </w:r>
      <w:proofErr w:type="gramStart"/>
      <w:r w:rsidRPr="00542CCE">
        <w:rPr>
          <w:lang w:val="en-AU"/>
        </w:rPr>
        <w:t>you</w:t>
      </w:r>
      <w:proofErr w:type="gramEnd"/>
      <w:r w:rsidRPr="00542CCE">
        <w:rPr>
          <w:lang w:val="en-AU"/>
        </w:rPr>
        <w:t xml:space="preserve"> but the State of Victoria and its employees do not guarantee that the publication is without flaw of any kind or is wholly appropriate for </w:t>
      </w:r>
      <w:r w:rsidRPr="00542CCE">
        <w:rPr>
          <w:lang w:val="en-AU"/>
        </w:rPr>
        <w:lastRenderedPageBreak/>
        <w:t xml:space="preserve">your </w:t>
      </w:r>
      <w:proofErr w:type="gramStart"/>
      <w:r w:rsidRPr="00542CCE">
        <w:rPr>
          <w:lang w:val="en-AU"/>
        </w:rPr>
        <w:t>particular purposes</w:t>
      </w:r>
      <w:proofErr w:type="gramEnd"/>
      <w:r w:rsidRPr="00542CCE">
        <w:rPr>
          <w:lang w:val="en-AU"/>
        </w:rPr>
        <w:t xml:space="preserve"> and therefore disclaims all liability for any error, loss or other consequence which may arise from you relying on any information in this publication.</w:t>
      </w:r>
    </w:p>
    <w:p w14:paraId="65F90BDC" w14:textId="77777777" w:rsidR="00222FF2" w:rsidRPr="00542CCE" w:rsidRDefault="00222FF2" w:rsidP="000A1FCE">
      <w:pPr>
        <w:pStyle w:val="Heading2"/>
        <w:spacing w:before="0" w:after="40" w:line="360" w:lineRule="auto"/>
        <w:rPr>
          <w:szCs w:val="32"/>
          <w:lang w:val="en-AU"/>
        </w:rPr>
      </w:pPr>
      <w:bookmarkStart w:id="26" w:name="_Toc206059545"/>
      <w:bookmarkStart w:id="27" w:name="_Toc207186399"/>
      <w:r w:rsidRPr="00542CCE">
        <w:rPr>
          <w:szCs w:val="32"/>
          <w:lang w:val="en-AU"/>
        </w:rPr>
        <w:t>Accessibility</w:t>
      </w:r>
      <w:bookmarkEnd w:id="26"/>
      <w:bookmarkEnd w:id="27"/>
    </w:p>
    <w:p w14:paraId="1E48F747" w14:textId="2EBA9EB7" w:rsidR="00222FF2" w:rsidRPr="00542CCE" w:rsidRDefault="00222FF2" w:rsidP="00C51A83">
      <w:pPr>
        <w:pStyle w:val="BodyText"/>
        <w:spacing w:after="120"/>
        <w:rPr>
          <w:lang w:val="en-AU"/>
        </w:rPr>
      </w:pPr>
      <w:r w:rsidRPr="00542CCE">
        <w:rPr>
          <w:lang w:val="en-AU"/>
        </w:rPr>
        <w:t xml:space="preserve">To receive this document in an alternative format, phone the Customer Service Centre on 136 186, email </w:t>
      </w:r>
      <w:hyperlink r:id="rId13" w:tooltip="Send an email to customer service" w:history="1">
        <w:r w:rsidRPr="00542CCE">
          <w:rPr>
            <w:rStyle w:val="Hyperlink"/>
            <w:lang w:val="en-AU"/>
          </w:rPr>
          <w:t>customer.service@delwp.vic.gov.au</w:t>
        </w:r>
      </w:hyperlink>
      <w:r w:rsidRPr="00542CCE">
        <w:rPr>
          <w:lang w:val="en-AU"/>
        </w:rPr>
        <w:t>, or contact National Relay Service on 133 677. Available at DEECA website (</w:t>
      </w:r>
      <w:hyperlink r:id="rId14" w:tooltip="Hyperlink to the DEECA website" w:history="1">
        <w:r w:rsidRPr="00542CCE">
          <w:rPr>
            <w:rStyle w:val="Hyperlink"/>
            <w:lang w:val="en-AU"/>
          </w:rPr>
          <w:t>www.deeca.vic.gov.au</w:t>
        </w:r>
      </w:hyperlink>
      <w:r w:rsidRPr="00542CCE">
        <w:rPr>
          <w:lang w:val="en-AU"/>
        </w:rPr>
        <w:t>).</w:t>
      </w:r>
    </w:p>
    <w:p w14:paraId="70431809" w14:textId="77777777" w:rsidR="00F767CD" w:rsidRPr="00542CCE" w:rsidRDefault="00222FF2" w:rsidP="000A1FCE">
      <w:pPr>
        <w:pStyle w:val="BodyText"/>
        <w:spacing w:before="1080" w:after="0"/>
        <w:rPr>
          <w:b/>
          <w:bCs/>
          <w:lang w:val="en-AU"/>
        </w:rPr>
      </w:pPr>
      <w:r w:rsidRPr="00542CCE">
        <w:rPr>
          <w:b/>
          <w:bCs/>
          <w:lang w:val="en-AU"/>
        </w:rPr>
        <w:t>End of document.</w:t>
      </w:r>
    </w:p>
    <w:sectPr w:rsidR="00F767CD" w:rsidRPr="00542CCE" w:rsidSect="00EB277B">
      <w:footerReference w:type="default" r:id="rId15"/>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9834" w14:textId="77777777" w:rsidR="001B085B" w:rsidRDefault="001B085B" w:rsidP="00F2730B">
      <w:pPr>
        <w:spacing w:after="0" w:line="240" w:lineRule="auto"/>
      </w:pPr>
      <w:r>
        <w:separator/>
      </w:r>
    </w:p>
  </w:endnote>
  <w:endnote w:type="continuationSeparator" w:id="0">
    <w:p w14:paraId="26652B36" w14:textId="77777777" w:rsidR="001B085B" w:rsidRDefault="001B085B"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Calibri"/>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2143F369"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DC83A"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40008705"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F48A45A" w14:textId="42F35D79" w:rsidR="00EB277B" w:rsidRDefault="005A4AC6" w:rsidP="00EB277B">
    <w:pPr>
      <w:pStyle w:val="Footer"/>
      <w:ind w:right="360"/>
    </w:pPr>
    <w:r w:rsidRPr="005A4AC6">
      <w:t>LGBTIQA+ Action Plan 2025–2030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3FAC3538"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827212" w14:textId="342E24FB" w:rsidR="00B165A7" w:rsidRDefault="005A4AC6" w:rsidP="00B165A7">
    <w:pPr>
      <w:pStyle w:val="Footer"/>
      <w:ind w:right="360"/>
    </w:pPr>
    <w:r w:rsidRPr="005A4AC6">
      <w:t>LGBTIQA+ Action Plan 2025–2030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683F" w14:textId="77777777" w:rsidR="001B085B" w:rsidRDefault="001B085B" w:rsidP="00F2730B">
      <w:pPr>
        <w:spacing w:after="0" w:line="240" w:lineRule="auto"/>
      </w:pPr>
      <w:r>
        <w:separator/>
      </w:r>
    </w:p>
  </w:footnote>
  <w:footnote w:type="continuationSeparator" w:id="0">
    <w:p w14:paraId="0189C61C" w14:textId="77777777" w:rsidR="001B085B" w:rsidRDefault="001B085B"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B"/>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1FCE"/>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75520"/>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085B"/>
    <w:rsid w:val="001B120E"/>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D6DB2"/>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5498"/>
    <w:rsid w:val="00266DF9"/>
    <w:rsid w:val="0027313B"/>
    <w:rsid w:val="002742CF"/>
    <w:rsid w:val="00276B6C"/>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0348"/>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499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2051"/>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2CCE"/>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19B"/>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4AC6"/>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5F4ADC"/>
    <w:rsid w:val="00600114"/>
    <w:rsid w:val="00601DBE"/>
    <w:rsid w:val="00602DD3"/>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2294"/>
    <w:rsid w:val="006F3D26"/>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0A86"/>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0EB4"/>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2DBD"/>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0007"/>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0073"/>
    <w:rsid w:val="009746FC"/>
    <w:rsid w:val="00974CDF"/>
    <w:rsid w:val="00975227"/>
    <w:rsid w:val="00980033"/>
    <w:rsid w:val="0098122F"/>
    <w:rsid w:val="00990684"/>
    <w:rsid w:val="0099081D"/>
    <w:rsid w:val="00992F4F"/>
    <w:rsid w:val="00993223"/>
    <w:rsid w:val="009940F3"/>
    <w:rsid w:val="00994774"/>
    <w:rsid w:val="009953A8"/>
    <w:rsid w:val="00996A8E"/>
    <w:rsid w:val="00996DC2"/>
    <w:rsid w:val="009A03C6"/>
    <w:rsid w:val="009A19C2"/>
    <w:rsid w:val="009A37D5"/>
    <w:rsid w:val="009A683D"/>
    <w:rsid w:val="009B1A0A"/>
    <w:rsid w:val="009B1F92"/>
    <w:rsid w:val="009B27FA"/>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327D"/>
    <w:rsid w:val="00A74C09"/>
    <w:rsid w:val="00A75B0D"/>
    <w:rsid w:val="00A76292"/>
    <w:rsid w:val="00A76DC6"/>
    <w:rsid w:val="00A803C5"/>
    <w:rsid w:val="00A80DB1"/>
    <w:rsid w:val="00A80EB7"/>
    <w:rsid w:val="00A842C0"/>
    <w:rsid w:val="00A93914"/>
    <w:rsid w:val="00A95A9B"/>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3EEC"/>
    <w:rsid w:val="00BA4CD9"/>
    <w:rsid w:val="00BA5EAE"/>
    <w:rsid w:val="00BB0870"/>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2542"/>
    <w:rsid w:val="00C77C1E"/>
    <w:rsid w:val="00C81AC2"/>
    <w:rsid w:val="00C84AD9"/>
    <w:rsid w:val="00C8500E"/>
    <w:rsid w:val="00C92318"/>
    <w:rsid w:val="00C92D1B"/>
    <w:rsid w:val="00C9496D"/>
    <w:rsid w:val="00CA0627"/>
    <w:rsid w:val="00CA0E01"/>
    <w:rsid w:val="00CA2E3E"/>
    <w:rsid w:val="00CA3282"/>
    <w:rsid w:val="00CA33D3"/>
    <w:rsid w:val="00CA71CC"/>
    <w:rsid w:val="00CA7AAD"/>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23117"/>
    <w:rsid w:val="00E2494E"/>
    <w:rsid w:val="00E25D0B"/>
    <w:rsid w:val="00E27AC3"/>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A34AA"/>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5F2E"/>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6D37E"/>
  <w14:defaultImageDpi w14:val="0"/>
  <w15:docId w15:val="{B83D03FC-AE6D-7B46-B278-2A94872A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B2"/>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CA7AAD"/>
    <w:pPr>
      <w:keepNext/>
      <w:keepLines/>
      <w:spacing w:before="120" w:after="240" w:line="460" w:lineRule="exact"/>
      <w:outlineLvl w:val="1"/>
    </w:pPr>
    <w:rPr>
      <w:rFonts w:asciiTheme="majorHAnsi" w:eastAsiaTheme="majorEastAsia" w:hAnsiTheme="majorHAnsi" w:cs="Times New Roman (Headings CS)"/>
      <w:b/>
      <w:bCs/>
      <w:color w:val="000000" w:themeColor="text1"/>
      <w:sz w:val="32"/>
      <w:szCs w:val="36"/>
      <w:lang w:val="en-GB"/>
    </w:rPr>
  </w:style>
  <w:style w:type="paragraph" w:styleId="Heading3">
    <w:name w:val="heading 3"/>
    <w:basedOn w:val="Normal"/>
    <w:next w:val="Normal"/>
    <w:link w:val="Heading3Char"/>
    <w:uiPriority w:val="9"/>
    <w:unhideWhenUsed/>
    <w:qFormat/>
    <w:rsid w:val="00542CCE"/>
    <w:pPr>
      <w:keepNext/>
      <w:keepLines/>
      <w:spacing w:before="120" w:after="120" w:line="24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CA7AAD"/>
    <w:rPr>
      <w:rFonts w:asciiTheme="majorHAnsi" w:eastAsiaTheme="majorEastAsia" w:hAnsiTheme="majorHAnsi" w:cs="Times New Roman (Headings CS)"/>
      <w:b/>
      <w:bCs/>
      <w:color w:val="000000" w:themeColor="text1"/>
      <w:sz w:val="32"/>
      <w:szCs w:val="36"/>
      <w:lang w:val="en-GB"/>
    </w:rPr>
  </w:style>
  <w:style w:type="character" w:customStyle="1" w:styleId="Heading3Char">
    <w:name w:val="Heading 3 Char"/>
    <w:basedOn w:val="DefaultParagraphFont"/>
    <w:link w:val="Heading3"/>
    <w:uiPriority w:val="9"/>
    <w:rsid w:val="00542CCE"/>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0A1FCE"/>
    <w:pPr>
      <w:spacing w:after="12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392051"/>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HighlightBox">
    <w:name w:val="Highlight Box"/>
    <w:basedOn w:val="BodyText"/>
    <w:qFormat/>
    <w:rsid w:val="00A7327D"/>
    <w:pPr>
      <w:pBdr>
        <w:top w:val="single" w:sz="12" w:space="12" w:color="000000" w:themeColor="text1"/>
        <w:left w:val="single" w:sz="12" w:space="8" w:color="000000" w:themeColor="text1"/>
        <w:bottom w:val="single" w:sz="12" w:space="5" w:color="000000" w:themeColor="text1"/>
        <w:right w:val="single" w:sz="12" w:space="8" w:color="000000" w:themeColor="text1"/>
      </w:pBdr>
      <w:shd w:val="clear" w:color="auto" w:fill="F2F2F2" w:themeFill="background1" w:themeFillShade="F2"/>
      <w:snapToGrid w:val="0"/>
      <w:spacing w:before="120"/>
      <w:ind w:left="227" w:right="284"/>
    </w:pPr>
    <w:rPr>
      <w:color w:val="000000" w:themeColor="text1"/>
    </w:rPr>
  </w:style>
  <w:style w:type="character" w:styleId="UnresolvedMention">
    <w:name w:val="Unresolved Mention"/>
    <w:basedOn w:val="DefaultParagraphFont"/>
    <w:uiPriority w:val="99"/>
    <w:semiHidden/>
    <w:unhideWhenUsed/>
    <w:rsid w:val="005F4ADC"/>
    <w:rPr>
      <w:color w:val="605E5C"/>
      <w:shd w:val="clear" w:color="auto" w:fill="E1DFDD"/>
    </w:rPr>
  </w:style>
  <w:style w:type="paragraph" w:customStyle="1" w:styleId="GlossaryTerm">
    <w:name w:val="Glossary Term"/>
    <w:basedOn w:val="Heading3"/>
    <w:qFormat/>
    <w:rsid w:val="00602DD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ustomer.service@delwp.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humanrights.vic.gov.au/resources/guideline-lgbtiqa-inclusive-workplac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eec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msung%20Backup/DEE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9</TotalTime>
  <Pages>22</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LGBTIQA+ Action Plan 2025–2030</vt:lpstr>
    </vt:vector>
  </TitlesOfParts>
  <Manager>N/A</Manager>
  <Company>Department of Energy, Environment and Climate Action </Company>
  <LinksUpToDate>false</LinksUpToDate>
  <CharactersWithSpaces>27006</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Action Plan 2025–2030</dc:title>
  <dc:subject>A plan for LGBTIQA+ inclusion at DEECA</dc:subject>
  <dc:creator>Department of Energy, Environment and Climate Action </dc:creator>
  <cp:keywords>LGBTIQA+, inclusion, Action, Plan, DEECA</cp:keywords>
  <dc:description>© The State of Victoria Department of Energy, Environment and Climate Action </dc:description>
  <cp:lastModifiedBy>Michael McClelland</cp:lastModifiedBy>
  <cp:revision>10</cp:revision>
  <dcterms:created xsi:type="dcterms:W3CDTF">2025-08-14T00:37:00Z</dcterms:created>
  <dcterms:modified xsi:type="dcterms:W3CDTF">2025-08-27T01:26:00Z</dcterms:modified>
  <cp:category>A plan for LGBTIQA+ inclusion at DEECA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